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C2EBD" w14:paraId="229DC169" w14:textId="77777777" w:rsidTr="00DC2EBD">
        <w:trPr>
          <w:ins w:id="0" w:author="Author"/>
        </w:trPr>
        <w:tc>
          <w:tcPr>
            <w:tcW w:w="9061" w:type="dxa"/>
          </w:tcPr>
          <w:p w14:paraId="3E70F909" w14:textId="1869DE38" w:rsidR="00DC2EBD" w:rsidRPr="00220238" w:rsidRDefault="00DC2EBD" w:rsidP="00DC2EBD">
            <w:pPr>
              <w:widowControl w:val="0"/>
              <w:tabs>
                <w:tab w:val="clear" w:pos="567"/>
              </w:tabs>
              <w:rPr>
                <w:ins w:id="1" w:author="Author"/>
              </w:rPr>
            </w:pPr>
            <w:ins w:id="2" w:author="Author">
              <w:r w:rsidRPr="00220238">
                <w:t xml:space="preserve">Tento dokument predstavuje schválené informácie o lieku </w:t>
              </w:r>
              <w:r>
                <w:t>Alymsys</w:t>
              </w:r>
              <w:r w:rsidRPr="00220238">
                <w:t xml:space="preserve"> a sú v ňom  sledované zmeny od predchádzajúcej procedúry, ktorou boli ovplyvnené informácie o lieku (</w:t>
              </w:r>
              <w:r w:rsidRPr="00DC2EBD">
                <w:t>EMA/R/0000276471</w:t>
              </w:r>
              <w:r w:rsidRPr="00220238">
                <w:t>).</w:t>
              </w:r>
            </w:ins>
          </w:p>
          <w:p w14:paraId="0F0EB2FA" w14:textId="77777777" w:rsidR="00DC2EBD" w:rsidRPr="00220238" w:rsidRDefault="00DC2EBD" w:rsidP="00DC2EBD">
            <w:pPr>
              <w:widowControl w:val="0"/>
              <w:tabs>
                <w:tab w:val="clear" w:pos="567"/>
              </w:tabs>
              <w:rPr>
                <w:ins w:id="3" w:author="Author"/>
              </w:rPr>
            </w:pPr>
          </w:p>
          <w:p w14:paraId="2EC04EDA" w14:textId="3BACBA07" w:rsidR="00DC2EBD" w:rsidRDefault="00DC2EBD" w:rsidP="00DC2EBD">
            <w:pPr>
              <w:spacing w:line="240" w:lineRule="auto"/>
              <w:rPr>
                <w:ins w:id="4" w:author="Author"/>
                <w:b/>
              </w:rPr>
              <w:pPrChange w:id="5" w:author="Author">
                <w:pPr>
                  <w:spacing w:line="240" w:lineRule="auto"/>
                  <w:jc w:val="center"/>
                </w:pPr>
              </w:pPrChange>
            </w:pPr>
            <w:ins w:id="6" w:author="Author">
              <w:r w:rsidRPr="00220238">
                <w:t xml:space="preserve">Viac informácií nájdete na webovej stránke Európskej agentúry pre lieky: </w:t>
              </w:r>
              <w:r w:rsidRPr="0015044C">
                <w:rPr>
                  <w:rStyle w:val="Hyperlink"/>
                  <w:color w:val="auto"/>
                  <w:u w:val="none"/>
                </w:rPr>
                <w:t>https://www.ema.europa.eu/en/medicines/human/EPAR/</w:t>
              </w:r>
              <w:r>
                <w:rPr>
                  <w:rStyle w:val="Hyperlink"/>
                  <w:color w:val="auto"/>
                  <w:u w:val="none"/>
                </w:rPr>
                <w:t>alymsys</w:t>
              </w:r>
            </w:ins>
          </w:p>
        </w:tc>
      </w:tr>
    </w:tbl>
    <w:p w14:paraId="0EF800EF" w14:textId="472BE023" w:rsidR="00BE7CB1" w:rsidRPr="00303804" w:rsidRDefault="00BE7CB1" w:rsidP="00303804">
      <w:pPr>
        <w:spacing w:line="240" w:lineRule="auto"/>
        <w:jc w:val="center"/>
        <w:rPr>
          <w:b/>
        </w:rPr>
      </w:pPr>
    </w:p>
    <w:p w14:paraId="5B4888A5" w14:textId="77777777" w:rsidR="00BE7CB1" w:rsidRPr="005973AB" w:rsidRDefault="00BE7CB1" w:rsidP="00F64BF9">
      <w:pPr>
        <w:spacing w:line="240" w:lineRule="auto"/>
        <w:jc w:val="center"/>
        <w:rPr>
          <w:b/>
        </w:rPr>
      </w:pPr>
    </w:p>
    <w:p w14:paraId="08AF0826" w14:textId="77777777" w:rsidR="00BE7CB1" w:rsidRPr="005973AB" w:rsidRDefault="00BE7CB1" w:rsidP="00F64BF9">
      <w:pPr>
        <w:spacing w:line="240" w:lineRule="auto"/>
        <w:jc w:val="center"/>
        <w:rPr>
          <w:b/>
        </w:rPr>
      </w:pPr>
    </w:p>
    <w:p w14:paraId="3DD843FD" w14:textId="77777777" w:rsidR="00BE7CB1" w:rsidRPr="005973AB" w:rsidRDefault="00BE7CB1" w:rsidP="00F64BF9">
      <w:pPr>
        <w:spacing w:line="240" w:lineRule="auto"/>
        <w:jc w:val="center"/>
        <w:rPr>
          <w:b/>
        </w:rPr>
      </w:pPr>
    </w:p>
    <w:p w14:paraId="2CB524DE" w14:textId="77777777" w:rsidR="00BE7CB1" w:rsidRPr="005973AB" w:rsidRDefault="00BE7CB1" w:rsidP="00F64BF9">
      <w:pPr>
        <w:spacing w:line="240" w:lineRule="auto"/>
        <w:jc w:val="center"/>
        <w:rPr>
          <w:b/>
          <w:szCs w:val="22"/>
        </w:rPr>
      </w:pPr>
    </w:p>
    <w:p w14:paraId="3C5417F7" w14:textId="77777777" w:rsidR="00BE7CB1" w:rsidRPr="005973AB" w:rsidRDefault="00BE7CB1" w:rsidP="00F64BF9">
      <w:pPr>
        <w:spacing w:line="240" w:lineRule="auto"/>
        <w:jc w:val="center"/>
        <w:rPr>
          <w:b/>
          <w:szCs w:val="22"/>
        </w:rPr>
      </w:pPr>
    </w:p>
    <w:p w14:paraId="012824DE" w14:textId="77777777" w:rsidR="00BE7CB1" w:rsidRPr="005973AB" w:rsidRDefault="00BE7CB1" w:rsidP="00F64BF9">
      <w:pPr>
        <w:spacing w:line="240" w:lineRule="auto"/>
        <w:jc w:val="center"/>
        <w:rPr>
          <w:b/>
          <w:szCs w:val="22"/>
        </w:rPr>
      </w:pPr>
    </w:p>
    <w:p w14:paraId="7C1B0CB8" w14:textId="77777777" w:rsidR="00BE7CB1" w:rsidRPr="005973AB" w:rsidRDefault="00BE7CB1" w:rsidP="00F64BF9">
      <w:pPr>
        <w:spacing w:line="240" w:lineRule="auto"/>
        <w:jc w:val="center"/>
        <w:rPr>
          <w:b/>
          <w:szCs w:val="22"/>
        </w:rPr>
      </w:pPr>
    </w:p>
    <w:p w14:paraId="34C3F844" w14:textId="77777777" w:rsidR="00BE7CB1" w:rsidRPr="005973AB" w:rsidRDefault="00BE7CB1" w:rsidP="00F64BF9">
      <w:pPr>
        <w:spacing w:line="240" w:lineRule="auto"/>
        <w:jc w:val="center"/>
        <w:rPr>
          <w:b/>
          <w:szCs w:val="22"/>
        </w:rPr>
      </w:pPr>
    </w:p>
    <w:p w14:paraId="5D180CA9" w14:textId="77777777" w:rsidR="00BE7CB1" w:rsidRPr="005973AB" w:rsidRDefault="00BE7CB1" w:rsidP="00F64BF9">
      <w:pPr>
        <w:spacing w:line="240" w:lineRule="auto"/>
        <w:jc w:val="center"/>
        <w:rPr>
          <w:b/>
          <w:szCs w:val="22"/>
        </w:rPr>
      </w:pPr>
    </w:p>
    <w:p w14:paraId="7EAAA5ED" w14:textId="77777777" w:rsidR="00BE7CB1" w:rsidRPr="005973AB" w:rsidRDefault="00BE7CB1" w:rsidP="00F64BF9">
      <w:pPr>
        <w:spacing w:line="240" w:lineRule="auto"/>
        <w:jc w:val="center"/>
        <w:rPr>
          <w:b/>
          <w:szCs w:val="22"/>
        </w:rPr>
      </w:pPr>
    </w:p>
    <w:p w14:paraId="73AC82EF" w14:textId="77777777" w:rsidR="00BE7CB1" w:rsidRPr="005973AB" w:rsidRDefault="00BE7CB1" w:rsidP="00F64BF9">
      <w:pPr>
        <w:spacing w:line="240" w:lineRule="auto"/>
        <w:jc w:val="center"/>
        <w:rPr>
          <w:b/>
          <w:szCs w:val="22"/>
        </w:rPr>
      </w:pPr>
    </w:p>
    <w:p w14:paraId="3C28052F" w14:textId="77777777" w:rsidR="00BE7CB1" w:rsidRPr="005973AB" w:rsidRDefault="00BE7CB1" w:rsidP="00F64BF9">
      <w:pPr>
        <w:spacing w:line="240" w:lineRule="auto"/>
        <w:jc w:val="center"/>
        <w:rPr>
          <w:b/>
          <w:szCs w:val="22"/>
        </w:rPr>
      </w:pPr>
    </w:p>
    <w:p w14:paraId="665BA760" w14:textId="77777777" w:rsidR="00BE7CB1" w:rsidRPr="005973AB" w:rsidRDefault="00BE7CB1" w:rsidP="00F64BF9">
      <w:pPr>
        <w:spacing w:line="240" w:lineRule="auto"/>
        <w:jc w:val="center"/>
        <w:rPr>
          <w:b/>
          <w:szCs w:val="22"/>
        </w:rPr>
      </w:pPr>
    </w:p>
    <w:p w14:paraId="6530FCC4" w14:textId="77777777" w:rsidR="00BE7CB1" w:rsidRPr="005973AB" w:rsidRDefault="00BE7CB1" w:rsidP="00F64BF9">
      <w:pPr>
        <w:spacing w:line="240" w:lineRule="auto"/>
        <w:jc w:val="center"/>
        <w:rPr>
          <w:b/>
          <w:szCs w:val="22"/>
        </w:rPr>
      </w:pPr>
    </w:p>
    <w:p w14:paraId="235DE4D0" w14:textId="77777777" w:rsidR="00BE7CB1" w:rsidRPr="005973AB" w:rsidRDefault="00BE7CB1" w:rsidP="00F64BF9">
      <w:pPr>
        <w:spacing w:line="240" w:lineRule="auto"/>
        <w:jc w:val="center"/>
        <w:rPr>
          <w:b/>
          <w:szCs w:val="22"/>
        </w:rPr>
      </w:pPr>
    </w:p>
    <w:p w14:paraId="641FD1D5" w14:textId="77777777" w:rsidR="00BE7CB1" w:rsidRPr="005973AB" w:rsidRDefault="00BE7CB1" w:rsidP="00F64BF9">
      <w:pPr>
        <w:spacing w:line="240" w:lineRule="auto"/>
        <w:jc w:val="center"/>
        <w:rPr>
          <w:b/>
          <w:szCs w:val="22"/>
        </w:rPr>
      </w:pPr>
    </w:p>
    <w:p w14:paraId="33C1C327" w14:textId="77777777" w:rsidR="00BE7CB1" w:rsidRPr="00F37D4D" w:rsidRDefault="00BE7CB1" w:rsidP="00F64BF9">
      <w:pPr>
        <w:spacing w:line="240" w:lineRule="auto"/>
        <w:jc w:val="center"/>
        <w:rPr>
          <w:b/>
        </w:rPr>
      </w:pPr>
    </w:p>
    <w:p w14:paraId="2B6882CA" w14:textId="77777777" w:rsidR="00BE7CB1" w:rsidRPr="00F37D4D" w:rsidRDefault="00BE7CB1" w:rsidP="00F64BF9">
      <w:pPr>
        <w:spacing w:line="240" w:lineRule="auto"/>
        <w:jc w:val="center"/>
        <w:rPr>
          <w:b/>
        </w:rPr>
      </w:pPr>
    </w:p>
    <w:p w14:paraId="636E4E21" w14:textId="77777777" w:rsidR="00BE7CB1" w:rsidRPr="00F37D4D" w:rsidRDefault="00BE7CB1" w:rsidP="00F64BF9">
      <w:pPr>
        <w:spacing w:line="240" w:lineRule="auto"/>
        <w:jc w:val="center"/>
        <w:rPr>
          <w:b/>
        </w:rPr>
      </w:pPr>
    </w:p>
    <w:p w14:paraId="19B84486" w14:textId="77777777" w:rsidR="00BE7CB1" w:rsidRPr="00F37D4D" w:rsidRDefault="00BE7CB1" w:rsidP="00F64BF9">
      <w:pPr>
        <w:spacing w:line="240" w:lineRule="auto"/>
        <w:jc w:val="center"/>
        <w:rPr>
          <w:b/>
        </w:rPr>
      </w:pPr>
    </w:p>
    <w:p w14:paraId="4D2977CF" w14:textId="77777777" w:rsidR="00BE7CB1" w:rsidRDefault="00BE7CB1" w:rsidP="00F64BF9">
      <w:pPr>
        <w:spacing w:line="240" w:lineRule="auto"/>
        <w:jc w:val="center"/>
        <w:rPr>
          <w:b/>
        </w:rPr>
      </w:pPr>
    </w:p>
    <w:p w14:paraId="4AE623B4" w14:textId="77777777" w:rsidR="00FA5532" w:rsidRPr="00F37D4D" w:rsidRDefault="00FA5532" w:rsidP="00F64BF9">
      <w:pPr>
        <w:spacing w:line="240" w:lineRule="auto"/>
        <w:jc w:val="center"/>
        <w:rPr>
          <w:b/>
        </w:rPr>
      </w:pPr>
    </w:p>
    <w:p w14:paraId="79F4929E" w14:textId="77777777" w:rsidR="00812D16" w:rsidRDefault="00BE7CB1" w:rsidP="00F64BF9">
      <w:pPr>
        <w:pStyle w:val="BodyText"/>
        <w:jc w:val="center"/>
        <w:rPr>
          <w:b/>
          <w:i w:val="0"/>
          <w:color w:val="auto"/>
        </w:rPr>
      </w:pPr>
      <w:r>
        <w:rPr>
          <w:b/>
          <w:i w:val="0"/>
          <w:color w:val="auto"/>
        </w:rPr>
        <w:t>PRÍLOHA I</w:t>
      </w:r>
    </w:p>
    <w:p w14:paraId="36A9BC9F" w14:textId="77777777" w:rsidR="00770DC6" w:rsidRPr="00F37D4D" w:rsidRDefault="00770DC6" w:rsidP="00F64BF9">
      <w:pPr>
        <w:pStyle w:val="BodyText"/>
        <w:jc w:val="center"/>
        <w:rPr>
          <w:b/>
          <w:bCs/>
          <w:i w:val="0"/>
          <w:color w:val="auto"/>
        </w:rPr>
      </w:pPr>
    </w:p>
    <w:p w14:paraId="28B5F81B" w14:textId="77777777" w:rsidR="00BE7CB1" w:rsidRPr="00F37D4D" w:rsidRDefault="00BE7CB1" w:rsidP="00F64BF9">
      <w:pPr>
        <w:tabs>
          <w:tab w:val="clear" w:pos="567"/>
          <w:tab w:val="left" w:pos="0"/>
        </w:tabs>
        <w:spacing w:line="240" w:lineRule="auto"/>
        <w:jc w:val="center"/>
        <w:outlineLvl w:val="0"/>
        <w:rPr>
          <w:b/>
        </w:rPr>
      </w:pPr>
      <w:r>
        <w:rPr>
          <w:b/>
        </w:rPr>
        <w:t>SÚHRN CHARAKTERISTICKÝCH VLASTNOSTÍ LIEKU</w:t>
      </w:r>
      <w:r w:rsidRPr="00F37D4D">
        <w:rPr>
          <w:b/>
        </w:rPr>
        <w:br w:type="page"/>
      </w:r>
    </w:p>
    <w:p w14:paraId="0001380C" w14:textId="77777777" w:rsidR="00812D16" w:rsidRPr="00F37D4D" w:rsidRDefault="00BE7CB1" w:rsidP="00F64BF9">
      <w:pPr>
        <w:keepNext/>
        <w:spacing w:line="240" w:lineRule="auto"/>
        <w:rPr>
          <w:b/>
          <w:bCs/>
          <w:szCs w:val="22"/>
        </w:rPr>
      </w:pPr>
      <w:r>
        <w:rPr>
          <w:b/>
        </w:rPr>
        <w:lastRenderedPageBreak/>
        <w:t>1.</w:t>
      </w:r>
      <w:r w:rsidRPr="00F37D4D">
        <w:rPr>
          <w:b/>
          <w:bCs/>
          <w:szCs w:val="22"/>
        </w:rPr>
        <w:tab/>
      </w:r>
      <w:r>
        <w:rPr>
          <w:b/>
        </w:rPr>
        <w:t>NÁZOV LIEKU</w:t>
      </w:r>
    </w:p>
    <w:p w14:paraId="49CFE685" w14:textId="77777777" w:rsidR="00812D16" w:rsidRPr="00F37D4D" w:rsidRDefault="00812D16" w:rsidP="00F64BF9">
      <w:pPr>
        <w:keepNext/>
        <w:spacing w:line="240" w:lineRule="auto"/>
        <w:rPr>
          <w:iCs/>
          <w:szCs w:val="22"/>
        </w:rPr>
      </w:pPr>
    </w:p>
    <w:p w14:paraId="47CB6511" w14:textId="77777777" w:rsidR="00E22C3D" w:rsidRPr="00F37D4D" w:rsidRDefault="00BE7CB1" w:rsidP="00F64BF9">
      <w:pPr>
        <w:spacing w:line="240" w:lineRule="auto"/>
        <w:rPr>
          <w:szCs w:val="22"/>
        </w:rPr>
      </w:pPr>
      <w:r>
        <w:t>Alymsys 25 mg/ml koncentrát na infúzny roztok</w:t>
      </w:r>
    </w:p>
    <w:p w14:paraId="60F12254" w14:textId="77777777" w:rsidR="00812D16" w:rsidRPr="00F37D4D" w:rsidRDefault="00812D16" w:rsidP="00F64BF9">
      <w:pPr>
        <w:spacing w:line="240" w:lineRule="auto"/>
        <w:rPr>
          <w:iCs/>
          <w:szCs w:val="22"/>
        </w:rPr>
      </w:pPr>
    </w:p>
    <w:p w14:paraId="1DBED299" w14:textId="77777777" w:rsidR="00812D16" w:rsidRPr="00F37D4D" w:rsidRDefault="00812D16" w:rsidP="00F64BF9">
      <w:pPr>
        <w:spacing w:line="240" w:lineRule="auto"/>
        <w:rPr>
          <w:iCs/>
          <w:szCs w:val="22"/>
        </w:rPr>
      </w:pPr>
    </w:p>
    <w:p w14:paraId="3CA20881" w14:textId="77777777" w:rsidR="00972ACA" w:rsidRPr="00F37D4D" w:rsidRDefault="00BE7CB1" w:rsidP="00F64BF9">
      <w:pPr>
        <w:keepNext/>
        <w:spacing w:line="240" w:lineRule="auto"/>
        <w:rPr>
          <w:b/>
          <w:bCs/>
          <w:szCs w:val="22"/>
        </w:rPr>
      </w:pPr>
      <w:r>
        <w:rPr>
          <w:b/>
        </w:rPr>
        <w:t>2.</w:t>
      </w:r>
      <w:r w:rsidRPr="00F37D4D">
        <w:rPr>
          <w:b/>
          <w:bCs/>
          <w:szCs w:val="22"/>
        </w:rPr>
        <w:tab/>
      </w:r>
      <w:r>
        <w:rPr>
          <w:b/>
        </w:rPr>
        <w:t>KVALITATÍVNE A KVANTITATÍVNE ZLOŽENIE</w:t>
      </w:r>
    </w:p>
    <w:p w14:paraId="2F2D1D4C" w14:textId="77777777" w:rsidR="00812D16" w:rsidRPr="00F37D4D" w:rsidRDefault="00812D16" w:rsidP="00F64BF9">
      <w:pPr>
        <w:keepNext/>
        <w:spacing w:line="240" w:lineRule="auto"/>
        <w:rPr>
          <w:iCs/>
          <w:szCs w:val="22"/>
        </w:rPr>
      </w:pPr>
    </w:p>
    <w:p w14:paraId="70C9BDAE" w14:textId="77777777" w:rsidR="00E22C3D" w:rsidRPr="00F37D4D" w:rsidRDefault="00BE7CB1" w:rsidP="00F64BF9">
      <w:pPr>
        <w:spacing w:line="240" w:lineRule="auto"/>
        <w:rPr>
          <w:rFonts w:eastAsia="SimSun"/>
          <w:szCs w:val="22"/>
        </w:rPr>
      </w:pPr>
      <w:r>
        <w:t>Každý ml koncentrátu obsahuje 25 mg bevacizumabu*.</w:t>
      </w:r>
    </w:p>
    <w:p w14:paraId="067EAA96" w14:textId="77777777" w:rsidR="00E22C3D" w:rsidRPr="00F37D4D" w:rsidRDefault="00BE7CB1" w:rsidP="00F64BF9">
      <w:pPr>
        <w:spacing w:line="240" w:lineRule="auto"/>
        <w:rPr>
          <w:rFonts w:eastAsia="SimSun"/>
          <w:szCs w:val="22"/>
        </w:rPr>
      </w:pPr>
      <w:r>
        <w:t>Každá 4 ml injekčná liekovka obsahuje 100 mg bevacizumabu.</w:t>
      </w:r>
    </w:p>
    <w:p w14:paraId="4462DF09" w14:textId="77777777" w:rsidR="00E22C3D" w:rsidRPr="00F37D4D" w:rsidRDefault="00BE7CB1" w:rsidP="00F64BF9">
      <w:pPr>
        <w:spacing w:line="240" w:lineRule="auto"/>
        <w:rPr>
          <w:rFonts w:eastAsia="SimSun"/>
          <w:szCs w:val="22"/>
        </w:rPr>
      </w:pPr>
      <w:r>
        <w:t>Každá 16 ml injekčná liekovka obsahuje 400 mg bevacizumabu.</w:t>
      </w:r>
    </w:p>
    <w:p w14:paraId="20132BFF" w14:textId="77777777" w:rsidR="00E22C3D" w:rsidRPr="00F37D4D" w:rsidRDefault="00BE7CB1" w:rsidP="00F64BF9">
      <w:pPr>
        <w:spacing w:line="240" w:lineRule="auto"/>
        <w:rPr>
          <w:rFonts w:eastAsia="SimSun"/>
          <w:szCs w:val="22"/>
        </w:rPr>
      </w:pPr>
      <w:r>
        <w:t xml:space="preserve">Odporúčania na riedenie a </w:t>
      </w:r>
      <w:r w:rsidR="00770DC6">
        <w:t xml:space="preserve">ďalšie </w:t>
      </w:r>
      <w:r>
        <w:t>zaobchádzanie s liekom, pozri časť 6.6.</w:t>
      </w:r>
    </w:p>
    <w:p w14:paraId="1A8B934E" w14:textId="77777777" w:rsidR="00E22C3D" w:rsidRPr="00F37D4D" w:rsidRDefault="00E22C3D" w:rsidP="00F64BF9">
      <w:pPr>
        <w:spacing w:line="240" w:lineRule="auto"/>
        <w:rPr>
          <w:rFonts w:eastAsia="SimSun"/>
          <w:szCs w:val="22"/>
        </w:rPr>
      </w:pPr>
    </w:p>
    <w:p w14:paraId="779EDD9E" w14:textId="77777777" w:rsidR="00E22C3D" w:rsidRPr="00F37D4D" w:rsidRDefault="00BE7CB1" w:rsidP="00F64BF9">
      <w:pPr>
        <w:spacing w:line="240" w:lineRule="auto"/>
        <w:rPr>
          <w:rFonts w:eastAsia="SimSun"/>
          <w:szCs w:val="22"/>
        </w:rPr>
      </w:pPr>
      <w:r>
        <w:t>* Bevacizumab je rekombinantná humanizovaná monoklonálna protilátka vytvorená DNA technológiou v ovariálnych bunkách čínskeho škrečka.</w:t>
      </w:r>
    </w:p>
    <w:p w14:paraId="0EE9F555" w14:textId="77777777" w:rsidR="00772AC8" w:rsidRDefault="00772AC8" w:rsidP="00F64BF9">
      <w:pPr>
        <w:spacing w:line="240" w:lineRule="auto"/>
      </w:pPr>
    </w:p>
    <w:p w14:paraId="18CB750A" w14:textId="77777777" w:rsidR="00FC4E5D" w:rsidRDefault="00FC4E5D" w:rsidP="00FC4E5D">
      <w:pPr>
        <w:spacing w:line="240" w:lineRule="auto"/>
      </w:pPr>
      <w:r>
        <w:t>Pomocné látky so známym účinkom</w:t>
      </w:r>
    </w:p>
    <w:p w14:paraId="5055ADF7" w14:textId="77777777" w:rsidR="00FC4E5D" w:rsidRDefault="00FC4E5D" w:rsidP="00FC4E5D">
      <w:pPr>
        <w:spacing w:line="240" w:lineRule="auto"/>
      </w:pPr>
      <w:r>
        <w:t>Každá 4 ml injekčná liekovka obsahuje 1,6 mg polysorbátu 20.</w:t>
      </w:r>
    </w:p>
    <w:p w14:paraId="6BE76ADE" w14:textId="01FFB274" w:rsidR="00FC4E5D" w:rsidRDefault="00FC4E5D" w:rsidP="00FC4E5D">
      <w:pPr>
        <w:spacing w:line="240" w:lineRule="auto"/>
      </w:pPr>
      <w:r>
        <w:t>Každá 16 ml injekčná liekovka obsahuje 6,4 mg polysorbátu 20.</w:t>
      </w:r>
    </w:p>
    <w:p w14:paraId="00EBAC3D" w14:textId="77777777" w:rsidR="00FC4E5D" w:rsidRPr="00F37D4D" w:rsidRDefault="00FC4E5D" w:rsidP="00F64BF9">
      <w:pPr>
        <w:spacing w:line="240" w:lineRule="auto"/>
      </w:pPr>
    </w:p>
    <w:p w14:paraId="7D772CD0" w14:textId="77777777" w:rsidR="00E22C3D" w:rsidRPr="00F37D4D" w:rsidRDefault="00BE7CB1" w:rsidP="00F64BF9">
      <w:pPr>
        <w:spacing w:line="240" w:lineRule="auto"/>
      </w:pPr>
      <w:r>
        <w:t>Úplný zoznam pomocných látok, pozri časť 6.1.</w:t>
      </w:r>
    </w:p>
    <w:p w14:paraId="5FFF346D" w14:textId="77777777" w:rsidR="00812D16" w:rsidRPr="00F37D4D" w:rsidRDefault="00812D16" w:rsidP="00F64BF9">
      <w:pPr>
        <w:spacing w:line="240" w:lineRule="auto"/>
        <w:rPr>
          <w:szCs w:val="22"/>
        </w:rPr>
      </w:pPr>
    </w:p>
    <w:p w14:paraId="5C8B2604" w14:textId="77777777" w:rsidR="00812D16" w:rsidRPr="00F37D4D" w:rsidRDefault="00812D16" w:rsidP="00F64BF9">
      <w:pPr>
        <w:spacing w:line="240" w:lineRule="auto"/>
        <w:rPr>
          <w:szCs w:val="22"/>
        </w:rPr>
      </w:pPr>
    </w:p>
    <w:p w14:paraId="613E6149" w14:textId="77777777" w:rsidR="00812D16" w:rsidRPr="00F37D4D" w:rsidRDefault="00BE7CB1" w:rsidP="00F64BF9">
      <w:pPr>
        <w:keepNext/>
        <w:spacing w:line="240" w:lineRule="auto"/>
        <w:rPr>
          <w:b/>
          <w:bCs/>
          <w:szCs w:val="22"/>
        </w:rPr>
      </w:pPr>
      <w:r>
        <w:rPr>
          <w:b/>
        </w:rPr>
        <w:t>3.</w:t>
      </w:r>
      <w:r w:rsidRPr="00F37D4D">
        <w:rPr>
          <w:b/>
          <w:bCs/>
          <w:szCs w:val="22"/>
        </w:rPr>
        <w:tab/>
      </w:r>
      <w:r>
        <w:rPr>
          <w:b/>
        </w:rPr>
        <w:t>LIEKOVÁ FORMA</w:t>
      </w:r>
    </w:p>
    <w:p w14:paraId="312714B2" w14:textId="77777777" w:rsidR="00812D16" w:rsidRPr="00F37D4D" w:rsidRDefault="00812D16" w:rsidP="00F64BF9">
      <w:pPr>
        <w:keepNext/>
        <w:spacing w:line="240" w:lineRule="auto"/>
        <w:rPr>
          <w:szCs w:val="22"/>
        </w:rPr>
      </w:pPr>
    </w:p>
    <w:p w14:paraId="4351CF13" w14:textId="77777777" w:rsidR="00E22C3D" w:rsidRPr="00F37D4D" w:rsidRDefault="00BE7CB1" w:rsidP="00F64BF9">
      <w:pPr>
        <w:spacing w:line="240" w:lineRule="auto"/>
        <w:rPr>
          <w:rFonts w:eastAsia="SimSun"/>
          <w:szCs w:val="22"/>
        </w:rPr>
      </w:pPr>
      <w:r>
        <w:t>Koncentrát na infúzny roztok (sterilný koncentrát).</w:t>
      </w:r>
    </w:p>
    <w:p w14:paraId="3481E0A6" w14:textId="77777777" w:rsidR="00E22C3D" w:rsidRPr="00F37D4D" w:rsidRDefault="00E22C3D" w:rsidP="00F64BF9">
      <w:pPr>
        <w:spacing w:line="240" w:lineRule="auto"/>
        <w:rPr>
          <w:rFonts w:eastAsia="SimSun"/>
          <w:szCs w:val="22"/>
        </w:rPr>
      </w:pPr>
    </w:p>
    <w:p w14:paraId="7594047D" w14:textId="77777777" w:rsidR="00812D16" w:rsidRPr="00F37D4D" w:rsidRDefault="00BE7CB1" w:rsidP="00F64BF9">
      <w:pPr>
        <w:spacing w:line="240" w:lineRule="auto"/>
        <w:rPr>
          <w:szCs w:val="22"/>
        </w:rPr>
      </w:pPr>
      <w:r>
        <w:t>Bezfarebný až žltkastý alebo hnedastý roztok s</w:t>
      </w:r>
      <w:r w:rsidR="005910CD">
        <w:t> </w:t>
      </w:r>
      <w:r>
        <w:t>opalescenciou</w:t>
      </w:r>
      <w:r w:rsidR="005910CD">
        <w:t>.</w:t>
      </w:r>
    </w:p>
    <w:p w14:paraId="4A7D147D" w14:textId="77777777" w:rsidR="00812D16" w:rsidRPr="00F37D4D" w:rsidRDefault="00812D16" w:rsidP="00F64BF9">
      <w:pPr>
        <w:spacing w:line="240" w:lineRule="auto"/>
        <w:rPr>
          <w:szCs w:val="22"/>
        </w:rPr>
      </w:pPr>
    </w:p>
    <w:p w14:paraId="3B87DA99" w14:textId="77777777" w:rsidR="007F4784" w:rsidRPr="00F37D4D" w:rsidRDefault="00BE7CB1" w:rsidP="00F64BF9">
      <w:pPr>
        <w:keepNext/>
        <w:spacing w:line="240" w:lineRule="auto"/>
        <w:rPr>
          <w:b/>
          <w:bCs/>
          <w:szCs w:val="22"/>
        </w:rPr>
      </w:pPr>
      <w:r>
        <w:rPr>
          <w:b/>
        </w:rPr>
        <w:t>4.</w:t>
      </w:r>
      <w:r w:rsidRPr="00F37D4D">
        <w:rPr>
          <w:b/>
          <w:bCs/>
          <w:szCs w:val="22"/>
        </w:rPr>
        <w:tab/>
      </w:r>
      <w:r>
        <w:rPr>
          <w:b/>
        </w:rPr>
        <w:t>KLINICKÉ ÚDAJE</w:t>
      </w:r>
    </w:p>
    <w:p w14:paraId="65D9FB98" w14:textId="77777777" w:rsidR="00812D16" w:rsidRPr="00F37D4D" w:rsidRDefault="00812D16" w:rsidP="00F64BF9">
      <w:pPr>
        <w:keepNext/>
        <w:spacing w:line="240" w:lineRule="auto"/>
        <w:rPr>
          <w:szCs w:val="22"/>
        </w:rPr>
      </w:pPr>
    </w:p>
    <w:p w14:paraId="7695D227" w14:textId="77777777" w:rsidR="00812D16" w:rsidRPr="00F37D4D" w:rsidRDefault="00BE7CB1" w:rsidP="00F64BF9">
      <w:pPr>
        <w:keepNext/>
        <w:spacing w:line="240" w:lineRule="auto"/>
        <w:rPr>
          <w:b/>
          <w:bCs/>
          <w:szCs w:val="22"/>
        </w:rPr>
      </w:pPr>
      <w:r>
        <w:rPr>
          <w:b/>
        </w:rPr>
        <w:t>4.1</w:t>
      </w:r>
      <w:r w:rsidRPr="00F37D4D">
        <w:rPr>
          <w:b/>
          <w:bCs/>
          <w:szCs w:val="22"/>
        </w:rPr>
        <w:tab/>
      </w:r>
      <w:r>
        <w:rPr>
          <w:b/>
        </w:rPr>
        <w:t>Terapeutické indikácie</w:t>
      </w:r>
    </w:p>
    <w:p w14:paraId="6CAC1D7F" w14:textId="77777777" w:rsidR="00812D16" w:rsidRPr="00F37D4D" w:rsidRDefault="00812D16" w:rsidP="00F64BF9">
      <w:pPr>
        <w:keepNext/>
        <w:spacing w:line="240" w:lineRule="auto"/>
        <w:rPr>
          <w:szCs w:val="22"/>
        </w:rPr>
      </w:pPr>
    </w:p>
    <w:p w14:paraId="21F490BE" w14:textId="77777777" w:rsidR="00E22C3D" w:rsidRPr="00F37D4D" w:rsidRDefault="00BE7CB1" w:rsidP="00F64BF9">
      <w:pPr>
        <w:spacing w:line="240" w:lineRule="auto"/>
        <w:rPr>
          <w:szCs w:val="22"/>
        </w:rPr>
      </w:pPr>
      <w:r>
        <w:t>Alymsys v kombinácii s chemoterapiou na báze fluórpyrimidínu je indikovaný dospelým pacientom na liečbu metastatického karcinómu hrubého čreva alebo konečníka.</w:t>
      </w:r>
    </w:p>
    <w:p w14:paraId="3E618963" w14:textId="77777777" w:rsidR="00E22C3D" w:rsidRPr="00F37D4D" w:rsidRDefault="00E22C3D" w:rsidP="00F64BF9">
      <w:pPr>
        <w:spacing w:line="240" w:lineRule="auto"/>
        <w:rPr>
          <w:szCs w:val="22"/>
        </w:rPr>
      </w:pPr>
    </w:p>
    <w:p w14:paraId="3EE075EE" w14:textId="77777777" w:rsidR="00E22C3D" w:rsidRPr="00F37D4D" w:rsidRDefault="00BE7CB1" w:rsidP="00F64BF9">
      <w:pPr>
        <w:spacing w:line="240" w:lineRule="auto"/>
        <w:rPr>
          <w:szCs w:val="22"/>
        </w:rPr>
      </w:pPr>
      <w:r>
        <w:t>Alymsys v kombinácii s paklitaxelom je indikovaný dospelým pacientom s metastatickým karcinómom prsníka ako liečba prvej línie. Ďalšie informácie týkajúce sa statusu ľudského epidermálneho rastového faktora 2 (HER2), pozri časť 5.1.</w:t>
      </w:r>
    </w:p>
    <w:p w14:paraId="4418F291" w14:textId="77777777" w:rsidR="00E22C3D" w:rsidRPr="00F37D4D" w:rsidRDefault="00E22C3D" w:rsidP="00F64BF9">
      <w:pPr>
        <w:spacing w:line="240" w:lineRule="auto"/>
        <w:rPr>
          <w:szCs w:val="22"/>
        </w:rPr>
      </w:pPr>
    </w:p>
    <w:p w14:paraId="0C1E8CFB" w14:textId="77777777" w:rsidR="00E22C3D" w:rsidRPr="00F37D4D" w:rsidRDefault="00BE7CB1" w:rsidP="00F64BF9">
      <w:pPr>
        <w:spacing w:line="240" w:lineRule="auto"/>
        <w:rPr>
          <w:szCs w:val="22"/>
        </w:rPr>
      </w:pPr>
      <w:r>
        <w:t xml:space="preserve">Alymsys v kombinácii s kapecitabínom je indikovaný dospelým pacientom s metastatickým karcinómom prsníka, u ktorých nie je vhodná liečba inou chemoterapiou vrátane taxánov alebo antracyklínov ako liečba prvej línie. Pacienti, ktorí boli počas posledných 12 mesiacov adjuvantne liečení režimami obsahujúcimi taxány a </w:t>
      </w:r>
      <w:r w:rsidRPr="003C42D1">
        <w:t>antracyklíny</w:t>
      </w:r>
      <w:r w:rsidR="00920E72" w:rsidRPr="00884463">
        <w:t>, sa nemajú liečiť</w:t>
      </w:r>
      <w:r>
        <w:t xml:space="preserve"> Alymsysom v kombinácii s kapecitabínom. Ďalšie informácie týkajúce sa statusu HER2, pozri časť 5.1.</w:t>
      </w:r>
    </w:p>
    <w:p w14:paraId="0B1326AB" w14:textId="77777777" w:rsidR="00E22C3D" w:rsidRPr="00F37D4D" w:rsidRDefault="00E22C3D" w:rsidP="00F64BF9">
      <w:pPr>
        <w:spacing w:line="240" w:lineRule="auto"/>
        <w:rPr>
          <w:szCs w:val="22"/>
        </w:rPr>
      </w:pPr>
    </w:p>
    <w:p w14:paraId="78BF2B69" w14:textId="0ABA8EA4" w:rsidR="00E22C3D" w:rsidRPr="00F37D4D" w:rsidRDefault="00BE7CB1" w:rsidP="00F64BF9">
      <w:pPr>
        <w:spacing w:line="240" w:lineRule="auto"/>
        <w:rPr>
          <w:szCs w:val="22"/>
        </w:rPr>
      </w:pPr>
      <w:r>
        <w:t>Alymsys pridaný k chemoterapii na báze platiny je indikovaný dospelým pacientom</w:t>
      </w:r>
      <w:r w:rsidR="00C25411">
        <w:t xml:space="preserve"> </w:t>
      </w:r>
      <w:r>
        <w:t>s neresekovateľným pokročilým, metastatickým alebo recidivujúcim nemalobunkovým karcinómom pľúc, s histologickým nálezom iným ako s prevahou skvamóznych buniek ako liečba prvej línie.</w:t>
      </w:r>
    </w:p>
    <w:p w14:paraId="58F14B50" w14:textId="77777777" w:rsidR="00E22C3D" w:rsidRPr="00F37D4D" w:rsidRDefault="00E22C3D" w:rsidP="00F64BF9">
      <w:pPr>
        <w:spacing w:line="240" w:lineRule="auto"/>
        <w:rPr>
          <w:szCs w:val="22"/>
        </w:rPr>
      </w:pPr>
    </w:p>
    <w:p w14:paraId="3BE312C1" w14:textId="06DF1923" w:rsidR="00E22C3D" w:rsidRPr="00F37D4D" w:rsidRDefault="00BE7CB1" w:rsidP="00F64BF9">
      <w:pPr>
        <w:spacing w:line="240" w:lineRule="auto"/>
        <w:rPr>
          <w:szCs w:val="22"/>
        </w:rPr>
      </w:pPr>
      <w:r>
        <w:t>Alymsys v kombinácii s erlotinibom je indikovaný dospelým pacientom s neresekovateľným pokročilým, metastatickým alebo recidivujúcim neskvamóznym nemalobunkovým karcinómom pľúc s aktivujúcimi mutáciami receptora pre epidermálny rastový faktor (</w:t>
      </w:r>
      <w:r w:rsidR="00D530EF" w:rsidRPr="00F37D4D">
        <w:rPr>
          <w:szCs w:val="22"/>
        </w:rPr>
        <w:t>Epidermal Growth Factor Receptor</w:t>
      </w:r>
      <w:r w:rsidR="00D530EF">
        <w:t xml:space="preserve">, </w:t>
      </w:r>
      <w:r>
        <w:t>EGFR) ako liečba prvej línie (pozri časť 5.1).</w:t>
      </w:r>
    </w:p>
    <w:p w14:paraId="11535606" w14:textId="77777777" w:rsidR="00E22C3D" w:rsidRPr="00F37D4D" w:rsidRDefault="00E22C3D" w:rsidP="00F64BF9">
      <w:pPr>
        <w:spacing w:line="240" w:lineRule="auto"/>
        <w:rPr>
          <w:szCs w:val="22"/>
        </w:rPr>
      </w:pPr>
    </w:p>
    <w:p w14:paraId="4517EAD6" w14:textId="77777777" w:rsidR="00E22C3D" w:rsidRPr="00F37D4D" w:rsidRDefault="00BE7CB1" w:rsidP="00F64BF9">
      <w:pPr>
        <w:spacing w:line="240" w:lineRule="auto"/>
        <w:rPr>
          <w:szCs w:val="22"/>
        </w:rPr>
      </w:pPr>
      <w:r>
        <w:t xml:space="preserve">Alymsys v kombinácii s interferónom alfa-2a je indikovaný </w:t>
      </w:r>
      <w:r w:rsidR="00D530EF">
        <w:t xml:space="preserve">dospelým pacientom </w:t>
      </w:r>
      <w:r>
        <w:t>s pokročilým a/alebo metastatickým karcinómom obličiek ako liečba prvej línie.</w:t>
      </w:r>
    </w:p>
    <w:p w14:paraId="4198F899" w14:textId="77777777" w:rsidR="00E22C3D" w:rsidRPr="00F37D4D" w:rsidRDefault="00E22C3D" w:rsidP="00F64BF9">
      <w:pPr>
        <w:spacing w:line="240" w:lineRule="auto"/>
        <w:rPr>
          <w:szCs w:val="22"/>
        </w:rPr>
      </w:pPr>
    </w:p>
    <w:p w14:paraId="2485CBCB" w14:textId="77777777" w:rsidR="00E22C3D" w:rsidRPr="003C42D1" w:rsidRDefault="00BE7CB1" w:rsidP="00F64BF9">
      <w:pPr>
        <w:spacing w:line="240" w:lineRule="auto"/>
        <w:rPr>
          <w:szCs w:val="22"/>
        </w:rPr>
      </w:pPr>
      <w:r>
        <w:lastRenderedPageBreak/>
        <w:t xml:space="preserve">Alymsys v kombinácii s karboplatinou a paklitaxelom je indikovaný dospelým pacientom s pokročilým (Medzinárodná federácia gynekológov a pôrodníkov </w:t>
      </w:r>
      <w:r w:rsidRPr="003C42D1">
        <w:t>(FIGO) štádiá III B, III C a IV) epiteliálnym karcinómom vaječníkov, Fallopiovej trubice alebo primárneho peritoneálneho karcinómu na liečbu prvej línie (pozri časť 5.1).</w:t>
      </w:r>
    </w:p>
    <w:p w14:paraId="3BE7E5CA" w14:textId="77777777" w:rsidR="00E22C3D" w:rsidRPr="003C42D1" w:rsidRDefault="00E22C3D" w:rsidP="00F64BF9">
      <w:pPr>
        <w:spacing w:line="240" w:lineRule="auto"/>
        <w:rPr>
          <w:szCs w:val="22"/>
        </w:rPr>
      </w:pPr>
    </w:p>
    <w:p w14:paraId="4A675551" w14:textId="77777777" w:rsidR="00E22C3D" w:rsidRPr="00F37D4D" w:rsidRDefault="00BE7CB1" w:rsidP="00F64BF9">
      <w:pPr>
        <w:spacing w:line="240" w:lineRule="auto"/>
        <w:rPr>
          <w:szCs w:val="22"/>
        </w:rPr>
      </w:pPr>
      <w:r w:rsidRPr="003C42D1">
        <w:t>Alymsys v kombinácii s karboplatinou a gemcitabínom, alebo v kombinácii s karboplatinou a paklitaxelom, je indikovaný na liečbu dospelých pacientov s prvou recidívou</w:t>
      </w:r>
      <w:r>
        <w:t xml:space="preserve"> epiteliálneho karcinómu vaječníkov, Fallopiovej trubice alebo primárneho peritoneálneho karcinómu citlivého na platinu, ktorí nedostali predchádzajúcu liečbu bevacizumabom alebo inými VEGF inhibítormi alebo liekmi cielenými na VEGF receptor.</w:t>
      </w:r>
    </w:p>
    <w:p w14:paraId="7940E395" w14:textId="77777777" w:rsidR="00BE7CB1" w:rsidRPr="00F37D4D" w:rsidRDefault="00BE7CB1" w:rsidP="00F64BF9">
      <w:pPr>
        <w:spacing w:line="240" w:lineRule="auto"/>
        <w:rPr>
          <w:szCs w:val="22"/>
        </w:rPr>
      </w:pPr>
    </w:p>
    <w:p w14:paraId="4967BF31" w14:textId="76543FE6" w:rsidR="00BE7CB1" w:rsidRPr="00F37D4D" w:rsidRDefault="00BE7CB1" w:rsidP="00F64BF9">
      <w:pPr>
        <w:spacing w:line="240" w:lineRule="auto"/>
        <w:rPr>
          <w:szCs w:val="22"/>
        </w:rPr>
      </w:pPr>
      <w:r>
        <w:t xml:space="preserve">Alymsys v kombinácii s </w:t>
      </w:r>
      <w:r w:rsidR="00613BC4" w:rsidRPr="003C42D1">
        <w:t>paklitaxelom,</w:t>
      </w:r>
      <w:r w:rsidR="00613BC4">
        <w:t xml:space="preserve"> </w:t>
      </w:r>
      <w:r>
        <w:t>topotekánom alebo pegylovaným lipozomálnym doxorubicínom je indikovaný na liečbu dospelých pacientov s rekurentným epiteliálnym karcinómom vaječníkov, Fallopiovej trubice alebo primárneho peritoneálneho karcinómu rezistentného na platinu, ktorí neboli liečení viac ako dvoma predchádzajúcimi chemoterapeutickými režimami a ktorí nedostali predchádzajúcu liečbu bevacizumabom alebo inými VEGF inhibítormi alebo liekmi cielenými na VEGF receptor (pozri časť 5.1).</w:t>
      </w:r>
    </w:p>
    <w:p w14:paraId="2C1EA294" w14:textId="77777777" w:rsidR="00E22C3D" w:rsidRPr="00F37D4D" w:rsidRDefault="00E22C3D" w:rsidP="00F64BF9">
      <w:pPr>
        <w:spacing w:line="240" w:lineRule="auto"/>
        <w:rPr>
          <w:szCs w:val="22"/>
        </w:rPr>
      </w:pPr>
    </w:p>
    <w:p w14:paraId="2E4FD132" w14:textId="77777777" w:rsidR="00E22C3D" w:rsidRPr="00F37D4D" w:rsidRDefault="00BE7CB1" w:rsidP="00F64BF9">
      <w:pPr>
        <w:spacing w:line="240" w:lineRule="auto"/>
        <w:rPr>
          <w:szCs w:val="22"/>
        </w:rPr>
      </w:pPr>
      <w:r>
        <w:t>Alymsys v kombinácii s paklitaxelom a cisplatinou alebo alternatívne, s paklitaxelom a topotekánom u pacientov, ktorí nemôžu byť liečení platinou, je indikovaný na liečbu dospelých pacientov s pretrvávajúcim, rekurentným alebo metastatickým karcinómom krčka maternice (pozri časť 5.1).</w:t>
      </w:r>
    </w:p>
    <w:p w14:paraId="4719454D" w14:textId="77777777" w:rsidR="00812D16" w:rsidRPr="00F37D4D" w:rsidRDefault="00812D16" w:rsidP="00F64BF9">
      <w:pPr>
        <w:spacing w:line="240" w:lineRule="auto"/>
        <w:rPr>
          <w:szCs w:val="22"/>
        </w:rPr>
      </w:pPr>
    </w:p>
    <w:p w14:paraId="2F848885" w14:textId="77777777" w:rsidR="00812D16" w:rsidRPr="00F37D4D" w:rsidRDefault="00BE7CB1" w:rsidP="00F64BF9">
      <w:pPr>
        <w:keepNext/>
        <w:spacing w:line="240" w:lineRule="auto"/>
        <w:rPr>
          <w:b/>
          <w:bCs/>
          <w:szCs w:val="22"/>
        </w:rPr>
      </w:pPr>
      <w:r>
        <w:rPr>
          <w:b/>
        </w:rPr>
        <w:t>4.2</w:t>
      </w:r>
      <w:r w:rsidRPr="00F37D4D">
        <w:rPr>
          <w:b/>
          <w:bCs/>
          <w:szCs w:val="22"/>
        </w:rPr>
        <w:tab/>
      </w:r>
      <w:r>
        <w:rPr>
          <w:b/>
        </w:rPr>
        <w:t>Dávkovanie a spôsob podávania</w:t>
      </w:r>
    </w:p>
    <w:p w14:paraId="0A761F3A" w14:textId="5B7585B8" w:rsidR="00812D16" w:rsidRDefault="00812D16" w:rsidP="00F64BF9">
      <w:pPr>
        <w:keepNext/>
        <w:spacing w:line="240" w:lineRule="auto"/>
        <w:rPr>
          <w:szCs w:val="22"/>
        </w:rPr>
      </w:pPr>
    </w:p>
    <w:p w14:paraId="4697D091" w14:textId="34C1E0A2" w:rsidR="00C13D7B" w:rsidRDefault="00C13D7B" w:rsidP="00F64BF9">
      <w:pPr>
        <w:keepNext/>
        <w:spacing w:line="240" w:lineRule="auto"/>
        <w:rPr>
          <w:szCs w:val="22"/>
        </w:rPr>
      </w:pPr>
      <w:r>
        <w:rPr>
          <w:szCs w:val="22"/>
        </w:rPr>
        <w:t>Injekčnou liekovkou netraste.</w:t>
      </w:r>
    </w:p>
    <w:p w14:paraId="39D9F662" w14:textId="77777777" w:rsidR="00C13D7B" w:rsidRPr="00F37D4D" w:rsidRDefault="00C13D7B" w:rsidP="00F64BF9">
      <w:pPr>
        <w:keepNext/>
        <w:spacing w:line="240" w:lineRule="auto"/>
        <w:rPr>
          <w:szCs w:val="22"/>
        </w:rPr>
      </w:pPr>
    </w:p>
    <w:p w14:paraId="70989D6E" w14:textId="77777777" w:rsidR="00E22C3D" w:rsidRPr="00F37D4D" w:rsidRDefault="00BE7CB1" w:rsidP="00F64BF9">
      <w:pPr>
        <w:spacing w:line="240" w:lineRule="auto"/>
        <w:rPr>
          <w:rFonts w:eastAsia="SimSun"/>
          <w:szCs w:val="22"/>
        </w:rPr>
      </w:pPr>
      <w:r>
        <w:t>Alymsys sa musí podávať pod dohľadom lekára, ktorý má skúsenosti s používaním antineoplastických liekov.</w:t>
      </w:r>
    </w:p>
    <w:p w14:paraId="29DC68FE" w14:textId="77777777" w:rsidR="00E22C3D" w:rsidRPr="00F37D4D" w:rsidRDefault="00E22C3D" w:rsidP="00F64BF9">
      <w:pPr>
        <w:spacing w:line="240" w:lineRule="auto"/>
        <w:rPr>
          <w:szCs w:val="22"/>
          <w:u w:val="single"/>
        </w:rPr>
      </w:pPr>
    </w:p>
    <w:p w14:paraId="07B49EA3" w14:textId="77777777" w:rsidR="00812D16" w:rsidRPr="00F37D4D" w:rsidRDefault="00BE7CB1" w:rsidP="00F64BF9">
      <w:pPr>
        <w:keepNext/>
        <w:spacing w:line="240" w:lineRule="auto"/>
        <w:rPr>
          <w:szCs w:val="22"/>
          <w:u w:val="single"/>
        </w:rPr>
      </w:pPr>
      <w:r>
        <w:rPr>
          <w:u w:val="single"/>
        </w:rPr>
        <w:t>Dávkovanie</w:t>
      </w:r>
    </w:p>
    <w:p w14:paraId="373675D5" w14:textId="77777777" w:rsidR="00812D16" w:rsidRPr="00F37D4D" w:rsidRDefault="00812D16" w:rsidP="00F64BF9">
      <w:pPr>
        <w:keepNext/>
        <w:spacing w:line="240" w:lineRule="auto"/>
        <w:rPr>
          <w:szCs w:val="22"/>
        </w:rPr>
      </w:pPr>
    </w:p>
    <w:p w14:paraId="3F534312"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Metastatický karcinóm hrubého čreva alebo konečníka (mCRC, Metastatic carcinoma of the colon or rectum)</w:t>
      </w:r>
    </w:p>
    <w:p w14:paraId="7840E972" w14:textId="77777777" w:rsidR="00E22C3D" w:rsidRPr="00F37D4D" w:rsidRDefault="00E22C3D" w:rsidP="00F64BF9">
      <w:pPr>
        <w:keepNext/>
        <w:spacing w:line="240" w:lineRule="auto"/>
        <w:rPr>
          <w:rFonts w:eastAsia="SimSun"/>
        </w:rPr>
      </w:pPr>
    </w:p>
    <w:p w14:paraId="6D48A76F" w14:textId="77777777" w:rsidR="00E22C3D" w:rsidRPr="00F37D4D" w:rsidRDefault="00BE7CB1" w:rsidP="00F64BF9">
      <w:pPr>
        <w:spacing w:line="240" w:lineRule="auto"/>
        <w:rPr>
          <w:rFonts w:eastAsia="SimSun"/>
          <w:szCs w:val="22"/>
        </w:rPr>
      </w:pPr>
      <w:r>
        <w:t xml:space="preserve">Odporúčaná dávka Alymsysu podávaného vo forme intravenóznej infúzie je 5 mg/kg telesnej hmotnosti alebo 10 mg/kg telesnej hmotnosti, ktorá sa podáva </w:t>
      </w:r>
      <w:r w:rsidRPr="00F37D4D">
        <w:rPr>
          <w:szCs w:val="22"/>
          <w:u w:val="single"/>
        </w:rPr>
        <w:t>raz za 2 týždne</w:t>
      </w:r>
      <w:r>
        <w:t xml:space="preserve"> alebo 7,5 mg/kg telesnej hmotnosti alebo 15 mg/kg telesnej hmotnosti, ktorá sa podáva </w:t>
      </w:r>
      <w:r w:rsidRPr="00F37D4D">
        <w:rPr>
          <w:szCs w:val="22"/>
          <w:u w:val="single"/>
        </w:rPr>
        <w:t>raz za 3 týždne.</w:t>
      </w:r>
    </w:p>
    <w:p w14:paraId="174C3241" w14:textId="77777777" w:rsidR="00E22C3D" w:rsidRPr="00F37D4D" w:rsidRDefault="00E22C3D" w:rsidP="00F64BF9">
      <w:pPr>
        <w:spacing w:line="240" w:lineRule="auto"/>
        <w:rPr>
          <w:rFonts w:eastAsia="SimSun"/>
          <w:szCs w:val="22"/>
        </w:rPr>
      </w:pPr>
    </w:p>
    <w:p w14:paraId="6130B4DD" w14:textId="77777777" w:rsidR="00E22C3D" w:rsidRPr="00F37D4D" w:rsidRDefault="00BE7CB1" w:rsidP="00F64BF9">
      <w:pPr>
        <w:spacing w:line="240" w:lineRule="auto"/>
        <w:rPr>
          <w:rFonts w:eastAsia="SimSun"/>
          <w:szCs w:val="22"/>
        </w:rPr>
      </w:pPr>
      <w:r>
        <w:t>Odporúča sa, aby liečba pokračovala až do progresie základného ochorenia alebo do prejavov neakceptovateľnej toxicity.</w:t>
      </w:r>
    </w:p>
    <w:p w14:paraId="2497668B" w14:textId="77777777" w:rsidR="00E22C3D" w:rsidRPr="00F37D4D" w:rsidRDefault="00E22C3D" w:rsidP="00F64BF9">
      <w:pPr>
        <w:spacing w:line="240" w:lineRule="auto"/>
        <w:rPr>
          <w:rFonts w:eastAsia="SimSun"/>
          <w:szCs w:val="22"/>
        </w:rPr>
      </w:pPr>
    </w:p>
    <w:p w14:paraId="5F459752"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Metastatický karcinóm prsníka (mBC, Metastatic breast cancer)</w:t>
      </w:r>
    </w:p>
    <w:p w14:paraId="0BCB00CE" w14:textId="77777777" w:rsidR="00E22C3D" w:rsidRPr="00F37D4D" w:rsidRDefault="00E22C3D" w:rsidP="00F64BF9">
      <w:pPr>
        <w:keepNext/>
        <w:spacing w:line="240" w:lineRule="auto"/>
        <w:rPr>
          <w:rFonts w:eastAsia="SimSun"/>
        </w:rPr>
      </w:pPr>
    </w:p>
    <w:p w14:paraId="05EA946A" w14:textId="77777777" w:rsidR="00E22C3D" w:rsidRPr="00F37D4D" w:rsidRDefault="00BE7CB1" w:rsidP="00F64BF9">
      <w:pPr>
        <w:spacing w:line="240" w:lineRule="auto"/>
        <w:rPr>
          <w:rFonts w:eastAsia="SimSun"/>
          <w:szCs w:val="22"/>
        </w:rPr>
      </w:pPr>
      <w:r>
        <w:t>Odporúčaná dávka Alymsysu je 10 mg/kg telesnej hmotnosti, ktorá sa podáva raz za 2 týždne alebo 15 mg/kg telesnej hmotnosti, ktorá sa podáva raz za 3 týždne vo forme intravenóznej infúzie.</w:t>
      </w:r>
    </w:p>
    <w:p w14:paraId="134C551E" w14:textId="77777777" w:rsidR="00E22C3D" w:rsidRPr="00F37D4D" w:rsidRDefault="00E22C3D" w:rsidP="00F64BF9">
      <w:pPr>
        <w:spacing w:line="240" w:lineRule="auto"/>
        <w:rPr>
          <w:rFonts w:eastAsia="SimSun"/>
          <w:szCs w:val="22"/>
        </w:rPr>
      </w:pPr>
    </w:p>
    <w:p w14:paraId="726A129F" w14:textId="77777777" w:rsidR="00E22C3D" w:rsidRPr="00F37D4D" w:rsidRDefault="00BE7CB1" w:rsidP="00F64BF9">
      <w:pPr>
        <w:spacing w:line="240" w:lineRule="auto"/>
        <w:rPr>
          <w:rFonts w:eastAsia="SimSun"/>
          <w:szCs w:val="22"/>
        </w:rPr>
      </w:pPr>
      <w:r>
        <w:t>Odporúča sa, aby liečba pokračovala až do progresie základného ochorenia alebo do prejavov neakceptovateľnej toxicity.</w:t>
      </w:r>
    </w:p>
    <w:p w14:paraId="6A595CD6" w14:textId="77777777" w:rsidR="00E22C3D" w:rsidRPr="00F37D4D" w:rsidRDefault="00E22C3D" w:rsidP="00F64BF9">
      <w:pPr>
        <w:spacing w:line="240" w:lineRule="auto"/>
        <w:rPr>
          <w:rFonts w:eastAsia="SimSun"/>
          <w:szCs w:val="22"/>
        </w:rPr>
      </w:pPr>
    </w:p>
    <w:p w14:paraId="014B8059"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Nemalobunkový karcinóm pľúc (NSCLC, Non-small cell lung cancer)</w:t>
      </w:r>
    </w:p>
    <w:p w14:paraId="48877A73" w14:textId="77777777" w:rsidR="00E22C3D" w:rsidRPr="00F37D4D" w:rsidRDefault="00E22C3D" w:rsidP="00F64BF9">
      <w:pPr>
        <w:keepNext/>
        <w:spacing w:line="240" w:lineRule="auto"/>
        <w:rPr>
          <w:rFonts w:eastAsia="SimSun"/>
        </w:rPr>
      </w:pPr>
    </w:p>
    <w:p w14:paraId="10715663"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Liečba prvej línie neskvamózneho NSCLC v kombinácii s chemoterapiou na báze platiny</w:t>
      </w:r>
    </w:p>
    <w:p w14:paraId="670BD347" w14:textId="77777777" w:rsidR="00023D1D" w:rsidRDefault="00023D1D" w:rsidP="00F64BF9">
      <w:pPr>
        <w:spacing w:line="240" w:lineRule="auto"/>
        <w:rPr>
          <w:rFonts w:eastAsia="SimSun"/>
          <w:szCs w:val="22"/>
        </w:rPr>
      </w:pPr>
    </w:p>
    <w:p w14:paraId="4BB5374A" w14:textId="77777777" w:rsidR="00E22C3D" w:rsidRPr="00F37D4D" w:rsidRDefault="00BE7CB1" w:rsidP="00F64BF9">
      <w:pPr>
        <w:spacing w:line="240" w:lineRule="auto"/>
        <w:rPr>
          <w:rFonts w:eastAsia="SimSun"/>
          <w:szCs w:val="22"/>
        </w:rPr>
      </w:pPr>
      <w:r>
        <w:t>Alymsys sa pridáva k chemoterapii na báze platiny počas až 6 cyklov liečby a následne sa Alymsys podáva v monoterapii až do progresie ochorenia.</w:t>
      </w:r>
    </w:p>
    <w:p w14:paraId="0216EC53" w14:textId="77777777" w:rsidR="00E22C3D" w:rsidRPr="00F37D4D" w:rsidRDefault="00E22C3D" w:rsidP="00F64BF9">
      <w:pPr>
        <w:spacing w:line="240" w:lineRule="auto"/>
        <w:rPr>
          <w:rFonts w:eastAsia="SimSun"/>
          <w:szCs w:val="22"/>
        </w:rPr>
      </w:pPr>
    </w:p>
    <w:p w14:paraId="4474E8D8" w14:textId="77777777" w:rsidR="00E22C3D" w:rsidRPr="00F37D4D" w:rsidRDefault="00BE7CB1" w:rsidP="00F64BF9">
      <w:pPr>
        <w:spacing w:line="240" w:lineRule="auto"/>
        <w:rPr>
          <w:rFonts w:eastAsia="SimSun"/>
          <w:szCs w:val="22"/>
        </w:rPr>
      </w:pPr>
      <w:r>
        <w:lastRenderedPageBreak/>
        <w:t>Odporúčaná dávka Alymsysu je 7,5 mg/kg telesnej hmotnosti alebo 15 mg/kg telesnej hmotnosti, ktorá sa podáva raz za 3 týždne vo forme intravenóznej infúzie.</w:t>
      </w:r>
    </w:p>
    <w:p w14:paraId="54158541" w14:textId="77777777" w:rsidR="00E22C3D" w:rsidRPr="00F37D4D" w:rsidRDefault="00E22C3D" w:rsidP="00F64BF9">
      <w:pPr>
        <w:spacing w:line="240" w:lineRule="auto"/>
        <w:rPr>
          <w:rFonts w:eastAsia="SimSun"/>
          <w:szCs w:val="22"/>
        </w:rPr>
      </w:pPr>
    </w:p>
    <w:p w14:paraId="58A5F6D6" w14:textId="77777777" w:rsidR="00E22C3D" w:rsidRPr="00F37D4D" w:rsidRDefault="00BE7CB1" w:rsidP="00F64BF9">
      <w:pPr>
        <w:spacing w:line="240" w:lineRule="auto"/>
        <w:rPr>
          <w:rFonts w:eastAsia="SimSun"/>
          <w:szCs w:val="22"/>
        </w:rPr>
      </w:pPr>
      <w:r>
        <w:t>Klinický prínos sa u pacientov s NSCLC prejavil pri dávke 7,5 mg/kg telesnej hmotnosti aj pri 15 mg/kg telesnej hmotnosti (pozri časť 5.1).</w:t>
      </w:r>
    </w:p>
    <w:p w14:paraId="71FB62FB" w14:textId="77777777" w:rsidR="00E22C3D" w:rsidRPr="00F37D4D" w:rsidRDefault="00E22C3D" w:rsidP="00F64BF9">
      <w:pPr>
        <w:spacing w:line="240" w:lineRule="auto"/>
        <w:rPr>
          <w:rFonts w:eastAsia="SimSun"/>
          <w:szCs w:val="22"/>
        </w:rPr>
      </w:pPr>
    </w:p>
    <w:p w14:paraId="54111EF5" w14:textId="77777777" w:rsidR="00E22C3D" w:rsidRPr="00F37D4D" w:rsidRDefault="00BE7CB1" w:rsidP="00F64BF9">
      <w:pPr>
        <w:spacing w:line="240" w:lineRule="auto"/>
        <w:rPr>
          <w:rFonts w:eastAsia="SimSun"/>
          <w:szCs w:val="22"/>
        </w:rPr>
      </w:pPr>
      <w:r>
        <w:t>Odporúča sa, aby liečba pokračovala až do progresie základného ochorenia alebo do prejavov neakceptovateľnej toxicity.</w:t>
      </w:r>
    </w:p>
    <w:p w14:paraId="2FDD8CE0" w14:textId="77777777" w:rsidR="00E22C3D" w:rsidRPr="00F37D4D" w:rsidRDefault="00E22C3D" w:rsidP="00F64BF9">
      <w:pPr>
        <w:spacing w:line="240" w:lineRule="auto"/>
        <w:rPr>
          <w:rFonts w:eastAsia="SimSun"/>
        </w:rPr>
      </w:pPr>
    </w:p>
    <w:p w14:paraId="6172281E"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Liečba prvej línie neskvamózneho NSCLC s aktivujúcimi mutáciami EGFR v kombinácii s erlotinibom</w:t>
      </w:r>
    </w:p>
    <w:p w14:paraId="7379F052" w14:textId="77777777" w:rsidR="004E6BD2" w:rsidRDefault="004E6BD2" w:rsidP="00F64BF9">
      <w:pPr>
        <w:spacing w:line="240" w:lineRule="auto"/>
        <w:rPr>
          <w:rFonts w:eastAsia="SimSun"/>
          <w:szCs w:val="22"/>
        </w:rPr>
      </w:pPr>
    </w:p>
    <w:p w14:paraId="2805696F" w14:textId="77777777" w:rsidR="00E22C3D" w:rsidRPr="00F37D4D" w:rsidRDefault="00BE7CB1" w:rsidP="00F64BF9">
      <w:pPr>
        <w:spacing w:line="240" w:lineRule="auto"/>
        <w:rPr>
          <w:rFonts w:eastAsia="SimSun"/>
          <w:szCs w:val="22"/>
        </w:rPr>
      </w:pPr>
      <w:r>
        <w:t>Pred začatím kombinovanej liečby Alymsysu a erlotinibu sa má vykonať testovanie mutácií EGFR. Je dôležité správne zvoliť validovanú a robustnú metódu, aby sa zabránilo falošne negatívnym alebo falošne pozitívnym vyhodnoteniam.</w:t>
      </w:r>
    </w:p>
    <w:p w14:paraId="72AA93AC" w14:textId="77777777" w:rsidR="00E22C3D" w:rsidRPr="00F37D4D" w:rsidRDefault="00E22C3D" w:rsidP="00F64BF9">
      <w:pPr>
        <w:spacing w:line="240" w:lineRule="auto"/>
      </w:pPr>
    </w:p>
    <w:p w14:paraId="14F03136" w14:textId="77777777" w:rsidR="00E22C3D" w:rsidRPr="00F37D4D" w:rsidRDefault="00BE7CB1" w:rsidP="00F64BF9">
      <w:pPr>
        <w:spacing w:line="240" w:lineRule="auto"/>
        <w:rPr>
          <w:rFonts w:eastAsia="SimSun"/>
          <w:szCs w:val="22"/>
        </w:rPr>
      </w:pPr>
      <w:r>
        <w:t>Odporúčaná dávka Alymsysu, ak sa pridáva k erlotinibu, je 15 mg/kg telesnej hmotnosti, ktorá sa podáva raz za 3 týždne vo forme intravenóznej infúzie.</w:t>
      </w:r>
    </w:p>
    <w:p w14:paraId="5D9CA4AE" w14:textId="77777777" w:rsidR="00E22C3D" w:rsidRPr="00F37D4D" w:rsidRDefault="00E22C3D" w:rsidP="00F64BF9">
      <w:pPr>
        <w:spacing w:line="240" w:lineRule="auto"/>
        <w:rPr>
          <w:rFonts w:eastAsia="SimSun"/>
          <w:szCs w:val="22"/>
        </w:rPr>
      </w:pPr>
    </w:p>
    <w:p w14:paraId="5D668CAA" w14:textId="77777777" w:rsidR="00E22C3D" w:rsidRPr="00F37D4D" w:rsidRDefault="00BE7CB1" w:rsidP="00F64BF9">
      <w:pPr>
        <w:spacing w:line="240" w:lineRule="auto"/>
        <w:rPr>
          <w:rFonts w:eastAsia="SimSun"/>
          <w:szCs w:val="22"/>
        </w:rPr>
      </w:pPr>
      <w:r>
        <w:t>Odporúča sa, aby liečba Alymsysom s pridaným erlotinibom, pokračovala až do progresie ochorenia.</w:t>
      </w:r>
    </w:p>
    <w:p w14:paraId="422F2D59" w14:textId="77777777" w:rsidR="00E22C3D" w:rsidRPr="00F37D4D" w:rsidRDefault="00E22C3D" w:rsidP="00F64BF9">
      <w:pPr>
        <w:spacing w:line="240" w:lineRule="auto"/>
        <w:rPr>
          <w:rFonts w:eastAsia="SimSun"/>
          <w:szCs w:val="22"/>
        </w:rPr>
      </w:pPr>
    </w:p>
    <w:p w14:paraId="26EB9623" w14:textId="77777777" w:rsidR="00E22C3D" w:rsidRPr="00F37D4D" w:rsidRDefault="00BE7CB1" w:rsidP="00F64BF9">
      <w:pPr>
        <w:spacing w:line="240" w:lineRule="auto"/>
        <w:rPr>
          <w:rFonts w:eastAsia="SimSun"/>
          <w:szCs w:val="22"/>
        </w:rPr>
      </w:pPr>
      <w:r>
        <w:t>Dávkovanie a spôsob podávania erlotinibu si pozrite v úplnej informácii o lieku erlotinib.</w:t>
      </w:r>
    </w:p>
    <w:p w14:paraId="36EB7849" w14:textId="77777777" w:rsidR="00E22C3D" w:rsidRPr="00F37D4D" w:rsidRDefault="00E22C3D" w:rsidP="00F64BF9">
      <w:pPr>
        <w:spacing w:line="240" w:lineRule="auto"/>
        <w:rPr>
          <w:rFonts w:eastAsia="SimSun"/>
        </w:rPr>
      </w:pPr>
    </w:p>
    <w:p w14:paraId="02724B82" w14:textId="37D40744"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 xml:space="preserve">Pokročilý a/alebo metastatický karcinóm </w:t>
      </w:r>
      <w:r w:rsidR="00885381">
        <w:rPr>
          <w:i/>
          <w:u w:val="single"/>
        </w:rPr>
        <w:t> </w:t>
      </w:r>
      <w:r>
        <w:rPr>
          <w:i/>
          <w:u w:val="single"/>
        </w:rPr>
        <w:t>oblič</w:t>
      </w:r>
      <w:r w:rsidR="00885381">
        <w:rPr>
          <w:i/>
          <w:u w:val="single"/>
        </w:rPr>
        <w:t>kov</w:t>
      </w:r>
      <w:r w:rsidR="008F01F4">
        <w:rPr>
          <w:i/>
          <w:u w:val="single"/>
        </w:rPr>
        <w:t>ý</w:t>
      </w:r>
      <w:r w:rsidR="00885381">
        <w:rPr>
          <w:i/>
          <w:u w:val="single"/>
        </w:rPr>
        <w:t>ch buniek</w:t>
      </w:r>
      <w:r>
        <w:rPr>
          <w:i/>
          <w:u w:val="single"/>
        </w:rPr>
        <w:t xml:space="preserve"> (mRCC, metastatic renal cell cancer)</w:t>
      </w:r>
    </w:p>
    <w:p w14:paraId="75C77C89" w14:textId="77777777" w:rsidR="00E22C3D" w:rsidRPr="00F37D4D" w:rsidRDefault="00E22C3D" w:rsidP="00F64BF9">
      <w:pPr>
        <w:keepNext/>
        <w:spacing w:line="240" w:lineRule="auto"/>
        <w:rPr>
          <w:rFonts w:eastAsia="SimSun"/>
          <w:szCs w:val="22"/>
        </w:rPr>
      </w:pPr>
    </w:p>
    <w:p w14:paraId="01018A76" w14:textId="77777777" w:rsidR="00E22C3D" w:rsidRPr="00F37D4D" w:rsidRDefault="00BE7CB1" w:rsidP="00F64BF9">
      <w:pPr>
        <w:spacing w:line="240" w:lineRule="auto"/>
        <w:rPr>
          <w:rFonts w:eastAsia="SimSun"/>
          <w:szCs w:val="22"/>
        </w:rPr>
      </w:pPr>
      <w:r>
        <w:t>Odporúčaná dávka Alymsysu je 10 mg/kg telesnej hmotnosti podaná raz za 2 týždne vo forme intravenóznej infúzie.</w:t>
      </w:r>
    </w:p>
    <w:p w14:paraId="332990A2" w14:textId="77777777" w:rsidR="00E22C3D" w:rsidRPr="00F37D4D" w:rsidRDefault="00E22C3D" w:rsidP="00F64BF9">
      <w:pPr>
        <w:spacing w:line="240" w:lineRule="auto"/>
        <w:rPr>
          <w:rFonts w:eastAsia="SimSun"/>
          <w:szCs w:val="22"/>
        </w:rPr>
      </w:pPr>
    </w:p>
    <w:p w14:paraId="5C9E606E" w14:textId="77777777" w:rsidR="00E22C3D" w:rsidRPr="00F37D4D" w:rsidRDefault="00BE7CB1" w:rsidP="00F64BF9">
      <w:pPr>
        <w:spacing w:line="240" w:lineRule="auto"/>
        <w:rPr>
          <w:rFonts w:eastAsia="SimSun"/>
          <w:szCs w:val="22"/>
        </w:rPr>
      </w:pPr>
      <w:r>
        <w:t>Odporúča sa, aby liečba pokračovala až do progresie základného ochorenia alebo do prejavov neakceptovateľnej toxicity.</w:t>
      </w:r>
    </w:p>
    <w:p w14:paraId="42E64F8A" w14:textId="77777777" w:rsidR="00E22C3D" w:rsidRPr="00F37D4D" w:rsidRDefault="00E22C3D" w:rsidP="00F64BF9">
      <w:pPr>
        <w:spacing w:line="240" w:lineRule="auto"/>
        <w:rPr>
          <w:rFonts w:eastAsia="SimSun"/>
        </w:rPr>
      </w:pPr>
    </w:p>
    <w:p w14:paraId="18862EC3"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Epiteliálny karcinóm vaječníkov, karcinóm Fallopiovej trubice a primárny peritoneálny karcinóm</w:t>
      </w:r>
    </w:p>
    <w:p w14:paraId="6EBCA935" w14:textId="77777777" w:rsidR="00E22C3D" w:rsidRPr="00F37D4D" w:rsidRDefault="00E22C3D" w:rsidP="00F64BF9">
      <w:pPr>
        <w:keepNext/>
        <w:spacing w:line="240" w:lineRule="auto"/>
        <w:rPr>
          <w:rFonts w:eastAsia="SimSun"/>
        </w:rPr>
      </w:pPr>
    </w:p>
    <w:p w14:paraId="56B44333" w14:textId="77777777" w:rsidR="00C94521" w:rsidRPr="00F37D4D" w:rsidRDefault="00BE7CB1" w:rsidP="00F64BF9">
      <w:pPr>
        <w:keepNext/>
        <w:spacing w:line="240" w:lineRule="auto"/>
        <w:rPr>
          <w:rFonts w:eastAsia="SimSun"/>
          <w:i/>
          <w:iCs/>
          <w:szCs w:val="22"/>
        </w:rPr>
      </w:pPr>
      <w:r>
        <w:rPr>
          <w:i/>
        </w:rPr>
        <w:t>Prvá línia liečby</w:t>
      </w:r>
    </w:p>
    <w:p w14:paraId="5C82D990" w14:textId="77777777" w:rsidR="00B938E1" w:rsidRDefault="00B938E1" w:rsidP="00F64BF9">
      <w:pPr>
        <w:spacing w:line="240" w:lineRule="auto"/>
        <w:rPr>
          <w:rFonts w:eastAsia="SimSun"/>
          <w:szCs w:val="22"/>
        </w:rPr>
      </w:pPr>
    </w:p>
    <w:p w14:paraId="22E14195" w14:textId="77777777" w:rsidR="00E22C3D" w:rsidRPr="00F37D4D" w:rsidRDefault="00BE7CB1" w:rsidP="00F64BF9">
      <w:pPr>
        <w:spacing w:line="240" w:lineRule="auto"/>
        <w:rPr>
          <w:rFonts w:eastAsia="SimSun"/>
          <w:szCs w:val="22"/>
        </w:rPr>
      </w:pPr>
      <w:r>
        <w:t>Alymsys sa podáva spolu s karboplatinou a paklitaxelom počas až 6 liečebných cyklov, po ktorých nasleduje podávanie Alymsysu v monoterapii až do progresie ochorenia, alebo počas maximálne 15 mesiacov alebo do neakceptovateľnej toxicity, podľa toho, čo nastane skôr.</w:t>
      </w:r>
    </w:p>
    <w:p w14:paraId="369DA38E" w14:textId="77777777" w:rsidR="00E22C3D" w:rsidRPr="00F37D4D" w:rsidRDefault="00E22C3D" w:rsidP="00F64BF9">
      <w:pPr>
        <w:spacing w:line="240" w:lineRule="auto"/>
        <w:rPr>
          <w:rFonts w:eastAsia="SimSun"/>
          <w:szCs w:val="22"/>
        </w:rPr>
      </w:pPr>
    </w:p>
    <w:p w14:paraId="589861CA" w14:textId="77777777" w:rsidR="00E22C3D" w:rsidRPr="00F37D4D" w:rsidRDefault="00BE7CB1" w:rsidP="00F64BF9">
      <w:pPr>
        <w:spacing w:line="240" w:lineRule="auto"/>
        <w:rPr>
          <w:rFonts w:eastAsia="SimSun"/>
          <w:szCs w:val="22"/>
        </w:rPr>
      </w:pPr>
      <w:r>
        <w:t>Odporúčaná dávka Alymsysu je 15 mg/kg telesnej hmotnosti podaná raz za 3 týždne vo forme intravenóznej infúzie.</w:t>
      </w:r>
    </w:p>
    <w:p w14:paraId="68EC6F1A" w14:textId="77777777" w:rsidR="00E22C3D" w:rsidRPr="00F37D4D" w:rsidRDefault="00E22C3D" w:rsidP="00F64BF9">
      <w:pPr>
        <w:spacing w:line="240" w:lineRule="auto"/>
        <w:rPr>
          <w:rFonts w:eastAsia="SimSun"/>
        </w:rPr>
      </w:pPr>
    </w:p>
    <w:p w14:paraId="516F27CA" w14:textId="77777777" w:rsidR="00C94521"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Liečba rekurentného ochorenia citlivého na platinu</w:t>
      </w:r>
    </w:p>
    <w:p w14:paraId="30564713" w14:textId="77777777" w:rsidR="00142B26" w:rsidRDefault="00142B26" w:rsidP="00F64BF9">
      <w:pPr>
        <w:spacing w:line="240" w:lineRule="auto"/>
        <w:rPr>
          <w:rFonts w:eastAsia="SimSun"/>
          <w:szCs w:val="22"/>
        </w:rPr>
      </w:pPr>
    </w:p>
    <w:p w14:paraId="78F183CF" w14:textId="77777777" w:rsidR="00E22C3D" w:rsidRPr="00F37D4D" w:rsidRDefault="00BE7CB1" w:rsidP="00F64BF9">
      <w:pPr>
        <w:spacing w:line="240" w:lineRule="auto"/>
        <w:rPr>
          <w:rFonts w:eastAsia="SimSun"/>
          <w:szCs w:val="22"/>
        </w:rPr>
      </w:pPr>
      <w:r>
        <w:t>Alymsys sa podáva buď v kombinácii</w:t>
      </w:r>
      <w:r w:rsidR="008222E3">
        <w:t xml:space="preserve"> </w:t>
      </w:r>
      <w:r>
        <w:t>s karboplatinou a gemcitabínom počas 6 cyklov až 10 cyklov alebo v kombinácii s karboplatinou a paklitaxelom počas 6 cyklov až 8 cyklov, po ktorých nasleduje pokračovanie v podávaní Alymsysu v monoterapii až do progresie ochorenia. Odporúčaná dávka Alymsysu je 15 mg/kg telesnej hmotnosti podaná raz za 3 týždne vo forme intravenóznej infúzie.</w:t>
      </w:r>
    </w:p>
    <w:p w14:paraId="645A8938" w14:textId="77777777" w:rsidR="00BE7CB1" w:rsidRPr="00F37D4D" w:rsidRDefault="00BE7CB1" w:rsidP="00F64BF9">
      <w:pPr>
        <w:spacing w:line="240" w:lineRule="auto"/>
        <w:rPr>
          <w:rFonts w:eastAsia="SimSun"/>
          <w:szCs w:val="22"/>
        </w:rPr>
      </w:pPr>
    </w:p>
    <w:p w14:paraId="004F0E47" w14:textId="77777777" w:rsidR="00BE7CB1"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Liečba rekurentného ochorenia rezistentného na platinu</w:t>
      </w:r>
    </w:p>
    <w:p w14:paraId="73E3609A" w14:textId="77777777" w:rsidR="003A482B" w:rsidRDefault="003A482B" w:rsidP="00F64BF9">
      <w:pPr>
        <w:spacing w:line="240" w:lineRule="auto"/>
        <w:rPr>
          <w:rFonts w:eastAsia="SimSun"/>
          <w:szCs w:val="22"/>
        </w:rPr>
      </w:pPr>
    </w:p>
    <w:p w14:paraId="74FDF798" w14:textId="0F590567" w:rsidR="00BE7CB1" w:rsidRPr="00F37D4D" w:rsidRDefault="00BE7CB1" w:rsidP="00F64BF9">
      <w:pPr>
        <w:spacing w:line="240" w:lineRule="auto"/>
        <w:rPr>
          <w:rFonts w:eastAsia="SimSun"/>
          <w:szCs w:val="22"/>
        </w:rPr>
      </w:pPr>
      <w:r>
        <w:t xml:space="preserve">Alymsys sa podáva v kombinácii s jedným z nasledovných liečiv - </w:t>
      </w:r>
      <w:r w:rsidR="00613BC4" w:rsidRPr="003C42D1">
        <w:t>paklitaxel,</w:t>
      </w:r>
      <w:r w:rsidR="00613BC4">
        <w:t xml:space="preserve"> </w:t>
      </w:r>
      <w:r>
        <w:t>topotekán (podávaný raz týždenne) alebo pegylovaný lipozomálny doxorubicín. Odporúčaná dávka Alymsysu je 10 mg/kg telesnej hmotnosti podaná raz za 2 týždne vo forme intravenóznej infúzie. Keď sa Alymsys podáva v kombinácii s topotekánom (podávaným na 1. - 5. deň každé 3 týždne), odporúčaná dávka Alymsysu je 15 mg/kg telesnej hmotnosti podaná raz za 3 týždne vo forme intravenóznej infúzie. Odporúča sa, aby liečba pokračovala až do progresie ochorenia alebo do neakceptovateľnej toxicity (pozri časť 5.1, štúdia MO22224).</w:t>
      </w:r>
    </w:p>
    <w:p w14:paraId="4E106FFD" w14:textId="77777777" w:rsidR="00E22C3D" w:rsidRPr="00F37D4D" w:rsidRDefault="00E22C3D" w:rsidP="00F64BF9">
      <w:pPr>
        <w:spacing w:line="240" w:lineRule="auto"/>
        <w:rPr>
          <w:rFonts w:eastAsia="SimSun"/>
        </w:rPr>
      </w:pPr>
    </w:p>
    <w:p w14:paraId="67A51ACB" w14:textId="77777777" w:rsidR="00E22C3D" w:rsidRPr="00F37D4D" w:rsidRDefault="00BE7CB1" w:rsidP="00F64BF9">
      <w:pPr>
        <w:keepNext/>
        <w:spacing w:line="240" w:lineRule="auto"/>
        <w:rPr>
          <w:rFonts w:eastAsia="SimSun"/>
          <w:i/>
          <w:iCs/>
          <w:szCs w:val="22"/>
          <w:u w:val="single"/>
        </w:rPr>
      </w:pPr>
      <w:r>
        <w:rPr>
          <w:i/>
          <w:u w:val="single"/>
        </w:rPr>
        <w:t>Karcinóm krčka maternice</w:t>
      </w:r>
    </w:p>
    <w:p w14:paraId="4401CE70" w14:textId="77777777" w:rsidR="00E22C3D" w:rsidRPr="00F37D4D" w:rsidRDefault="00E22C3D" w:rsidP="00F64BF9">
      <w:pPr>
        <w:keepNext/>
        <w:spacing w:line="240" w:lineRule="auto"/>
        <w:rPr>
          <w:rFonts w:eastAsia="SimSun"/>
          <w:szCs w:val="22"/>
        </w:rPr>
      </w:pPr>
    </w:p>
    <w:p w14:paraId="14597FB9" w14:textId="77777777" w:rsidR="00E22C3D" w:rsidRDefault="00BE7CB1" w:rsidP="00F64BF9">
      <w:pPr>
        <w:spacing w:line="240" w:lineRule="auto"/>
        <w:rPr>
          <w:rFonts w:eastAsia="SimSun"/>
          <w:szCs w:val="22"/>
        </w:rPr>
      </w:pPr>
      <w:r>
        <w:t>Alymsys sa podáva v kombinácii s jedným z nasledovných režimov chemoterapie: paklitaxel a cisplatina alebo paklitaxel a topotekán.</w:t>
      </w:r>
    </w:p>
    <w:p w14:paraId="4885984D" w14:textId="77777777" w:rsidR="002F3218" w:rsidRPr="00F37D4D" w:rsidRDefault="002F3218" w:rsidP="00F64BF9">
      <w:pPr>
        <w:spacing w:line="240" w:lineRule="auto"/>
        <w:rPr>
          <w:rFonts w:eastAsia="SimSun"/>
          <w:szCs w:val="22"/>
        </w:rPr>
      </w:pPr>
    </w:p>
    <w:p w14:paraId="48308F60" w14:textId="77777777" w:rsidR="00E22C3D" w:rsidRPr="00F37D4D" w:rsidRDefault="00BE7CB1" w:rsidP="00F64BF9">
      <w:pPr>
        <w:spacing w:line="240" w:lineRule="auto"/>
        <w:rPr>
          <w:rFonts w:eastAsia="SimSun"/>
          <w:szCs w:val="22"/>
        </w:rPr>
      </w:pPr>
      <w:r>
        <w:t>Odporúčaná dávka Alymsysu je 15 mg/kg telesnej hmotnosti podaná raz za 3 týždne vo forme intravenóznej infúzie.</w:t>
      </w:r>
    </w:p>
    <w:p w14:paraId="09F921B5" w14:textId="77777777" w:rsidR="00E22C3D" w:rsidRPr="00F37D4D" w:rsidRDefault="00E22C3D" w:rsidP="00F64BF9">
      <w:pPr>
        <w:spacing w:line="240" w:lineRule="auto"/>
        <w:rPr>
          <w:rFonts w:eastAsia="SimSun"/>
          <w:szCs w:val="22"/>
        </w:rPr>
      </w:pPr>
    </w:p>
    <w:p w14:paraId="358EC956" w14:textId="77777777" w:rsidR="00E22C3D" w:rsidRPr="00F37D4D" w:rsidRDefault="00BE7CB1" w:rsidP="00F64BF9">
      <w:pPr>
        <w:spacing w:line="240" w:lineRule="auto"/>
        <w:rPr>
          <w:rFonts w:eastAsia="SimSun"/>
          <w:szCs w:val="22"/>
        </w:rPr>
      </w:pPr>
      <w:r>
        <w:t>Odporúča sa, aby liečba pokračovala až do progresie základného ochorenia alebo do prejavov neakceptovateľnej toxicity (pozri časť 5.1).</w:t>
      </w:r>
    </w:p>
    <w:p w14:paraId="41CEC501" w14:textId="77777777" w:rsidR="00E22C3D" w:rsidRPr="00F37D4D" w:rsidRDefault="00E22C3D" w:rsidP="00F64BF9">
      <w:pPr>
        <w:spacing w:line="240" w:lineRule="auto"/>
        <w:rPr>
          <w:rFonts w:eastAsia="SimSun"/>
        </w:rPr>
      </w:pPr>
    </w:p>
    <w:p w14:paraId="34688C42" w14:textId="5C279458" w:rsidR="00E22C3D" w:rsidRPr="00F37D4D" w:rsidRDefault="00913B9F" w:rsidP="00F64BF9">
      <w:pPr>
        <w:keepNext/>
        <w:spacing w:line="240" w:lineRule="auto"/>
        <w:rPr>
          <w:rFonts w:eastAsia="SimSun"/>
          <w:i/>
          <w:iCs/>
          <w:szCs w:val="22"/>
          <w:u w:val="single"/>
        </w:rPr>
      </w:pPr>
      <w:r w:rsidRPr="00913B9F">
        <w:rPr>
          <w:i/>
          <w:u w:val="single"/>
        </w:rPr>
        <w:t>Osobitné</w:t>
      </w:r>
      <w:r w:rsidR="00BE7CB1" w:rsidRPr="003C42D1">
        <w:rPr>
          <w:i/>
          <w:u w:val="single"/>
        </w:rPr>
        <w:t xml:space="preserve"> </w:t>
      </w:r>
      <w:r w:rsidR="008F01F4">
        <w:rPr>
          <w:i/>
          <w:u w:val="single"/>
        </w:rPr>
        <w:t>populácie</w:t>
      </w:r>
    </w:p>
    <w:p w14:paraId="29D9921A" w14:textId="77777777" w:rsidR="00E22C3D" w:rsidRPr="00F37D4D" w:rsidRDefault="00E22C3D" w:rsidP="00F64BF9">
      <w:pPr>
        <w:keepNext/>
        <w:spacing w:line="240" w:lineRule="auto"/>
        <w:rPr>
          <w:rFonts w:eastAsia="SimSun"/>
        </w:rPr>
      </w:pPr>
    </w:p>
    <w:p w14:paraId="1AC6A5EC" w14:textId="77777777" w:rsidR="00C94521" w:rsidRPr="00F37D4D" w:rsidRDefault="00BE7CB1" w:rsidP="00F64BF9">
      <w:pPr>
        <w:keepNext/>
        <w:spacing w:line="240" w:lineRule="auto"/>
        <w:rPr>
          <w:rFonts w:eastAsia="SimSun"/>
          <w:i/>
          <w:iCs/>
          <w:szCs w:val="22"/>
        </w:rPr>
      </w:pPr>
      <w:r>
        <w:rPr>
          <w:i/>
        </w:rPr>
        <w:t xml:space="preserve">Starší pacienti </w:t>
      </w:r>
    </w:p>
    <w:p w14:paraId="51D8043B" w14:textId="77777777" w:rsidR="008A13BC" w:rsidRDefault="008A13BC" w:rsidP="00F64BF9">
      <w:pPr>
        <w:spacing w:line="240" w:lineRule="auto"/>
        <w:rPr>
          <w:rFonts w:eastAsia="SimSun"/>
          <w:szCs w:val="22"/>
        </w:rPr>
      </w:pPr>
    </w:p>
    <w:p w14:paraId="67273FCC" w14:textId="77777777" w:rsidR="00E22C3D" w:rsidRPr="00F37D4D" w:rsidRDefault="00BE7CB1" w:rsidP="00F64BF9">
      <w:pPr>
        <w:spacing w:line="240" w:lineRule="auto"/>
        <w:rPr>
          <w:rFonts w:eastAsia="SimSun"/>
          <w:szCs w:val="22"/>
        </w:rPr>
      </w:pPr>
      <w:r>
        <w:t>U pacientov vo veku ≥ 65 rokov nie je potrebná úprava dávky.</w:t>
      </w:r>
    </w:p>
    <w:p w14:paraId="67C75251" w14:textId="77777777" w:rsidR="00E22C3D" w:rsidRPr="00F37D4D" w:rsidRDefault="00E22C3D" w:rsidP="00F64BF9">
      <w:pPr>
        <w:spacing w:line="240" w:lineRule="auto"/>
        <w:rPr>
          <w:rFonts w:eastAsia="SimSun"/>
        </w:rPr>
      </w:pPr>
    </w:p>
    <w:p w14:paraId="64ADEC21" w14:textId="77777777" w:rsidR="00C94521" w:rsidRPr="00F37D4D" w:rsidRDefault="00BE7CB1" w:rsidP="00F64BF9">
      <w:pPr>
        <w:keepNext/>
        <w:spacing w:line="240" w:lineRule="auto"/>
        <w:rPr>
          <w:rFonts w:eastAsia="SimSun"/>
          <w:i/>
          <w:iCs/>
          <w:szCs w:val="22"/>
        </w:rPr>
      </w:pPr>
      <w:r>
        <w:rPr>
          <w:i/>
        </w:rPr>
        <w:t>Porucha funkcie obličiek</w:t>
      </w:r>
    </w:p>
    <w:p w14:paraId="7F488DBE" w14:textId="77777777" w:rsidR="008A13BC" w:rsidRDefault="008A13BC" w:rsidP="00F64BF9">
      <w:pPr>
        <w:spacing w:line="240" w:lineRule="auto"/>
        <w:rPr>
          <w:rFonts w:eastAsia="SimSun"/>
          <w:szCs w:val="22"/>
        </w:rPr>
      </w:pPr>
    </w:p>
    <w:p w14:paraId="1D72B779" w14:textId="77777777" w:rsidR="00E22C3D" w:rsidRPr="00F37D4D" w:rsidRDefault="00BE7CB1" w:rsidP="00F64BF9">
      <w:pPr>
        <w:spacing w:line="240" w:lineRule="auto"/>
        <w:rPr>
          <w:rFonts w:eastAsia="SimSun"/>
          <w:szCs w:val="22"/>
        </w:rPr>
      </w:pPr>
      <w:r>
        <w:t>U pacientov s poruchou funkcie obličiek sa bezpečnosť a účinnosť neskúmala (pozri časť 5.2).</w:t>
      </w:r>
    </w:p>
    <w:p w14:paraId="54F563C3" w14:textId="77777777" w:rsidR="00E22C3D" w:rsidRPr="00F37D4D" w:rsidRDefault="00E22C3D" w:rsidP="00F64BF9">
      <w:pPr>
        <w:spacing w:line="240" w:lineRule="auto"/>
        <w:rPr>
          <w:rFonts w:eastAsia="SimSun"/>
        </w:rPr>
      </w:pPr>
    </w:p>
    <w:p w14:paraId="650122A1" w14:textId="77777777" w:rsidR="00BE7CB1" w:rsidRPr="00F37D4D" w:rsidRDefault="00BE7CB1" w:rsidP="00F64BF9">
      <w:pPr>
        <w:keepNext/>
        <w:spacing w:line="240" w:lineRule="auto"/>
        <w:rPr>
          <w:rFonts w:eastAsia="SimSun"/>
          <w:i/>
          <w:iCs/>
          <w:szCs w:val="22"/>
        </w:rPr>
      </w:pPr>
      <w:r>
        <w:rPr>
          <w:i/>
        </w:rPr>
        <w:t>Porucha funkcie pečene</w:t>
      </w:r>
    </w:p>
    <w:p w14:paraId="779A5ED0" w14:textId="77777777" w:rsidR="008A13BC" w:rsidRDefault="008A13BC" w:rsidP="00F64BF9">
      <w:pPr>
        <w:spacing w:line="240" w:lineRule="auto"/>
        <w:rPr>
          <w:rFonts w:eastAsia="SimSun"/>
          <w:szCs w:val="22"/>
        </w:rPr>
      </w:pPr>
    </w:p>
    <w:p w14:paraId="78345A14" w14:textId="77777777" w:rsidR="00E22C3D" w:rsidRPr="00F37D4D" w:rsidRDefault="00BE7CB1" w:rsidP="00F64BF9">
      <w:pPr>
        <w:spacing w:line="240" w:lineRule="auto"/>
        <w:rPr>
          <w:rFonts w:eastAsia="SimSun"/>
          <w:szCs w:val="22"/>
        </w:rPr>
      </w:pPr>
      <w:r>
        <w:t>U pacientov s poruchou funkcie pečene sa bezpečnosť a účinnosť neskúmala (pozri časť 5.2)</w:t>
      </w:r>
      <w:r w:rsidR="008222E3">
        <w:t>.</w:t>
      </w:r>
    </w:p>
    <w:p w14:paraId="0B70AFAC" w14:textId="77777777" w:rsidR="00E22C3D" w:rsidRPr="00F37D4D" w:rsidRDefault="00E22C3D" w:rsidP="00F64BF9">
      <w:pPr>
        <w:spacing w:line="240" w:lineRule="auto"/>
      </w:pPr>
    </w:p>
    <w:p w14:paraId="7D101D71" w14:textId="77777777" w:rsidR="00E22C3D" w:rsidRPr="00F37D4D" w:rsidRDefault="00BE7CB1" w:rsidP="00F64BF9">
      <w:pPr>
        <w:keepNext/>
        <w:spacing w:line="240" w:lineRule="auto"/>
        <w:rPr>
          <w:rFonts w:eastAsia="SimSun"/>
          <w:i/>
          <w:iCs/>
          <w:szCs w:val="22"/>
          <w:u w:val="single"/>
        </w:rPr>
      </w:pPr>
      <w:r>
        <w:rPr>
          <w:i/>
          <w:u w:val="single"/>
        </w:rPr>
        <w:t>Pediatrická populácia</w:t>
      </w:r>
    </w:p>
    <w:p w14:paraId="6E466E96" w14:textId="77777777" w:rsidR="00E22C3D" w:rsidRPr="00F37D4D" w:rsidRDefault="00E22C3D" w:rsidP="00F64BF9">
      <w:pPr>
        <w:keepNext/>
        <w:spacing w:line="240" w:lineRule="auto"/>
        <w:rPr>
          <w:rFonts w:eastAsia="SimSun"/>
          <w:szCs w:val="22"/>
        </w:rPr>
      </w:pPr>
    </w:p>
    <w:p w14:paraId="1F0D581F" w14:textId="77777777" w:rsidR="00E22C3D" w:rsidRPr="00F37D4D" w:rsidRDefault="00BE7CB1" w:rsidP="00F64BF9">
      <w:pPr>
        <w:spacing w:line="240" w:lineRule="auto"/>
        <w:rPr>
          <w:rFonts w:eastAsia="SimSun"/>
          <w:szCs w:val="22"/>
        </w:rPr>
      </w:pPr>
      <w:r>
        <w:t>Bezpečnosť a účinnosť bevacizumabu u detí mladších ako 18 rokov neboli doteraz stanovené. V súčasnosti dostupné údaje sú opísané v častiach 4.8, 5.1 a 5.2, ale neumožňujú uviesť odporúčania na dávkovanie.</w:t>
      </w:r>
    </w:p>
    <w:p w14:paraId="5DFA58D4" w14:textId="77777777" w:rsidR="00E22C3D" w:rsidRPr="00F37D4D" w:rsidRDefault="00E22C3D" w:rsidP="00F64BF9">
      <w:pPr>
        <w:spacing w:line="240" w:lineRule="auto"/>
        <w:rPr>
          <w:rFonts w:eastAsia="SimSun"/>
          <w:szCs w:val="22"/>
        </w:rPr>
      </w:pPr>
    </w:p>
    <w:p w14:paraId="682EA65D" w14:textId="77777777" w:rsidR="00E22C3D" w:rsidRPr="00F37D4D" w:rsidRDefault="00BE7CB1" w:rsidP="00F64BF9">
      <w:pPr>
        <w:spacing w:line="240" w:lineRule="auto"/>
        <w:rPr>
          <w:rFonts w:eastAsia="SimSun"/>
          <w:szCs w:val="22"/>
        </w:rPr>
      </w:pPr>
      <w:r>
        <w:t>Použitie bevacizumabu v pediatrickej populácii, v indikáciách na liečbu karcinómu hrubého čreva, konečníka, prsníka, pľúc, vaječníkov, vajíčkovodu, pobrušnice, krčka maternice a obličiek nie je relevantné.</w:t>
      </w:r>
    </w:p>
    <w:p w14:paraId="60B12675" w14:textId="77777777" w:rsidR="00E22C3D" w:rsidRPr="00F37D4D" w:rsidRDefault="00E22C3D" w:rsidP="00F64BF9">
      <w:pPr>
        <w:spacing w:line="240" w:lineRule="auto"/>
        <w:rPr>
          <w:rFonts w:eastAsia="SimSun"/>
          <w:szCs w:val="22"/>
        </w:rPr>
      </w:pPr>
    </w:p>
    <w:p w14:paraId="071D4D32" w14:textId="77777777" w:rsidR="00E22C3D" w:rsidRPr="00F37D4D" w:rsidRDefault="00BE7CB1" w:rsidP="00F64BF9">
      <w:pPr>
        <w:keepNext/>
        <w:spacing w:line="240" w:lineRule="auto"/>
        <w:rPr>
          <w:rFonts w:eastAsia="SimSun"/>
          <w:szCs w:val="22"/>
          <w:u w:val="single"/>
        </w:rPr>
      </w:pPr>
      <w:r>
        <w:rPr>
          <w:u w:val="single"/>
        </w:rPr>
        <w:t>Spôsob podávania</w:t>
      </w:r>
    </w:p>
    <w:p w14:paraId="0A271FDB" w14:textId="77777777" w:rsidR="00E22C3D" w:rsidRPr="00F37D4D" w:rsidRDefault="00E22C3D" w:rsidP="00F64BF9">
      <w:pPr>
        <w:keepNext/>
        <w:spacing w:line="240" w:lineRule="auto"/>
        <w:rPr>
          <w:rFonts w:eastAsia="SimSun"/>
          <w:szCs w:val="22"/>
        </w:rPr>
      </w:pPr>
    </w:p>
    <w:p w14:paraId="19FDB9E0" w14:textId="4340B800" w:rsidR="00E22C3D" w:rsidRPr="00F37D4D" w:rsidRDefault="00BE7CB1" w:rsidP="00F64BF9">
      <w:pPr>
        <w:spacing w:line="240" w:lineRule="auto"/>
        <w:rPr>
          <w:rFonts w:eastAsia="SimSun"/>
          <w:szCs w:val="22"/>
        </w:rPr>
      </w:pPr>
      <w:r w:rsidRPr="008222E3">
        <w:t>Alymsys</w:t>
      </w:r>
      <w:r w:rsidR="0011215F" w:rsidRPr="00F933B6">
        <w:rPr>
          <w:szCs w:val="22"/>
        </w:rPr>
        <w:t xml:space="preserve"> je na intravenózne použitie.</w:t>
      </w:r>
      <w:r>
        <w:t xml:space="preserve"> Úvodná dávka sa má podávať počas 90 minút vo forme intravenóznej infúzie. Ak je prvá infúzia dobre tolerovaná, druhá infúzia sa môže podávať počas 60 minút. Ak je 60-minútová infúzia dobre tolerovaná, všetky nasledujúce infúzie sa môžu podávať počas 30 minút.</w:t>
      </w:r>
    </w:p>
    <w:p w14:paraId="35D08B63" w14:textId="77777777" w:rsidR="00E22C3D" w:rsidRPr="00F37D4D" w:rsidRDefault="00E22C3D" w:rsidP="00F64BF9">
      <w:pPr>
        <w:spacing w:line="240" w:lineRule="auto"/>
        <w:rPr>
          <w:rFonts w:eastAsia="SimSun"/>
          <w:szCs w:val="22"/>
        </w:rPr>
      </w:pPr>
    </w:p>
    <w:p w14:paraId="1C80139B" w14:textId="7572C93C" w:rsidR="00E22C3D" w:rsidRPr="00F37D4D" w:rsidRDefault="00BE7CB1" w:rsidP="00F64BF9">
      <w:pPr>
        <w:spacing w:line="240" w:lineRule="auto"/>
        <w:rPr>
          <w:rFonts w:eastAsia="SimSun"/>
          <w:szCs w:val="22"/>
        </w:rPr>
      </w:pPr>
      <w:r>
        <w:t>Ne</w:t>
      </w:r>
      <w:r w:rsidR="00184D3A">
        <w:t>má</w:t>
      </w:r>
      <w:r>
        <w:t xml:space="preserve"> sa podávať vo forme intravenóznej rýchlej injekcie ani bolusovej injekcie.</w:t>
      </w:r>
    </w:p>
    <w:p w14:paraId="787CF573" w14:textId="77777777" w:rsidR="00E22C3D" w:rsidRPr="00F37D4D" w:rsidRDefault="00E22C3D" w:rsidP="00F64BF9">
      <w:pPr>
        <w:spacing w:line="240" w:lineRule="auto"/>
        <w:rPr>
          <w:rFonts w:eastAsia="SimSun"/>
          <w:szCs w:val="22"/>
        </w:rPr>
      </w:pPr>
    </w:p>
    <w:p w14:paraId="6CE13C4E" w14:textId="77777777" w:rsidR="00E22C3D" w:rsidRPr="00F37D4D" w:rsidRDefault="00BE7CB1" w:rsidP="00F64BF9">
      <w:pPr>
        <w:spacing w:line="240" w:lineRule="auto"/>
        <w:rPr>
          <w:rFonts w:eastAsia="SimSun"/>
          <w:szCs w:val="22"/>
        </w:rPr>
      </w:pPr>
      <w:r>
        <w:t>Zníženie dávky z dôvodu nežiaducich reakcií sa neodporúča. Ak je to indikované, má sa liečba buď natrvalo ukončiť alebo dočasne pozastaviť, ako je opísané v časti 4.4.</w:t>
      </w:r>
    </w:p>
    <w:p w14:paraId="17D35C2C" w14:textId="77777777" w:rsidR="00E22C3D" w:rsidRPr="00F37D4D" w:rsidRDefault="00E22C3D" w:rsidP="00F64BF9">
      <w:pPr>
        <w:spacing w:line="240" w:lineRule="auto"/>
        <w:rPr>
          <w:rFonts w:eastAsia="SimSun"/>
        </w:rPr>
      </w:pPr>
    </w:p>
    <w:p w14:paraId="2283C3C0" w14:textId="77777777" w:rsidR="00E22C3D" w:rsidRPr="00F37D4D" w:rsidRDefault="00BE7CB1" w:rsidP="00F64BF9">
      <w:pPr>
        <w:keepNext/>
        <w:spacing w:line="240" w:lineRule="auto"/>
        <w:rPr>
          <w:rFonts w:eastAsia="SimSun"/>
          <w:i/>
          <w:iCs/>
          <w:szCs w:val="22"/>
          <w:u w:val="single"/>
        </w:rPr>
      </w:pPr>
      <w:r>
        <w:rPr>
          <w:i/>
          <w:u w:val="single"/>
        </w:rPr>
        <w:t>Opatrenia pred zaobchádzaním alebo podaním lieku</w:t>
      </w:r>
    </w:p>
    <w:p w14:paraId="33F96655" w14:textId="77777777" w:rsidR="00E22C3D" w:rsidRPr="00F37D4D" w:rsidRDefault="00E22C3D" w:rsidP="00F64BF9">
      <w:pPr>
        <w:keepNext/>
        <w:spacing w:line="240" w:lineRule="auto"/>
        <w:rPr>
          <w:rFonts w:eastAsia="SimSun"/>
          <w:szCs w:val="22"/>
        </w:rPr>
      </w:pPr>
    </w:p>
    <w:p w14:paraId="01D78C98" w14:textId="4F9EF7C2" w:rsidR="00E22C3D" w:rsidRPr="00F37D4D" w:rsidRDefault="00BE7CB1" w:rsidP="00F64BF9">
      <w:pPr>
        <w:spacing w:line="240" w:lineRule="auto"/>
        <w:rPr>
          <w:rFonts w:eastAsia="SimSun"/>
          <w:szCs w:val="22"/>
        </w:rPr>
      </w:pPr>
      <w:r>
        <w:t>Pokyny na riedenie lieku pred podaním, pozri časť 6.6. Infúzie Alymsysu sa nem</w:t>
      </w:r>
      <w:r w:rsidR="00184D3A">
        <w:t>aj</w:t>
      </w:r>
      <w:r>
        <w:t>ú podávať alebo miešať s roztokmi glukózy. Tento liek sa nesmie miešať s inými liekmi okrem tých, ktoré sú uvedené v časti 6.6.</w:t>
      </w:r>
    </w:p>
    <w:p w14:paraId="45396229" w14:textId="77777777" w:rsidR="00812D16" w:rsidRPr="00F37D4D" w:rsidRDefault="00812D16" w:rsidP="00F64BF9">
      <w:pPr>
        <w:spacing w:line="240" w:lineRule="auto"/>
        <w:rPr>
          <w:szCs w:val="22"/>
        </w:rPr>
      </w:pPr>
    </w:p>
    <w:p w14:paraId="4577888D" w14:textId="77777777" w:rsidR="00812D16" w:rsidRPr="00F37D4D" w:rsidRDefault="00BE7CB1" w:rsidP="00F64BF9">
      <w:pPr>
        <w:keepNext/>
        <w:spacing w:line="240" w:lineRule="auto"/>
        <w:rPr>
          <w:b/>
          <w:bCs/>
          <w:szCs w:val="22"/>
        </w:rPr>
      </w:pPr>
      <w:r>
        <w:rPr>
          <w:b/>
        </w:rPr>
        <w:t>4.3</w:t>
      </w:r>
      <w:r w:rsidRPr="00F37D4D">
        <w:rPr>
          <w:b/>
          <w:bCs/>
          <w:szCs w:val="22"/>
        </w:rPr>
        <w:tab/>
      </w:r>
      <w:r>
        <w:rPr>
          <w:b/>
        </w:rPr>
        <w:t>Kontraindikácie</w:t>
      </w:r>
    </w:p>
    <w:p w14:paraId="15BE68E9" w14:textId="77777777" w:rsidR="00812D16" w:rsidRPr="00F37D4D" w:rsidRDefault="00812D16" w:rsidP="00F64BF9">
      <w:pPr>
        <w:keepNext/>
        <w:spacing w:line="240" w:lineRule="auto"/>
        <w:rPr>
          <w:szCs w:val="22"/>
        </w:rPr>
      </w:pPr>
    </w:p>
    <w:p w14:paraId="44CB6466" w14:textId="77777777" w:rsidR="00E22C3D" w:rsidRPr="00F933B6" w:rsidRDefault="0011215F" w:rsidP="0033150F">
      <w:pPr>
        <w:pStyle w:val="ListParagraph"/>
        <w:numPr>
          <w:ilvl w:val="0"/>
          <w:numId w:val="6"/>
        </w:numPr>
        <w:ind w:left="567" w:hanging="567"/>
        <w:rPr>
          <w:rFonts w:eastAsia="SimSun"/>
        </w:rPr>
      </w:pPr>
      <w:r w:rsidRPr="00F933B6">
        <w:t>Precitlivenos</w:t>
      </w:r>
      <w:r w:rsidRPr="00F933B6">
        <w:rPr>
          <w:rFonts w:hint="eastAsia"/>
        </w:rPr>
        <w:t>ť</w:t>
      </w:r>
      <w:r w:rsidRPr="00F933B6">
        <w:t xml:space="preserve"> na lie</w:t>
      </w:r>
      <w:r w:rsidRPr="00F933B6">
        <w:rPr>
          <w:rFonts w:hint="eastAsia"/>
        </w:rPr>
        <w:t>č</w:t>
      </w:r>
      <w:r w:rsidRPr="00F933B6">
        <w:t>ivo alebo na ktorúko</w:t>
      </w:r>
      <w:r w:rsidRPr="00F933B6">
        <w:rPr>
          <w:rFonts w:hint="eastAsia"/>
        </w:rPr>
        <w:t>ľ</w:t>
      </w:r>
      <w:r w:rsidRPr="00F933B6">
        <w:t xml:space="preserve">vek z pomocných látok uvedených v </w:t>
      </w:r>
      <w:r w:rsidRPr="00F933B6">
        <w:rPr>
          <w:rFonts w:hint="eastAsia"/>
        </w:rPr>
        <w:t>č</w:t>
      </w:r>
      <w:r w:rsidRPr="00F933B6">
        <w:t>asti 6.1.</w:t>
      </w:r>
    </w:p>
    <w:p w14:paraId="49D767E8" w14:textId="77777777" w:rsidR="00E22C3D" w:rsidRPr="00F933B6" w:rsidRDefault="0011215F" w:rsidP="0033150F">
      <w:pPr>
        <w:pStyle w:val="ListParagraph"/>
        <w:numPr>
          <w:ilvl w:val="0"/>
          <w:numId w:val="6"/>
        </w:numPr>
        <w:ind w:left="567" w:hanging="567"/>
        <w:rPr>
          <w:rFonts w:eastAsia="SimSun"/>
        </w:rPr>
      </w:pPr>
      <w:r w:rsidRPr="00F933B6">
        <w:lastRenderedPageBreak/>
        <w:t>Precitlivenos</w:t>
      </w:r>
      <w:r w:rsidRPr="00F933B6">
        <w:rPr>
          <w:rFonts w:hint="eastAsia"/>
        </w:rPr>
        <w:t>ť</w:t>
      </w:r>
      <w:r w:rsidRPr="00F933B6">
        <w:t xml:space="preserve"> na produkty ovariálnych buniek </w:t>
      </w:r>
      <w:r w:rsidRPr="00F933B6">
        <w:rPr>
          <w:rFonts w:hint="eastAsia"/>
        </w:rPr>
        <w:t>čí</w:t>
      </w:r>
      <w:r w:rsidRPr="00F933B6">
        <w:t xml:space="preserve">nskeho </w:t>
      </w:r>
      <w:r w:rsidRPr="003C42D1">
        <w:t>škre</w:t>
      </w:r>
      <w:r w:rsidRPr="003C42D1">
        <w:rPr>
          <w:rFonts w:hint="eastAsia"/>
        </w:rPr>
        <w:t>č</w:t>
      </w:r>
      <w:r w:rsidRPr="003C42D1">
        <w:t>ka (CHO) alebo</w:t>
      </w:r>
      <w:r w:rsidRPr="00F933B6">
        <w:t xml:space="preserve"> na iné rekombinantné </w:t>
      </w:r>
      <w:r w:rsidRPr="00F933B6">
        <w:rPr>
          <w:rFonts w:hint="eastAsia"/>
        </w:rPr>
        <w:t>ľ</w:t>
      </w:r>
      <w:r w:rsidRPr="00F933B6">
        <w:t>udské alebo humanizované protilátky.</w:t>
      </w:r>
    </w:p>
    <w:p w14:paraId="67BA1ABA" w14:textId="77777777" w:rsidR="00E22C3D" w:rsidRPr="00F933B6" w:rsidRDefault="0011215F" w:rsidP="0033150F">
      <w:pPr>
        <w:pStyle w:val="ListParagraph"/>
        <w:numPr>
          <w:ilvl w:val="0"/>
          <w:numId w:val="6"/>
        </w:numPr>
        <w:ind w:left="567" w:hanging="567"/>
        <w:rPr>
          <w:rFonts w:eastAsia="SimSun"/>
        </w:rPr>
      </w:pPr>
      <w:r w:rsidRPr="00F933B6">
        <w:t xml:space="preserve">Gravidita (pozri </w:t>
      </w:r>
      <w:r w:rsidRPr="00F933B6">
        <w:rPr>
          <w:rFonts w:hint="eastAsia"/>
        </w:rPr>
        <w:t>č</w:t>
      </w:r>
      <w:r w:rsidRPr="00F933B6">
        <w:t>as</w:t>
      </w:r>
      <w:r w:rsidRPr="00F933B6">
        <w:rPr>
          <w:rFonts w:hint="eastAsia"/>
        </w:rPr>
        <w:t>ť </w:t>
      </w:r>
      <w:r w:rsidRPr="00F933B6">
        <w:t>4.6).</w:t>
      </w:r>
    </w:p>
    <w:p w14:paraId="69A03D8A" w14:textId="77777777" w:rsidR="00812D16" w:rsidRPr="00695BC0" w:rsidRDefault="00812D16" w:rsidP="00F64BF9">
      <w:pPr>
        <w:spacing w:line="240" w:lineRule="auto"/>
        <w:rPr>
          <w:szCs w:val="22"/>
        </w:rPr>
      </w:pPr>
    </w:p>
    <w:p w14:paraId="4365CD85" w14:textId="77777777" w:rsidR="00812D16" w:rsidRPr="00F37D4D" w:rsidRDefault="00BE7CB1" w:rsidP="00F64BF9">
      <w:pPr>
        <w:keepNext/>
        <w:spacing w:line="240" w:lineRule="auto"/>
        <w:rPr>
          <w:b/>
          <w:bCs/>
          <w:szCs w:val="22"/>
        </w:rPr>
      </w:pPr>
      <w:r>
        <w:rPr>
          <w:b/>
        </w:rPr>
        <w:t>4.4</w:t>
      </w:r>
      <w:r w:rsidRPr="00F37D4D">
        <w:rPr>
          <w:b/>
          <w:bCs/>
          <w:szCs w:val="22"/>
        </w:rPr>
        <w:tab/>
      </w:r>
      <w:r>
        <w:rPr>
          <w:b/>
        </w:rPr>
        <w:t>Osobitné upozornenia a opatrenia pri používaní</w:t>
      </w:r>
    </w:p>
    <w:p w14:paraId="338A40DB" w14:textId="77777777" w:rsidR="00812D16" w:rsidRPr="00F37D4D" w:rsidRDefault="00812D16" w:rsidP="00F64BF9">
      <w:pPr>
        <w:keepNext/>
        <w:spacing w:line="240" w:lineRule="auto"/>
      </w:pPr>
    </w:p>
    <w:p w14:paraId="59E6EDB8" w14:textId="77777777" w:rsidR="008C4858" w:rsidRPr="00F37D4D" w:rsidRDefault="00BE7CB1" w:rsidP="00F64BF9">
      <w:pPr>
        <w:keepNext/>
        <w:spacing w:line="240" w:lineRule="auto"/>
        <w:rPr>
          <w:u w:val="single"/>
        </w:rPr>
      </w:pPr>
      <w:r>
        <w:rPr>
          <w:u w:val="single"/>
        </w:rPr>
        <w:t>Sledovateľnosť</w:t>
      </w:r>
    </w:p>
    <w:p w14:paraId="0B3A95B9" w14:textId="77777777" w:rsidR="00507D71" w:rsidRDefault="00507D71" w:rsidP="00F64BF9">
      <w:pPr>
        <w:keepNext/>
        <w:spacing w:line="240" w:lineRule="auto"/>
      </w:pPr>
    </w:p>
    <w:p w14:paraId="618E8092" w14:textId="1BF3D8D4" w:rsidR="008C4858" w:rsidRPr="00F37D4D" w:rsidRDefault="00BE7CB1" w:rsidP="00F64BF9">
      <w:pPr>
        <w:spacing w:line="240" w:lineRule="auto"/>
      </w:pPr>
      <w:r>
        <w:t xml:space="preserve">Aby sa zlepšila sledovateľnosť </w:t>
      </w:r>
      <w:r w:rsidR="00D25E38">
        <w:t>biologického lieku</w:t>
      </w:r>
      <w:r>
        <w:t>, má sa zrozumiteľne zaznamenať názov a číslo šarže podaného lieku.</w:t>
      </w:r>
    </w:p>
    <w:p w14:paraId="32E73AE1" w14:textId="77777777" w:rsidR="008C4858" w:rsidRPr="00F37D4D" w:rsidRDefault="008C4858" w:rsidP="00F64BF9">
      <w:pPr>
        <w:spacing w:line="240" w:lineRule="auto"/>
      </w:pPr>
    </w:p>
    <w:p w14:paraId="6BCA9B68" w14:textId="77777777" w:rsidR="00E22C3D" w:rsidRPr="00F37D4D" w:rsidRDefault="00BE7CB1" w:rsidP="00F64BF9">
      <w:pPr>
        <w:keepNext/>
        <w:spacing w:line="240" w:lineRule="auto"/>
        <w:rPr>
          <w:szCs w:val="22"/>
          <w:u w:val="single"/>
        </w:rPr>
      </w:pPr>
      <w:r>
        <w:rPr>
          <w:u w:val="single"/>
        </w:rPr>
        <w:t>Gastrointestinálne (GI) perforácie a fistuly (pozri časť 4.8)</w:t>
      </w:r>
    </w:p>
    <w:p w14:paraId="56B8E488" w14:textId="77777777" w:rsidR="00E22C3D" w:rsidRPr="00F37D4D" w:rsidRDefault="00E22C3D" w:rsidP="00F64BF9">
      <w:pPr>
        <w:keepNext/>
        <w:spacing w:line="240" w:lineRule="auto"/>
        <w:rPr>
          <w:szCs w:val="22"/>
        </w:rPr>
      </w:pPr>
    </w:p>
    <w:p w14:paraId="0E242A13" w14:textId="77777777" w:rsidR="00E22C3D" w:rsidRPr="00F37D4D" w:rsidRDefault="00BE7CB1" w:rsidP="00F64BF9">
      <w:pPr>
        <w:spacing w:line="240" w:lineRule="auto"/>
        <w:rPr>
          <w:szCs w:val="22"/>
        </w:rPr>
      </w:pPr>
      <w:r>
        <w:t xml:space="preserve">Pacienti, ktorí sa liečia bevacizumabom, </w:t>
      </w:r>
      <w:r w:rsidR="00FF59BA">
        <w:t xml:space="preserve">môžu </w:t>
      </w:r>
      <w:r>
        <w:t xml:space="preserve">mať zvýšené riziko vzniku gastrointestinálnej perforácie a perforácie žlčníka. Intraabdominálny zápalový proces môže byť rizikovým faktorom gastrointestinálnej perforácie u pacientov s metastatickým karcinómom hrubého čreva alebo konečníka, preto je pri liečbe týchto pacientov potrebná opatrnosť. Predošlé ožarovanie je rizikovým faktorom GI perforácie u pacientov liečených bevacizumabom na pretrvávajúci, rekurentný alebo metastatický karcinóm </w:t>
      </w:r>
      <w:r w:rsidR="00FF59BA">
        <w:t xml:space="preserve">krčka </w:t>
      </w:r>
      <w:r>
        <w:t>maternice a všetci pacienti s GI perforáciami mali predchádzajúcu rádioterapiu v anamnéze. U pacientov s gastrointestinálnou perforáciou sa má liečba natrvalo ukončiť.</w:t>
      </w:r>
    </w:p>
    <w:p w14:paraId="1C6EC743" w14:textId="77777777" w:rsidR="00E22C3D" w:rsidRPr="00F37D4D" w:rsidRDefault="00E22C3D" w:rsidP="00F64BF9">
      <w:pPr>
        <w:spacing w:line="240" w:lineRule="auto"/>
        <w:rPr>
          <w:szCs w:val="22"/>
        </w:rPr>
      </w:pPr>
    </w:p>
    <w:p w14:paraId="60DF1D32" w14:textId="77777777" w:rsidR="00E22C3D" w:rsidRPr="00F37D4D" w:rsidRDefault="00BE7CB1" w:rsidP="00F64BF9">
      <w:pPr>
        <w:keepNext/>
        <w:spacing w:line="240" w:lineRule="auto"/>
        <w:rPr>
          <w:rFonts w:eastAsia="SimSun"/>
          <w:iCs/>
          <w:szCs w:val="22"/>
          <w:u w:val="single"/>
        </w:rPr>
      </w:pPr>
      <w:r>
        <w:rPr>
          <w:u w:val="single"/>
        </w:rPr>
        <w:t>GI-vaginálne fistuly v štúdii GOG-0240</w:t>
      </w:r>
    </w:p>
    <w:p w14:paraId="6A6FE86B" w14:textId="77777777" w:rsidR="00E22C3D" w:rsidRPr="00F37D4D" w:rsidRDefault="00E22C3D" w:rsidP="00F64BF9">
      <w:pPr>
        <w:keepNext/>
        <w:spacing w:line="240" w:lineRule="auto"/>
        <w:rPr>
          <w:rFonts w:eastAsia="SimSun"/>
          <w:szCs w:val="22"/>
        </w:rPr>
      </w:pPr>
    </w:p>
    <w:p w14:paraId="6234483B" w14:textId="77777777" w:rsidR="00E22C3D" w:rsidRPr="00F37D4D" w:rsidRDefault="00BE7CB1" w:rsidP="00F64BF9">
      <w:pPr>
        <w:spacing w:line="240" w:lineRule="auto"/>
        <w:rPr>
          <w:szCs w:val="22"/>
        </w:rPr>
      </w:pPr>
      <w:r>
        <w:t xml:space="preserve">Pacientky liečené bevacizumabom na pretrvávajúci, rekurentný alebo metastatický karcinóm krčka maternice majú zvýšené riziko vzniku fistuly medzi vagínou a ktoroukoľvek časťou GI traktu (gastrointestinálno-vaginálne fistuly). Predošlé ožarovanie je závažným rizikovým faktorom vývoja GI-vaginálnych fistúl a </w:t>
      </w:r>
      <w:r w:rsidR="00FF59BA">
        <w:t xml:space="preserve">všetky pacientky </w:t>
      </w:r>
      <w:r>
        <w:t>s GI-vaginálnou fistulou mali predchádzajúcu rádioterapiu v anamnéze. Recidíva nádoru v mieste, ktoré bolo predtým ožarované, predstavuje ďalší dôležitý rizikový faktor vzniku GI-vaginálnych fistúl.</w:t>
      </w:r>
    </w:p>
    <w:p w14:paraId="0AC3E6D7" w14:textId="77777777" w:rsidR="00E22C3D" w:rsidRPr="00F37D4D" w:rsidRDefault="00E22C3D" w:rsidP="00F64BF9">
      <w:pPr>
        <w:spacing w:line="240" w:lineRule="auto"/>
        <w:rPr>
          <w:szCs w:val="22"/>
        </w:rPr>
      </w:pPr>
    </w:p>
    <w:p w14:paraId="187B6CB2" w14:textId="77777777" w:rsidR="00E22C3D" w:rsidRPr="00F37D4D" w:rsidRDefault="00BE7CB1" w:rsidP="00F64BF9">
      <w:pPr>
        <w:keepNext/>
        <w:spacing w:line="240" w:lineRule="auto"/>
        <w:rPr>
          <w:szCs w:val="22"/>
          <w:u w:val="single"/>
        </w:rPr>
      </w:pPr>
      <w:r>
        <w:rPr>
          <w:u w:val="single"/>
        </w:rPr>
        <w:t>Iné ako gastrointestinálne fistuly (pozri časť 4.8)</w:t>
      </w:r>
    </w:p>
    <w:p w14:paraId="5205B10B" w14:textId="77777777" w:rsidR="00E22C3D" w:rsidRPr="00F37D4D" w:rsidRDefault="00E22C3D" w:rsidP="00F64BF9">
      <w:pPr>
        <w:keepNext/>
        <w:spacing w:line="240" w:lineRule="auto"/>
        <w:rPr>
          <w:szCs w:val="22"/>
        </w:rPr>
      </w:pPr>
    </w:p>
    <w:p w14:paraId="3F65DEAB" w14:textId="77777777" w:rsidR="00E22C3D" w:rsidRPr="00F37D4D" w:rsidRDefault="00BE7CB1" w:rsidP="00F64BF9">
      <w:pPr>
        <w:spacing w:line="240" w:lineRule="auto"/>
        <w:rPr>
          <w:szCs w:val="22"/>
        </w:rPr>
      </w:pPr>
      <w:r>
        <w:t>Pri liečbe bevacizumabom môžu mať pacienti zvýšené riziko vzniku fistúl. U pacientov s tracheoezofageálnou (TE) fistulou alebo akoukoľvek fistulou 4. stupňa [podľa US National Cancer Institute-Common Terminology Criteria for Adverse Events [NCI-CTCAE v.3)] ukončite natrvalo liečbu Alymsysom. O pokračujúcom použití bevacizumabu u pacientov s inými fistulami sú k dispozícii len obmedzené informácie.</w:t>
      </w:r>
    </w:p>
    <w:p w14:paraId="421C20A2" w14:textId="77777777" w:rsidR="00E22C3D" w:rsidRPr="00F37D4D" w:rsidRDefault="00E22C3D" w:rsidP="00F64BF9">
      <w:pPr>
        <w:spacing w:line="240" w:lineRule="auto"/>
        <w:rPr>
          <w:szCs w:val="22"/>
        </w:rPr>
      </w:pPr>
    </w:p>
    <w:p w14:paraId="4C1CD0E0" w14:textId="77777777" w:rsidR="00E22C3D" w:rsidRPr="00F37D4D" w:rsidRDefault="00BE7CB1" w:rsidP="00F64BF9">
      <w:pPr>
        <w:spacing w:line="240" w:lineRule="auto"/>
        <w:rPr>
          <w:szCs w:val="22"/>
        </w:rPr>
      </w:pPr>
      <w:r>
        <w:t>V prípade vnútornej fistuly, ktorá nepochádza z gastrointestinálneho traktu, sa má zvážiť ukončenie liečby Alymsysom.</w:t>
      </w:r>
    </w:p>
    <w:p w14:paraId="0885FC0B" w14:textId="77777777" w:rsidR="00E22C3D" w:rsidRPr="00F37D4D" w:rsidRDefault="00E22C3D" w:rsidP="00F64BF9">
      <w:pPr>
        <w:spacing w:line="240" w:lineRule="auto"/>
        <w:rPr>
          <w:szCs w:val="22"/>
        </w:rPr>
      </w:pPr>
    </w:p>
    <w:p w14:paraId="1722DD3C" w14:textId="77777777" w:rsidR="00E22C3D" w:rsidRPr="00F37D4D" w:rsidRDefault="00BE7CB1" w:rsidP="00F64BF9">
      <w:pPr>
        <w:keepNext/>
        <w:spacing w:line="240" w:lineRule="auto"/>
        <w:rPr>
          <w:szCs w:val="22"/>
          <w:u w:val="single"/>
        </w:rPr>
      </w:pPr>
      <w:r>
        <w:rPr>
          <w:u w:val="single"/>
        </w:rPr>
        <w:t>Komplikácie hojenia rán (pozri časť 4.8)</w:t>
      </w:r>
    </w:p>
    <w:p w14:paraId="2F8DF2DB" w14:textId="77777777" w:rsidR="00E22C3D" w:rsidRPr="00F37D4D" w:rsidRDefault="00E22C3D" w:rsidP="00F64BF9">
      <w:pPr>
        <w:keepNext/>
        <w:spacing w:line="240" w:lineRule="auto"/>
        <w:rPr>
          <w:szCs w:val="22"/>
        </w:rPr>
      </w:pPr>
    </w:p>
    <w:p w14:paraId="73AA8DE7" w14:textId="77777777" w:rsidR="00E22C3D" w:rsidRPr="00F37D4D" w:rsidRDefault="00BE7CB1" w:rsidP="00F64BF9">
      <w:pPr>
        <w:spacing w:line="240" w:lineRule="auto"/>
        <w:rPr>
          <w:szCs w:val="22"/>
        </w:rPr>
      </w:pPr>
      <w:r>
        <w:t>Bevacizumab môže nepriaznivo ovplyvniť proces hojenia rán. Hlásili sa závažné komplikácie hojenia rán vrátane anastomotických komplikácií s fatálnym následkom. Liečba sa nesmie začať najmenej 28 dní po veľkom chirurgickom výkone alebo až do úplného zahojenia operačnej rany. U pacientov, ktorí majú počas liečby komplikácie s hojením rán, sa má liečba oddialiť až do úplného zahojenia rany. Pred plánovaným chirurgickým výkonom sa má liečba oddialiť.</w:t>
      </w:r>
    </w:p>
    <w:p w14:paraId="7112C8A8" w14:textId="77777777" w:rsidR="00E22C3D" w:rsidRPr="00F37D4D" w:rsidRDefault="00E22C3D" w:rsidP="00F64BF9">
      <w:pPr>
        <w:spacing w:line="240" w:lineRule="auto"/>
        <w:rPr>
          <w:szCs w:val="22"/>
        </w:rPr>
      </w:pPr>
    </w:p>
    <w:p w14:paraId="78A8CB0A" w14:textId="77777777" w:rsidR="00E22C3D" w:rsidRPr="00F37D4D" w:rsidRDefault="00BE7CB1" w:rsidP="00F64BF9">
      <w:pPr>
        <w:spacing w:line="240" w:lineRule="auto"/>
        <w:rPr>
          <w:szCs w:val="22"/>
        </w:rPr>
      </w:pPr>
      <w:r>
        <w:t>Prípady nekrotizujúcej fasciitídy vrátane fatálnych, boli zriedkavo hlásené u pacientov liečených bevacizumabom. Toto ochorenie sa zvyčajne objaví sekundárne pri komplikáciách hojenia rán, pri gastrointestinálnej perforácii alebo pri vytvorení fistuly. Liečba Alymsysom sa má ukončiť u pacientov, u ktorých sa vyvinula nekrotizujúca fasciitída a okamžite je potrebné začať náležitú liečbu.</w:t>
      </w:r>
    </w:p>
    <w:p w14:paraId="7E824221" w14:textId="77777777" w:rsidR="00E22C3D" w:rsidRPr="00F37D4D" w:rsidRDefault="00E22C3D" w:rsidP="00F64BF9">
      <w:pPr>
        <w:spacing w:line="240" w:lineRule="auto"/>
        <w:rPr>
          <w:szCs w:val="22"/>
        </w:rPr>
      </w:pPr>
    </w:p>
    <w:p w14:paraId="662FE3CC" w14:textId="77777777" w:rsidR="00E22C3D" w:rsidRPr="00F37D4D" w:rsidRDefault="00BE7CB1" w:rsidP="00F64BF9">
      <w:pPr>
        <w:keepNext/>
        <w:spacing w:line="240" w:lineRule="auto"/>
        <w:rPr>
          <w:szCs w:val="22"/>
          <w:u w:val="single"/>
        </w:rPr>
      </w:pPr>
      <w:r>
        <w:rPr>
          <w:u w:val="single"/>
        </w:rPr>
        <w:lastRenderedPageBreak/>
        <w:t>Hypertenzia (pozri časť 4.8)</w:t>
      </w:r>
    </w:p>
    <w:p w14:paraId="5642F408" w14:textId="77777777" w:rsidR="00E22C3D" w:rsidRPr="00F37D4D" w:rsidRDefault="00E22C3D" w:rsidP="00F64BF9">
      <w:pPr>
        <w:keepNext/>
        <w:spacing w:line="240" w:lineRule="auto"/>
        <w:rPr>
          <w:szCs w:val="22"/>
        </w:rPr>
      </w:pPr>
    </w:p>
    <w:p w14:paraId="6198B876" w14:textId="77777777" w:rsidR="00E22C3D" w:rsidRPr="00F37D4D" w:rsidRDefault="00BE7CB1" w:rsidP="00F64BF9">
      <w:pPr>
        <w:spacing w:line="240" w:lineRule="auto"/>
        <w:rPr>
          <w:szCs w:val="22"/>
        </w:rPr>
      </w:pPr>
      <w:r>
        <w:t>U pacientov liečených bevacizumabom sa pozoroval zvýšený výskyt hypertenzie. Údaje o klinickej bezpečnosti naznačujú, že výskyt hypertenzie je pravdepodobne závislý od dávky. Hypertenziu vyskytujúcu sa pred liečbou je potrebné adekvátne kontrolovať pred začatím liečby Alymsysom. Nie sú žiadne informácie o účinku bevacizumabu u pacientov s neliečenou hypertenziou na začiatku liečby.</w:t>
      </w:r>
    </w:p>
    <w:p w14:paraId="3AE973BD" w14:textId="77777777" w:rsidR="00E22C3D" w:rsidRPr="00F37D4D" w:rsidRDefault="00E22C3D" w:rsidP="00F64BF9">
      <w:pPr>
        <w:spacing w:line="240" w:lineRule="auto"/>
        <w:rPr>
          <w:szCs w:val="22"/>
        </w:rPr>
      </w:pPr>
    </w:p>
    <w:p w14:paraId="2909F094" w14:textId="77777777" w:rsidR="00E22C3D" w:rsidRPr="00F37D4D" w:rsidRDefault="00BE7CB1" w:rsidP="00F64BF9">
      <w:pPr>
        <w:spacing w:line="240" w:lineRule="auto"/>
        <w:rPr>
          <w:szCs w:val="22"/>
        </w:rPr>
      </w:pPr>
      <w:r>
        <w:t>Počas liečby sa spravidla odporúča sledovať krvný tlak.</w:t>
      </w:r>
    </w:p>
    <w:p w14:paraId="7D5F2C36" w14:textId="77777777" w:rsidR="00E22C3D" w:rsidRPr="00F37D4D" w:rsidRDefault="00E22C3D" w:rsidP="00F64BF9">
      <w:pPr>
        <w:spacing w:line="240" w:lineRule="auto"/>
        <w:rPr>
          <w:szCs w:val="22"/>
        </w:rPr>
      </w:pPr>
    </w:p>
    <w:p w14:paraId="47301AA3" w14:textId="77777777" w:rsidR="00E22C3D" w:rsidRPr="00F37D4D" w:rsidRDefault="00BE7CB1" w:rsidP="00F64BF9">
      <w:pPr>
        <w:spacing w:line="240" w:lineRule="auto"/>
        <w:rPr>
          <w:szCs w:val="22"/>
        </w:rPr>
      </w:pPr>
      <w:r>
        <w:t>Vo väčšine prípadov bola hypertenzia dostatočne zvládnutá pomocou štandardnej antihypertenznej liečby vhodnej pre individuálnu situáciu postihnutého pacienta. Použitie diuretík na zvládnutie hypertenzie sa neodporúča u pacientov, ktorí sú liečení chemoterapiou na báze cisplatiny. Liečbu Alymsysom je potrebné natrvalo ukončiť, ak medicínsky významnú hypertenziu nie je možné dostatočne zvládnuť antihypertenznou liečbou, alebo ak sa u pacienta rozvinie hypertenzná kríza alebo hypertenzná encefalopatia.</w:t>
      </w:r>
    </w:p>
    <w:p w14:paraId="1B7AC558" w14:textId="77777777" w:rsidR="00E22C3D" w:rsidRPr="00F37D4D" w:rsidRDefault="00E22C3D" w:rsidP="00F64BF9">
      <w:pPr>
        <w:spacing w:line="240" w:lineRule="auto"/>
        <w:rPr>
          <w:szCs w:val="22"/>
        </w:rPr>
      </w:pPr>
    </w:p>
    <w:p w14:paraId="4FF18A8C" w14:textId="77777777" w:rsidR="00E22C3D" w:rsidRPr="00F37D4D" w:rsidRDefault="00BE7CB1" w:rsidP="00F64BF9">
      <w:pPr>
        <w:keepNext/>
        <w:spacing w:line="240" w:lineRule="auto"/>
        <w:rPr>
          <w:szCs w:val="22"/>
          <w:u w:val="single"/>
        </w:rPr>
      </w:pPr>
      <w:r>
        <w:rPr>
          <w:u w:val="single"/>
        </w:rPr>
        <w:t>Posteriórny reverzibilný encefalopatický syndróm (PRES) (pozri časť 4.8)</w:t>
      </w:r>
    </w:p>
    <w:p w14:paraId="005D04F0" w14:textId="77777777" w:rsidR="00E22C3D" w:rsidRPr="00F37D4D" w:rsidRDefault="00E22C3D" w:rsidP="00F64BF9">
      <w:pPr>
        <w:keepNext/>
        <w:spacing w:line="240" w:lineRule="auto"/>
        <w:rPr>
          <w:szCs w:val="22"/>
        </w:rPr>
      </w:pPr>
    </w:p>
    <w:p w14:paraId="0B932A21" w14:textId="77777777" w:rsidR="00E22C3D" w:rsidRPr="00F37D4D" w:rsidRDefault="00BE7CB1" w:rsidP="00F64BF9">
      <w:pPr>
        <w:spacing w:line="240" w:lineRule="auto"/>
        <w:rPr>
          <w:szCs w:val="22"/>
        </w:rPr>
      </w:pPr>
      <w:r>
        <w:t xml:space="preserve">U pacientov, ktorí sú liečení bevacizumabom, sú zriedkavé hlásenia prípadov </w:t>
      </w:r>
      <w:r w:rsidRPr="00F14E99">
        <w:t>rozvinutia prejavov a symptómov, ktoré sú konzistentné s PRES, zriedkavou neurologickou poruchou, ktorá sa</w:t>
      </w:r>
      <w:r>
        <w:t xml:space="preserve"> môže prejaviť okrem iných, nasledovnými prejavmi a symptómami: záchvaty, bolesť hlavy, zmenený mentálny stav, porucha videnia alebo kortikálna slepota súvisiaca s hypertenziou alebo bez nej. Diagnóza PRES si vyžaduje potvrdenie zobrazovacím vyšetrením mozgu, najlepšie zobrazením magnetickou rezonanciou (MRI, magnetic resonance imaging). U pacientov s vyvinutým PRES sa odporúča liečba špecifických symptómov vrátane liečby hypertenzie súčasne s prerušením liečby Alymsysom. Bezpečnosť opätovného začatia liečby bevacizumabom u pacientov, ktorí mali v minulosti PRES, nie je známa.</w:t>
      </w:r>
    </w:p>
    <w:p w14:paraId="27C3FDA5" w14:textId="77777777" w:rsidR="00E22C3D" w:rsidRPr="00F37D4D" w:rsidRDefault="00E22C3D" w:rsidP="00F64BF9">
      <w:pPr>
        <w:spacing w:line="240" w:lineRule="auto"/>
        <w:rPr>
          <w:szCs w:val="22"/>
        </w:rPr>
      </w:pPr>
    </w:p>
    <w:p w14:paraId="24E67A00" w14:textId="77777777" w:rsidR="00E22C3D" w:rsidRPr="00F37D4D" w:rsidRDefault="00BE7CB1" w:rsidP="00F64BF9">
      <w:pPr>
        <w:keepNext/>
        <w:spacing w:line="240" w:lineRule="auto"/>
        <w:rPr>
          <w:szCs w:val="22"/>
          <w:u w:val="single"/>
        </w:rPr>
      </w:pPr>
      <w:r>
        <w:rPr>
          <w:u w:val="single"/>
        </w:rPr>
        <w:t>Proteinúria (pozri časť 4.8)</w:t>
      </w:r>
    </w:p>
    <w:p w14:paraId="38E31F24" w14:textId="77777777" w:rsidR="00E22C3D" w:rsidRPr="00F37D4D" w:rsidRDefault="00E22C3D" w:rsidP="00F64BF9">
      <w:pPr>
        <w:keepNext/>
        <w:spacing w:line="240" w:lineRule="auto"/>
        <w:rPr>
          <w:szCs w:val="22"/>
        </w:rPr>
      </w:pPr>
    </w:p>
    <w:p w14:paraId="7C2E6EB2" w14:textId="2093BC26" w:rsidR="00E22C3D" w:rsidRPr="00F37D4D" w:rsidRDefault="00BE7CB1" w:rsidP="00F64BF9">
      <w:pPr>
        <w:spacing w:line="240" w:lineRule="auto"/>
        <w:rPr>
          <w:szCs w:val="22"/>
        </w:rPr>
      </w:pPr>
      <w:r>
        <w:t>U pacientov s hypertenziou v anamnéze sa môže pri liečbe bevacizumabom zvýšiť riziko vzniku proteinúrie. Existuj</w:t>
      </w:r>
      <w:r w:rsidR="002868C8">
        <w:t>e</w:t>
      </w:r>
      <w:r>
        <w:t xml:space="preserve"> dôkaz naznačujúc</w:t>
      </w:r>
      <w:r w:rsidR="005E5676">
        <w:t>i</w:t>
      </w:r>
      <w:r>
        <w:t>, že proteinúria všetkých stupňov (NCI-CTCAE v.3) môže súvisieť s dávkou. Pred začiatkom liečby a počas liečby sa odporúča sledovať proteinúriu pomocou analýzy moču lakmusovým papierikom. Proteinúria 4. stupňa (nefrotický syndróm) bola pozorovaná až u 1,4 % pacientov liečených bevacizumabom. U pacientov, u ktorých sa vyvinie nefrotický syndróm (NCI-CTCAE v.3) sa má liečba natrvalo ukončiť.</w:t>
      </w:r>
    </w:p>
    <w:p w14:paraId="1C599741" w14:textId="77777777" w:rsidR="00E22C3D" w:rsidRPr="00F37D4D" w:rsidRDefault="00E22C3D" w:rsidP="00F64BF9">
      <w:pPr>
        <w:spacing w:line="240" w:lineRule="auto"/>
        <w:rPr>
          <w:szCs w:val="22"/>
        </w:rPr>
      </w:pPr>
    </w:p>
    <w:p w14:paraId="340C645E" w14:textId="77777777" w:rsidR="00E22C3D" w:rsidRPr="00F37D4D" w:rsidRDefault="00BE7CB1" w:rsidP="00F64BF9">
      <w:pPr>
        <w:keepNext/>
        <w:spacing w:line="240" w:lineRule="auto"/>
        <w:rPr>
          <w:szCs w:val="22"/>
          <w:u w:val="single"/>
        </w:rPr>
      </w:pPr>
      <w:r>
        <w:rPr>
          <w:u w:val="single"/>
        </w:rPr>
        <w:t>Arteriálny tromboembolizmus (pozri časť 4.8)</w:t>
      </w:r>
    </w:p>
    <w:p w14:paraId="5A733620" w14:textId="77777777" w:rsidR="00E22C3D" w:rsidRPr="00F37D4D" w:rsidRDefault="00E22C3D" w:rsidP="00F64BF9">
      <w:pPr>
        <w:keepNext/>
        <w:spacing w:line="240" w:lineRule="auto"/>
        <w:rPr>
          <w:szCs w:val="22"/>
        </w:rPr>
      </w:pPr>
    </w:p>
    <w:p w14:paraId="10F04A83" w14:textId="77777777" w:rsidR="00E22C3D" w:rsidRPr="00F37D4D" w:rsidRDefault="00BE7CB1" w:rsidP="00F64BF9">
      <w:pPr>
        <w:spacing w:line="240" w:lineRule="auto"/>
        <w:rPr>
          <w:szCs w:val="22"/>
        </w:rPr>
      </w:pPr>
      <w:r>
        <w:t>V klinických skúšaniach bol výskyt arteriálnych tromboembolických reakcií vrátane cerebrovaskulárnych príhod (CVA, cerebrovascular accidents), prechodných ischemických atakov (TIA, transient ischaemic attacks) a infarktu myokardu (MI, myocardial infarction) vyšší u pacientov, ktorí dostávali bevacizumab v kombinácii s chemoterapiou v porovnaní s pacientmi, ktorí dostávali samotnú chemoterapiu.</w:t>
      </w:r>
    </w:p>
    <w:p w14:paraId="6D6731BE" w14:textId="77777777" w:rsidR="00E22C3D" w:rsidRPr="00F37D4D" w:rsidRDefault="00E22C3D" w:rsidP="00F64BF9">
      <w:pPr>
        <w:spacing w:line="240" w:lineRule="auto"/>
        <w:rPr>
          <w:szCs w:val="22"/>
        </w:rPr>
      </w:pPr>
    </w:p>
    <w:p w14:paraId="2AEC4208" w14:textId="77777777" w:rsidR="00E22C3D" w:rsidRPr="00F37D4D" w:rsidRDefault="00BE7CB1" w:rsidP="00F64BF9">
      <w:pPr>
        <w:spacing w:line="240" w:lineRule="auto"/>
        <w:rPr>
          <w:szCs w:val="22"/>
        </w:rPr>
      </w:pPr>
      <w:r>
        <w:t>Pacienti s arteriálnym tromboembolizmom, diabetom v anamnéze alebo vo veku vyššom ako 65 rokov, ktorí dostávali bevacizumab plus chemoterapiu, majú počas liečby zvýšené riziko vývoja arteriálnych tromboembolických reakcií. Keď sa títo pacienti liečia Alymsysom, je potrebná opatrnosť.</w:t>
      </w:r>
    </w:p>
    <w:p w14:paraId="44ADF80F" w14:textId="77777777" w:rsidR="00E22C3D" w:rsidRPr="00F37D4D" w:rsidRDefault="00E22C3D" w:rsidP="00F64BF9">
      <w:pPr>
        <w:spacing w:line="240" w:lineRule="auto"/>
        <w:rPr>
          <w:szCs w:val="22"/>
        </w:rPr>
      </w:pPr>
    </w:p>
    <w:p w14:paraId="61123868" w14:textId="77777777" w:rsidR="00E22C3D" w:rsidRPr="00F37D4D" w:rsidRDefault="00BE7CB1" w:rsidP="00F64BF9">
      <w:pPr>
        <w:spacing w:line="240" w:lineRule="auto"/>
        <w:rPr>
          <w:szCs w:val="22"/>
        </w:rPr>
      </w:pPr>
      <w:r>
        <w:t>Liečbu je potrebné natrvalo ukončiť u pacientov s arteriálnymi tromboembolickými reakciami.</w:t>
      </w:r>
    </w:p>
    <w:p w14:paraId="130AC946" w14:textId="77777777" w:rsidR="00E22C3D" w:rsidRPr="00F37D4D" w:rsidRDefault="00E22C3D" w:rsidP="00F64BF9">
      <w:pPr>
        <w:spacing w:line="240" w:lineRule="auto"/>
        <w:rPr>
          <w:szCs w:val="22"/>
        </w:rPr>
      </w:pPr>
    </w:p>
    <w:p w14:paraId="1FD82D97" w14:textId="77777777" w:rsidR="00E22C3D" w:rsidRPr="00F37D4D" w:rsidRDefault="00BE7CB1" w:rsidP="00F64BF9">
      <w:pPr>
        <w:keepNext/>
        <w:spacing w:line="240" w:lineRule="auto"/>
        <w:rPr>
          <w:szCs w:val="22"/>
          <w:u w:val="single"/>
        </w:rPr>
      </w:pPr>
      <w:r>
        <w:rPr>
          <w:u w:val="single"/>
        </w:rPr>
        <w:t>Venózny tromboembolizmus (pozri časť 4.8)</w:t>
      </w:r>
    </w:p>
    <w:p w14:paraId="4359C54F" w14:textId="77777777" w:rsidR="00E22C3D" w:rsidRPr="00F37D4D" w:rsidRDefault="00E22C3D" w:rsidP="00F64BF9">
      <w:pPr>
        <w:keepNext/>
        <w:spacing w:line="240" w:lineRule="auto"/>
        <w:rPr>
          <w:szCs w:val="22"/>
        </w:rPr>
      </w:pPr>
    </w:p>
    <w:p w14:paraId="65F33E2A" w14:textId="77777777" w:rsidR="00E22C3D" w:rsidRPr="00F37D4D" w:rsidRDefault="00BE7CB1" w:rsidP="00F64BF9">
      <w:pPr>
        <w:spacing w:line="240" w:lineRule="auto"/>
        <w:rPr>
          <w:szCs w:val="22"/>
        </w:rPr>
      </w:pPr>
      <w:r>
        <w:t>Počas liečby bevacizumabom môžu mať pacienti zvýšené riziko vzniku venóznych tromboembolických reakcií vrátane pľúcnej embólie.</w:t>
      </w:r>
    </w:p>
    <w:p w14:paraId="3FA4C2A0" w14:textId="77777777" w:rsidR="00E22C3D" w:rsidRPr="00F37D4D" w:rsidRDefault="00E22C3D" w:rsidP="00F64BF9">
      <w:pPr>
        <w:spacing w:line="240" w:lineRule="auto"/>
        <w:rPr>
          <w:szCs w:val="22"/>
        </w:rPr>
      </w:pPr>
    </w:p>
    <w:p w14:paraId="2ECB4726" w14:textId="77777777" w:rsidR="00E22C3D" w:rsidRPr="00F37D4D" w:rsidRDefault="00BE7CB1" w:rsidP="00F64BF9">
      <w:pPr>
        <w:spacing w:line="240" w:lineRule="auto"/>
        <w:rPr>
          <w:szCs w:val="22"/>
        </w:rPr>
      </w:pPr>
      <w:r>
        <w:t>Pacientky liečené na pretrvávajúci, rekurentný alebo metastatický karcinóm krčka maternice bevacizumabom v kombinácii s paklitaxelom a cisplatinou môžu mať zvýšené riziko venóznych tromboembolických príhod.</w:t>
      </w:r>
    </w:p>
    <w:p w14:paraId="47753A2C" w14:textId="77777777" w:rsidR="00E22C3D" w:rsidRPr="00F37D4D" w:rsidRDefault="00E22C3D" w:rsidP="00F64BF9">
      <w:pPr>
        <w:spacing w:line="240" w:lineRule="auto"/>
        <w:rPr>
          <w:szCs w:val="22"/>
        </w:rPr>
      </w:pPr>
    </w:p>
    <w:p w14:paraId="77457AC1" w14:textId="77777777" w:rsidR="00E22C3D" w:rsidRPr="00F37D4D" w:rsidRDefault="00BE7CB1" w:rsidP="00F64BF9">
      <w:pPr>
        <w:spacing w:line="240" w:lineRule="auto"/>
        <w:rPr>
          <w:szCs w:val="22"/>
        </w:rPr>
      </w:pPr>
      <w:r>
        <w:t>Podávanie Alymsysu sa má ukončiť u pacientov so život ohrozujúcimi tromboembolickými reakciami (4. stupňa) vrátane pľúcnej embólie (NCI-CTCAE v.3). Pacientov s tromboembolickými reakciami ≤ 3. stupňa treba pozorne sledovať (NCI-CTCAE v.3).</w:t>
      </w:r>
    </w:p>
    <w:p w14:paraId="3F8336F9" w14:textId="77777777" w:rsidR="00E22C3D" w:rsidRPr="00F37D4D" w:rsidRDefault="00E22C3D" w:rsidP="00F64BF9">
      <w:pPr>
        <w:spacing w:line="240" w:lineRule="auto"/>
        <w:rPr>
          <w:szCs w:val="22"/>
        </w:rPr>
      </w:pPr>
    </w:p>
    <w:p w14:paraId="27E0C7D9" w14:textId="77777777" w:rsidR="00E22C3D" w:rsidRPr="00F37D4D" w:rsidRDefault="00BE7CB1" w:rsidP="00F64BF9">
      <w:pPr>
        <w:keepNext/>
        <w:spacing w:line="240" w:lineRule="auto"/>
        <w:rPr>
          <w:szCs w:val="22"/>
          <w:u w:val="single"/>
        </w:rPr>
      </w:pPr>
      <w:r>
        <w:rPr>
          <w:u w:val="single"/>
        </w:rPr>
        <w:t>Krvácanie</w:t>
      </w:r>
    </w:p>
    <w:p w14:paraId="755F9E0E" w14:textId="77777777" w:rsidR="00E22C3D" w:rsidRPr="00F37D4D" w:rsidRDefault="00E22C3D" w:rsidP="00F64BF9">
      <w:pPr>
        <w:keepNext/>
        <w:spacing w:line="240" w:lineRule="auto"/>
        <w:rPr>
          <w:szCs w:val="22"/>
        </w:rPr>
      </w:pPr>
    </w:p>
    <w:p w14:paraId="703F7133" w14:textId="77777777" w:rsidR="00E22C3D" w:rsidRPr="00F37D4D" w:rsidRDefault="00BE7CB1" w:rsidP="00F64BF9">
      <w:pPr>
        <w:spacing w:line="240" w:lineRule="auto"/>
        <w:rPr>
          <w:szCs w:val="22"/>
        </w:rPr>
      </w:pPr>
      <w:r>
        <w:t>Pacienti liečení bevacizumabom majú zvýšené riziko krvácania, hlavne krvácania spojeného s nádorom. Liečbu Alymsysom treba natrvalo ukončiť u pacientov, u ktorých sa počas liečby bevacizumabom vyskytlo krvácanie 3. alebo 4. stupňa (NCI-CTCAE v.3) (pozri časť 4.8).</w:t>
      </w:r>
    </w:p>
    <w:p w14:paraId="4CE6A3F1" w14:textId="77777777" w:rsidR="00E22C3D" w:rsidRPr="00F37D4D" w:rsidRDefault="00E22C3D" w:rsidP="00F64BF9">
      <w:pPr>
        <w:spacing w:line="240" w:lineRule="auto"/>
        <w:rPr>
          <w:szCs w:val="22"/>
        </w:rPr>
      </w:pPr>
    </w:p>
    <w:p w14:paraId="472C3C7A" w14:textId="77777777" w:rsidR="00E22C3D" w:rsidRPr="00F37D4D" w:rsidRDefault="00BE7CB1" w:rsidP="00F64BF9">
      <w:pPr>
        <w:spacing w:line="240" w:lineRule="auto"/>
        <w:rPr>
          <w:szCs w:val="22"/>
        </w:rPr>
      </w:pPr>
      <w:r>
        <w:t>Pacienti s neliečenými metastázami v CNS boli z klinických skúšaní s bevacizumabom obvykle vylúčení, a to na základe zobrazovacích vyšetrení alebo prejavov a symptómov. Riziko krvácania do CNS u takýchto pacientov sa preto v randomizovaných klinických skúšaniach prospektívne nehodnotilo (pozri časť 4.8). Pacientov treba sledovať z dôvodu prejavov a symptómom krvácania do CNS a v prípadoch intrakraniálneho krvácania sa má liečba Alymsysom ukončiť.</w:t>
      </w:r>
    </w:p>
    <w:p w14:paraId="0718EBB1" w14:textId="77777777" w:rsidR="00E22C3D" w:rsidRPr="00F37D4D" w:rsidRDefault="00E22C3D" w:rsidP="00F64BF9">
      <w:pPr>
        <w:spacing w:line="240" w:lineRule="auto"/>
        <w:rPr>
          <w:szCs w:val="22"/>
        </w:rPr>
      </w:pPr>
    </w:p>
    <w:p w14:paraId="621690D5" w14:textId="77777777" w:rsidR="00E22C3D" w:rsidRPr="00F37D4D" w:rsidRDefault="00BE7CB1" w:rsidP="00F64BF9">
      <w:pPr>
        <w:spacing w:line="240" w:lineRule="auto"/>
        <w:rPr>
          <w:szCs w:val="22"/>
        </w:rPr>
      </w:pPr>
      <w:r>
        <w:t>Nie sú žiadne informácie o bezpečnostnom profile bevacizumabu u pacientov s kongenitálnou dispozíciou na krvácanie, so získanou koagulopatiou alebo u pacientov, ktorí dostávajú plnú dávku antikoagulancií na liečbu tromboembolizmu pred začatím liečby bevacizumabom, pretože takíto pacienti boli vylúčení z klinických skúšaní. Pred začatím liečby je preto u týchto pacientov potrebná opatrnosť. U pacientov, u ktorých sa vyvinula venózna trombóza sa však počas liečby neprejavila zvýšená miera krvácania 3. alebo vyššieho stupňa, keď sa súbežne liečili plnou dávkou warfarínu s bevacizumabom (NCI-CTCAE v.3).</w:t>
      </w:r>
    </w:p>
    <w:p w14:paraId="16BF29AD" w14:textId="77777777" w:rsidR="00E22C3D" w:rsidRPr="00F37D4D" w:rsidRDefault="00E22C3D" w:rsidP="00F64BF9">
      <w:pPr>
        <w:spacing w:line="240" w:lineRule="auto"/>
        <w:rPr>
          <w:szCs w:val="22"/>
        </w:rPr>
      </w:pPr>
    </w:p>
    <w:p w14:paraId="3EAE93B6" w14:textId="77777777" w:rsidR="00E22C3D" w:rsidRPr="00F37D4D" w:rsidRDefault="00BE7CB1" w:rsidP="00F64BF9">
      <w:pPr>
        <w:keepNext/>
        <w:spacing w:line="240" w:lineRule="auto"/>
        <w:rPr>
          <w:szCs w:val="22"/>
          <w:u w:val="single"/>
        </w:rPr>
      </w:pPr>
      <w:r>
        <w:rPr>
          <w:u w:val="single"/>
        </w:rPr>
        <w:t>Pľúcne krvácanie/hemoptýza</w:t>
      </w:r>
    </w:p>
    <w:p w14:paraId="4A6579FE" w14:textId="77777777" w:rsidR="00E22C3D" w:rsidRPr="00F37D4D" w:rsidRDefault="00E22C3D" w:rsidP="00F64BF9">
      <w:pPr>
        <w:keepNext/>
        <w:spacing w:line="240" w:lineRule="auto"/>
        <w:rPr>
          <w:szCs w:val="22"/>
        </w:rPr>
      </w:pPr>
    </w:p>
    <w:p w14:paraId="3205ED0D" w14:textId="5EA5BC25" w:rsidR="00E22C3D" w:rsidRPr="00F37D4D" w:rsidRDefault="00BE7CB1" w:rsidP="00F64BF9">
      <w:pPr>
        <w:spacing w:line="240" w:lineRule="auto"/>
        <w:rPr>
          <w:szCs w:val="22"/>
        </w:rPr>
      </w:pPr>
      <w:r>
        <w:t>Pacienti s nemalobunkovým karcinómom pľúc liečení bevacizumabom môžu byť vystavení riziku závažného a v niektorých prípadoch fatálneho pľúcneho krvácania/hemoptýzy. Pacienti s nedávnym pľúcnym krvácaním/hemoptýzou (&gt; 2,5 ml červenej krvi) sa ne</w:t>
      </w:r>
      <w:r w:rsidR="002868C8">
        <w:t>majú</w:t>
      </w:r>
      <w:r w:rsidR="00B814E5">
        <w:t xml:space="preserve"> </w:t>
      </w:r>
      <w:r>
        <w:t>liečiť Alymsysom.</w:t>
      </w:r>
    </w:p>
    <w:p w14:paraId="2863D527" w14:textId="77777777" w:rsidR="001A1BBA" w:rsidRPr="00F37D4D" w:rsidRDefault="001A1BBA" w:rsidP="00F64BF9">
      <w:pPr>
        <w:spacing w:line="240" w:lineRule="auto"/>
        <w:rPr>
          <w:szCs w:val="22"/>
        </w:rPr>
      </w:pPr>
    </w:p>
    <w:p w14:paraId="18F5134F" w14:textId="77777777" w:rsidR="001A1BBA" w:rsidRPr="00F37D4D" w:rsidRDefault="00BE7CB1" w:rsidP="00F64BF9">
      <w:pPr>
        <w:keepNext/>
        <w:spacing w:line="240" w:lineRule="auto"/>
        <w:rPr>
          <w:szCs w:val="22"/>
          <w:u w:val="single"/>
        </w:rPr>
      </w:pPr>
      <w:r>
        <w:rPr>
          <w:u w:val="single"/>
        </w:rPr>
        <w:t>Aneuryzmy a arteriálne disekcie</w:t>
      </w:r>
    </w:p>
    <w:p w14:paraId="0CF284E2" w14:textId="77777777" w:rsidR="001A1BBA" w:rsidRPr="00F37D4D" w:rsidRDefault="001A1BBA" w:rsidP="00F64BF9">
      <w:pPr>
        <w:keepNext/>
        <w:spacing w:line="240" w:lineRule="auto"/>
        <w:rPr>
          <w:szCs w:val="22"/>
        </w:rPr>
      </w:pPr>
    </w:p>
    <w:p w14:paraId="4EE09B02" w14:textId="77777777" w:rsidR="001A1BBA" w:rsidRPr="00F37D4D" w:rsidRDefault="00BE7CB1" w:rsidP="00F64BF9">
      <w:pPr>
        <w:spacing w:line="240" w:lineRule="auto"/>
        <w:rPr>
          <w:szCs w:val="22"/>
        </w:rPr>
      </w:pPr>
      <w:r>
        <w:t>Používanie inhibítorov dráhy vaskulárneho endotelového rastového faktora (VEGF, vascular endothelial growth factor) u pacientov s hypertenziou alebo bez nej môže podporovať tvorbu aneuryziem a/alebo arteriálnych disekcií. Pred začatím liečby Alymsysom je potrebné toto riziko dôkladne zvážiť u pacientov s rizikovými faktormi, ako je hypertenzia alebo aneuryzma v anamnéze.</w:t>
      </w:r>
    </w:p>
    <w:p w14:paraId="19A76B74" w14:textId="77777777" w:rsidR="00E22C3D" w:rsidRPr="00F37D4D" w:rsidRDefault="00E22C3D" w:rsidP="00F64BF9">
      <w:pPr>
        <w:spacing w:line="240" w:lineRule="auto"/>
        <w:rPr>
          <w:szCs w:val="22"/>
        </w:rPr>
      </w:pPr>
    </w:p>
    <w:p w14:paraId="46D1FECE" w14:textId="77777777" w:rsidR="00E22C3D" w:rsidRPr="00F37D4D" w:rsidRDefault="00BE7CB1" w:rsidP="00F64BF9">
      <w:pPr>
        <w:keepNext/>
        <w:spacing w:line="240" w:lineRule="auto"/>
        <w:rPr>
          <w:szCs w:val="22"/>
          <w:u w:val="single"/>
        </w:rPr>
      </w:pPr>
      <w:r>
        <w:rPr>
          <w:u w:val="single"/>
        </w:rPr>
        <w:t>Kongestívne zlyhávanie srdca (CHF, Congestive heart failure) (pozri časť 4.8)</w:t>
      </w:r>
    </w:p>
    <w:p w14:paraId="0129117C" w14:textId="77777777" w:rsidR="00E22C3D" w:rsidRPr="00F37D4D" w:rsidRDefault="00E22C3D" w:rsidP="00F64BF9">
      <w:pPr>
        <w:keepNext/>
        <w:spacing w:line="240" w:lineRule="auto"/>
        <w:rPr>
          <w:szCs w:val="22"/>
        </w:rPr>
      </w:pPr>
    </w:p>
    <w:p w14:paraId="1F908410" w14:textId="77777777" w:rsidR="00E22C3D" w:rsidRPr="00F37D4D" w:rsidRDefault="00BE7CB1" w:rsidP="00F64BF9">
      <w:pPr>
        <w:spacing w:line="240" w:lineRule="auto"/>
        <w:rPr>
          <w:szCs w:val="22"/>
        </w:rPr>
      </w:pPr>
      <w:r>
        <w:t>V klinických skúšaniach boli hlásené reakcie konzistentné s CHF. Nálezy boli v rozsahu od asymptomatického poklesu ejekčnej frakcie ľavej komory až po symptomatické CHF vyžadujúce si liečbu alebo hospitalizáciu. Pri liečbe Alymsysom je potrebné postupovať opatrne u pacientov s klinicky významným kardiovaskulárnym ochorením, ako je už existujúca koronárna choroba srdca alebo kongestívne zlyhávanie srdca.</w:t>
      </w:r>
    </w:p>
    <w:p w14:paraId="06270E44" w14:textId="77777777" w:rsidR="00E22C3D" w:rsidRPr="00F37D4D" w:rsidRDefault="00E22C3D" w:rsidP="00F64BF9">
      <w:pPr>
        <w:spacing w:line="240" w:lineRule="auto"/>
        <w:rPr>
          <w:szCs w:val="22"/>
        </w:rPr>
      </w:pPr>
    </w:p>
    <w:p w14:paraId="235B0B61" w14:textId="77777777" w:rsidR="00E22C3D" w:rsidRPr="00F37D4D" w:rsidRDefault="00BE7CB1" w:rsidP="00F64BF9">
      <w:pPr>
        <w:spacing w:line="240" w:lineRule="auto"/>
        <w:rPr>
          <w:szCs w:val="22"/>
        </w:rPr>
      </w:pPr>
      <w:r>
        <w:t>Väčšina pacientov, u ktorých došlo k CHF, mala metastatický karcinóm prsníka a bola predtým liečená antracyklínmi, rádioterapiou na ľavú časť hrudnej steny alebo mali iné rizikové faktory vzniku CHF.</w:t>
      </w:r>
    </w:p>
    <w:p w14:paraId="76D03AB3" w14:textId="77777777" w:rsidR="00E22C3D" w:rsidRPr="00F37D4D" w:rsidRDefault="00E22C3D" w:rsidP="00F64BF9">
      <w:pPr>
        <w:spacing w:line="240" w:lineRule="auto"/>
        <w:rPr>
          <w:szCs w:val="22"/>
        </w:rPr>
      </w:pPr>
    </w:p>
    <w:p w14:paraId="2D68DEE6" w14:textId="77777777" w:rsidR="00E22C3D" w:rsidRPr="00F37D4D" w:rsidRDefault="00BE7CB1" w:rsidP="00F64BF9">
      <w:pPr>
        <w:spacing w:line="240" w:lineRule="auto"/>
        <w:rPr>
          <w:szCs w:val="22"/>
        </w:rPr>
      </w:pPr>
      <w:r>
        <w:t xml:space="preserve">U pacientov v klinickom skúšaní AVF3694g, ktorí dostali liečbu antracyklínmi a predtým antracyklíny nedostávali, sa nepozorovala zvýšená incidencia CHF akéhokoľvek stupňa v skupine antracyklín + bevacizumab v porovnaní s liečbou iba antracyklínmi. Reakcie CHF 3. alebo vyššieho </w:t>
      </w:r>
      <w:r>
        <w:lastRenderedPageBreak/>
        <w:t>stupňa sa vyskytovali o niečo častejšie u pacientov dostávajúcich bevacizumab v kombinácii s chemoterapiou než u pacientov dostávajúcich samotnú chemoterapiu. To je v zhode s výsledkami pacientov v iných štúdiách s metastatickým karcinómom prsníka, ktorí nedostávali súbežnú antracyklínovú liečbu (NCI-CTCAE v.3) (pozri časť 4.8).</w:t>
      </w:r>
    </w:p>
    <w:p w14:paraId="2B3BF526" w14:textId="77777777" w:rsidR="00E22C3D" w:rsidRPr="00F37D4D" w:rsidRDefault="00E22C3D" w:rsidP="00F64BF9">
      <w:pPr>
        <w:spacing w:line="240" w:lineRule="auto"/>
        <w:rPr>
          <w:szCs w:val="22"/>
        </w:rPr>
      </w:pPr>
    </w:p>
    <w:p w14:paraId="3638733E" w14:textId="77777777" w:rsidR="00E22C3D" w:rsidRPr="00F37D4D" w:rsidRDefault="00BE7CB1" w:rsidP="00F64BF9">
      <w:pPr>
        <w:keepNext/>
        <w:spacing w:line="240" w:lineRule="auto"/>
        <w:rPr>
          <w:szCs w:val="22"/>
          <w:u w:val="single"/>
        </w:rPr>
      </w:pPr>
      <w:r>
        <w:rPr>
          <w:u w:val="single"/>
        </w:rPr>
        <w:t>Neutropénia a infekcie (pozri časť 4.8)</w:t>
      </w:r>
    </w:p>
    <w:p w14:paraId="2EA9F375" w14:textId="77777777" w:rsidR="00E22C3D" w:rsidRPr="00F37D4D" w:rsidRDefault="00E22C3D" w:rsidP="00F64BF9">
      <w:pPr>
        <w:keepNext/>
        <w:spacing w:line="240" w:lineRule="auto"/>
        <w:rPr>
          <w:szCs w:val="22"/>
        </w:rPr>
      </w:pPr>
    </w:p>
    <w:p w14:paraId="48ED927D" w14:textId="77777777" w:rsidR="00E22C3D" w:rsidRPr="00F37D4D" w:rsidRDefault="00BE7CB1" w:rsidP="00F64BF9">
      <w:pPr>
        <w:spacing w:line="240" w:lineRule="auto"/>
        <w:rPr>
          <w:szCs w:val="22"/>
        </w:rPr>
      </w:pPr>
      <w:r>
        <w:t>U pacientov liečených niektorými myelotoxickými chemoterapeutickými režimami plus bevacizumab sa v porovnaní so samotnou chemoterapiou pozoroval zvýšený výskyt závažnej neutropénie, febrilnej neutropénie alebo infekcie so závažnou neutropéniou alebo bez neutropénie (vrátane niektorých fatálnych prípadov). Pozorovalo sa to najmä v kombinovanej liečbe založenej na platine alebo taxánoch pri liečbe NSCLC, mBC a v kombinácii s paklitaxelom a topotekánom pri pretrvávajúcom, rekurentnom alebo metastickom karcinóme krčka maternice.</w:t>
      </w:r>
    </w:p>
    <w:p w14:paraId="5D19AE15" w14:textId="77777777" w:rsidR="00E22C3D" w:rsidRPr="00F37D4D" w:rsidRDefault="00E22C3D" w:rsidP="00F64BF9">
      <w:pPr>
        <w:spacing w:line="240" w:lineRule="auto"/>
        <w:rPr>
          <w:szCs w:val="22"/>
        </w:rPr>
      </w:pPr>
    </w:p>
    <w:p w14:paraId="3D385251" w14:textId="46275269" w:rsidR="00E22C3D" w:rsidRPr="00F37D4D" w:rsidRDefault="00BE7CB1" w:rsidP="00F64BF9">
      <w:pPr>
        <w:keepNext/>
        <w:spacing w:line="240" w:lineRule="auto"/>
        <w:rPr>
          <w:szCs w:val="22"/>
          <w:u w:val="single"/>
        </w:rPr>
      </w:pPr>
      <w:r>
        <w:rPr>
          <w:u w:val="single"/>
        </w:rPr>
        <w:t>Reakcie z</w:t>
      </w:r>
      <w:r w:rsidR="00E55D9E">
        <w:rPr>
          <w:u w:val="single"/>
        </w:rPr>
        <w:t> </w:t>
      </w:r>
      <w:r>
        <w:rPr>
          <w:u w:val="single"/>
        </w:rPr>
        <w:t>precitlivenosti</w:t>
      </w:r>
      <w:r w:rsidR="00E55D9E">
        <w:rPr>
          <w:u w:val="single"/>
        </w:rPr>
        <w:t xml:space="preserve"> </w:t>
      </w:r>
      <w:r w:rsidR="00E55D9E" w:rsidRPr="00E55D9E">
        <w:rPr>
          <w:u w:val="single"/>
        </w:rPr>
        <w:t>(vrátane anafylaktického šoku)</w:t>
      </w:r>
      <w:r>
        <w:rPr>
          <w:u w:val="single"/>
        </w:rPr>
        <w:t>/reakcie na infúziu (pozri časť 4.8)</w:t>
      </w:r>
    </w:p>
    <w:p w14:paraId="34BABC7A" w14:textId="77777777" w:rsidR="00E22C3D" w:rsidRPr="00F37D4D" w:rsidRDefault="00E22C3D" w:rsidP="00F64BF9">
      <w:pPr>
        <w:keepNext/>
        <w:spacing w:line="240" w:lineRule="auto"/>
        <w:rPr>
          <w:szCs w:val="22"/>
        </w:rPr>
      </w:pPr>
    </w:p>
    <w:p w14:paraId="7ADD5FFF" w14:textId="6D91514C" w:rsidR="00E22C3D" w:rsidRPr="00F37D4D" w:rsidRDefault="00BE7CB1" w:rsidP="00F64BF9">
      <w:pPr>
        <w:spacing w:line="240" w:lineRule="auto"/>
        <w:rPr>
          <w:szCs w:val="22"/>
        </w:rPr>
      </w:pPr>
      <w:r>
        <w:t>Pacient</w:t>
      </w:r>
      <w:r w:rsidR="006152F2">
        <w:t>i</w:t>
      </w:r>
      <w:r>
        <w:t xml:space="preserve"> môžu mať riziko vzniku reakcií na infúziu/reakcií z</w:t>
      </w:r>
      <w:r w:rsidR="00E55D9E">
        <w:t> </w:t>
      </w:r>
      <w:r>
        <w:t>precitlivenosti</w:t>
      </w:r>
      <w:r w:rsidR="00E55D9E">
        <w:t xml:space="preserve"> </w:t>
      </w:r>
      <w:r w:rsidR="00E55D9E" w:rsidRPr="00E55D9E">
        <w:t>(vrátane anafylaktického šoku)</w:t>
      </w:r>
      <w:r>
        <w:t xml:space="preserve">. Odporúča sa pozorné sledovanie pacienta počas a po podaní bevacizumabu, ako je bežné pri akejkoľvek infúzii terapeutickej humanizovanej monoklonálnej protilátky. Ak sa vykytne </w:t>
      </w:r>
      <w:r w:rsidR="006152F2">
        <w:t>reakcia</w:t>
      </w:r>
      <w:r>
        <w:t>, infúzia sa</w:t>
      </w:r>
      <w:r w:rsidR="006152F2">
        <w:t xml:space="preserve"> </w:t>
      </w:r>
      <w:r>
        <w:t>má prerušiť a má sa začať primeraná liečba. Systematická premedikácia sa nevyžaduje.</w:t>
      </w:r>
    </w:p>
    <w:p w14:paraId="19B8A503" w14:textId="77777777" w:rsidR="00E22C3D" w:rsidRPr="00F37D4D" w:rsidRDefault="00E22C3D" w:rsidP="00F64BF9">
      <w:pPr>
        <w:spacing w:line="240" w:lineRule="auto"/>
        <w:rPr>
          <w:szCs w:val="22"/>
        </w:rPr>
      </w:pPr>
    </w:p>
    <w:p w14:paraId="5B9F22CE" w14:textId="77777777" w:rsidR="00E22C3D" w:rsidRPr="00F37D4D" w:rsidRDefault="00BE7CB1" w:rsidP="00F64BF9">
      <w:pPr>
        <w:keepNext/>
        <w:spacing w:line="240" w:lineRule="auto"/>
        <w:rPr>
          <w:szCs w:val="22"/>
          <w:u w:val="single"/>
        </w:rPr>
      </w:pPr>
      <w:r>
        <w:rPr>
          <w:u w:val="single"/>
        </w:rPr>
        <w:t>Osteonekróza čeľuste (ONJ, Osteonecrosis of the jaw) (pozri časť 4.8)</w:t>
      </w:r>
    </w:p>
    <w:p w14:paraId="030713F4" w14:textId="77777777" w:rsidR="002216C5" w:rsidRPr="00DA33C1" w:rsidRDefault="002216C5" w:rsidP="00F64BF9">
      <w:pPr>
        <w:keepNext/>
        <w:spacing w:line="240" w:lineRule="auto"/>
      </w:pPr>
    </w:p>
    <w:p w14:paraId="41952652" w14:textId="77777777" w:rsidR="00E22C3D" w:rsidRPr="00F37D4D" w:rsidRDefault="00BE7CB1" w:rsidP="00F64BF9">
      <w:pPr>
        <w:spacing w:line="240" w:lineRule="auto"/>
        <w:rPr>
          <w:szCs w:val="22"/>
        </w:rPr>
      </w:pPr>
      <w:r>
        <w:t>Prípady ONJ boli hlásené u onkologických pacientov liečených bevacizumabom, z ktorých väčšina dostávala pred liečbou alebo súbežne s ňou intravenózne bisfosfonáty, u ktorých je identifikované riziko ONJ. Keď sa Alymsys a intravenózne bisfosfonáty podávajú súbežne alebo postupne, je nutné postupovať opatrne.</w:t>
      </w:r>
    </w:p>
    <w:p w14:paraId="11EBF7DA" w14:textId="77777777" w:rsidR="00E22C3D" w:rsidRPr="00F37D4D" w:rsidRDefault="00E22C3D" w:rsidP="00F64BF9">
      <w:pPr>
        <w:spacing w:line="240" w:lineRule="auto"/>
        <w:rPr>
          <w:szCs w:val="22"/>
        </w:rPr>
      </w:pPr>
    </w:p>
    <w:p w14:paraId="24902B6E" w14:textId="77777777" w:rsidR="00E22C3D" w:rsidRPr="00F37D4D" w:rsidRDefault="00BE7CB1" w:rsidP="00F64BF9">
      <w:pPr>
        <w:spacing w:line="240" w:lineRule="auto"/>
        <w:rPr>
          <w:szCs w:val="22"/>
        </w:rPr>
      </w:pPr>
      <w:r>
        <w:t>Invazívne dentálne zákroky sú tiež identifikovaný rizikový faktor. Pred začatím liečby Alymsysom je potrebné zvážiť stomatologické vyšetrenie a náležitý preventívny dentálny zákrok. Ak je to možné, u pacientov, ktorí predtým dostávali alebo dostávajú intravenózne bisfosfonáty, je potrebné vyvarovať sa invazívnym dentálnym zákrokom.</w:t>
      </w:r>
    </w:p>
    <w:p w14:paraId="49DEEE81" w14:textId="77777777" w:rsidR="00E22C3D" w:rsidRPr="00F37D4D" w:rsidRDefault="00E22C3D" w:rsidP="00F64BF9">
      <w:pPr>
        <w:spacing w:line="240" w:lineRule="auto"/>
        <w:rPr>
          <w:szCs w:val="22"/>
        </w:rPr>
      </w:pPr>
    </w:p>
    <w:p w14:paraId="0870B903" w14:textId="77777777" w:rsidR="00E22C3D" w:rsidRPr="00F37D4D" w:rsidRDefault="00BE7CB1" w:rsidP="00F64BF9">
      <w:pPr>
        <w:keepNext/>
        <w:spacing w:line="240" w:lineRule="auto"/>
        <w:rPr>
          <w:szCs w:val="22"/>
          <w:u w:val="single"/>
        </w:rPr>
      </w:pPr>
      <w:r>
        <w:rPr>
          <w:u w:val="single"/>
        </w:rPr>
        <w:t>Intravitreálne použitie</w:t>
      </w:r>
    </w:p>
    <w:p w14:paraId="67765C03" w14:textId="77777777" w:rsidR="00E22C3D" w:rsidRPr="00F37D4D" w:rsidRDefault="00E22C3D" w:rsidP="00F64BF9">
      <w:pPr>
        <w:keepNext/>
        <w:spacing w:line="240" w:lineRule="auto"/>
        <w:rPr>
          <w:szCs w:val="22"/>
        </w:rPr>
      </w:pPr>
    </w:p>
    <w:p w14:paraId="42B4DA92" w14:textId="77777777" w:rsidR="00E22C3D" w:rsidRPr="00F37D4D" w:rsidRDefault="00BE7CB1" w:rsidP="00F64BF9">
      <w:pPr>
        <w:spacing w:line="240" w:lineRule="auto"/>
        <w:rPr>
          <w:szCs w:val="22"/>
        </w:rPr>
      </w:pPr>
      <w:r>
        <w:t>Alymsys nie je upravený do liekovej formy na intravitreálne použitie.</w:t>
      </w:r>
    </w:p>
    <w:p w14:paraId="2F31FA11" w14:textId="77777777" w:rsidR="00E22C3D" w:rsidRPr="00F37D4D" w:rsidRDefault="00E22C3D" w:rsidP="00F64BF9">
      <w:pPr>
        <w:spacing w:line="240" w:lineRule="auto"/>
        <w:rPr>
          <w:szCs w:val="22"/>
        </w:rPr>
      </w:pPr>
    </w:p>
    <w:p w14:paraId="2B532EA6" w14:textId="77777777" w:rsidR="00E22C3D" w:rsidRPr="00F37D4D" w:rsidRDefault="00BE7CB1" w:rsidP="00F64BF9">
      <w:pPr>
        <w:keepNext/>
        <w:spacing w:line="240" w:lineRule="auto"/>
        <w:rPr>
          <w:szCs w:val="22"/>
          <w:u w:val="single"/>
        </w:rPr>
      </w:pPr>
      <w:r>
        <w:rPr>
          <w:u w:val="single"/>
        </w:rPr>
        <w:t>Poruchy oka</w:t>
      </w:r>
    </w:p>
    <w:p w14:paraId="3131734B" w14:textId="77777777" w:rsidR="00E22C3D" w:rsidRPr="00F37D4D" w:rsidRDefault="00E22C3D" w:rsidP="00F64BF9">
      <w:pPr>
        <w:keepNext/>
        <w:spacing w:line="240" w:lineRule="auto"/>
        <w:rPr>
          <w:szCs w:val="22"/>
        </w:rPr>
      </w:pPr>
    </w:p>
    <w:p w14:paraId="5120C7AE" w14:textId="77777777" w:rsidR="00E22C3D" w:rsidRPr="00F37D4D" w:rsidRDefault="00BE7CB1" w:rsidP="00F64BF9">
      <w:pPr>
        <w:spacing w:line="240" w:lineRule="auto"/>
        <w:rPr>
          <w:szCs w:val="22"/>
        </w:rPr>
      </w:pPr>
      <w:r>
        <w:t>V jednotlivých prípadoch a súčasne u viacerých pacientov boli hlásené závažné očné nežiaduce reakcie po neschválenom intravitreálnom použití bevacizumabu pripraveného z injekčných liekoviek schválených na intravenózne použitie u pacientov s nádorovým ochorením. Tieto reakcie zahŕňali infekčnú endoftalmitídu, vnútroočný zápal, ako je sterilná endoftalmitída, uveitída a zápal sklovca, odlúčenie sietnice, trhlinu pigmentovej vrstvy sietnice, zvýšený vnútroočný tlak, vnútroočné krvácanie, ako je krvácanie do sklovca alebo krvácanie do sietnice a krvácanie do spojovky. Niektoré z týchto reakcií viedli k strate zraku rozličného stupňa vrátane trvalej slepoty.</w:t>
      </w:r>
    </w:p>
    <w:p w14:paraId="71994A54" w14:textId="77777777" w:rsidR="00E22C3D" w:rsidRPr="00F37D4D" w:rsidRDefault="00E22C3D" w:rsidP="00F64BF9">
      <w:pPr>
        <w:spacing w:line="240" w:lineRule="auto"/>
        <w:rPr>
          <w:szCs w:val="22"/>
        </w:rPr>
      </w:pPr>
    </w:p>
    <w:p w14:paraId="20C57CD7" w14:textId="77777777" w:rsidR="00E22C3D" w:rsidRPr="00F37D4D" w:rsidRDefault="00BE7CB1" w:rsidP="00F64BF9">
      <w:pPr>
        <w:keepNext/>
        <w:spacing w:line="240" w:lineRule="auto"/>
        <w:rPr>
          <w:szCs w:val="22"/>
          <w:u w:val="single"/>
        </w:rPr>
      </w:pPr>
      <w:r>
        <w:rPr>
          <w:u w:val="single"/>
        </w:rPr>
        <w:t xml:space="preserve">Systémové účinky po intravitreálnom použití </w:t>
      </w:r>
    </w:p>
    <w:p w14:paraId="5353158D" w14:textId="77777777" w:rsidR="00E22C3D" w:rsidRPr="00F37D4D" w:rsidRDefault="00E22C3D" w:rsidP="00F64BF9">
      <w:pPr>
        <w:keepNext/>
        <w:spacing w:line="240" w:lineRule="auto"/>
        <w:rPr>
          <w:szCs w:val="22"/>
        </w:rPr>
      </w:pPr>
    </w:p>
    <w:p w14:paraId="356EAD12" w14:textId="77777777" w:rsidR="00E22C3D" w:rsidRPr="00F37D4D" w:rsidRDefault="00BE7CB1" w:rsidP="00F64BF9">
      <w:pPr>
        <w:spacing w:line="240" w:lineRule="auto"/>
        <w:rPr>
          <w:szCs w:val="22"/>
        </w:rPr>
      </w:pPr>
      <w:r>
        <w:t>Po intravitreálnej anti-VEGF liečbe sa preukázalo zníženie koncentrácie cirkulujúceho VEGF. Systémové nežiaduce reakcie vrátane mimo očného krvácania a arteriálnych tromboembolických reakcií boli hlásené po intravitreálnej injekcii inhibítorov VEGF.</w:t>
      </w:r>
    </w:p>
    <w:p w14:paraId="71F26620" w14:textId="77777777" w:rsidR="00E22C3D" w:rsidRPr="00F37D4D" w:rsidRDefault="00E22C3D" w:rsidP="00F64BF9">
      <w:pPr>
        <w:spacing w:line="240" w:lineRule="auto"/>
        <w:rPr>
          <w:szCs w:val="22"/>
        </w:rPr>
      </w:pPr>
    </w:p>
    <w:p w14:paraId="7B44CA9D" w14:textId="77777777" w:rsidR="00E22C3D" w:rsidRPr="00F37D4D" w:rsidRDefault="00BE7CB1" w:rsidP="00F64BF9">
      <w:pPr>
        <w:keepNext/>
        <w:spacing w:line="240" w:lineRule="auto"/>
        <w:rPr>
          <w:szCs w:val="22"/>
          <w:u w:val="single"/>
        </w:rPr>
      </w:pPr>
      <w:r>
        <w:rPr>
          <w:u w:val="single"/>
        </w:rPr>
        <w:lastRenderedPageBreak/>
        <w:t xml:space="preserve">Ovariálne zlyhanie/fertilita </w:t>
      </w:r>
    </w:p>
    <w:p w14:paraId="191DE5F1" w14:textId="77777777" w:rsidR="00E22C3D" w:rsidRPr="00F37D4D" w:rsidRDefault="00E22C3D" w:rsidP="00F64BF9">
      <w:pPr>
        <w:keepNext/>
        <w:spacing w:line="240" w:lineRule="auto"/>
        <w:rPr>
          <w:szCs w:val="22"/>
        </w:rPr>
      </w:pPr>
    </w:p>
    <w:p w14:paraId="2B0B2099" w14:textId="77777777" w:rsidR="00E22C3D" w:rsidRPr="00F37D4D" w:rsidRDefault="00BE7CB1" w:rsidP="00F64BF9">
      <w:pPr>
        <w:spacing w:line="240" w:lineRule="auto"/>
        <w:rPr>
          <w:szCs w:val="22"/>
        </w:rPr>
      </w:pPr>
      <w:r>
        <w:t>Bevacizumab môže poškodiť fertilitu žien (pozri časti 4.6 a 4.8). Preto je potrebné so ženami v reprodukčnom veku pred začiatkom liečby bevacizumabom prediskutovať stratégie na zachovanie fertility.</w:t>
      </w:r>
    </w:p>
    <w:p w14:paraId="64EE6373" w14:textId="77777777" w:rsidR="002216C5" w:rsidRPr="00F37D4D" w:rsidRDefault="002216C5" w:rsidP="00F64BF9">
      <w:pPr>
        <w:spacing w:line="240" w:lineRule="auto"/>
      </w:pPr>
    </w:p>
    <w:p w14:paraId="286A12C3" w14:textId="77777777" w:rsidR="002216C5" w:rsidRDefault="002216C5" w:rsidP="00F64BF9">
      <w:pPr>
        <w:keepNext/>
        <w:spacing w:line="240" w:lineRule="auto"/>
        <w:rPr>
          <w:u w:val="single"/>
        </w:rPr>
      </w:pPr>
      <w:r>
        <w:rPr>
          <w:u w:val="single"/>
        </w:rPr>
        <w:t>Pomocné látky</w:t>
      </w:r>
    </w:p>
    <w:p w14:paraId="085E9078" w14:textId="77777777" w:rsidR="009D46BF" w:rsidRPr="009D46BF" w:rsidRDefault="009D46BF" w:rsidP="00F64BF9">
      <w:pPr>
        <w:keepNext/>
        <w:spacing w:line="240" w:lineRule="auto"/>
        <w:rPr>
          <w:u w:val="single"/>
        </w:rPr>
      </w:pPr>
    </w:p>
    <w:p w14:paraId="2ED905F7" w14:textId="77777777" w:rsidR="002216C5" w:rsidRDefault="002216C5" w:rsidP="00F64BF9">
      <w:pPr>
        <w:spacing w:line="240" w:lineRule="auto"/>
      </w:pPr>
      <w:r>
        <w:t>Tento liek obsahuje menej ako 1 mmol sodíka (23 mg) v jednej injekčnej liekovke, t. j. v podstate zanedbateľné množstvo sodíka.</w:t>
      </w:r>
    </w:p>
    <w:p w14:paraId="79436100" w14:textId="77777777" w:rsidR="00FC4E5D" w:rsidRDefault="00FC4E5D" w:rsidP="00F64BF9">
      <w:pPr>
        <w:spacing w:line="240" w:lineRule="auto"/>
      </w:pPr>
    </w:p>
    <w:p w14:paraId="406016D7" w14:textId="42BCAFC7" w:rsidR="00FC4E5D" w:rsidRPr="00F37D4D" w:rsidRDefault="00FC4E5D" w:rsidP="00F64BF9">
      <w:pPr>
        <w:spacing w:line="240" w:lineRule="auto"/>
      </w:pPr>
      <w:r w:rsidRPr="00FC4E5D">
        <w:t>Tento liek obsahuje 1,6 mg polysorbátu 20 v každej 100 mg/4 ml injekčnej liekovke a 6,4 mg v každej 400 mg/16 ml injekčnej liekovke, čo zodpovedá 0,4 mg/ml. Polysorbáty môžu vyvolať alergické reakcie.</w:t>
      </w:r>
    </w:p>
    <w:p w14:paraId="6B52B8E7" w14:textId="77777777" w:rsidR="00772AC8" w:rsidRPr="00F37D4D" w:rsidRDefault="00772AC8" w:rsidP="00F64BF9">
      <w:pPr>
        <w:spacing w:line="240" w:lineRule="auto"/>
      </w:pPr>
    </w:p>
    <w:p w14:paraId="1C4129F3" w14:textId="77777777" w:rsidR="00812D16" w:rsidRPr="00F37D4D" w:rsidRDefault="00BE7CB1" w:rsidP="00F64BF9">
      <w:pPr>
        <w:keepNext/>
        <w:spacing w:line="240" w:lineRule="auto"/>
        <w:rPr>
          <w:b/>
          <w:bCs/>
          <w:szCs w:val="22"/>
        </w:rPr>
      </w:pPr>
      <w:r>
        <w:rPr>
          <w:b/>
        </w:rPr>
        <w:t>4.5.</w:t>
      </w:r>
      <w:r w:rsidRPr="00F37D4D">
        <w:rPr>
          <w:b/>
          <w:bCs/>
          <w:szCs w:val="22"/>
        </w:rPr>
        <w:tab/>
      </w:r>
      <w:r>
        <w:rPr>
          <w:b/>
        </w:rPr>
        <w:t>Liekové a iné interakcie</w:t>
      </w:r>
    </w:p>
    <w:p w14:paraId="0AF3199C" w14:textId="77777777" w:rsidR="00812D16" w:rsidRPr="00F37D4D" w:rsidRDefault="00812D16" w:rsidP="00F64BF9">
      <w:pPr>
        <w:keepNext/>
        <w:spacing w:line="240" w:lineRule="auto"/>
        <w:rPr>
          <w:szCs w:val="22"/>
        </w:rPr>
      </w:pPr>
    </w:p>
    <w:p w14:paraId="2B2A3058" w14:textId="77777777" w:rsidR="00E22C3D" w:rsidRPr="00F37D4D" w:rsidRDefault="00BE7CB1" w:rsidP="00F64BF9">
      <w:pPr>
        <w:keepNext/>
        <w:spacing w:line="240" w:lineRule="auto"/>
        <w:rPr>
          <w:szCs w:val="22"/>
          <w:u w:val="single"/>
        </w:rPr>
      </w:pPr>
      <w:r>
        <w:rPr>
          <w:u w:val="single"/>
        </w:rPr>
        <w:t>Účinok antineoplastických liekov na farmakokinetiku bevacizumabu</w:t>
      </w:r>
    </w:p>
    <w:p w14:paraId="0C8D5C11" w14:textId="77777777" w:rsidR="00E22C3D" w:rsidRPr="00F37D4D" w:rsidRDefault="00E22C3D" w:rsidP="00F64BF9">
      <w:pPr>
        <w:keepNext/>
        <w:spacing w:line="240" w:lineRule="auto"/>
        <w:rPr>
          <w:szCs w:val="22"/>
        </w:rPr>
      </w:pPr>
    </w:p>
    <w:p w14:paraId="26119F37" w14:textId="77777777" w:rsidR="00E22C3D" w:rsidRPr="00F37D4D" w:rsidRDefault="00BE7CB1" w:rsidP="00F64BF9">
      <w:pPr>
        <w:spacing w:line="240" w:lineRule="auto"/>
        <w:rPr>
          <w:szCs w:val="22"/>
        </w:rPr>
      </w:pPr>
      <w:r>
        <w:t>Na základe výsledkov populačných farmakokinetických analýz sa nezistila žiadna klinicky významná interakcia medzi súbežne podávanou chemoterapiou a farmakokinetikou bevacizumabu. Nezistili sa žiadne štatisticky významné, ani klinicky relevantné rozdiely v klírense bevacizumabu u pacientov, ktorým sa bevacizumab podával v monoterapii v porovnaní s pacientmi, ktorým sa bevacizumab podával v kombinácii s interferónom alfa-2a, erlotinibom alebo cytostatikami (IFL, 5-FU/LV, karboplatina/paklitaxel, kapecitabín, doxorubicín alebo cisplatina/gemcitabín).</w:t>
      </w:r>
    </w:p>
    <w:p w14:paraId="0D15CCD0" w14:textId="77777777" w:rsidR="00E22C3D" w:rsidRPr="00F37D4D" w:rsidRDefault="00E22C3D" w:rsidP="00F64BF9">
      <w:pPr>
        <w:spacing w:line="240" w:lineRule="auto"/>
        <w:rPr>
          <w:szCs w:val="22"/>
        </w:rPr>
      </w:pPr>
    </w:p>
    <w:p w14:paraId="185EF426" w14:textId="77777777" w:rsidR="00E22C3D" w:rsidRPr="00F37D4D" w:rsidRDefault="00BE7CB1" w:rsidP="00F64BF9">
      <w:pPr>
        <w:keepNext/>
        <w:spacing w:line="240" w:lineRule="auto"/>
        <w:rPr>
          <w:szCs w:val="22"/>
          <w:u w:val="single"/>
        </w:rPr>
      </w:pPr>
      <w:r>
        <w:rPr>
          <w:u w:val="single"/>
        </w:rPr>
        <w:t>Účinok bevacizumabu na farmakokinetiku iných antineoplastických liekov</w:t>
      </w:r>
    </w:p>
    <w:p w14:paraId="0DC90C35" w14:textId="77777777" w:rsidR="00E22C3D" w:rsidRPr="00F37D4D" w:rsidRDefault="00E22C3D" w:rsidP="00F64BF9">
      <w:pPr>
        <w:keepNext/>
        <w:spacing w:line="240" w:lineRule="auto"/>
        <w:rPr>
          <w:szCs w:val="22"/>
        </w:rPr>
      </w:pPr>
    </w:p>
    <w:p w14:paraId="74E5FBC8" w14:textId="77777777" w:rsidR="00E22C3D" w:rsidRPr="00F37D4D" w:rsidRDefault="00BE7CB1" w:rsidP="00F64BF9">
      <w:pPr>
        <w:spacing w:line="240" w:lineRule="auto"/>
        <w:rPr>
          <w:szCs w:val="22"/>
        </w:rPr>
      </w:pPr>
      <w:r>
        <w:t>Neboli pozorované žiadne klinicky významné zmeny vo farmakokinetike interferónu alfa 2a, erlotinibu (a jeho aktívneho metabolitu OSI-420) alebo chemoterapeutík irinotekanu (a jeho aktívneho metabolitu SN38), kapecitabínu, oxaliplatiny (stanovovanej meraním hladiny voľnej a celkovej platiny) a cisplatiny ako následok ich interakcie pri súbežne podanom bevacizumabe. Závery o vplyve bevacizumabu na farmakokinetiku gemcitabínu nie je možné opísať.</w:t>
      </w:r>
    </w:p>
    <w:p w14:paraId="35F92024" w14:textId="77777777" w:rsidR="00E22C3D" w:rsidRPr="00F37D4D" w:rsidRDefault="00E22C3D" w:rsidP="00F64BF9">
      <w:pPr>
        <w:spacing w:line="240" w:lineRule="auto"/>
        <w:rPr>
          <w:szCs w:val="22"/>
        </w:rPr>
      </w:pPr>
    </w:p>
    <w:p w14:paraId="3152E1EA" w14:textId="77777777" w:rsidR="00E22C3D" w:rsidRPr="00F37D4D" w:rsidRDefault="00BE7CB1" w:rsidP="00F64BF9">
      <w:pPr>
        <w:keepNext/>
        <w:spacing w:line="240" w:lineRule="auto"/>
        <w:rPr>
          <w:szCs w:val="22"/>
          <w:u w:val="single"/>
        </w:rPr>
      </w:pPr>
      <w:r>
        <w:rPr>
          <w:u w:val="single"/>
        </w:rPr>
        <w:t>Kombinácia bevacizumabu a sunitinib malátu</w:t>
      </w:r>
    </w:p>
    <w:p w14:paraId="53B1A9DE" w14:textId="77777777" w:rsidR="00E22C3D" w:rsidRPr="00F37D4D" w:rsidRDefault="00E22C3D" w:rsidP="00F64BF9">
      <w:pPr>
        <w:keepNext/>
        <w:spacing w:line="240" w:lineRule="auto"/>
        <w:rPr>
          <w:szCs w:val="22"/>
        </w:rPr>
      </w:pPr>
    </w:p>
    <w:p w14:paraId="61CE9E03" w14:textId="77777777" w:rsidR="00E22C3D" w:rsidRPr="00F37D4D" w:rsidRDefault="00BE7CB1" w:rsidP="00F64BF9">
      <w:pPr>
        <w:spacing w:line="240" w:lineRule="auto"/>
        <w:rPr>
          <w:szCs w:val="22"/>
        </w:rPr>
      </w:pPr>
      <w:r>
        <w:t xml:space="preserve">V dvoch klinických skúšaniach s metastatickým karcinómom obličiek bola u 7 z 19 pacientov liečených kombináciou bevacizumabu (10 mg/kg každé 2 týždne) a sunitinib malátu (50 mg denne) hlásená mikroangiopatická hemolytická anémia </w:t>
      </w:r>
      <w:r w:rsidRPr="00F14E99">
        <w:t>(MAHA).</w:t>
      </w:r>
    </w:p>
    <w:p w14:paraId="4E90B64D" w14:textId="77777777" w:rsidR="00E22C3D" w:rsidRPr="00F37D4D" w:rsidRDefault="00E22C3D" w:rsidP="00F64BF9">
      <w:pPr>
        <w:spacing w:line="240" w:lineRule="auto"/>
        <w:rPr>
          <w:szCs w:val="22"/>
        </w:rPr>
      </w:pPr>
    </w:p>
    <w:p w14:paraId="20AE8051" w14:textId="77777777" w:rsidR="00E22C3D" w:rsidRPr="00F37D4D" w:rsidRDefault="00BE7CB1" w:rsidP="00F64BF9">
      <w:pPr>
        <w:spacing w:line="240" w:lineRule="auto"/>
        <w:rPr>
          <w:szCs w:val="22"/>
        </w:rPr>
      </w:pPr>
      <w:r>
        <w:t xml:space="preserve">MAHA je hemolytická porucha, ktorá sa môže prejavovať fragmentáciou erytrocytov, anémiou a trombocytopéniou. U niektorých z týchto pacientov sa navyše pozorovala hypertenzia (vrátane hypertenznej krízy), zvýšenie hladín kreatinínu a neurologické symptómy. Všetky tieto nálezy boli reverzibilné po ukončení liečby bevacizumabom a sunitinib malátom (pozri </w:t>
      </w:r>
      <w:r w:rsidRPr="00F37D4D">
        <w:rPr>
          <w:i/>
          <w:iCs/>
          <w:szCs w:val="22"/>
        </w:rPr>
        <w:t xml:space="preserve">Hypertenzia, Proteinúria, PRES </w:t>
      </w:r>
      <w:r>
        <w:t>v časti 4.4).</w:t>
      </w:r>
    </w:p>
    <w:p w14:paraId="617D5CD2" w14:textId="77777777" w:rsidR="00E22C3D" w:rsidRPr="00F37D4D" w:rsidRDefault="00E22C3D" w:rsidP="00F64BF9">
      <w:pPr>
        <w:spacing w:line="240" w:lineRule="auto"/>
        <w:rPr>
          <w:szCs w:val="22"/>
        </w:rPr>
      </w:pPr>
    </w:p>
    <w:p w14:paraId="215EC360" w14:textId="77777777" w:rsidR="00E22C3D" w:rsidRPr="00DA33C1" w:rsidRDefault="00BE7CB1" w:rsidP="00F64BF9">
      <w:pPr>
        <w:keepNext/>
        <w:spacing w:line="240" w:lineRule="auto"/>
        <w:rPr>
          <w:szCs w:val="22"/>
          <w:u w:val="single"/>
        </w:rPr>
      </w:pPr>
      <w:r>
        <w:rPr>
          <w:u w:val="single"/>
        </w:rPr>
        <w:t>Kombinácia liečby s platinou alebo liečbou na báze taxánov (pozri časti 4.4 a 4.8)</w:t>
      </w:r>
    </w:p>
    <w:p w14:paraId="4B7A009B" w14:textId="77777777" w:rsidR="00E22C3D" w:rsidRPr="00F37D4D" w:rsidRDefault="00E22C3D" w:rsidP="00F64BF9">
      <w:pPr>
        <w:keepNext/>
        <w:spacing w:line="240" w:lineRule="auto"/>
        <w:rPr>
          <w:szCs w:val="22"/>
        </w:rPr>
      </w:pPr>
    </w:p>
    <w:p w14:paraId="22762622" w14:textId="77777777" w:rsidR="00E22C3D" w:rsidRPr="00F37D4D" w:rsidRDefault="00BE7CB1" w:rsidP="00F64BF9">
      <w:pPr>
        <w:spacing w:line="240" w:lineRule="auto"/>
        <w:rPr>
          <w:szCs w:val="22"/>
        </w:rPr>
      </w:pPr>
      <w:r>
        <w:t>Zvýšený výskyt závažnej neutropénie, febrilnej neutropénie alebo infekcie so závažnou neutropéniou alebo bez nej (vrátane určitých úmrtí) bol hlásený hlavne u pacientov liečených platinou alebo na báze taxánov pri liečbe NSCLC a mBC.</w:t>
      </w:r>
    </w:p>
    <w:p w14:paraId="29A1A871" w14:textId="77777777" w:rsidR="00E22C3D" w:rsidRPr="00F37D4D" w:rsidRDefault="00E22C3D" w:rsidP="00F64BF9">
      <w:pPr>
        <w:spacing w:line="240" w:lineRule="auto"/>
        <w:rPr>
          <w:szCs w:val="22"/>
        </w:rPr>
      </w:pPr>
    </w:p>
    <w:p w14:paraId="39C7B278" w14:textId="77777777" w:rsidR="00E22C3D" w:rsidRPr="00F37D4D" w:rsidRDefault="00BE7CB1" w:rsidP="00F64BF9">
      <w:pPr>
        <w:keepNext/>
        <w:spacing w:line="240" w:lineRule="auto"/>
        <w:rPr>
          <w:szCs w:val="22"/>
          <w:u w:val="single"/>
        </w:rPr>
      </w:pPr>
      <w:r>
        <w:rPr>
          <w:u w:val="single"/>
        </w:rPr>
        <w:t>Rádioterapia</w:t>
      </w:r>
    </w:p>
    <w:p w14:paraId="3D168102" w14:textId="77777777" w:rsidR="00E22C3D" w:rsidRPr="00F37D4D" w:rsidRDefault="00E22C3D" w:rsidP="00F64BF9">
      <w:pPr>
        <w:keepNext/>
        <w:spacing w:line="240" w:lineRule="auto"/>
        <w:rPr>
          <w:szCs w:val="22"/>
        </w:rPr>
      </w:pPr>
    </w:p>
    <w:p w14:paraId="235FF448" w14:textId="77777777" w:rsidR="00E22C3D" w:rsidRPr="00F37D4D" w:rsidRDefault="00BE7CB1" w:rsidP="00F64BF9">
      <w:pPr>
        <w:spacing w:line="240" w:lineRule="auto"/>
        <w:rPr>
          <w:szCs w:val="22"/>
        </w:rPr>
      </w:pPr>
      <w:r>
        <w:t>Bezpečnosť a účinnosť súbežného podávania rádioterapie a bevacizumabu nebola stanovená.</w:t>
      </w:r>
    </w:p>
    <w:p w14:paraId="332B3DBB" w14:textId="77777777" w:rsidR="00E22C3D" w:rsidRPr="00F37D4D" w:rsidRDefault="00E22C3D" w:rsidP="00F64BF9">
      <w:pPr>
        <w:spacing w:line="240" w:lineRule="auto"/>
        <w:rPr>
          <w:szCs w:val="22"/>
        </w:rPr>
      </w:pPr>
    </w:p>
    <w:p w14:paraId="1CEC0507" w14:textId="77777777" w:rsidR="00E22C3D" w:rsidRPr="00F37D4D" w:rsidRDefault="00BE7CB1" w:rsidP="00F64BF9">
      <w:pPr>
        <w:keepNext/>
        <w:spacing w:line="240" w:lineRule="auto"/>
        <w:rPr>
          <w:szCs w:val="22"/>
          <w:u w:val="single"/>
        </w:rPr>
      </w:pPr>
      <w:r>
        <w:rPr>
          <w:u w:val="single"/>
        </w:rPr>
        <w:lastRenderedPageBreak/>
        <w:t>EGFR monoklonálne protilátky v kombinácii s chemoterapeutickými režimami s bevacizumabom</w:t>
      </w:r>
    </w:p>
    <w:p w14:paraId="2589AC12" w14:textId="77777777" w:rsidR="00E22C3D" w:rsidRPr="00F37D4D" w:rsidRDefault="00E22C3D" w:rsidP="00F64BF9">
      <w:pPr>
        <w:keepNext/>
        <w:spacing w:line="240" w:lineRule="auto"/>
        <w:rPr>
          <w:szCs w:val="22"/>
        </w:rPr>
      </w:pPr>
    </w:p>
    <w:p w14:paraId="2D9AEFCE" w14:textId="77777777" w:rsidR="00E22C3D" w:rsidRPr="00F37D4D" w:rsidRDefault="00BE7CB1" w:rsidP="00F64BF9">
      <w:pPr>
        <w:spacing w:line="240" w:lineRule="auto"/>
        <w:rPr>
          <w:szCs w:val="22"/>
        </w:rPr>
      </w:pPr>
      <w:r>
        <w:t>Neuskutočnili sa žiadne interakčné štúdie. EGFR monoklonálne protilátky sa nemajú podávať pri liečbe mCRC v kombinácii s chemoterapeutickou schémou, ktorá obsahuje bevacizumab. Výsledky randomizovaných štúdií fázy III, PACCE a CAIRO-2 s pacientmi s mCRC naznačujú, že používanie anti-EGFR monoklonálnych protilátok panitumumabu v kombinácii s chemoterapiou a bevacizumabom a cetuximabu v kombinácii s chemoterapiou a bevacizumabom, je spojené so znížením PFS a/alebo OS, a so zvýšenou toxicitou v porovnaní s bevacizumabom a samotnou chemoterapiou.</w:t>
      </w:r>
    </w:p>
    <w:p w14:paraId="2BEE6D55" w14:textId="77777777" w:rsidR="00812D16" w:rsidRPr="00F37D4D" w:rsidRDefault="00812D16" w:rsidP="00F64BF9">
      <w:pPr>
        <w:spacing w:line="240" w:lineRule="auto"/>
      </w:pPr>
    </w:p>
    <w:p w14:paraId="74E511E5" w14:textId="77777777" w:rsidR="00812D16" w:rsidRPr="00F37D4D" w:rsidRDefault="00BE7CB1" w:rsidP="00F64BF9">
      <w:pPr>
        <w:keepNext/>
        <w:spacing w:line="240" w:lineRule="auto"/>
        <w:rPr>
          <w:b/>
          <w:bCs/>
          <w:szCs w:val="22"/>
        </w:rPr>
      </w:pPr>
      <w:r>
        <w:rPr>
          <w:b/>
        </w:rPr>
        <w:t>4.6</w:t>
      </w:r>
      <w:r w:rsidRPr="00F37D4D">
        <w:rPr>
          <w:b/>
          <w:bCs/>
          <w:szCs w:val="22"/>
        </w:rPr>
        <w:tab/>
      </w:r>
      <w:r>
        <w:rPr>
          <w:b/>
        </w:rPr>
        <w:t>Fertilita, gravidita a laktácia</w:t>
      </w:r>
    </w:p>
    <w:p w14:paraId="12EC6AFE" w14:textId="77777777" w:rsidR="00812D16" w:rsidRPr="00F37D4D" w:rsidRDefault="00812D16" w:rsidP="00F64BF9">
      <w:pPr>
        <w:keepNext/>
        <w:spacing w:line="240" w:lineRule="auto"/>
        <w:rPr>
          <w:szCs w:val="22"/>
        </w:rPr>
      </w:pPr>
    </w:p>
    <w:p w14:paraId="12D13BDD" w14:textId="172FB614" w:rsidR="00E22C3D" w:rsidRPr="00F37D4D" w:rsidRDefault="00BE7CB1" w:rsidP="00F64BF9">
      <w:pPr>
        <w:keepNext/>
        <w:spacing w:line="240" w:lineRule="auto"/>
        <w:rPr>
          <w:szCs w:val="22"/>
          <w:u w:val="single"/>
        </w:rPr>
      </w:pPr>
      <w:r>
        <w:rPr>
          <w:u w:val="single"/>
        </w:rPr>
        <w:t>Ženy v</w:t>
      </w:r>
      <w:r w:rsidR="00C96DC3">
        <w:rPr>
          <w:u w:val="single"/>
        </w:rPr>
        <w:t>o</w:t>
      </w:r>
      <w:r>
        <w:rPr>
          <w:u w:val="single"/>
        </w:rPr>
        <w:t xml:space="preserve"> </w:t>
      </w:r>
      <w:r w:rsidR="00C96DC3">
        <w:rPr>
          <w:u w:val="single"/>
        </w:rPr>
        <w:t>fertil</w:t>
      </w:r>
      <w:r>
        <w:rPr>
          <w:u w:val="single"/>
        </w:rPr>
        <w:t>nom veku/Antikoncepcia</w:t>
      </w:r>
    </w:p>
    <w:p w14:paraId="7FF2397D" w14:textId="77777777" w:rsidR="00E22C3D" w:rsidRPr="00F37D4D" w:rsidRDefault="00E22C3D" w:rsidP="00F64BF9">
      <w:pPr>
        <w:keepNext/>
        <w:spacing w:line="240" w:lineRule="auto"/>
        <w:rPr>
          <w:szCs w:val="22"/>
        </w:rPr>
      </w:pPr>
    </w:p>
    <w:p w14:paraId="0A94770F" w14:textId="77777777" w:rsidR="00E22C3D" w:rsidRPr="00F37D4D" w:rsidRDefault="00BE7CB1" w:rsidP="00F64BF9">
      <w:pPr>
        <w:spacing w:line="240" w:lineRule="auto"/>
        <w:rPr>
          <w:szCs w:val="22"/>
        </w:rPr>
      </w:pPr>
      <w:r>
        <w:t>Ženy vo fertilnom veku musia používať účinnú antikoncepciu počas liečby (a až do 6 mesiacov po liečbe).</w:t>
      </w:r>
    </w:p>
    <w:p w14:paraId="7CA83DA8" w14:textId="77777777" w:rsidR="00E22C3D" w:rsidRPr="00F37D4D" w:rsidRDefault="00E22C3D" w:rsidP="00F64BF9">
      <w:pPr>
        <w:spacing w:line="240" w:lineRule="auto"/>
        <w:rPr>
          <w:szCs w:val="22"/>
        </w:rPr>
      </w:pPr>
    </w:p>
    <w:p w14:paraId="5D52539C" w14:textId="77777777" w:rsidR="00E22C3D" w:rsidRPr="00F37D4D" w:rsidRDefault="00BE7CB1" w:rsidP="00F64BF9">
      <w:pPr>
        <w:keepNext/>
        <w:spacing w:line="240" w:lineRule="auto"/>
        <w:rPr>
          <w:szCs w:val="22"/>
          <w:u w:val="single"/>
        </w:rPr>
      </w:pPr>
      <w:r>
        <w:rPr>
          <w:u w:val="single"/>
        </w:rPr>
        <w:t>Gravidita</w:t>
      </w:r>
    </w:p>
    <w:p w14:paraId="3A5E71FF" w14:textId="77777777" w:rsidR="00E22C3D" w:rsidRPr="00F37D4D" w:rsidRDefault="00E22C3D" w:rsidP="00F64BF9">
      <w:pPr>
        <w:keepNext/>
        <w:spacing w:line="240" w:lineRule="auto"/>
        <w:rPr>
          <w:szCs w:val="22"/>
        </w:rPr>
      </w:pPr>
    </w:p>
    <w:p w14:paraId="544813CF" w14:textId="77777777" w:rsidR="00E22C3D" w:rsidRPr="00F37D4D" w:rsidRDefault="00BE7CB1" w:rsidP="00F64BF9">
      <w:pPr>
        <w:spacing w:line="240" w:lineRule="auto"/>
        <w:rPr>
          <w:szCs w:val="22"/>
        </w:rPr>
      </w:pPr>
      <w:r>
        <w:t>O používaní bevacizumabu u gravidných žien nie sú žiadne údaje z klinických skúšaní. Štúdie na zvieratách preukázali reprodukčnú toxicitu vrátane malformácií (pozri časť 5.3). O IgG je známe, že prechádza placentou a predpokladá sa, že bevacizumab inhibuje angiogenézu v plode, čo môže spôsobiť závažné vrodené poruchy, ak sa podáva počas gravidity. V sledovaniach po uvedení lieku na trh boli pozorované prípady abnormálít plodu u žien liečených samotným bevacizumabom alebo v kombinácii so známymi embryotoxickými chemoterapeutikami (pozri časť 4.8). Alymsys je kontraindikovaný počas gravidity (pozri časť 4.3)</w:t>
      </w:r>
    </w:p>
    <w:p w14:paraId="6C2CD3AC" w14:textId="77777777" w:rsidR="00E22C3D" w:rsidRPr="00F37D4D" w:rsidRDefault="00E22C3D" w:rsidP="00F64BF9">
      <w:pPr>
        <w:spacing w:line="240" w:lineRule="auto"/>
        <w:rPr>
          <w:szCs w:val="22"/>
        </w:rPr>
      </w:pPr>
    </w:p>
    <w:p w14:paraId="0EC167C5" w14:textId="77777777" w:rsidR="00E22C3D" w:rsidRPr="00F37D4D" w:rsidRDefault="00BE7CB1" w:rsidP="00F64BF9">
      <w:pPr>
        <w:keepNext/>
        <w:spacing w:line="240" w:lineRule="auto"/>
        <w:rPr>
          <w:szCs w:val="22"/>
          <w:u w:val="single"/>
        </w:rPr>
      </w:pPr>
      <w:r>
        <w:rPr>
          <w:u w:val="single"/>
        </w:rPr>
        <w:t>Dojčenie</w:t>
      </w:r>
    </w:p>
    <w:p w14:paraId="2CB6B4D4" w14:textId="77777777" w:rsidR="00E22C3D" w:rsidRPr="00F37D4D" w:rsidRDefault="00E22C3D" w:rsidP="00F64BF9">
      <w:pPr>
        <w:keepNext/>
        <w:spacing w:line="240" w:lineRule="auto"/>
        <w:rPr>
          <w:szCs w:val="22"/>
        </w:rPr>
      </w:pPr>
    </w:p>
    <w:p w14:paraId="7843EEB2" w14:textId="77777777" w:rsidR="00E22C3D" w:rsidRPr="00F37D4D" w:rsidRDefault="00BE7CB1" w:rsidP="00F64BF9">
      <w:pPr>
        <w:spacing w:line="240" w:lineRule="auto"/>
        <w:rPr>
          <w:szCs w:val="22"/>
        </w:rPr>
      </w:pPr>
      <w:r>
        <w:t>Nie je známe, či sa bevacizumab vylučuje do materského mlieka. Keďže IgG z matky prechádza do materského mlieka a bevacizumab môže poškodiť rast a vývin dojčaťa (pozri časť 5.3), ženy musia prerušiť dojčenie počas liečby a nesmú dojčiť najmenej šesť mesiacov po poslednej dávke bevacizumabu.</w:t>
      </w:r>
    </w:p>
    <w:p w14:paraId="61292004" w14:textId="77777777" w:rsidR="00E22C3D" w:rsidRPr="00F37D4D" w:rsidRDefault="00E22C3D" w:rsidP="00F64BF9">
      <w:pPr>
        <w:spacing w:line="240" w:lineRule="auto"/>
        <w:rPr>
          <w:szCs w:val="22"/>
        </w:rPr>
      </w:pPr>
    </w:p>
    <w:p w14:paraId="01BE3550" w14:textId="77777777" w:rsidR="00E22C3D" w:rsidRPr="00F37D4D" w:rsidRDefault="00BE7CB1" w:rsidP="00F64BF9">
      <w:pPr>
        <w:keepNext/>
        <w:spacing w:line="240" w:lineRule="auto"/>
        <w:rPr>
          <w:szCs w:val="22"/>
          <w:u w:val="single"/>
        </w:rPr>
      </w:pPr>
      <w:r>
        <w:rPr>
          <w:u w:val="single"/>
        </w:rPr>
        <w:t>Fertilita</w:t>
      </w:r>
    </w:p>
    <w:p w14:paraId="790FFB33" w14:textId="77777777" w:rsidR="00E22C3D" w:rsidRPr="00F37D4D" w:rsidRDefault="00E22C3D" w:rsidP="00F64BF9">
      <w:pPr>
        <w:keepNext/>
        <w:spacing w:line="240" w:lineRule="auto"/>
        <w:rPr>
          <w:szCs w:val="22"/>
        </w:rPr>
      </w:pPr>
    </w:p>
    <w:p w14:paraId="7524DC1F" w14:textId="77777777" w:rsidR="00E22C3D" w:rsidRPr="00F37D4D" w:rsidRDefault="00BE7CB1" w:rsidP="00F64BF9">
      <w:pPr>
        <w:spacing w:line="240" w:lineRule="auto"/>
        <w:rPr>
          <w:szCs w:val="22"/>
        </w:rPr>
      </w:pPr>
      <w:r>
        <w:t>Štúdie toxicity pri opakovanej dávke na zvieratách ukázali, že bevacizumab môže mať nepriaznivý vplyv na fertilitu žien (pozri časť 5.3). V klinickom skúšaní fázy III s adjuvantnou liečbou pacientov s kolorektálnym karcinómom podštúdia s premenopauzálnymi ženami preukázala vyšší výskyt nových prípadov ovariálneho zlyhania v skupine s bevacizumabom v porovnaní s kontrolnou skupinou. Po ukončení liečby bevacizumabom sa u väčšiny pacientok funkcia ovárií obnovila. Dlhodobé účinky liečby bevacizumbom na fertilitu nie sú známe.</w:t>
      </w:r>
    </w:p>
    <w:p w14:paraId="221D8720" w14:textId="77777777" w:rsidR="00812D16" w:rsidRPr="00F37D4D" w:rsidRDefault="00812D16" w:rsidP="00F64BF9">
      <w:pPr>
        <w:spacing w:line="240" w:lineRule="auto"/>
        <w:rPr>
          <w:i/>
          <w:szCs w:val="22"/>
        </w:rPr>
      </w:pPr>
    </w:p>
    <w:p w14:paraId="61D5A5D3" w14:textId="77777777" w:rsidR="00812D16" w:rsidRPr="00F37D4D" w:rsidRDefault="00BE7CB1" w:rsidP="00F64BF9">
      <w:pPr>
        <w:keepNext/>
        <w:spacing w:line="240" w:lineRule="auto"/>
        <w:rPr>
          <w:b/>
          <w:bCs/>
          <w:szCs w:val="22"/>
        </w:rPr>
      </w:pPr>
      <w:r>
        <w:rPr>
          <w:b/>
        </w:rPr>
        <w:t>4.7</w:t>
      </w:r>
      <w:r w:rsidRPr="00F37D4D">
        <w:rPr>
          <w:b/>
          <w:bCs/>
          <w:szCs w:val="22"/>
        </w:rPr>
        <w:tab/>
      </w:r>
      <w:r>
        <w:rPr>
          <w:b/>
        </w:rPr>
        <w:t>Ovplyvnenie schopnosti viesť vozidlá a obsluhovať stroje</w:t>
      </w:r>
    </w:p>
    <w:p w14:paraId="5C476944" w14:textId="77777777" w:rsidR="00812D16" w:rsidRPr="00F37D4D" w:rsidRDefault="00812D16" w:rsidP="00F64BF9">
      <w:pPr>
        <w:keepNext/>
        <w:spacing w:line="240" w:lineRule="auto"/>
        <w:rPr>
          <w:szCs w:val="22"/>
        </w:rPr>
      </w:pPr>
    </w:p>
    <w:p w14:paraId="3A9E38D5" w14:textId="77777777" w:rsidR="00E22C3D" w:rsidRPr="00F37D4D" w:rsidRDefault="00BE7CB1" w:rsidP="00F64BF9">
      <w:pPr>
        <w:spacing w:line="240" w:lineRule="auto"/>
        <w:rPr>
          <w:szCs w:val="22"/>
        </w:rPr>
      </w:pPr>
      <w:r>
        <w:t>Bevacizumab nemá žiadny alebo má zanedbateľný vplyv na schopnosť viesť vozidlá a obsluhovať stroje. Napriek tomu boli pri používaní bevacizumabu hlásené prípady somnolencie a straty vedomia (pozri tabuľku 1 v časti 4.8). Ak sa u pacientov vyskytnú príznaky, ktoré ovplyvňujú ich zrak, koncentráciu alebo ich schopnosť reagovať, musia byť upozornení, aby neviedli vozidlá a neobsluhovali stroje, kým symptómy neustúpia.</w:t>
      </w:r>
    </w:p>
    <w:p w14:paraId="62F72921" w14:textId="77777777" w:rsidR="00812D16" w:rsidRPr="00F37D4D" w:rsidRDefault="00812D16" w:rsidP="00F64BF9">
      <w:pPr>
        <w:spacing w:line="240" w:lineRule="auto"/>
        <w:rPr>
          <w:szCs w:val="22"/>
        </w:rPr>
      </w:pPr>
    </w:p>
    <w:p w14:paraId="3EF1CA74" w14:textId="77777777" w:rsidR="00812D16" w:rsidRPr="00F37D4D" w:rsidRDefault="00BE7CB1" w:rsidP="00F64BF9">
      <w:pPr>
        <w:keepNext/>
        <w:spacing w:line="240" w:lineRule="auto"/>
        <w:rPr>
          <w:b/>
          <w:bCs/>
          <w:szCs w:val="22"/>
        </w:rPr>
      </w:pPr>
      <w:r>
        <w:rPr>
          <w:b/>
        </w:rPr>
        <w:lastRenderedPageBreak/>
        <w:t>4.8</w:t>
      </w:r>
      <w:r w:rsidRPr="00F37D4D">
        <w:rPr>
          <w:b/>
          <w:bCs/>
          <w:szCs w:val="22"/>
        </w:rPr>
        <w:tab/>
      </w:r>
      <w:r>
        <w:rPr>
          <w:b/>
        </w:rPr>
        <w:t>Nežiaduce účinky</w:t>
      </w:r>
    </w:p>
    <w:p w14:paraId="5CF09A75" w14:textId="77777777" w:rsidR="00812D16" w:rsidRPr="00F37D4D" w:rsidRDefault="00812D16" w:rsidP="00F64BF9">
      <w:pPr>
        <w:keepNext/>
        <w:spacing w:line="240" w:lineRule="auto"/>
        <w:rPr>
          <w:szCs w:val="22"/>
        </w:rPr>
      </w:pPr>
    </w:p>
    <w:p w14:paraId="15625DF0" w14:textId="77777777" w:rsidR="00E22C3D" w:rsidRPr="002F3218" w:rsidRDefault="00BE7CB1" w:rsidP="00F64BF9">
      <w:pPr>
        <w:keepNext/>
        <w:spacing w:line="240" w:lineRule="auto"/>
        <w:rPr>
          <w:rFonts w:eastAsia="SimSun"/>
          <w:u w:val="single"/>
        </w:rPr>
      </w:pPr>
      <w:r>
        <w:rPr>
          <w:u w:val="single"/>
        </w:rPr>
        <w:t>Súhrn bezpečnostného profilu</w:t>
      </w:r>
    </w:p>
    <w:p w14:paraId="79BA7515" w14:textId="77777777" w:rsidR="00E22C3D" w:rsidRPr="00F37D4D" w:rsidRDefault="00E22C3D" w:rsidP="00F64BF9">
      <w:pPr>
        <w:keepNext/>
        <w:spacing w:line="240" w:lineRule="auto"/>
        <w:rPr>
          <w:rFonts w:eastAsia="SimSun"/>
        </w:rPr>
      </w:pPr>
    </w:p>
    <w:p w14:paraId="012AAFFA" w14:textId="77777777" w:rsidR="00E22C3D" w:rsidRPr="00F37D4D" w:rsidRDefault="00BE7CB1" w:rsidP="00F64BF9">
      <w:pPr>
        <w:spacing w:line="240" w:lineRule="auto"/>
        <w:rPr>
          <w:rFonts w:eastAsia="SimSun"/>
        </w:rPr>
      </w:pPr>
      <w:r>
        <w:t>Celkový bezpečnostný profil bevacizumabu sa zakladá na údajoch od viac ako 5 700 pacientov s rôznymi malignitami, ktorí boli v rámci klinických skúšaní liečení prevažne bevacizumabom v kombinácii s chemoterapiou.</w:t>
      </w:r>
    </w:p>
    <w:p w14:paraId="5DADBB59" w14:textId="77777777" w:rsidR="00E22C3D" w:rsidRPr="00F37D4D" w:rsidRDefault="00E22C3D" w:rsidP="00F64BF9">
      <w:pPr>
        <w:spacing w:line="240" w:lineRule="auto"/>
        <w:rPr>
          <w:rFonts w:eastAsia="SimSun"/>
        </w:rPr>
      </w:pPr>
    </w:p>
    <w:p w14:paraId="6CF921A4" w14:textId="77777777" w:rsidR="00E22C3D" w:rsidRPr="00F37D4D" w:rsidRDefault="00BE7CB1" w:rsidP="00F64BF9">
      <w:pPr>
        <w:spacing w:line="240" w:lineRule="auto"/>
        <w:rPr>
          <w:rFonts w:eastAsia="SimSun"/>
        </w:rPr>
      </w:pPr>
      <w:r>
        <w:t>K najzávažnejším nežiaducim reakciám patrili:</w:t>
      </w:r>
    </w:p>
    <w:p w14:paraId="2C8C93DB" w14:textId="77777777" w:rsidR="00E22C3D" w:rsidRPr="002F3218" w:rsidRDefault="00E22C3D" w:rsidP="00F64BF9">
      <w:pPr>
        <w:spacing w:line="240" w:lineRule="auto"/>
        <w:rPr>
          <w:rFonts w:eastAsia="SimSun"/>
        </w:rPr>
      </w:pPr>
    </w:p>
    <w:p w14:paraId="2810F507" w14:textId="77777777" w:rsidR="00E22C3D" w:rsidRPr="00DA33C1" w:rsidRDefault="00BE7CB1" w:rsidP="0033150F">
      <w:pPr>
        <w:pStyle w:val="ListParagraph"/>
        <w:numPr>
          <w:ilvl w:val="0"/>
          <w:numId w:val="7"/>
        </w:numPr>
        <w:ind w:left="567" w:hanging="567"/>
        <w:rPr>
          <w:rFonts w:eastAsia="SimSun"/>
        </w:rPr>
      </w:pPr>
      <w:r>
        <w:t>Gastrointestinálne perforácie (pozri časť 4.4).</w:t>
      </w:r>
    </w:p>
    <w:p w14:paraId="2D94D76C" w14:textId="77777777" w:rsidR="00E22C3D" w:rsidRPr="000E41A8" w:rsidRDefault="00BE7CB1" w:rsidP="0033150F">
      <w:pPr>
        <w:pStyle w:val="ListParagraph"/>
        <w:numPr>
          <w:ilvl w:val="0"/>
          <w:numId w:val="7"/>
        </w:numPr>
        <w:ind w:left="567" w:hanging="567"/>
        <w:rPr>
          <w:rFonts w:eastAsia="SimSun"/>
        </w:rPr>
      </w:pPr>
      <w:r>
        <w:t>Krvácanie vrátane pľúcneho krvácania/hemoptýzy, ktorá je častejšia u pacientov s nemalobunkovým karcinómom pľúc (pozri časť 4.4).</w:t>
      </w:r>
    </w:p>
    <w:p w14:paraId="421927D2" w14:textId="77777777" w:rsidR="00E22C3D" w:rsidRPr="00DA33C1" w:rsidRDefault="00BE7CB1" w:rsidP="0033150F">
      <w:pPr>
        <w:pStyle w:val="ListParagraph"/>
        <w:numPr>
          <w:ilvl w:val="0"/>
          <w:numId w:val="7"/>
        </w:numPr>
        <w:ind w:left="567" w:hanging="567"/>
        <w:rPr>
          <w:rFonts w:eastAsia="SimSun"/>
        </w:rPr>
      </w:pPr>
      <w:r>
        <w:t>Arteriálny tromboembolizmus (pozri časť 4.4).</w:t>
      </w:r>
    </w:p>
    <w:p w14:paraId="5A19781B" w14:textId="77777777" w:rsidR="00E22C3D" w:rsidRPr="00F37D4D" w:rsidRDefault="00E22C3D" w:rsidP="00F64BF9">
      <w:pPr>
        <w:spacing w:line="240" w:lineRule="auto"/>
        <w:rPr>
          <w:rFonts w:eastAsia="SimSun"/>
        </w:rPr>
      </w:pPr>
    </w:p>
    <w:p w14:paraId="1E219554" w14:textId="77777777" w:rsidR="00E22C3D" w:rsidRPr="00F37D4D" w:rsidRDefault="00BE7CB1" w:rsidP="00F64BF9">
      <w:pPr>
        <w:spacing w:line="240" w:lineRule="auto"/>
        <w:rPr>
          <w:rFonts w:eastAsia="SimSun"/>
        </w:rPr>
      </w:pPr>
      <w:r>
        <w:t>Najčastejšie pozorované nežiaduce reakcie v klinických skúšaniach s pacientmi, ktorí dostávali bevacizumab, boli hypertenzia, únava alebo asténia, hnačka a bolesť brucha.</w:t>
      </w:r>
    </w:p>
    <w:p w14:paraId="096A721D" w14:textId="77777777" w:rsidR="00E22C3D" w:rsidRPr="00F37D4D" w:rsidRDefault="00E22C3D" w:rsidP="00F64BF9">
      <w:pPr>
        <w:spacing w:line="240" w:lineRule="auto"/>
        <w:rPr>
          <w:rFonts w:eastAsia="SimSun"/>
        </w:rPr>
      </w:pPr>
    </w:p>
    <w:p w14:paraId="53A877A9" w14:textId="77777777" w:rsidR="00E22C3D" w:rsidRPr="00F37D4D" w:rsidRDefault="00BE7CB1" w:rsidP="00F64BF9">
      <w:pPr>
        <w:spacing w:line="240" w:lineRule="auto"/>
        <w:rPr>
          <w:rFonts w:eastAsia="SimSun"/>
        </w:rPr>
      </w:pPr>
      <w:r>
        <w:t>Analýzy údajov o klinickej bezpečnosti naznačujú, že výskyt hypertenzie a proteinúrie pri liečbe bevacizumabom je pravdepodobne závislý od dávky.</w:t>
      </w:r>
    </w:p>
    <w:p w14:paraId="01035FEC" w14:textId="77777777" w:rsidR="00E22C3D" w:rsidRPr="00F37D4D" w:rsidRDefault="00E22C3D" w:rsidP="00F64BF9">
      <w:pPr>
        <w:spacing w:line="240" w:lineRule="auto"/>
        <w:rPr>
          <w:rFonts w:eastAsia="SimSun"/>
        </w:rPr>
      </w:pPr>
    </w:p>
    <w:p w14:paraId="798385D2" w14:textId="77777777" w:rsidR="00E22C3D" w:rsidRPr="002F3218" w:rsidRDefault="00BE7CB1" w:rsidP="00F64BF9">
      <w:pPr>
        <w:keepNext/>
        <w:spacing w:line="240" w:lineRule="auto"/>
        <w:rPr>
          <w:rFonts w:eastAsia="SimSun"/>
          <w:u w:val="single"/>
        </w:rPr>
      </w:pPr>
      <w:r w:rsidRPr="005117E2">
        <w:rPr>
          <w:u w:val="single"/>
        </w:rPr>
        <w:t>Tabuľkový zoznam nežiaducich reakcií</w:t>
      </w:r>
    </w:p>
    <w:p w14:paraId="45B1C61F" w14:textId="77777777" w:rsidR="00E22C3D" w:rsidRPr="00F37D4D" w:rsidRDefault="00E22C3D" w:rsidP="00F64BF9">
      <w:pPr>
        <w:keepNext/>
        <w:spacing w:line="240" w:lineRule="auto"/>
        <w:rPr>
          <w:rFonts w:eastAsia="SimSun"/>
        </w:rPr>
      </w:pPr>
    </w:p>
    <w:p w14:paraId="500A69CE" w14:textId="77777777" w:rsidR="00E22C3D" w:rsidRPr="00F37D4D" w:rsidRDefault="00BE7CB1" w:rsidP="00F64BF9">
      <w:pPr>
        <w:spacing w:line="240" w:lineRule="auto"/>
        <w:rPr>
          <w:rFonts w:eastAsia="SimSun"/>
        </w:rPr>
      </w:pPr>
      <w:r>
        <w:t>Nežiaduce reakcie uvedené v tejto časti spadajú do nasledovných kategórií frekvencií: veľmi časté (≥ 1/10); časté (≥ 1/100 až &lt; 1/10); menej časté (≥ 1/1 000 až &lt; 1/100); zriedkavé (≥ 1/10 000 až &lt; 1/1 000); veľmi zriedkavé (&lt; 1/10 000); neznáme (z dostupných údajov).</w:t>
      </w:r>
    </w:p>
    <w:p w14:paraId="3A89D5CF" w14:textId="77777777" w:rsidR="00E22C3D" w:rsidRPr="00F37D4D" w:rsidRDefault="00E22C3D" w:rsidP="00F64BF9">
      <w:pPr>
        <w:spacing w:line="240" w:lineRule="auto"/>
        <w:rPr>
          <w:rFonts w:eastAsia="SimSun"/>
        </w:rPr>
      </w:pPr>
    </w:p>
    <w:p w14:paraId="54DC3519" w14:textId="77777777" w:rsidR="00E22C3D" w:rsidRPr="00F37D4D" w:rsidRDefault="00BE7CB1" w:rsidP="00F64BF9">
      <w:pPr>
        <w:spacing w:line="240" w:lineRule="auto"/>
        <w:rPr>
          <w:rFonts w:eastAsia="SimSun"/>
        </w:rPr>
      </w:pPr>
      <w:r>
        <w:t>Tabuľky 1 a 2 uvádzajú nežiaduce reakcie spojené s použitím bevacizumabu v kombinácii s rôznymi chemoterapeutickými režimami pri viacerých indikáciách, podľa MedDRA triedy orgánových systémov.</w:t>
      </w:r>
    </w:p>
    <w:p w14:paraId="1EEDE430" w14:textId="77777777" w:rsidR="00E22C3D" w:rsidRPr="00F37D4D" w:rsidRDefault="00E22C3D" w:rsidP="00F64BF9">
      <w:pPr>
        <w:spacing w:line="240" w:lineRule="auto"/>
        <w:rPr>
          <w:rFonts w:eastAsia="SimSun"/>
        </w:rPr>
      </w:pPr>
    </w:p>
    <w:p w14:paraId="2757D2B1" w14:textId="77777777" w:rsidR="00E22C3D" w:rsidRPr="00F37D4D" w:rsidRDefault="00BE7CB1" w:rsidP="00F64BF9">
      <w:pPr>
        <w:spacing w:line="240" w:lineRule="auto"/>
        <w:rPr>
          <w:rFonts w:eastAsia="SimSun"/>
        </w:rPr>
      </w:pPr>
      <w:r>
        <w:t>Tabuľka 1 uvádza všetky nežiaduce reakcie podľa frekvencie, u ktorých bolo stanovené, že majú príčinnú súvislosť s bevacizumabom:</w:t>
      </w:r>
    </w:p>
    <w:p w14:paraId="6F3A8E30" w14:textId="77777777" w:rsidR="00E22C3D" w:rsidRPr="00DA33C1" w:rsidRDefault="00BE7CB1" w:rsidP="0033150F">
      <w:pPr>
        <w:pStyle w:val="ListParagraph"/>
        <w:numPr>
          <w:ilvl w:val="0"/>
          <w:numId w:val="8"/>
        </w:numPr>
        <w:ind w:left="567" w:hanging="567"/>
        <w:rPr>
          <w:rFonts w:eastAsia="SimSun"/>
        </w:rPr>
      </w:pPr>
      <w:r>
        <w:t>na základe porovnania frekvencie výskytu prípadov zaznamenaných medzi liečebnými skupinami klinických skúšaní (s rozdielom aspoň 10 % v porovnaní s kontrolnou skupinou, 1.-5.  stupeň podľa NCI-CTCAE, alebo s rozdielom aspoň 2 % v porovnaní s kontrolnou skupinou, 3.-5. stupeň podľa NCI-CTCAE),</w:t>
      </w:r>
    </w:p>
    <w:p w14:paraId="346DC8FD" w14:textId="77777777" w:rsidR="00E22C3D" w:rsidRPr="00DA33C1" w:rsidRDefault="00BE7CB1" w:rsidP="0033150F">
      <w:pPr>
        <w:pStyle w:val="ListParagraph"/>
        <w:numPr>
          <w:ilvl w:val="0"/>
          <w:numId w:val="8"/>
        </w:numPr>
        <w:ind w:left="567" w:hanging="567"/>
        <w:rPr>
          <w:rFonts w:eastAsia="SimSun"/>
        </w:rPr>
      </w:pPr>
      <w:r>
        <w:t xml:space="preserve">v </w:t>
      </w:r>
      <w:r w:rsidR="005117E2">
        <w:t xml:space="preserve">štúdiách </w:t>
      </w:r>
      <w:r>
        <w:t>bezpečnosti po registrácii lieku,</w:t>
      </w:r>
    </w:p>
    <w:p w14:paraId="72C46DFF" w14:textId="77777777" w:rsidR="00E22C3D" w:rsidRPr="00DA33C1" w:rsidRDefault="00BE7CB1" w:rsidP="0033150F">
      <w:pPr>
        <w:pStyle w:val="ListParagraph"/>
        <w:numPr>
          <w:ilvl w:val="0"/>
          <w:numId w:val="8"/>
        </w:numPr>
        <w:ind w:left="567" w:hanging="567"/>
        <w:rPr>
          <w:rFonts w:eastAsia="SimSun"/>
        </w:rPr>
      </w:pPr>
      <w:r>
        <w:t>v spontánnych hláseniach,</w:t>
      </w:r>
    </w:p>
    <w:p w14:paraId="74BCB28A" w14:textId="77777777" w:rsidR="00E22C3D" w:rsidRPr="00DA33C1" w:rsidRDefault="00BE7CB1" w:rsidP="0033150F">
      <w:pPr>
        <w:pStyle w:val="ListParagraph"/>
        <w:numPr>
          <w:ilvl w:val="0"/>
          <w:numId w:val="8"/>
        </w:numPr>
        <w:ind w:left="567" w:hanging="567"/>
        <w:rPr>
          <w:rFonts w:eastAsia="SimSun"/>
        </w:rPr>
      </w:pPr>
      <w:r>
        <w:t>v epidemiologických štúdiách/neintervenčných alebo observačných štúdiách,</w:t>
      </w:r>
    </w:p>
    <w:p w14:paraId="061A4F59" w14:textId="77777777" w:rsidR="00E22C3D" w:rsidRPr="002F3218" w:rsidRDefault="00BE7CB1" w:rsidP="0033150F">
      <w:pPr>
        <w:pStyle w:val="ListParagraph"/>
        <w:numPr>
          <w:ilvl w:val="0"/>
          <w:numId w:val="8"/>
        </w:numPr>
        <w:ind w:left="567" w:hanging="567"/>
        <w:rPr>
          <w:rFonts w:eastAsia="SimSun"/>
        </w:rPr>
      </w:pPr>
      <w:r>
        <w:t>alebo na základe hodnotenia jednotlivých hlásení.</w:t>
      </w:r>
    </w:p>
    <w:p w14:paraId="3A62BC82" w14:textId="77777777" w:rsidR="00E22C3D" w:rsidRPr="00F37D4D" w:rsidRDefault="00E22C3D" w:rsidP="00F64BF9">
      <w:pPr>
        <w:spacing w:line="240" w:lineRule="auto"/>
        <w:rPr>
          <w:rFonts w:eastAsia="SimSun"/>
        </w:rPr>
      </w:pPr>
    </w:p>
    <w:p w14:paraId="78E6A363" w14:textId="77777777" w:rsidR="00E22C3D" w:rsidRPr="00F37D4D" w:rsidRDefault="00BE7CB1" w:rsidP="00F64BF9">
      <w:pPr>
        <w:spacing w:line="240" w:lineRule="auto"/>
        <w:rPr>
          <w:rFonts w:eastAsia="SimSun"/>
        </w:rPr>
      </w:pPr>
      <w:r>
        <w:t>V tabuľke 2 sú uvedené frekvencie závažných nežiaducich reakcií. Závažné reakcie sú definované ako nežiaduce reakcie 3.-5. stupňa podľa NCI-CT CAE s rozdielom aspoň 2 % v porovnaní s kontrolnou skupinou klinických skúšaní. V tabuľke 2 sú uvedené nežiaduce reakcie, ktoré vyhodnotil držiteľ rozhodnutia o registrácii ako klinicky významné alebo závažné.</w:t>
      </w:r>
    </w:p>
    <w:p w14:paraId="4316F6D7" w14:textId="77777777" w:rsidR="00E22C3D" w:rsidRPr="00F37D4D" w:rsidRDefault="00E22C3D" w:rsidP="00F64BF9">
      <w:pPr>
        <w:spacing w:line="240" w:lineRule="auto"/>
        <w:rPr>
          <w:rFonts w:eastAsia="SimSun"/>
        </w:rPr>
      </w:pPr>
    </w:p>
    <w:p w14:paraId="630862E8" w14:textId="77777777" w:rsidR="00E22C3D" w:rsidRPr="00F37D4D" w:rsidRDefault="00BE7CB1" w:rsidP="00F64BF9">
      <w:pPr>
        <w:spacing w:line="240" w:lineRule="auto"/>
        <w:rPr>
          <w:rFonts w:eastAsia="SimSun"/>
        </w:rPr>
      </w:pPr>
      <w:r>
        <w:t>Do obidvoch tabuliek 1 a 2, kde to bolo možné, boli zahrnuté nežiaduce reakcie po uvedení lieku na trh. Bližšie informácie o nežiaducich reakciách po uvedení lieku na trh sú uvedené v tabuľke 3.</w:t>
      </w:r>
    </w:p>
    <w:p w14:paraId="53C73F16" w14:textId="77777777" w:rsidR="00E22C3D" w:rsidRPr="00F37D4D" w:rsidRDefault="00E22C3D" w:rsidP="00F64BF9">
      <w:pPr>
        <w:spacing w:line="240" w:lineRule="auto"/>
        <w:rPr>
          <w:rFonts w:eastAsia="SimSun"/>
        </w:rPr>
      </w:pPr>
    </w:p>
    <w:p w14:paraId="1DCC22E9" w14:textId="77777777" w:rsidR="00E22C3D" w:rsidRPr="00F37D4D" w:rsidRDefault="00BE7CB1" w:rsidP="00F64BF9">
      <w:pPr>
        <w:spacing w:line="240" w:lineRule="auto"/>
        <w:rPr>
          <w:rFonts w:eastAsia="SimSun"/>
        </w:rPr>
      </w:pPr>
      <w:r>
        <w:t>V nižšie uvedených tabuľkách sú nežiaduce reakcie doplnené do príslušnej kategórie frekvencie podľa najvyššieho výskytu pozorovaného pri niektorej indikácii.</w:t>
      </w:r>
    </w:p>
    <w:p w14:paraId="3B63F80C" w14:textId="77777777" w:rsidR="00E22C3D" w:rsidRPr="00F37D4D" w:rsidRDefault="00E22C3D" w:rsidP="00F64BF9">
      <w:pPr>
        <w:spacing w:line="240" w:lineRule="auto"/>
        <w:rPr>
          <w:rFonts w:eastAsia="SimSun"/>
        </w:rPr>
      </w:pPr>
    </w:p>
    <w:p w14:paraId="052FAF11" w14:textId="77777777" w:rsidR="00E22C3D" w:rsidRPr="00F37D4D" w:rsidRDefault="00BE7CB1" w:rsidP="00F64BF9">
      <w:pPr>
        <w:spacing w:line="240" w:lineRule="auto"/>
        <w:rPr>
          <w:rFonts w:eastAsia="SimSun"/>
        </w:rPr>
      </w:pPr>
      <w:r>
        <w:t>V rámci jednotlivých skupín frekvencií sú nežiaduce reakcie usporiadané v poradí klesajúcej závažnosti.</w:t>
      </w:r>
    </w:p>
    <w:p w14:paraId="115BD654" w14:textId="77777777" w:rsidR="00E22C3D" w:rsidRPr="00F37D4D" w:rsidRDefault="00E22C3D" w:rsidP="00F64BF9">
      <w:pPr>
        <w:spacing w:line="240" w:lineRule="auto"/>
        <w:rPr>
          <w:rFonts w:eastAsia="SimSun"/>
        </w:rPr>
      </w:pPr>
    </w:p>
    <w:p w14:paraId="0B39FC02" w14:textId="1C68E08E" w:rsidR="00E22C3D" w:rsidRPr="00F37D4D" w:rsidRDefault="00BE7CB1" w:rsidP="00F64BF9">
      <w:pPr>
        <w:spacing w:line="240" w:lineRule="auto"/>
        <w:rPr>
          <w:rFonts w:eastAsia="SimSun"/>
        </w:rPr>
      </w:pPr>
      <w:r>
        <w:lastRenderedPageBreak/>
        <w:t>Niektoré nežiaduce reakcie sú reakcie často pozorované pri použití chemoterapie, bevacizumab v kombinácii s chemoterapeutikami však môže tieto reakcie zhoršiť. To zahŕňa napríklad syndróm palmárno-plantárnej erytrodyzestézie pri podávaní pegylovaného lipozomálneho doxorubicínu alebo kapecitabínu</w:t>
      </w:r>
      <w:r w:rsidR="00826956">
        <w:t>,</w:t>
      </w:r>
      <w:r>
        <w:t xml:space="preserve"> periférnu senzorickú neuropatiu pri podávaní paklitaxelu alebo oxaliplatiny, poruchy nechtov alebo alopéciu pri podávaní paklitaxelu </w:t>
      </w:r>
      <w:r w:rsidRPr="00F14E99">
        <w:t>a paronychium</w:t>
      </w:r>
      <w:r>
        <w:t xml:space="preserve"> pri podávaní erlotinibu.</w:t>
      </w:r>
    </w:p>
    <w:p w14:paraId="4A8581A3" w14:textId="77777777" w:rsidR="00E22C3D" w:rsidRPr="00F37D4D" w:rsidRDefault="00E22C3D" w:rsidP="00F64BF9">
      <w:pPr>
        <w:spacing w:line="240" w:lineRule="auto"/>
        <w:rPr>
          <w:rFonts w:eastAsia="SimSun"/>
        </w:rPr>
      </w:pPr>
    </w:p>
    <w:p w14:paraId="7ECB2ACB" w14:textId="77777777" w:rsidR="00E22C3D" w:rsidRPr="002F3218" w:rsidRDefault="00BE7CB1" w:rsidP="00755C59">
      <w:pPr>
        <w:keepNext/>
        <w:widowControl w:val="0"/>
        <w:spacing w:line="240" w:lineRule="auto"/>
        <w:rPr>
          <w:rFonts w:eastAsia="SimSun"/>
          <w:b/>
          <w:bCs/>
        </w:rPr>
      </w:pPr>
      <w:r>
        <w:rPr>
          <w:b/>
        </w:rPr>
        <w:t>Tabuľka 1. Nežiaduce reakcie podľa frekvencie výskytu</w:t>
      </w:r>
    </w:p>
    <w:p w14:paraId="5335B31E" w14:textId="77777777" w:rsidR="00E22C3D" w:rsidRPr="00F37D4D" w:rsidRDefault="00E22C3D" w:rsidP="00755C59">
      <w:pPr>
        <w:keepNext/>
        <w:widowControl w:val="0"/>
        <w:spacing w:line="240" w:lineRule="auto"/>
        <w:rPr>
          <w:rFonts w:eastAsia="SimSu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3"/>
        <w:gridCol w:w="1441"/>
        <w:gridCol w:w="1758"/>
        <w:gridCol w:w="588"/>
        <w:gridCol w:w="1195"/>
        <w:gridCol w:w="1075"/>
        <w:gridCol w:w="1411"/>
      </w:tblGrid>
      <w:tr w:rsidR="00741586" w:rsidRPr="001957BD" w14:paraId="735D8C30" w14:textId="77777777" w:rsidTr="00364BED">
        <w:trPr>
          <w:cantSplit/>
          <w:trHeight w:val="20"/>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4E256C06" w14:textId="77777777" w:rsidR="00E22C3D" w:rsidRPr="001957BD" w:rsidRDefault="00BE7CB1" w:rsidP="00755C59">
            <w:pPr>
              <w:pStyle w:val="TABLES"/>
              <w:ind w:left="57" w:right="57"/>
              <w:jc w:val="center"/>
              <w:rPr>
                <w:b/>
                <w:bCs/>
                <w:sz w:val="18"/>
              </w:rPr>
            </w:pPr>
            <w:r>
              <w:rPr>
                <w:b/>
                <w:sz w:val="18"/>
              </w:rPr>
              <w:t>Trieda orgánových systémov</w:t>
            </w:r>
          </w:p>
        </w:tc>
        <w:tc>
          <w:tcPr>
            <w:tcW w:w="0" w:type="auto"/>
            <w:tcBorders>
              <w:top w:val="single" w:sz="4" w:space="0" w:color="000000"/>
              <w:left w:val="single" w:sz="4" w:space="0" w:color="000000"/>
              <w:bottom w:val="single" w:sz="4" w:space="0" w:color="000000"/>
              <w:right w:val="single" w:sz="4" w:space="0" w:color="000000"/>
            </w:tcBorders>
            <w:hideMark/>
          </w:tcPr>
          <w:p w14:paraId="0CAE1220" w14:textId="77777777" w:rsidR="00E22C3D" w:rsidRPr="001957BD" w:rsidRDefault="00BE7CB1" w:rsidP="00755C59">
            <w:pPr>
              <w:pStyle w:val="TABLES"/>
              <w:ind w:left="57" w:right="57"/>
              <w:jc w:val="center"/>
              <w:rPr>
                <w:b/>
                <w:bCs/>
                <w:sz w:val="18"/>
              </w:rPr>
            </w:pPr>
            <w:r>
              <w:rPr>
                <w:b/>
                <w:sz w:val="18"/>
              </w:rPr>
              <w:t>Veľmi časté</w:t>
            </w:r>
          </w:p>
        </w:tc>
        <w:tc>
          <w:tcPr>
            <w:tcW w:w="0" w:type="auto"/>
            <w:tcBorders>
              <w:top w:val="single" w:sz="4" w:space="0" w:color="000000"/>
              <w:left w:val="single" w:sz="4" w:space="0" w:color="000000"/>
              <w:bottom w:val="single" w:sz="4" w:space="0" w:color="000000"/>
              <w:right w:val="single" w:sz="4" w:space="0" w:color="000000"/>
            </w:tcBorders>
            <w:hideMark/>
          </w:tcPr>
          <w:p w14:paraId="0CFA1757" w14:textId="77777777" w:rsidR="00E22C3D" w:rsidRPr="001957BD" w:rsidRDefault="00BE7CB1" w:rsidP="00755C59">
            <w:pPr>
              <w:pStyle w:val="TABLES"/>
              <w:ind w:left="57" w:right="57"/>
              <w:jc w:val="center"/>
              <w:rPr>
                <w:b/>
                <w:bCs/>
                <w:sz w:val="18"/>
              </w:rPr>
            </w:pPr>
            <w:r>
              <w:rPr>
                <w:b/>
                <w:sz w:val="18"/>
              </w:rPr>
              <w:t>Časté</w:t>
            </w:r>
          </w:p>
        </w:tc>
        <w:tc>
          <w:tcPr>
            <w:tcW w:w="0" w:type="auto"/>
            <w:tcBorders>
              <w:top w:val="single" w:sz="4" w:space="0" w:color="000000"/>
              <w:left w:val="single" w:sz="4" w:space="0" w:color="000000"/>
              <w:bottom w:val="single" w:sz="4" w:space="0" w:color="000000"/>
              <w:right w:val="single" w:sz="4" w:space="0" w:color="000000"/>
            </w:tcBorders>
            <w:hideMark/>
          </w:tcPr>
          <w:p w14:paraId="715E238B" w14:textId="77777777" w:rsidR="00E22C3D" w:rsidRPr="001957BD" w:rsidRDefault="00BE7CB1" w:rsidP="00755C59">
            <w:pPr>
              <w:pStyle w:val="TABLES"/>
              <w:ind w:left="65" w:right="57"/>
              <w:jc w:val="center"/>
              <w:rPr>
                <w:b/>
                <w:bCs/>
                <w:sz w:val="18"/>
              </w:rPr>
            </w:pPr>
            <w:r>
              <w:rPr>
                <w:b/>
                <w:sz w:val="18"/>
              </w:rPr>
              <w:t>Menej časté</w:t>
            </w:r>
          </w:p>
        </w:tc>
        <w:tc>
          <w:tcPr>
            <w:tcW w:w="0" w:type="auto"/>
            <w:tcBorders>
              <w:top w:val="single" w:sz="4" w:space="0" w:color="000000"/>
              <w:left w:val="single" w:sz="4" w:space="0" w:color="000000"/>
              <w:bottom w:val="single" w:sz="4" w:space="0" w:color="000000"/>
              <w:right w:val="single" w:sz="4" w:space="0" w:color="000000"/>
            </w:tcBorders>
            <w:hideMark/>
          </w:tcPr>
          <w:p w14:paraId="43867B84" w14:textId="77777777" w:rsidR="00E22C3D" w:rsidRPr="001957BD" w:rsidRDefault="00BE7CB1" w:rsidP="00755C59">
            <w:pPr>
              <w:pStyle w:val="TABLES"/>
              <w:ind w:left="57" w:right="57"/>
              <w:jc w:val="center"/>
              <w:rPr>
                <w:b/>
                <w:bCs/>
                <w:sz w:val="18"/>
              </w:rPr>
            </w:pPr>
            <w:r>
              <w:rPr>
                <w:b/>
                <w:sz w:val="18"/>
              </w:rPr>
              <w:t>Zriedkavé</w:t>
            </w:r>
          </w:p>
        </w:tc>
        <w:tc>
          <w:tcPr>
            <w:tcW w:w="0" w:type="auto"/>
            <w:tcBorders>
              <w:top w:val="single" w:sz="4" w:space="0" w:color="000000"/>
              <w:left w:val="single" w:sz="4" w:space="0" w:color="000000"/>
              <w:bottom w:val="single" w:sz="4" w:space="0" w:color="000000"/>
              <w:right w:val="single" w:sz="4" w:space="0" w:color="000000"/>
            </w:tcBorders>
            <w:hideMark/>
          </w:tcPr>
          <w:p w14:paraId="193D3FB6" w14:textId="77777777" w:rsidR="00E22C3D" w:rsidRPr="001957BD" w:rsidRDefault="00BE7CB1" w:rsidP="00755C59">
            <w:pPr>
              <w:pStyle w:val="TABLES"/>
              <w:ind w:left="57" w:right="57"/>
              <w:jc w:val="center"/>
              <w:rPr>
                <w:b/>
                <w:bCs/>
                <w:sz w:val="18"/>
              </w:rPr>
            </w:pPr>
            <w:r>
              <w:rPr>
                <w:b/>
                <w:sz w:val="18"/>
              </w:rPr>
              <w:t>Veľmi zriedkavé</w:t>
            </w:r>
          </w:p>
        </w:tc>
        <w:tc>
          <w:tcPr>
            <w:tcW w:w="0" w:type="auto"/>
            <w:tcBorders>
              <w:top w:val="single" w:sz="4" w:space="0" w:color="000000"/>
              <w:left w:val="single" w:sz="4" w:space="0" w:color="000000"/>
              <w:bottom w:val="single" w:sz="4" w:space="0" w:color="000000"/>
              <w:right w:val="single" w:sz="4" w:space="0" w:color="000000"/>
            </w:tcBorders>
            <w:hideMark/>
          </w:tcPr>
          <w:p w14:paraId="5DC1EAE7" w14:textId="77777777" w:rsidR="00E22C3D" w:rsidRPr="001957BD" w:rsidRDefault="00BE7CB1" w:rsidP="00755C59">
            <w:pPr>
              <w:pStyle w:val="TABLES"/>
              <w:ind w:left="57" w:right="57"/>
              <w:jc w:val="center"/>
              <w:rPr>
                <w:b/>
                <w:bCs/>
                <w:sz w:val="18"/>
              </w:rPr>
            </w:pPr>
            <w:r>
              <w:rPr>
                <w:b/>
                <w:sz w:val="18"/>
              </w:rPr>
              <w:t>Neznáma frekvencia</w:t>
            </w:r>
          </w:p>
        </w:tc>
      </w:tr>
      <w:tr w:rsidR="00741586" w:rsidRPr="00364BED" w14:paraId="1646D9B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6D7F955" w14:textId="77777777" w:rsidR="00E22C3D" w:rsidRPr="005973AB" w:rsidRDefault="00BE7CB1" w:rsidP="00755C59">
            <w:pPr>
              <w:pStyle w:val="TABLES"/>
              <w:ind w:left="57" w:right="57"/>
              <w:rPr>
                <w:b/>
                <w:bCs/>
                <w:sz w:val="18"/>
              </w:rPr>
            </w:pPr>
            <w:r>
              <w:rPr>
                <w:b/>
                <w:sz w:val="18"/>
              </w:rPr>
              <w:t>Infekcie a nákazy</w:t>
            </w:r>
          </w:p>
        </w:tc>
        <w:tc>
          <w:tcPr>
            <w:tcW w:w="0" w:type="auto"/>
            <w:tcBorders>
              <w:top w:val="single" w:sz="4" w:space="0" w:color="000000"/>
              <w:left w:val="single" w:sz="4" w:space="0" w:color="000000"/>
              <w:bottom w:val="single" w:sz="4" w:space="0" w:color="000000"/>
              <w:right w:val="single" w:sz="4" w:space="0" w:color="000000"/>
            </w:tcBorders>
          </w:tcPr>
          <w:p w14:paraId="0685214D"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3C5B3E45" w14:textId="77777777" w:rsidR="00E22C3D" w:rsidRPr="00364BED" w:rsidRDefault="00BE7CB1" w:rsidP="00755C59">
            <w:pPr>
              <w:pStyle w:val="TABLES"/>
              <w:ind w:left="57" w:right="57"/>
              <w:rPr>
                <w:sz w:val="18"/>
              </w:rPr>
            </w:pPr>
            <w:r>
              <w:rPr>
                <w:sz w:val="18"/>
              </w:rPr>
              <w:t>Sepsa, absces</w:t>
            </w:r>
            <w:r w:rsidRPr="00364BED">
              <w:rPr>
                <w:sz w:val="18"/>
                <w:vertAlign w:val="superscript"/>
              </w:rPr>
              <w:t>b,d</w:t>
            </w:r>
            <w:r>
              <w:rPr>
                <w:sz w:val="18"/>
              </w:rPr>
              <w:t>, celulitída, infekcia, infekcia močových ciest</w:t>
            </w:r>
          </w:p>
        </w:tc>
        <w:tc>
          <w:tcPr>
            <w:tcW w:w="0" w:type="auto"/>
            <w:tcBorders>
              <w:top w:val="single" w:sz="4" w:space="0" w:color="000000"/>
              <w:left w:val="single" w:sz="4" w:space="0" w:color="000000"/>
              <w:bottom w:val="single" w:sz="4" w:space="0" w:color="000000"/>
              <w:right w:val="single" w:sz="4" w:space="0" w:color="000000"/>
            </w:tcBorders>
          </w:tcPr>
          <w:p w14:paraId="1370B8DB"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66707097" w14:textId="77777777" w:rsidR="00E22C3D" w:rsidRPr="00364BED" w:rsidRDefault="00BE7CB1" w:rsidP="00755C59">
            <w:pPr>
              <w:pStyle w:val="TABLES"/>
              <w:ind w:left="57" w:right="57"/>
              <w:rPr>
                <w:sz w:val="18"/>
              </w:rPr>
            </w:pPr>
            <w:r>
              <w:rPr>
                <w:sz w:val="18"/>
              </w:rPr>
              <w:t>Nekrotizujúca fasciitída</w:t>
            </w:r>
            <w:r w:rsidRPr="00364BED">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29C323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D3E3367" w14:textId="77777777" w:rsidR="00E22C3D" w:rsidRPr="00364BED" w:rsidRDefault="00E22C3D" w:rsidP="00755C59">
            <w:pPr>
              <w:pStyle w:val="TABLES"/>
              <w:ind w:left="57" w:right="57"/>
              <w:rPr>
                <w:sz w:val="18"/>
              </w:rPr>
            </w:pPr>
          </w:p>
        </w:tc>
      </w:tr>
      <w:tr w:rsidR="00741586" w:rsidRPr="00364BED" w14:paraId="16C2E7DB"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71A8C5B" w14:textId="77777777" w:rsidR="00E22C3D" w:rsidRPr="005973AB" w:rsidRDefault="00BE7CB1" w:rsidP="00755C59">
            <w:pPr>
              <w:pStyle w:val="TABLES"/>
              <w:ind w:left="57" w:right="57"/>
              <w:rPr>
                <w:b/>
                <w:bCs/>
                <w:sz w:val="18"/>
              </w:rPr>
            </w:pPr>
            <w:r>
              <w:rPr>
                <w:b/>
                <w:sz w:val="18"/>
              </w:rPr>
              <w:t>Poruchy krvi a lymfatického systému</w:t>
            </w:r>
          </w:p>
        </w:tc>
        <w:tc>
          <w:tcPr>
            <w:tcW w:w="0" w:type="auto"/>
            <w:tcBorders>
              <w:top w:val="single" w:sz="4" w:space="0" w:color="000000"/>
              <w:left w:val="single" w:sz="4" w:space="0" w:color="000000"/>
              <w:bottom w:val="single" w:sz="4" w:space="0" w:color="000000"/>
              <w:right w:val="single" w:sz="4" w:space="0" w:color="000000"/>
            </w:tcBorders>
            <w:hideMark/>
          </w:tcPr>
          <w:p w14:paraId="10876138" w14:textId="77777777" w:rsidR="00E22C3D" w:rsidRPr="00364BED" w:rsidRDefault="00BE7CB1" w:rsidP="00755C59">
            <w:pPr>
              <w:pStyle w:val="TABLES"/>
              <w:ind w:left="57" w:right="57"/>
              <w:rPr>
                <w:sz w:val="18"/>
              </w:rPr>
            </w:pPr>
            <w:r>
              <w:rPr>
                <w:sz w:val="18"/>
              </w:rPr>
              <w:t>Febrilná neutropénia, leukopénia, neutropénia</w:t>
            </w:r>
            <w:r w:rsidRPr="00364BED">
              <w:rPr>
                <w:sz w:val="18"/>
                <w:vertAlign w:val="superscript"/>
              </w:rPr>
              <w:t>b</w:t>
            </w:r>
            <w:r>
              <w:rPr>
                <w:sz w:val="18"/>
              </w:rPr>
              <w:t>, trombocytopénia</w:t>
            </w:r>
          </w:p>
        </w:tc>
        <w:tc>
          <w:tcPr>
            <w:tcW w:w="0" w:type="auto"/>
            <w:tcBorders>
              <w:top w:val="single" w:sz="4" w:space="0" w:color="000000"/>
              <w:left w:val="single" w:sz="4" w:space="0" w:color="000000"/>
              <w:bottom w:val="single" w:sz="4" w:space="0" w:color="000000"/>
              <w:right w:val="single" w:sz="4" w:space="0" w:color="000000"/>
            </w:tcBorders>
            <w:hideMark/>
          </w:tcPr>
          <w:p w14:paraId="34A952DF" w14:textId="77777777" w:rsidR="00E22C3D" w:rsidRPr="00364BED" w:rsidRDefault="00BE7CB1" w:rsidP="00755C59">
            <w:pPr>
              <w:pStyle w:val="TABLES"/>
              <w:ind w:left="57" w:right="57"/>
              <w:rPr>
                <w:sz w:val="18"/>
              </w:rPr>
            </w:pPr>
            <w:r>
              <w:rPr>
                <w:sz w:val="18"/>
              </w:rPr>
              <w:t>Anémia, lymfopénia</w:t>
            </w:r>
          </w:p>
        </w:tc>
        <w:tc>
          <w:tcPr>
            <w:tcW w:w="0" w:type="auto"/>
            <w:tcBorders>
              <w:top w:val="single" w:sz="4" w:space="0" w:color="000000"/>
              <w:left w:val="single" w:sz="4" w:space="0" w:color="000000"/>
              <w:bottom w:val="single" w:sz="4" w:space="0" w:color="000000"/>
              <w:right w:val="single" w:sz="4" w:space="0" w:color="000000"/>
            </w:tcBorders>
          </w:tcPr>
          <w:p w14:paraId="5EDD1152"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1EE6E99"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315CE6F"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69D2C8D" w14:textId="77777777" w:rsidR="00E22C3D" w:rsidRPr="00364BED" w:rsidRDefault="00E22C3D" w:rsidP="00755C59">
            <w:pPr>
              <w:pStyle w:val="TABLES"/>
              <w:ind w:left="57" w:right="57"/>
              <w:rPr>
                <w:sz w:val="18"/>
              </w:rPr>
            </w:pPr>
          </w:p>
        </w:tc>
      </w:tr>
      <w:tr w:rsidR="00741586" w:rsidRPr="00364BED" w14:paraId="42036C87"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4E456CBD" w14:textId="77777777" w:rsidR="00E22C3D" w:rsidRPr="005973AB" w:rsidRDefault="00BE7CB1" w:rsidP="00755C59">
            <w:pPr>
              <w:pStyle w:val="TABLES"/>
              <w:ind w:left="57" w:right="57"/>
              <w:rPr>
                <w:b/>
                <w:bCs/>
                <w:sz w:val="18"/>
              </w:rPr>
            </w:pPr>
            <w:r>
              <w:rPr>
                <w:b/>
                <w:sz w:val="18"/>
              </w:rPr>
              <w:t>Poruchy imunitného systému</w:t>
            </w:r>
          </w:p>
        </w:tc>
        <w:tc>
          <w:tcPr>
            <w:tcW w:w="0" w:type="auto"/>
            <w:tcBorders>
              <w:top w:val="single" w:sz="4" w:space="0" w:color="000000"/>
              <w:left w:val="single" w:sz="4" w:space="0" w:color="000000"/>
              <w:bottom w:val="single" w:sz="4" w:space="0" w:color="000000"/>
              <w:right w:val="single" w:sz="4" w:space="0" w:color="000000"/>
            </w:tcBorders>
          </w:tcPr>
          <w:p w14:paraId="586960A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DACF5C0" w14:textId="77777777" w:rsidR="00E22C3D" w:rsidRPr="00364BED" w:rsidRDefault="00BE7CB1" w:rsidP="00755C59">
            <w:pPr>
              <w:pStyle w:val="TABLES"/>
              <w:ind w:left="57" w:right="57"/>
              <w:rPr>
                <w:sz w:val="18"/>
              </w:rPr>
            </w:pPr>
            <w:r>
              <w:rPr>
                <w:sz w:val="18"/>
              </w:rPr>
              <w:t>Precitlivenosť, reakcie na infúziu</w:t>
            </w:r>
            <w:r>
              <w:rPr>
                <w:sz w:val="18"/>
                <w:vertAlign w:val="superscript"/>
              </w:rPr>
              <w:t>a,b,d</w:t>
            </w:r>
          </w:p>
        </w:tc>
        <w:tc>
          <w:tcPr>
            <w:tcW w:w="0" w:type="auto"/>
            <w:tcBorders>
              <w:top w:val="single" w:sz="4" w:space="0" w:color="000000"/>
              <w:left w:val="single" w:sz="4" w:space="0" w:color="000000"/>
              <w:bottom w:val="single" w:sz="4" w:space="0" w:color="000000"/>
              <w:right w:val="single" w:sz="4" w:space="0" w:color="000000"/>
            </w:tcBorders>
          </w:tcPr>
          <w:p w14:paraId="4F5CAADB"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11360D0" w14:textId="22668977" w:rsidR="00E22C3D" w:rsidRPr="00364BED" w:rsidRDefault="00E55D9E" w:rsidP="00755C59">
            <w:pPr>
              <w:pStyle w:val="TABLES"/>
              <w:ind w:left="57" w:right="57"/>
              <w:rPr>
                <w:sz w:val="18"/>
              </w:rPr>
            </w:pPr>
            <w:r w:rsidRPr="00E55D9E">
              <w:rPr>
                <w:sz w:val="18"/>
              </w:rPr>
              <w:t>Anafylaktický šok</w:t>
            </w:r>
          </w:p>
        </w:tc>
        <w:tc>
          <w:tcPr>
            <w:tcW w:w="0" w:type="auto"/>
            <w:tcBorders>
              <w:top w:val="single" w:sz="4" w:space="0" w:color="000000"/>
              <w:left w:val="single" w:sz="4" w:space="0" w:color="000000"/>
              <w:bottom w:val="single" w:sz="4" w:space="0" w:color="000000"/>
              <w:right w:val="single" w:sz="4" w:space="0" w:color="000000"/>
            </w:tcBorders>
          </w:tcPr>
          <w:p w14:paraId="4F75C974"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4BE4253" w14:textId="77777777" w:rsidR="00E22C3D" w:rsidRPr="00364BED" w:rsidRDefault="00E22C3D" w:rsidP="00755C59">
            <w:pPr>
              <w:pStyle w:val="TABLES"/>
              <w:ind w:left="57" w:right="57"/>
              <w:rPr>
                <w:sz w:val="18"/>
              </w:rPr>
            </w:pPr>
          </w:p>
        </w:tc>
      </w:tr>
      <w:tr w:rsidR="00741586" w:rsidRPr="00364BED" w14:paraId="151677CB"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86752FC" w14:textId="77777777" w:rsidR="00E22C3D" w:rsidRPr="005973AB" w:rsidRDefault="00BE7CB1" w:rsidP="00755C59">
            <w:pPr>
              <w:pStyle w:val="TABLES"/>
              <w:ind w:left="57" w:right="57"/>
              <w:rPr>
                <w:b/>
                <w:bCs/>
                <w:sz w:val="18"/>
              </w:rPr>
            </w:pPr>
            <w:r>
              <w:rPr>
                <w:b/>
                <w:sz w:val="18"/>
              </w:rPr>
              <w:t>Poruchy metabolizmu a výživy</w:t>
            </w:r>
          </w:p>
        </w:tc>
        <w:tc>
          <w:tcPr>
            <w:tcW w:w="0" w:type="auto"/>
            <w:tcBorders>
              <w:top w:val="single" w:sz="4" w:space="0" w:color="000000"/>
              <w:left w:val="single" w:sz="4" w:space="0" w:color="000000"/>
              <w:bottom w:val="single" w:sz="4" w:space="0" w:color="000000"/>
              <w:right w:val="single" w:sz="4" w:space="0" w:color="000000"/>
            </w:tcBorders>
            <w:hideMark/>
          </w:tcPr>
          <w:p w14:paraId="4EE73C27" w14:textId="77777777" w:rsidR="00E22C3D" w:rsidRPr="00364BED" w:rsidRDefault="00BE7CB1" w:rsidP="00755C59">
            <w:pPr>
              <w:pStyle w:val="TABLES"/>
              <w:ind w:left="57" w:right="57"/>
              <w:rPr>
                <w:sz w:val="18"/>
              </w:rPr>
            </w:pPr>
            <w:r>
              <w:rPr>
                <w:sz w:val="18"/>
              </w:rPr>
              <w:t>Anorexia, hypomagneziémia, hyponatriémia</w:t>
            </w:r>
          </w:p>
        </w:tc>
        <w:tc>
          <w:tcPr>
            <w:tcW w:w="0" w:type="auto"/>
            <w:tcBorders>
              <w:top w:val="single" w:sz="4" w:space="0" w:color="000000"/>
              <w:left w:val="single" w:sz="4" w:space="0" w:color="000000"/>
              <w:bottom w:val="single" w:sz="4" w:space="0" w:color="000000"/>
              <w:right w:val="single" w:sz="4" w:space="0" w:color="000000"/>
            </w:tcBorders>
            <w:hideMark/>
          </w:tcPr>
          <w:p w14:paraId="17FB7D43" w14:textId="77777777" w:rsidR="00E22C3D" w:rsidRPr="00364BED" w:rsidRDefault="00BE7CB1" w:rsidP="00755C59">
            <w:pPr>
              <w:pStyle w:val="TABLES"/>
              <w:ind w:left="57" w:right="57"/>
              <w:rPr>
                <w:sz w:val="18"/>
              </w:rPr>
            </w:pPr>
            <w:r>
              <w:rPr>
                <w:sz w:val="18"/>
              </w:rPr>
              <w:t>Dehydratácia</w:t>
            </w:r>
          </w:p>
        </w:tc>
        <w:tc>
          <w:tcPr>
            <w:tcW w:w="0" w:type="auto"/>
            <w:tcBorders>
              <w:top w:val="single" w:sz="4" w:space="0" w:color="000000"/>
              <w:left w:val="single" w:sz="4" w:space="0" w:color="000000"/>
              <w:bottom w:val="single" w:sz="4" w:space="0" w:color="000000"/>
              <w:right w:val="single" w:sz="4" w:space="0" w:color="000000"/>
            </w:tcBorders>
          </w:tcPr>
          <w:p w14:paraId="260125B2"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50FD38A"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B331F9D"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35092A5" w14:textId="77777777" w:rsidR="00E22C3D" w:rsidRPr="00364BED" w:rsidRDefault="00E22C3D" w:rsidP="00755C59">
            <w:pPr>
              <w:pStyle w:val="TABLES"/>
              <w:ind w:left="57" w:right="57"/>
              <w:rPr>
                <w:sz w:val="18"/>
              </w:rPr>
            </w:pPr>
          </w:p>
        </w:tc>
      </w:tr>
      <w:tr w:rsidR="00741586" w:rsidRPr="00364BED" w14:paraId="18F1A3B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9FE74E6" w14:textId="77777777" w:rsidR="00E22C3D" w:rsidRPr="005973AB" w:rsidRDefault="00BE7CB1" w:rsidP="00755C59">
            <w:pPr>
              <w:pStyle w:val="TABLES"/>
              <w:ind w:left="57" w:right="57"/>
              <w:rPr>
                <w:b/>
                <w:bCs/>
                <w:sz w:val="18"/>
              </w:rPr>
            </w:pPr>
            <w:r>
              <w:rPr>
                <w:b/>
                <w:sz w:val="18"/>
              </w:rPr>
              <w:t>Poruchy nervového systému</w:t>
            </w:r>
          </w:p>
        </w:tc>
        <w:tc>
          <w:tcPr>
            <w:tcW w:w="0" w:type="auto"/>
            <w:tcBorders>
              <w:top w:val="single" w:sz="4" w:space="0" w:color="000000"/>
              <w:left w:val="single" w:sz="4" w:space="0" w:color="000000"/>
              <w:bottom w:val="single" w:sz="4" w:space="0" w:color="000000"/>
              <w:right w:val="single" w:sz="4" w:space="0" w:color="000000"/>
            </w:tcBorders>
            <w:hideMark/>
          </w:tcPr>
          <w:p w14:paraId="51D76057" w14:textId="77777777" w:rsidR="00E22C3D" w:rsidRPr="00364BED" w:rsidRDefault="00BE7CB1" w:rsidP="00755C59">
            <w:pPr>
              <w:pStyle w:val="TABLES"/>
              <w:ind w:left="57" w:right="57"/>
              <w:rPr>
                <w:sz w:val="18"/>
              </w:rPr>
            </w:pPr>
            <w:r>
              <w:rPr>
                <w:sz w:val="18"/>
              </w:rPr>
              <w:t>Periférna senzorická neuropatia</w:t>
            </w:r>
            <w:r w:rsidRPr="00364BED">
              <w:rPr>
                <w:sz w:val="18"/>
                <w:vertAlign w:val="superscript"/>
              </w:rPr>
              <w:t>b</w:t>
            </w:r>
            <w:r>
              <w:rPr>
                <w:sz w:val="18"/>
              </w:rPr>
              <w:t>, dyzartria, bolesť hlavy, dysgeúzia</w:t>
            </w:r>
          </w:p>
        </w:tc>
        <w:tc>
          <w:tcPr>
            <w:tcW w:w="0" w:type="auto"/>
            <w:tcBorders>
              <w:top w:val="single" w:sz="4" w:space="0" w:color="000000"/>
              <w:left w:val="single" w:sz="4" w:space="0" w:color="000000"/>
              <w:bottom w:val="single" w:sz="4" w:space="0" w:color="000000"/>
              <w:right w:val="single" w:sz="4" w:space="0" w:color="000000"/>
            </w:tcBorders>
            <w:hideMark/>
          </w:tcPr>
          <w:p w14:paraId="4E97B9B4" w14:textId="77777777" w:rsidR="00E22C3D" w:rsidRPr="00364BED" w:rsidRDefault="00BE7CB1" w:rsidP="00755C59">
            <w:pPr>
              <w:pStyle w:val="TABLES"/>
              <w:ind w:left="57" w:right="57"/>
              <w:rPr>
                <w:sz w:val="18"/>
              </w:rPr>
            </w:pPr>
            <w:r w:rsidRPr="00F14E99">
              <w:rPr>
                <w:sz w:val="18"/>
              </w:rPr>
              <w:t>Cievna mozgová príhoda</w:t>
            </w:r>
            <w:r>
              <w:rPr>
                <w:sz w:val="18"/>
              </w:rPr>
              <w:t>, synkopa, somnolencia</w:t>
            </w:r>
          </w:p>
        </w:tc>
        <w:tc>
          <w:tcPr>
            <w:tcW w:w="0" w:type="auto"/>
            <w:tcBorders>
              <w:top w:val="single" w:sz="4" w:space="0" w:color="000000"/>
              <w:left w:val="single" w:sz="4" w:space="0" w:color="000000"/>
              <w:bottom w:val="single" w:sz="4" w:space="0" w:color="000000"/>
              <w:right w:val="single" w:sz="4" w:space="0" w:color="000000"/>
            </w:tcBorders>
          </w:tcPr>
          <w:p w14:paraId="2DBC0EE6"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22946599" w14:textId="77777777" w:rsidR="00E22C3D" w:rsidRPr="00364BED" w:rsidRDefault="00BE7CB1" w:rsidP="00755C59">
            <w:pPr>
              <w:pStyle w:val="TABLES"/>
              <w:ind w:left="57" w:right="57"/>
              <w:rPr>
                <w:sz w:val="18"/>
              </w:rPr>
            </w:pPr>
            <w:r>
              <w:rPr>
                <w:sz w:val="18"/>
              </w:rPr>
              <w:t>Posteriórny reverzibilný encefalopatický syndróm</w:t>
            </w:r>
            <w:r>
              <w:rPr>
                <w:sz w:val="18"/>
                <w:vertAlign w:val="superscript"/>
              </w:rPr>
              <w:t>a,b,d</w:t>
            </w:r>
          </w:p>
        </w:tc>
        <w:tc>
          <w:tcPr>
            <w:tcW w:w="0" w:type="auto"/>
            <w:tcBorders>
              <w:top w:val="single" w:sz="4" w:space="0" w:color="000000"/>
              <w:left w:val="single" w:sz="4" w:space="0" w:color="000000"/>
              <w:bottom w:val="single" w:sz="4" w:space="0" w:color="000000"/>
              <w:right w:val="single" w:sz="4" w:space="0" w:color="000000"/>
            </w:tcBorders>
            <w:hideMark/>
          </w:tcPr>
          <w:p w14:paraId="320A6278" w14:textId="77777777" w:rsidR="00E22C3D" w:rsidRPr="00364BED" w:rsidRDefault="00BE7CB1" w:rsidP="00755C59">
            <w:pPr>
              <w:pStyle w:val="TABLES"/>
              <w:ind w:left="57" w:right="57"/>
              <w:rPr>
                <w:sz w:val="18"/>
              </w:rPr>
            </w:pPr>
            <w:r>
              <w:rPr>
                <w:sz w:val="18"/>
              </w:rPr>
              <w:t>Hypertenzná encefalopatia</w:t>
            </w:r>
            <w:r w:rsidRPr="00364BED">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53705ECC" w14:textId="77777777" w:rsidR="00E22C3D" w:rsidRPr="00364BED" w:rsidRDefault="00E22C3D" w:rsidP="00755C59">
            <w:pPr>
              <w:pStyle w:val="TABLES"/>
              <w:ind w:left="57" w:right="57"/>
              <w:rPr>
                <w:sz w:val="18"/>
              </w:rPr>
            </w:pPr>
          </w:p>
        </w:tc>
      </w:tr>
      <w:tr w:rsidR="00741586" w:rsidRPr="00364BED" w14:paraId="30392BB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9222A4D" w14:textId="77777777" w:rsidR="00E22C3D" w:rsidRPr="005973AB" w:rsidRDefault="00BE7CB1" w:rsidP="00755C59">
            <w:pPr>
              <w:pStyle w:val="TABLES"/>
              <w:ind w:left="57" w:right="57"/>
              <w:rPr>
                <w:b/>
                <w:bCs/>
                <w:sz w:val="18"/>
              </w:rPr>
            </w:pPr>
            <w:r>
              <w:rPr>
                <w:b/>
                <w:sz w:val="18"/>
              </w:rPr>
              <w:t>Poruchy oka</w:t>
            </w:r>
          </w:p>
        </w:tc>
        <w:tc>
          <w:tcPr>
            <w:tcW w:w="0" w:type="auto"/>
            <w:tcBorders>
              <w:top w:val="single" w:sz="4" w:space="0" w:color="000000"/>
              <w:left w:val="single" w:sz="4" w:space="0" w:color="000000"/>
              <w:bottom w:val="single" w:sz="4" w:space="0" w:color="000000"/>
              <w:right w:val="single" w:sz="4" w:space="0" w:color="000000"/>
            </w:tcBorders>
            <w:hideMark/>
          </w:tcPr>
          <w:p w14:paraId="7EBD93C0" w14:textId="77777777" w:rsidR="00E22C3D" w:rsidRPr="00364BED" w:rsidRDefault="00BE7CB1" w:rsidP="00755C59">
            <w:pPr>
              <w:pStyle w:val="TABLES"/>
              <w:ind w:left="57" w:right="57"/>
              <w:rPr>
                <w:sz w:val="18"/>
              </w:rPr>
            </w:pPr>
            <w:r>
              <w:rPr>
                <w:sz w:val="18"/>
              </w:rPr>
              <w:t>Poruchy oka, zvýšené slzenie</w:t>
            </w:r>
          </w:p>
        </w:tc>
        <w:tc>
          <w:tcPr>
            <w:tcW w:w="0" w:type="auto"/>
            <w:tcBorders>
              <w:top w:val="single" w:sz="4" w:space="0" w:color="000000"/>
              <w:left w:val="single" w:sz="4" w:space="0" w:color="000000"/>
              <w:bottom w:val="single" w:sz="4" w:space="0" w:color="000000"/>
              <w:right w:val="single" w:sz="4" w:space="0" w:color="000000"/>
            </w:tcBorders>
          </w:tcPr>
          <w:p w14:paraId="49DA2D67"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20C9D9C"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90757AB"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9BB0779"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71A8A51" w14:textId="77777777" w:rsidR="00E22C3D" w:rsidRPr="00364BED" w:rsidRDefault="00E22C3D" w:rsidP="00755C59">
            <w:pPr>
              <w:pStyle w:val="TABLES"/>
              <w:ind w:left="57" w:right="57"/>
              <w:rPr>
                <w:sz w:val="18"/>
              </w:rPr>
            </w:pPr>
          </w:p>
        </w:tc>
      </w:tr>
      <w:tr w:rsidR="00741586" w:rsidRPr="00364BED" w14:paraId="100C1B83"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C4E6FE9" w14:textId="77777777" w:rsidR="00E22C3D" w:rsidRPr="005973AB" w:rsidRDefault="00BE7CB1" w:rsidP="00755C59">
            <w:pPr>
              <w:pStyle w:val="TABLES"/>
              <w:ind w:left="57" w:right="57"/>
              <w:rPr>
                <w:b/>
                <w:bCs/>
                <w:sz w:val="18"/>
              </w:rPr>
            </w:pPr>
            <w:r>
              <w:rPr>
                <w:b/>
                <w:sz w:val="18"/>
              </w:rPr>
              <w:t>Poruchy srdca a srdcovej činnosti</w:t>
            </w:r>
          </w:p>
        </w:tc>
        <w:tc>
          <w:tcPr>
            <w:tcW w:w="0" w:type="auto"/>
            <w:tcBorders>
              <w:top w:val="single" w:sz="4" w:space="0" w:color="000000"/>
              <w:left w:val="single" w:sz="4" w:space="0" w:color="000000"/>
              <w:bottom w:val="single" w:sz="4" w:space="0" w:color="000000"/>
              <w:right w:val="single" w:sz="4" w:space="0" w:color="000000"/>
            </w:tcBorders>
          </w:tcPr>
          <w:p w14:paraId="0827F71E"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03FF997" w14:textId="77777777" w:rsidR="00E22C3D" w:rsidRPr="00364BED" w:rsidRDefault="00BE7CB1" w:rsidP="00755C59">
            <w:pPr>
              <w:pStyle w:val="TABLES"/>
              <w:ind w:left="57" w:right="57"/>
              <w:rPr>
                <w:sz w:val="18"/>
              </w:rPr>
            </w:pPr>
            <w:r>
              <w:rPr>
                <w:sz w:val="18"/>
              </w:rPr>
              <w:t>Kongestívne zlyhanie srdca</w:t>
            </w:r>
            <w:r w:rsidRPr="00364BED">
              <w:rPr>
                <w:sz w:val="18"/>
                <w:vertAlign w:val="superscript"/>
              </w:rPr>
              <w:t>b,d</w:t>
            </w:r>
            <w:r w:rsidR="005117E2">
              <w:rPr>
                <w:sz w:val="18"/>
                <w:vertAlign w:val="superscript"/>
              </w:rPr>
              <w:t xml:space="preserve"> </w:t>
            </w:r>
            <w:r>
              <w:rPr>
                <w:sz w:val="18"/>
              </w:rPr>
              <w:t>Supraventrikulárna tachykardia</w:t>
            </w:r>
          </w:p>
        </w:tc>
        <w:tc>
          <w:tcPr>
            <w:tcW w:w="0" w:type="auto"/>
            <w:tcBorders>
              <w:top w:val="single" w:sz="4" w:space="0" w:color="000000"/>
              <w:left w:val="single" w:sz="4" w:space="0" w:color="000000"/>
              <w:bottom w:val="single" w:sz="4" w:space="0" w:color="000000"/>
              <w:right w:val="single" w:sz="4" w:space="0" w:color="000000"/>
            </w:tcBorders>
          </w:tcPr>
          <w:p w14:paraId="3156D878"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BBB396D"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896FDEA"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397C277" w14:textId="77777777" w:rsidR="00E22C3D" w:rsidRPr="00364BED" w:rsidRDefault="00E22C3D" w:rsidP="00755C59">
            <w:pPr>
              <w:pStyle w:val="TABLES"/>
              <w:ind w:left="57" w:right="57"/>
              <w:rPr>
                <w:sz w:val="18"/>
              </w:rPr>
            </w:pPr>
          </w:p>
        </w:tc>
      </w:tr>
      <w:tr w:rsidR="00741586" w:rsidRPr="00364BED" w14:paraId="0A8F0695"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B88209F" w14:textId="77777777" w:rsidR="00E22C3D" w:rsidRPr="005973AB" w:rsidRDefault="00BE7CB1" w:rsidP="00755C59">
            <w:pPr>
              <w:pStyle w:val="TABLES"/>
              <w:ind w:left="57" w:right="57"/>
              <w:rPr>
                <w:b/>
                <w:bCs/>
                <w:sz w:val="18"/>
              </w:rPr>
            </w:pPr>
            <w:r>
              <w:rPr>
                <w:b/>
                <w:sz w:val="18"/>
              </w:rPr>
              <w:t>Poruchy ciev</w:t>
            </w:r>
          </w:p>
        </w:tc>
        <w:tc>
          <w:tcPr>
            <w:tcW w:w="0" w:type="auto"/>
            <w:tcBorders>
              <w:top w:val="single" w:sz="4" w:space="0" w:color="000000"/>
              <w:left w:val="single" w:sz="4" w:space="0" w:color="000000"/>
              <w:bottom w:val="single" w:sz="4" w:space="0" w:color="000000"/>
              <w:right w:val="single" w:sz="4" w:space="0" w:color="000000"/>
            </w:tcBorders>
            <w:hideMark/>
          </w:tcPr>
          <w:p w14:paraId="705837CB" w14:textId="77777777" w:rsidR="00E22C3D" w:rsidRPr="00364BED" w:rsidRDefault="00BE7CB1" w:rsidP="00755C59">
            <w:pPr>
              <w:pStyle w:val="TABLES"/>
              <w:ind w:left="57" w:right="57"/>
              <w:rPr>
                <w:sz w:val="18"/>
              </w:rPr>
            </w:pPr>
            <w:r>
              <w:rPr>
                <w:sz w:val="18"/>
              </w:rPr>
              <w:t>Hypertenzia</w:t>
            </w:r>
            <w:r w:rsidRPr="00364BED">
              <w:rPr>
                <w:sz w:val="18"/>
                <w:vertAlign w:val="superscript"/>
              </w:rPr>
              <w:t>b,d</w:t>
            </w:r>
            <w:r>
              <w:rPr>
                <w:sz w:val="18"/>
              </w:rPr>
              <w:t>, tromboembolizmus (venózny)</w:t>
            </w:r>
            <w:r w:rsidRPr="00364BED">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hideMark/>
          </w:tcPr>
          <w:p w14:paraId="03616441" w14:textId="77777777" w:rsidR="00E22C3D" w:rsidRPr="00364BED" w:rsidRDefault="00BE7CB1" w:rsidP="00755C59">
            <w:pPr>
              <w:pStyle w:val="TABLES"/>
              <w:ind w:left="57" w:right="57"/>
              <w:rPr>
                <w:sz w:val="18"/>
              </w:rPr>
            </w:pPr>
            <w:r>
              <w:rPr>
                <w:sz w:val="18"/>
              </w:rPr>
              <w:t>Tromboembolizmus (arteriálny)</w:t>
            </w:r>
            <w:r w:rsidRPr="00364BED">
              <w:rPr>
                <w:sz w:val="18"/>
                <w:vertAlign w:val="superscript"/>
              </w:rPr>
              <w:t>b,d</w:t>
            </w:r>
            <w:r>
              <w:rPr>
                <w:sz w:val="18"/>
              </w:rPr>
              <w:t>, krvácanie</w:t>
            </w:r>
            <w:r w:rsidRPr="00364BED">
              <w:rPr>
                <w:sz w:val="18"/>
                <w:vertAlign w:val="superscript"/>
              </w:rPr>
              <w:t>b,d</w:t>
            </w:r>
            <w:r>
              <w:rPr>
                <w:sz w:val="18"/>
              </w:rPr>
              <w:t>, hlboká žilová trombóza</w:t>
            </w:r>
          </w:p>
        </w:tc>
        <w:tc>
          <w:tcPr>
            <w:tcW w:w="0" w:type="auto"/>
            <w:tcBorders>
              <w:top w:val="single" w:sz="4" w:space="0" w:color="000000"/>
              <w:left w:val="single" w:sz="4" w:space="0" w:color="000000"/>
              <w:bottom w:val="single" w:sz="4" w:space="0" w:color="000000"/>
              <w:right w:val="single" w:sz="4" w:space="0" w:color="000000"/>
            </w:tcBorders>
          </w:tcPr>
          <w:p w14:paraId="4A4FCEAE"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2B8C479"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55638F0"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7D32714" w14:textId="08A08628" w:rsidR="00E22C3D" w:rsidRPr="00364BED" w:rsidRDefault="00BE7CB1" w:rsidP="00755C59">
            <w:pPr>
              <w:pStyle w:val="TABLES"/>
              <w:ind w:left="57" w:right="57"/>
              <w:rPr>
                <w:sz w:val="18"/>
              </w:rPr>
            </w:pPr>
            <w:r>
              <w:rPr>
                <w:sz w:val="18"/>
              </w:rPr>
              <w:t>Renálna trombotická mikroangiopatia</w:t>
            </w:r>
            <w:r w:rsidRPr="00364BED">
              <w:rPr>
                <w:sz w:val="18"/>
                <w:vertAlign w:val="superscript"/>
              </w:rPr>
              <w:t>a,b</w:t>
            </w:r>
            <w:r>
              <w:rPr>
                <w:sz w:val="18"/>
              </w:rPr>
              <w:t xml:space="preserve">, </w:t>
            </w:r>
            <w:r w:rsidR="00837D13" w:rsidRPr="00837D13">
              <w:rPr>
                <w:sz w:val="18"/>
              </w:rPr>
              <w:t>hyalínová okluzívna glomerulárna mikroangiopatia</w:t>
            </w:r>
            <w:r w:rsidR="00837D13" w:rsidRPr="00B91565">
              <w:rPr>
                <w:sz w:val="18"/>
                <w:vertAlign w:val="superscript"/>
              </w:rPr>
              <w:t>a</w:t>
            </w:r>
            <w:r w:rsidR="00837D13" w:rsidRPr="00837D13">
              <w:rPr>
                <w:sz w:val="18"/>
              </w:rPr>
              <w:t xml:space="preserve">, </w:t>
            </w:r>
            <w:r>
              <w:rPr>
                <w:sz w:val="18"/>
              </w:rPr>
              <w:t>aneuryzmy a disekcia artérií</w:t>
            </w:r>
          </w:p>
        </w:tc>
      </w:tr>
      <w:tr w:rsidR="00741586" w:rsidRPr="00364BED" w14:paraId="13CFC0D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BFC2D37" w14:textId="77777777" w:rsidR="00E22C3D" w:rsidRPr="005973AB" w:rsidRDefault="00BE7CB1" w:rsidP="00755C59">
            <w:pPr>
              <w:pStyle w:val="TABLES"/>
              <w:ind w:left="57" w:right="57"/>
              <w:rPr>
                <w:b/>
                <w:bCs/>
                <w:sz w:val="18"/>
              </w:rPr>
            </w:pPr>
            <w:r>
              <w:rPr>
                <w:b/>
                <w:sz w:val="18"/>
              </w:rPr>
              <w:t>Poruchy dýchacej sústavy, hrudníka a mediastína</w:t>
            </w:r>
          </w:p>
        </w:tc>
        <w:tc>
          <w:tcPr>
            <w:tcW w:w="0" w:type="auto"/>
            <w:tcBorders>
              <w:top w:val="single" w:sz="4" w:space="0" w:color="000000"/>
              <w:left w:val="single" w:sz="4" w:space="0" w:color="000000"/>
              <w:bottom w:val="single" w:sz="4" w:space="0" w:color="000000"/>
              <w:right w:val="single" w:sz="4" w:space="0" w:color="000000"/>
            </w:tcBorders>
            <w:hideMark/>
          </w:tcPr>
          <w:p w14:paraId="045F5B78" w14:textId="77777777" w:rsidR="00E22C3D" w:rsidRPr="00364BED" w:rsidRDefault="00BE7CB1" w:rsidP="00755C59">
            <w:pPr>
              <w:pStyle w:val="TABLES"/>
              <w:ind w:left="57" w:right="57"/>
              <w:rPr>
                <w:sz w:val="18"/>
              </w:rPr>
            </w:pPr>
            <w:r>
              <w:rPr>
                <w:sz w:val="18"/>
              </w:rPr>
              <w:t>Dyspnoe, rinitída, epistaxia, kašeľ</w:t>
            </w:r>
          </w:p>
        </w:tc>
        <w:tc>
          <w:tcPr>
            <w:tcW w:w="0" w:type="auto"/>
            <w:tcBorders>
              <w:top w:val="single" w:sz="4" w:space="0" w:color="000000"/>
              <w:left w:val="single" w:sz="4" w:space="0" w:color="000000"/>
              <w:bottom w:val="single" w:sz="4" w:space="0" w:color="000000"/>
              <w:right w:val="single" w:sz="4" w:space="0" w:color="000000"/>
            </w:tcBorders>
            <w:hideMark/>
          </w:tcPr>
          <w:p w14:paraId="5944BED1" w14:textId="77777777" w:rsidR="00E22C3D" w:rsidRPr="00364BED" w:rsidRDefault="00BE7CB1" w:rsidP="00755C59">
            <w:pPr>
              <w:pStyle w:val="TABLES"/>
              <w:ind w:left="57" w:right="57"/>
              <w:rPr>
                <w:sz w:val="18"/>
              </w:rPr>
            </w:pPr>
            <w:r>
              <w:rPr>
                <w:sz w:val="18"/>
              </w:rPr>
              <w:t>Pľúcne krvácanie/hemoptýza</w:t>
            </w:r>
            <w:r w:rsidRPr="00364BED">
              <w:rPr>
                <w:sz w:val="18"/>
                <w:vertAlign w:val="superscript"/>
              </w:rPr>
              <w:t>b,d</w:t>
            </w:r>
            <w:r>
              <w:rPr>
                <w:sz w:val="18"/>
              </w:rPr>
              <w:t>, pľúcna embólia, hypoxia, dysfónia</w:t>
            </w:r>
            <w:r w:rsidRPr="00364BED">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3D5948EB"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54F35EA"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D423FA"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67752315" w14:textId="77777777" w:rsidR="00E22C3D" w:rsidRPr="00364BED" w:rsidRDefault="00BE7CB1" w:rsidP="00755C59">
            <w:pPr>
              <w:pStyle w:val="TABLES"/>
              <w:ind w:left="57" w:right="57"/>
              <w:rPr>
                <w:sz w:val="18"/>
              </w:rPr>
            </w:pPr>
            <w:r>
              <w:rPr>
                <w:sz w:val="18"/>
              </w:rPr>
              <w:t>Pľúcna hypertenzia</w:t>
            </w:r>
            <w:r w:rsidRPr="00364BED">
              <w:rPr>
                <w:sz w:val="18"/>
                <w:vertAlign w:val="superscript"/>
              </w:rPr>
              <w:t>a</w:t>
            </w:r>
            <w:r>
              <w:rPr>
                <w:sz w:val="18"/>
              </w:rPr>
              <w:t>, perforácia nosového septa</w:t>
            </w:r>
            <w:r w:rsidRPr="00364BED">
              <w:rPr>
                <w:sz w:val="18"/>
                <w:vertAlign w:val="superscript"/>
              </w:rPr>
              <w:t>a</w:t>
            </w:r>
          </w:p>
        </w:tc>
      </w:tr>
      <w:tr w:rsidR="00741586" w:rsidRPr="00364BED" w14:paraId="3F6DA5FE"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424996C" w14:textId="77777777" w:rsidR="00E22C3D" w:rsidRPr="005973AB" w:rsidRDefault="00BE7CB1" w:rsidP="00755C59">
            <w:pPr>
              <w:pStyle w:val="TABLES"/>
              <w:ind w:left="57" w:right="57"/>
              <w:rPr>
                <w:b/>
                <w:bCs/>
                <w:sz w:val="18"/>
              </w:rPr>
            </w:pPr>
            <w:r>
              <w:rPr>
                <w:b/>
                <w:sz w:val="18"/>
              </w:rPr>
              <w:t>Poruchy gastrointestinálneho traktu</w:t>
            </w:r>
          </w:p>
        </w:tc>
        <w:tc>
          <w:tcPr>
            <w:tcW w:w="0" w:type="auto"/>
            <w:tcBorders>
              <w:top w:val="single" w:sz="4" w:space="0" w:color="000000"/>
              <w:left w:val="single" w:sz="4" w:space="0" w:color="000000"/>
              <w:bottom w:val="single" w:sz="4" w:space="0" w:color="000000"/>
              <w:right w:val="single" w:sz="4" w:space="0" w:color="000000"/>
            </w:tcBorders>
            <w:hideMark/>
          </w:tcPr>
          <w:p w14:paraId="2B1E7E01" w14:textId="77777777" w:rsidR="00E22C3D" w:rsidRPr="00364BED" w:rsidRDefault="00BE7CB1" w:rsidP="00755C59">
            <w:pPr>
              <w:pStyle w:val="TABLES"/>
              <w:ind w:left="57" w:right="57"/>
              <w:rPr>
                <w:sz w:val="18"/>
              </w:rPr>
            </w:pPr>
            <w:r>
              <w:rPr>
                <w:sz w:val="18"/>
              </w:rPr>
              <w:t>Krvácanie z konečníka, stomatitída, zápcha, hnačka, nevoľnosť, vracanie, bolesť brucha</w:t>
            </w:r>
          </w:p>
        </w:tc>
        <w:tc>
          <w:tcPr>
            <w:tcW w:w="0" w:type="auto"/>
            <w:tcBorders>
              <w:top w:val="single" w:sz="4" w:space="0" w:color="000000"/>
              <w:left w:val="single" w:sz="4" w:space="0" w:color="000000"/>
              <w:bottom w:val="single" w:sz="4" w:space="0" w:color="000000"/>
              <w:right w:val="single" w:sz="4" w:space="0" w:color="000000"/>
            </w:tcBorders>
            <w:hideMark/>
          </w:tcPr>
          <w:p w14:paraId="4BD4C7ED" w14:textId="77777777" w:rsidR="00E22C3D" w:rsidRPr="00364BED" w:rsidRDefault="00BE7CB1" w:rsidP="00755C59">
            <w:pPr>
              <w:pStyle w:val="TABLES"/>
              <w:ind w:left="57" w:right="57"/>
              <w:rPr>
                <w:sz w:val="18"/>
              </w:rPr>
            </w:pPr>
            <w:r>
              <w:rPr>
                <w:sz w:val="18"/>
              </w:rPr>
              <w:t>Perforácia gastrointestinálneho traktu</w:t>
            </w:r>
            <w:r w:rsidRPr="00364BED">
              <w:rPr>
                <w:sz w:val="18"/>
                <w:vertAlign w:val="superscript"/>
              </w:rPr>
              <w:t>b,d</w:t>
            </w:r>
            <w:r>
              <w:rPr>
                <w:sz w:val="18"/>
              </w:rPr>
              <w:t>, intestinálna perforácia, ileus, intestinálna obštrukcia, rekto-vaginálne fistuly</w:t>
            </w:r>
            <w:r w:rsidRPr="00364BED">
              <w:rPr>
                <w:sz w:val="18"/>
                <w:vertAlign w:val="superscript"/>
              </w:rPr>
              <w:t>d,e</w:t>
            </w:r>
            <w:r>
              <w:rPr>
                <w:sz w:val="18"/>
              </w:rPr>
              <w:t>, porucha gastrointestinálneho traktu, proktalgia</w:t>
            </w:r>
          </w:p>
        </w:tc>
        <w:tc>
          <w:tcPr>
            <w:tcW w:w="0" w:type="auto"/>
            <w:tcBorders>
              <w:top w:val="single" w:sz="4" w:space="0" w:color="000000"/>
              <w:left w:val="single" w:sz="4" w:space="0" w:color="000000"/>
              <w:bottom w:val="single" w:sz="4" w:space="0" w:color="000000"/>
              <w:right w:val="single" w:sz="4" w:space="0" w:color="000000"/>
            </w:tcBorders>
          </w:tcPr>
          <w:p w14:paraId="3D06A797"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3581330"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4E4EF48"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DBC64A2" w14:textId="77777777" w:rsidR="00E22C3D" w:rsidRPr="00364BED" w:rsidRDefault="00BE7CB1" w:rsidP="00755C59">
            <w:pPr>
              <w:pStyle w:val="TABLES"/>
              <w:ind w:left="57" w:right="57"/>
              <w:rPr>
                <w:sz w:val="18"/>
              </w:rPr>
            </w:pPr>
            <w:r>
              <w:rPr>
                <w:sz w:val="18"/>
              </w:rPr>
              <w:t>Gastrointestinálny vred</w:t>
            </w:r>
            <w:r w:rsidRPr="00364BED">
              <w:rPr>
                <w:sz w:val="18"/>
                <w:vertAlign w:val="superscript"/>
              </w:rPr>
              <w:t>a</w:t>
            </w:r>
          </w:p>
        </w:tc>
      </w:tr>
      <w:tr w:rsidR="00741586" w:rsidRPr="00364BED" w14:paraId="1D4E740B"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C85E6F3" w14:textId="77777777" w:rsidR="00E22C3D" w:rsidRPr="005973AB" w:rsidRDefault="00BE7CB1" w:rsidP="00755C59">
            <w:pPr>
              <w:pStyle w:val="TABLES"/>
              <w:ind w:left="57" w:right="57"/>
              <w:rPr>
                <w:b/>
                <w:bCs/>
                <w:sz w:val="18"/>
              </w:rPr>
            </w:pPr>
            <w:r>
              <w:rPr>
                <w:b/>
                <w:sz w:val="18"/>
              </w:rPr>
              <w:t>Poruchy pečene a žlčových ciest</w:t>
            </w:r>
          </w:p>
        </w:tc>
        <w:tc>
          <w:tcPr>
            <w:tcW w:w="0" w:type="auto"/>
            <w:tcBorders>
              <w:top w:val="single" w:sz="4" w:space="0" w:color="000000"/>
              <w:left w:val="single" w:sz="4" w:space="0" w:color="000000"/>
              <w:bottom w:val="single" w:sz="4" w:space="0" w:color="000000"/>
              <w:right w:val="single" w:sz="4" w:space="0" w:color="000000"/>
            </w:tcBorders>
          </w:tcPr>
          <w:p w14:paraId="67F9E4C5"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8CA5A5D"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5F9AB35"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629C8D3"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C0A25D0"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C596A43" w14:textId="77777777" w:rsidR="00E22C3D" w:rsidRPr="00364BED" w:rsidRDefault="00BE7CB1" w:rsidP="00755C59">
            <w:pPr>
              <w:pStyle w:val="TABLES"/>
              <w:ind w:left="57" w:right="57"/>
              <w:rPr>
                <w:sz w:val="18"/>
              </w:rPr>
            </w:pPr>
            <w:r>
              <w:rPr>
                <w:sz w:val="18"/>
              </w:rPr>
              <w:t>Perforácia žlčníka</w:t>
            </w:r>
            <w:r w:rsidRPr="00364BED">
              <w:rPr>
                <w:sz w:val="18"/>
                <w:vertAlign w:val="superscript"/>
              </w:rPr>
              <w:t>a.b</w:t>
            </w:r>
          </w:p>
        </w:tc>
      </w:tr>
      <w:tr w:rsidR="00741586" w:rsidRPr="00364BED" w14:paraId="35AFE807"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5C68C75" w14:textId="77777777" w:rsidR="00E22C3D" w:rsidRPr="005973AB" w:rsidRDefault="00BE7CB1" w:rsidP="00755C59">
            <w:pPr>
              <w:pStyle w:val="TABLES"/>
              <w:ind w:left="57" w:right="57"/>
              <w:rPr>
                <w:b/>
                <w:bCs/>
                <w:sz w:val="18"/>
              </w:rPr>
            </w:pPr>
            <w:r>
              <w:rPr>
                <w:b/>
                <w:sz w:val="18"/>
              </w:rPr>
              <w:lastRenderedPageBreak/>
              <w:t>Poruchy kože a podkožného tkaniva</w:t>
            </w:r>
          </w:p>
        </w:tc>
        <w:tc>
          <w:tcPr>
            <w:tcW w:w="0" w:type="auto"/>
            <w:tcBorders>
              <w:top w:val="single" w:sz="4" w:space="0" w:color="000000"/>
              <w:left w:val="single" w:sz="4" w:space="0" w:color="000000"/>
              <w:bottom w:val="single" w:sz="4" w:space="0" w:color="000000"/>
              <w:right w:val="single" w:sz="4" w:space="0" w:color="000000"/>
            </w:tcBorders>
            <w:hideMark/>
          </w:tcPr>
          <w:p w14:paraId="0D0742C4" w14:textId="77777777" w:rsidR="00E22C3D" w:rsidRPr="00364BED" w:rsidRDefault="00BE7CB1" w:rsidP="00755C59">
            <w:pPr>
              <w:pStyle w:val="TABLES"/>
              <w:ind w:left="57" w:right="57"/>
              <w:rPr>
                <w:sz w:val="18"/>
              </w:rPr>
            </w:pPr>
            <w:r>
              <w:rPr>
                <w:sz w:val="18"/>
              </w:rPr>
              <w:t>Komplikácie hojenia rán</w:t>
            </w:r>
            <w:r w:rsidRPr="00364BED">
              <w:rPr>
                <w:sz w:val="18"/>
                <w:vertAlign w:val="superscript"/>
              </w:rPr>
              <w:t>b,d</w:t>
            </w:r>
            <w:r>
              <w:rPr>
                <w:sz w:val="18"/>
              </w:rPr>
              <w:t>, exfoliatívna dermatitída, suchá koža, zmena sfarbenia kože</w:t>
            </w:r>
          </w:p>
        </w:tc>
        <w:tc>
          <w:tcPr>
            <w:tcW w:w="0" w:type="auto"/>
            <w:tcBorders>
              <w:top w:val="single" w:sz="4" w:space="0" w:color="000000"/>
              <w:left w:val="single" w:sz="4" w:space="0" w:color="000000"/>
              <w:bottom w:val="single" w:sz="4" w:space="0" w:color="000000"/>
              <w:right w:val="single" w:sz="4" w:space="0" w:color="000000"/>
            </w:tcBorders>
            <w:hideMark/>
          </w:tcPr>
          <w:p w14:paraId="6A992002" w14:textId="77777777" w:rsidR="00E22C3D" w:rsidRPr="00364BED" w:rsidRDefault="00BE7CB1" w:rsidP="00755C59">
            <w:pPr>
              <w:pStyle w:val="TABLES"/>
              <w:ind w:left="57" w:right="57"/>
              <w:rPr>
                <w:sz w:val="18"/>
              </w:rPr>
            </w:pPr>
            <w:r>
              <w:rPr>
                <w:sz w:val="18"/>
              </w:rPr>
              <w:t>Syndróm palmárno-plantárnej erytrodyzestézie</w:t>
            </w:r>
          </w:p>
        </w:tc>
        <w:tc>
          <w:tcPr>
            <w:tcW w:w="0" w:type="auto"/>
            <w:tcBorders>
              <w:top w:val="single" w:sz="4" w:space="0" w:color="000000"/>
              <w:left w:val="single" w:sz="4" w:space="0" w:color="000000"/>
              <w:bottom w:val="single" w:sz="4" w:space="0" w:color="000000"/>
              <w:right w:val="single" w:sz="4" w:space="0" w:color="000000"/>
            </w:tcBorders>
          </w:tcPr>
          <w:p w14:paraId="0F6DDF85"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524AF49"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B653F4F"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63AB7F5" w14:textId="77777777" w:rsidR="00E22C3D" w:rsidRPr="00364BED" w:rsidRDefault="00E22C3D" w:rsidP="00755C59">
            <w:pPr>
              <w:pStyle w:val="TABLES"/>
              <w:ind w:left="57" w:right="57"/>
              <w:rPr>
                <w:sz w:val="18"/>
              </w:rPr>
            </w:pPr>
          </w:p>
        </w:tc>
      </w:tr>
      <w:tr w:rsidR="00741586" w:rsidRPr="00364BED" w14:paraId="046363E9"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8652CF6" w14:textId="77777777" w:rsidR="00E22C3D" w:rsidRPr="005973AB" w:rsidRDefault="00BE7CB1" w:rsidP="00755C59">
            <w:pPr>
              <w:pStyle w:val="TABLES"/>
              <w:ind w:left="57" w:right="57"/>
              <w:rPr>
                <w:b/>
                <w:bCs/>
                <w:sz w:val="18"/>
              </w:rPr>
            </w:pPr>
            <w:r>
              <w:rPr>
                <w:b/>
                <w:sz w:val="18"/>
              </w:rPr>
              <w:t>Poruchy kostrovej a svalovej sústavy a spojivového tkaniva</w:t>
            </w:r>
          </w:p>
        </w:tc>
        <w:tc>
          <w:tcPr>
            <w:tcW w:w="0" w:type="auto"/>
            <w:tcBorders>
              <w:top w:val="single" w:sz="4" w:space="0" w:color="000000"/>
              <w:left w:val="single" w:sz="4" w:space="0" w:color="000000"/>
              <w:bottom w:val="single" w:sz="4" w:space="0" w:color="000000"/>
              <w:right w:val="single" w:sz="4" w:space="0" w:color="000000"/>
            </w:tcBorders>
            <w:hideMark/>
          </w:tcPr>
          <w:p w14:paraId="1C7A99BC" w14:textId="77777777" w:rsidR="00E22C3D" w:rsidRPr="00364BED" w:rsidRDefault="00BE7CB1" w:rsidP="00755C59">
            <w:pPr>
              <w:pStyle w:val="TABLES"/>
              <w:ind w:left="57" w:right="57"/>
              <w:rPr>
                <w:sz w:val="18"/>
              </w:rPr>
            </w:pPr>
            <w:r>
              <w:rPr>
                <w:sz w:val="18"/>
              </w:rPr>
              <w:t>Artralgia, myalgia</w:t>
            </w:r>
          </w:p>
        </w:tc>
        <w:tc>
          <w:tcPr>
            <w:tcW w:w="0" w:type="auto"/>
            <w:tcBorders>
              <w:top w:val="single" w:sz="4" w:space="0" w:color="000000"/>
              <w:left w:val="single" w:sz="4" w:space="0" w:color="000000"/>
              <w:bottom w:val="single" w:sz="4" w:space="0" w:color="000000"/>
              <w:right w:val="single" w:sz="4" w:space="0" w:color="000000"/>
            </w:tcBorders>
            <w:hideMark/>
          </w:tcPr>
          <w:p w14:paraId="266875E6" w14:textId="77777777" w:rsidR="00E22C3D" w:rsidRPr="00364BED" w:rsidRDefault="00BE7CB1" w:rsidP="00755C59">
            <w:pPr>
              <w:pStyle w:val="TABLES"/>
              <w:ind w:left="57" w:right="57"/>
              <w:rPr>
                <w:sz w:val="18"/>
              </w:rPr>
            </w:pPr>
            <w:r>
              <w:rPr>
                <w:sz w:val="18"/>
              </w:rPr>
              <w:t xml:space="preserve">Fistula </w:t>
            </w:r>
            <w:r w:rsidRPr="00364BED">
              <w:rPr>
                <w:sz w:val="18"/>
                <w:vertAlign w:val="superscript"/>
              </w:rPr>
              <w:t>b,d</w:t>
            </w:r>
            <w:r>
              <w:rPr>
                <w:sz w:val="18"/>
              </w:rPr>
              <w:t>, svalová slabosť, bolesť chrbta</w:t>
            </w:r>
          </w:p>
        </w:tc>
        <w:tc>
          <w:tcPr>
            <w:tcW w:w="0" w:type="auto"/>
            <w:tcBorders>
              <w:top w:val="single" w:sz="4" w:space="0" w:color="000000"/>
              <w:left w:val="single" w:sz="4" w:space="0" w:color="000000"/>
              <w:bottom w:val="single" w:sz="4" w:space="0" w:color="000000"/>
              <w:right w:val="single" w:sz="4" w:space="0" w:color="000000"/>
            </w:tcBorders>
          </w:tcPr>
          <w:p w14:paraId="107FBFAA"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FE89EB3"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1CE682"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1C3ECE1" w14:textId="77777777" w:rsidR="00E22C3D" w:rsidRPr="00364BED" w:rsidRDefault="00BE7CB1" w:rsidP="00755C59">
            <w:pPr>
              <w:pStyle w:val="TABLES"/>
              <w:ind w:left="57" w:right="57"/>
              <w:rPr>
                <w:sz w:val="18"/>
              </w:rPr>
            </w:pPr>
            <w:r>
              <w:rPr>
                <w:sz w:val="18"/>
              </w:rPr>
              <w:t>Osteonekróza čeľuste</w:t>
            </w:r>
            <w:r w:rsidRPr="00364BED">
              <w:rPr>
                <w:sz w:val="18"/>
                <w:vertAlign w:val="superscript"/>
              </w:rPr>
              <w:t>a,b</w:t>
            </w:r>
            <w:r>
              <w:rPr>
                <w:sz w:val="18"/>
              </w:rPr>
              <w:t>, nemandibulárna osteonekróza</w:t>
            </w:r>
            <w:r w:rsidRPr="00364BED">
              <w:rPr>
                <w:sz w:val="18"/>
                <w:vertAlign w:val="superscript"/>
              </w:rPr>
              <w:t>a,f</w:t>
            </w:r>
          </w:p>
        </w:tc>
      </w:tr>
      <w:tr w:rsidR="00741586" w:rsidRPr="00364BED" w14:paraId="059A9B2F"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3FC91F8" w14:textId="77777777" w:rsidR="00E22C3D" w:rsidRPr="005973AB" w:rsidRDefault="00BE7CB1" w:rsidP="00755C59">
            <w:pPr>
              <w:pStyle w:val="TABLES"/>
              <w:ind w:left="57" w:right="57"/>
              <w:rPr>
                <w:b/>
                <w:bCs/>
                <w:sz w:val="18"/>
              </w:rPr>
            </w:pPr>
            <w:r>
              <w:rPr>
                <w:b/>
                <w:sz w:val="18"/>
              </w:rPr>
              <w:t>Poruchy obličiek a močových ciest</w:t>
            </w:r>
          </w:p>
        </w:tc>
        <w:tc>
          <w:tcPr>
            <w:tcW w:w="0" w:type="auto"/>
            <w:tcBorders>
              <w:top w:val="single" w:sz="4" w:space="0" w:color="000000"/>
              <w:left w:val="single" w:sz="4" w:space="0" w:color="000000"/>
              <w:bottom w:val="single" w:sz="4" w:space="0" w:color="000000"/>
              <w:right w:val="single" w:sz="4" w:space="0" w:color="000000"/>
            </w:tcBorders>
            <w:hideMark/>
          </w:tcPr>
          <w:p w14:paraId="3B78DD5E" w14:textId="77777777" w:rsidR="00E22C3D" w:rsidRPr="00364BED" w:rsidRDefault="00BE7CB1" w:rsidP="00755C59">
            <w:pPr>
              <w:pStyle w:val="TABLES"/>
              <w:ind w:left="57" w:right="57"/>
              <w:rPr>
                <w:sz w:val="18"/>
              </w:rPr>
            </w:pPr>
            <w:r>
              <w:rPr>
                <w:sz w:val="18"/>
              </w:rPr>
              <w:t>Proteinúria</w:t>
            </w:r>
            <w:r w:rsidRPr="00364BED">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tcPr>
          <w:p w14:paraId="26D125CF"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0A434B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686308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4FFCCA3"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5A41C9" w14:textId="77777777" w:rsidR="00E22C3D" w:rsidRPr="00364BED" w:rsidRDefault="00E22C3D" w:rsidP="00755C59">
            <w:pPr>
              <w:pStyle w:val="TABLES"/>
              <w:ind w:left="57" w:right="57"/>
              <w:rPr>
                <w:sz w:val="18"/>
              </w:rPr>
            </w:pPr>
          </w:p>
        </w:tc>
      </w:tr>
      <w:tr w:rsidR="00741586" w:rsidRPr="00364BED" w14:paraId="688CFFD5"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740016A" w14:textId="77777777" w:rsidR="00E22C3D" w:rsidRPr="005973AB" w:rsidRDefault="00BE7CB1" w:rsidP="00755C59">
            <w:pPr>
              <w:pStyle w:val="TABLES"/>
              <w:ind w:left="57" w:right="57"/>
              <w:rPr>
                <w:b/>
                <w:bCs/>
                <w:sz w:val="18"/>
              </w:rPr>
            </w:pPr>
            <w:r>
              <w:rPr>
                <w:b/>
                <w:sz w:val="18"/>
              </w:rPr>
              <w:t>Poruchy reprodukčného systému a prsníkov</w:t>
            </w:r>
          </w:p>
        </w:tc>
        <w:tc>
          <w:tcPr>
            <w:tcW w:w="0" w:type="auto"/>
            <w:tcBorders>
              <w:top w:val="single" w:sz="4" w:space="0" w:color="000000"/>
              <w:left w:val="single" w:sz="4" w:space="0" w:color="000000"/>
              <w:bottom w:val="single" w:sz="4" w:space="0" w:color="000000"/>
              <w:right w:val="single" w:sz="4" w:space="0" w:color="000000"/>
            </w:tcBorders>
            <w:hideMark/>
          </w:tcPr>
          <w:p w14:paraId="0D8300D9" w14:textId="77777777" w:rsidR="00E22C3D" w:rsidRPr="00364BED" w:rsidRDefault="00BE7CB1" w:rsidP="00755C59">
            <w:pPr>
              <w:pStyle w:val="TABLES"/>
              <w:ind w:left="57" w:right="57"/>
              <w:rPr>
                <w:sz w:val="18"/>
              </w:rPr>
            </w:pPr>
            <w:r>
              <w:rPr>
                <w:sz w:val="18"/>
              </w:rPr>
              <w:t>Zlyhanie ovárií</w:t>
            </w:r>
            <w:r>
              <w:rPr>
                <w:sz w:val="18"/>
                <w:vertAlign w:val="superscript"/>
              </w:rPr>
              <w:t>b,c,d</w:t>
            </w:r>
          </w:p>
        </w:tc>
        <w:tc>
          <w:tcPr>
            <w:tcW w:w="0" w:type="auto"/>
            <w:tcBorders>
              <w:top w:val="single" w:sz="4" w:space="0" w:color="000000"/>
              <w:left w:val="single" w:sz="4" w:space="0" w:color="000000"/>
              <w:bottom w:val="single" w:sz="4" w:space="0" w:color="000000"/>
              <w:right w:val="single" w:sz="4" w:space="0" w:color="000000"/>
            </w:tcBorders>
            <w:hideMark/>
          </w:tcPr>
          <w:p w14:paraId="75C4474A" w14:textId="77777777" w:rsidR="00E22C3D" w:rsidRPr="00364BED" w:rsidRDefault="00BE7CB1" w:rsidP="00755C59">
            <w:pPr>
              <w:pStyle w:val="TABLES"/>
              <w:ind w:left="57" w:right="57"/>
              <w:rPr>
                <w:sz w:val="18"/>
              </w:rPr>
            </w:pPr>
            <w:r>
              <w:rPr>
                <w:sz w:val="18"/>
              </w:rPr>
              <w:t>Bolesť v panvovej oblasti</w:t>
            </w:r>
          </w:p>
        </w:tc>
        <w:tc>
          <w:tcPr>
            <w:tcW w:w="0" w:type="auto"/>
            <w:tcBorders>
              <w:top w:val="single" w:sz="4" w:space="0" w:color="000000"/>
              <w:left w:val="single" w:sz="4" w:space="0" w:color="000000"/>
              <w:bottom w:val="single" w:sz="4" w:space="0" w:color="000000"/>
              <w:right w:val="single" w:sz="4" w:space="0" w:color="000000"/>
            </w:tcBorders>
          </w:tcPr>
          <w:p w14:paraId="05EFE683"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F6AD02F"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FC1757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BC325C6" w14:textId="77777777" w:rsidR="00E22C3D" w:rsidRPr="00364BED" w:rsidRDefault="00E22C3D" w:rsidP="00755C59">
            <w:pPr>
              <w:pStyle w:val="TABLES"/>
              <w:ind w:left="57" w:right="57"/>
              <w:rPr>
                <w:sz w:val="18"/>
              </w:rPr>
            </w:pPr>
          </w:p>
        </w:tc>
      </w:tr>
      <w:tr w:rsidR="00741586" w:rsidRPr="00364BED" w14:paraId="484DCBDB"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43F8598" w14:textId="77777777" w:rsidR="00E22C3D" w:rsidRPr="005973AB" w:rsidRDefault="00BE7CB1" w:rsidP="00755C59">
            <w:pPr>
              <w:pStyle w:val="TABLES"/>
              <w:ind w:left="57" w:right="57"/>
              <w:rPr>
                <w:b/>
                <w:bCs/>
                <w:sz w:val="18"/>
              </w:rPr>
            </w:pPr>
            <w:r>
              <w:rPr>
                <w:b/>
                <w:sz w:val="18"/>
              </w:rPr>
              <w:t>Vrodené, familiárne a genetické poruchy</w:t>
            </w:r>
          </w:p>
        </w:tc>
        <w:tc>
          <w:tcPr>
            <w:tcW w:w="0" w:type="auto"/>
            <w:tcBorders>
              <w:top w:val="single" w:sz="4" w:space="0" w:color="000000"/>
              <w:left w:val="single" w:sz="4" w:space="0" w:color="000000"/>
              <w:bottom w:val="single" w:sz="4" w:space="0" w:color="000000"/>
              <w:right w:val="single" w:sz="4" w:space="0" w:color="000000"/>
            </w:tcBorders>
          </w:tcPr>
          <w:p w14:paraId="13F4CB53"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128DDFC"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7D8D42F"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450B51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73F042C"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78FF243" w14:textId="77777777" w:rsidR="00E22C3D" w:rsidRPr="00364BED" w:rsidRDefault="00BE7CB1" w:rsidP="00755C59">
            <w:pPr>
              <w:pStyle w:val="TABLES"/>
              <w:ind w:left="57" w:right="57"/>
              <w:rPr>
                <w:sz w:val="18"/>
              </w:rPr>
            </w:pPr>
            <w:r>
              <w:rPr>
                <w:sz w:val="18"/>
              </w:rPr>
              <w:t>Abnormality plodu</w:t>
            </w:r>
            <w:r w:rsidRPr="00364BED">
              <w:rPr>
                <w:sz w:val="18"/>
                <w:vertAlign w:val="superscript"/>
              </w:rPr>
              <w:t>a,b</w:t>
            </w:r>
          </w:p>
        </w:tc>
      </w:tr>
      <w:tr w:rsidR="00741586" w:rsidRPr="00364BED" w14:paraId="711BC8CD"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B927064" w14:textId="77777777" w:rsidR="00E22C3D" w:rsidRPr="005973AB" w:rsidRDefault="00BE7CB1" w:rsidP="00755C59">
            <w:pPr>
              <w:pStyle w:val="TABLES"/>
              <w:ind w:left="57" w:right="57"/>
              <w:rPr>
                <w:b/>
                <w:bCs/>
                <w:sz w:val="18"/>
              </w:rPr>
            </w:pPr>
            <w:r>
              <w:rPr>
                <w:b/>
                <w:sz w:val="18"/>
              </w:rPr>
              <w:t>Celkové poruchy a reakcie v mieste podania</w:t>
            </w:r>
          </w:p>
        </w:tc>
        <w:tc>
          <w:tcPr>
            <w:tcW w:w="0" w:type="auto"/>
            <w:tcBorders>
              <w:top w:val="single" w:sz="4" w:space="0" w:color="000000"/>
              <w:left w:val="single" w:sz="4" w:space="0" w:color="000000"/>
              <w:bottom w:val="single" w:sz="4" w:space="0" w:color="000000"/>
              <w:right w:val="single" w:sz="4" w:space="0" w:color="000000"/>
            </w:tcBorders>
            <w:hideMark/>
          </w:tcPr>
          <w:p w14:paraId="6BEE9261" w14:textId="77777777" w:rsidR="00E22C3D" w:rsidRPr="005973AB" w:rsidRDefault="00BE7CB1" w:rsidP="00755C59">
            <w:pPr>
              <w:pStyle w:val="TABLES"/>
              <w:ind w:left="57" w:right="57"/>
              <w:rPr>
                <w:sz w:val="18"/>
              </w:rPr>
            </w:pPr>
            <w:r>
              <w:rPr>
                <w:sz w:val="18"/>
              </w:rPr>
              <w:t>Asténia, únava, pyrexia, bolesť, zápal slizníc</w:t>
            </w:r>
          </w:p>
        </w:tc>
        <w:tc>
          <w:tcPr>
            <w:tcW w:w="0" w:type="auto"/>
            <w:tcBorders>
              <w:top w:val="single" w:sz="4" w:space="0" w:color="000000"/>
              <w:left w:val="single" w:sz="4" w:space="0" w:color="000000"/>
              <w:bottom w:val="single" w:sz="4" w:space="0" w:color="000000"/>
              <w:right w:val="single" w:sz="4" w:space="0" w:color="000000"/>
            </w:tcBorders>
            <w:hideMark/>
          </w:tcPr>
          <w:p w14:paraId="3A727C5D" w14:textId="77777777" w:rsidR="00E22C3D" w:rsidRPr="00364BED" w:rsidRDefault="00BE7CB1" w:rsidP="00755C59">
            <w:pPr>
              <w:pStyle w:val="TABLES"/>
              <w:ind w:left="57" w:right="57"/>
              <w:rPr>
                <w:sz w:val="18"/>
              </w:rPr>
            </w:pPr>
            <w:r>
              <w:rPr>
                <w:sz w:val="18"/>
              </w:rPr>
              <w:t>Letargia</w:t>
            </w:r>
          </w:p>
        </w:tc>
        <w:tc>
          <w:tcPr>
            <w:tcW w:w="0" w:type="auto"/>
            <w:tcBorders>
              <w:top w:val="single" w:sz="4" w:space="0" w:color="000000"/>
              <w:left w:val="single" w:sz="4" w:space="0" w:color="000000"/>
              <w:bottom w:val="single" w:sz="4" w:space="0" w:color="000000"/>
              <w:right w:val="single" w:sz="4" w:space="0" w:color="000000"/>
            </w:tcBorders>
          </w:tcPr>
          <w:p w14:paraId="5519CFA1"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A3F3724"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633503F"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99A5781" w14:textId="77777777" w:rsidR="00E22C3D" w:rsidRPr="00364BED" w:rsidRDefault="00E22C3D" w:rsidP="00755C59">
            <w:pPr>
              <w:pStyle w:val="TABLES"/>
              <w:ind w:left="57" w:right="57"/>
              <w:rPr>
                <w:sz w:val="18"/>
              </w:rPr>
            </w:pPr>
          </w:p>
        </w:tc>
      </w:tr>
      <w:tr w:rsidR="00741586" w:rsidRPr="00364BED" w14:paraId="4D58E81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51F3519D" w14:textId="77777777" w:rsidR="00E22C3D" w:rsidRPr="005973AB" w:rsidRDefault="00BE7CB1" w:rsidP="00755C59">
            <w:pPr>
              <w:pStyle w:val="TABLES"/>
              <w:ind w:left="57" w:right="57"/>
              <w:rPr>
                <w:b/>
                <w:bCs/>
                <w:sz w:val="18"/>
              </w:rPr>
            </w:pPr>
            <w:r>
              <w:rPr>
                <w:b/>
                <w:sz w:val="18"/>
              </w:rPr>
              <w:t>Laboratórne a funkčné vyšetrenia</w:t>
            </w:r>
          </w:p>
        </w:tc>
        <w:tc>
          <w:tcPr>
            <w:tcW w:w="0" w:type="auto"/>
            <w:tcBorders>
              <w:top w:val="single" w:sz="4" w:space="0" w:color="000000"/>
              <w:left w:val="single" w:sz="4" w:space="0" w:color="000000"/>
              <w:bottom w:val="single" w:sz="4" w:space="0" w:color="000000"/>
              <w:right w:val="single" w:sz="4" w:space="0" w:color="000000"/>
            </w:tcBorders>
            <w:hideMark/>
          </w:tcPr>
          <w:p w14:paraId="7E8ED8A9" w14:textId="77777777" w:rsidR="00E22C3D" w:rsidRPr="00364BED" w:rsidRDefault="00BE7CB1" w:rsidP="00755C59">
            <w:pPr>
              <w:pStyle w:val="TABLES"/>
              <w:ind w:left="57" w:right="57"/>
              <w:rPr>
                <w:sz w:val="18"/>
              </w:rPr>
            </w:pPr>
            <w:r>
              <w:rPr>
                <w:sz w:val="18"/>
              </w:rPr>
              <w:t>Zníženie telesnej hmotnosti</w:t>
            </w:r>
          </w:p>
        </w:tc>
        <w:tc>
          <w:tcPr>
            <w:tcW w:w="0" w:type="auto"/>
            <w:tcBorders>
              <w:top w:val="single" w:sz="4" w:space="0" w:color="000000"/>
              <w:left w:val="single" w:sz="4" w:space="0" w:color="000000"/>
              <w:bottom w:val="single" w:sz="4" w:space="0" w:color="000000"/>
              <w:right w:val="single" w:sz="4" w:space="0" w:color="000000"/>
            </w:tcBorders>
          </w:tcPr>
          <w:p w14:paraId="491AC96C"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3AE2228"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611DEA"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AC57B7E" w14:textId="77777777" w:rsidR="00E22C3D" w:rsidRPr="00364BED" w:rsidRDefault="00E22C3D" w:rsidP="00755C59">
            <w:pPr>
              <w:pStyle w:val="TABL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51F504F" w14:textId="77777777" w:rsidR="00E22C3D" w:rsidRPr="00364BED" w:rsidRDefault="00E22C3D" w:rsidP="00755C59">
            <w:pPr>
              <w:pStyle w:val="TABLES"/>
              <w:ind w:left="57" w:right="57"/>
              <w:rPr>
                <w:sz w:val="18"/>
              </w:rPr>
            </w:pPr>
          </w:p>
        </w:tc>
      </w:tr>
    </w:tbl>
    <w:p w14:paraId="66CCFB98" w14:textId="77777777" w:rsidR="00E22C3D" w:rsidRPr="00F37D4D" w:rsidRDefault="00E22C3D" w:rsidP="00755C59">
      <w:pPr>
        <w:widowControl w:val="0"/>
        <w:spacing w:line="240" w:lineRule="auto"/>
      </w:pPr>
    </w:p>
    <w:p w14:paraId="60DCE15D" w14:textId="77777777" w:rsidR="00E22C3D" w:rsidRPr="002F3218" w:rsidRDefault="00BE7CB1" w:rsidP="00755C59">
      <w:pPr>
        <w:widowControl w:val="0"/>
        <w:spacing w:line="240" w:lineRule="auto"/>
        <w:rPr>
          <w:sz w:val="20"/>
        </w:rPr>
      </w:pPr>
      <w:r>
        <w:rPr>
          <w:sz w:val="20"/>
        </w:rPr>
        <w:t>Ak sa udalosti zaznamenali v klinických skúšaniach vo všetkých frekvenciách a 3.-5. stupni nežiaducich reakcií, uvádza sa najvyššia pozorovaná frekvencia výskytu u pacientov. Údaje nie sú upravené vzhľadom na rôznu dĺžku trvania liečby.</w:t>
      </w:r>
    </w:p>
    <w:p w14:paraId="14BEA340" w14:textId="77777777" w:rsidR="00E22C3D" w:rsidRPr="002F3218" w:rsidRDefault="00E22C3D" w:rsidP="00755C59">
      <w:pPr>
        <w:widowControl w:val="0"/>
        <w:spacing w:line="240" w:lineRule="auto"/>
      </w:pPr>
    </w:p>
    <w:p w14:paraId="70898864" w14:textId="77777777" w:rsidR="00E22C3D" w:rsidRPr="00F67844" w:rsidRDefault="00BE7CB1" w:rsidP="00755C59">
      <w:pPr>
        <w:widowControl w:val="0"/>
        <w:tabs>
          <w:tab w:val="clear" w:pos="567"/>
          <w:tab w:val="left" w:pos="0"/>
        </w:tabs>
        <w:spacing w:line="240" w:lineRule="auto"/>
        <w:rPr>
          <w:sz w:val="20"/>
        </w:rPr>
      </w:pPr>
      <w:r>
        <w:rPr>
          <w:sz w:val="20"/>
          <w:vertAlign w:val="superscript"/>
        </w:rPr>
        <w:t>a</w:t>
      </w:r>
      <w:r w:rsidR="005117E2">
        <w:rPr>
          <w:sz w:val="20"/>
          <w:vertAlign w:val="superscript"/>
        </w:rPr>
        <w:t xml:space="preserve"> </w:t>
      </w:r>
      <w:r>
        <w:rPr>
          <w:sz w:val="20"/>
        </w:rPr>
        <w:t>Ďalšie informácie si pozrite v tabuľke 3 „Nežiaduce reakcie hlásené po uvedení lieku na trh".</w:t>
      </w:r>
    </w:p>
    <w:p w14:paraId="674262BB" w14:textId="77777777" w:rsidR="00E22C3D" w:rsidRPr="00F67844" w:rsidRDefault="00BE7CB1" w:rsidP="00755C59">
      <w:pPr>
        <w:widowControl w:val="0"/>
        <w:tabs>
          <w:tab w:val="clear" w:pos="567"/>
          <w:tab w:val="left" w:pos="0"/>
        </w:tabs>
        <w:spacing w:line="240" w:lineRule="auto"/>
        <w:rPr>
          <w:sz w:val="20"/>
        </w:rPr>
      </w:pPr>
      <w:r>
        <w:rPr>
          <w:sz w:val="20"/>
          <w:vertAlign w:val="superscript"/>
        </w:rPr>
        <w:t>b</w:t>
      </w:r>
      <w:r w:rsidR="005117E2">
        <w:rPr>
          <w:sz w:val="20"/>
          <w:vertAlign w:val="superscript"/>
        </w:rPr>
        <w:t xml:space="preserve"> </w:t>
      </w:r>
      <w:r>
        <w:rPr>
          <w:sz w:val="20"/>
        </w:rPr>
        <w:t>Výrazy predstavujú skupinu udalostí, ktoré opisujú skôr medicínsky koncept ako jednotlivý stav alebo uprednostňovaný výraz podľa MedDRA (Medical Dictionary for Regulatory Activities - slovník medicínskej terminológie pre regulačné aktivity). Táto skupina medicínskych výrazov môže mať rovnaký patofyziologický základ (napr. arteriálne tromboembolické reakcie zahŕňajú cerebrovaskulárnu príhodu, infarkt myokardu, prechodný ischemický atak a ďalšie arteriálne tromboembolické reakcie).</w:t>
      </w:r>
    </w:p>
    <w:p w14:paraId="78D28A41" w14:textId="77777777" w:rsidR="00E22C3D" w:rsidRPr="00F67844" w:rsidRDefault="00BE7CB1" w:rsidP="00755C59">
      <w:pPr>
        <w:widowControl w:val="0"/>
        <w:tabs>
          <w:tab w:val="clear" w:pos="567"/>
          <w:tab w:val="left" w:pos="0"/>
        </w:tabs>
        <w:spacing w:line="240" w:lineRule="auto"/>
        <w:rPr>
          <w:sz w:val="20"/>
        </w:rPr>
      </w:pPr>
      <w:r>
        <w:rPr>
          <w:sz w:val="20"/>
          <w:vertAlign w:val="superscript"/>
        </w:rPr>
        <w:t>c</w:t>
      </w:r>
      <w:r w:rsidR="005117E2">
        <w:rPr>
          <w:sz w:val="20"/>
          <w:vertAlign w:val="superscript"/>
        </w:rPr>
        <w:t xml:space="preserve"> </w:t>
      </w:r>
      <w:r>
        <w:rPr>
          <w:sz w:val="20"/>
        </w:rPr>
        <w:t>Na základe podštúdie NSABP C-08 s 295 pacientmi.</w:t>
      </w:r>
    </w:p>
    <w:p w14:paraId="400ED626" w14:textId="77777777" w:rsidR="00E22C3D" w:rsidRPr="00F67844" w:rsidRDefault="00BE7CB1" w:rsidP="00755C59">
      <w:pPr>
        <w:widowControl w:val="0"/>
        <w:tabs>
          <w:tab w:val="clear" w:pos="567"/>
          <w:tab w:val="left" w:pos="0"/>
        </w:tabs>
        <w:spacing w:line="240" w:lineRule="auto"/>
        <w:rPr>
          <w:sz w:val="20"/>
        </w:rPr>
      </w:pPr>
      <w:r>
        <w:rPr>
          <w:sz w:val="20"/>
          <w:vertAlign w:val="superscript"/>
        </w:rPr>
        <w:t>d</w:t>
      </w:r>
      <w:r w:rsidR="005117E2">
        <w:rPr>
          <w:sz w:val="20"/>
          <w:vertAlign w:val="superscript"/>
        </w:rPr>
        <w:t xml:space="preserve"> </w:t>
      </w:r>
      <w:r>
        <w:rPr>
          <w:sz w:val="20"/>
        </w:rPr>
        <w:t>Ďalšie informácie si prečítajte nižšie v časti „Opis vybraných závažných nežiaducich reakcií“.</w:t>
      </w:r>
    </w:p>
    <w:p w14:paraId="143A576F" w14:textId="77777777" w:rsidR="00E22C3D" w:rsidRPr="00F67844" w:rsidRDefault="00BE7CB1" w:rsidP="00755C59">
      <w:pPr>
        <w:widowControl w:val="0"/>
        <w:tabs>
          <w:tab w:val="clear" w:pos="567"/>
          <w:tab w:val="left" w:pos="0"/>
        </w:tabs>
        <w:spacing w:line="240" w:lineRule="auto"/>
        <w:rPr>
          <w:sz w:val="20"/>
        </w:rPr>
      </w:pPr>
      <w:r>
        <w:rPr>
          <w:sz w:val="20"/>
          <w:vertAlign w:val="superscript"/>
        </w:rPr>
        <w:t>e</w:t>
      </w:r>
      <w:r w:rsidR="005117E2">
        <w:rPr>
          <w:sz w:val="20"/>
          <w:vertAlign w:val="superscript"/>
        </w:rPr>
        <w:t xml:space="preserve"> </w:t>
      </w:r>
      <w:r>
        <w:rPr>
          <w:sz w:val="20"/>
        </w:rPr>
        <w:t>Rekto-vaginálne fistuly sú najbežnejšie fistuly v kategórii GI-vaginálnych fistúl.</w:t>
      </w:r>
    </w:p>
    <w:p w14:paraId="1D38F8D2" w14:textId="77777777" w:rsidR="00E22C3D" w:rsidRPr="00F67844" w:rsidRDefault="00BE7CB1" w:rsidP="00755C59">
      <w:pPr>
        <w:widowControl w:val="0"/>
        <w:tabs>
          <w:tab w:val="clear" w:pos="567"/>
          <w:tab w:val="left" w:pos="0"/>
        </w:tabs>
        <w:spacing w:line="240" w:lineRule="auto"/>
        <w:rPr>
          <w:sz w:val="20"/>
        </w:rPr>
      </w:pPr>
      <w:r>
        <w:rPr>
          <w:sz w:val="20"/>
          <w:vertAlign w:val="superscript"/>
        </w:rPr>
        <w:t>f</w:t>
      </w:r>
      <w:r w:rsidR="005117E2">
        <w:rPr>
          <w:sz w:val="20"/>
          <w:vertAlign w:val="superscript"/>
        </w:rPr>
        <w:t xml:space="preserve"> </w:t>
      </w:r>
      <w:r>
        <w:rPr>
          <w:sz w:val="20"/>
        </w:rPr>
        <w:t>Pozorované len u pediatrickej populácie</w:t>
      </w:r>
    </w:p>
    <w:p w14:paraId="2DAE4C4F" w14:textId="77777777" w:rsidR="00E22C3D" w:rsidRPr="00F37D4D" w:rsidRDefault="00E22C3D" w:rsidP="00755C59">
      <w:pPr>
        <w:widowControl w:val="0"/>
        <w:spacing w:line="240" w:lineRule="auto"/>
      </w:pPr>
    </w:p>
    <w:p w14:paraId="12B23923" w14:textId="77777777" w:rsidR="00E22C3D" w:rsidRPr="00F37D4D" w:rsidRDefault="00BE7CB1" w:rsidP="00755C59">
      <w:pPr>
        <w:widowControl w:val="0"/>
        <w:spacing w:line="240" w:lineRule="auto"/>
        <w:rPr>
          <w:b/>
          <w:bCs/>
        </w:rPr>
      </w:pPr>
      <w:r>
        <w:rPr>
          <w:b/>
        </w:rPr>
        <w:t>Tabuľka 2. Závažné nežiaduce reakcie podľa frekvencie výskytu</w:t>
      </w:r>
    </w:p>
    <w:p w14:paraId="5A469D4C" w14:textId="77777777" w:rsidR="00E22C3D" w:rsidRPr="00DA33C1" w:rsidRDefault="00E22C3D"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85"/>
        <w:gridCol w:w="1344"/>
        <w:gridCol w:w="1852"/>
        <w:gridCol w:w="614"/>
        <w:gridCol w:w="1154"/>
        <w:gridCol w:w="874"/>
        <w:gridCol w:w="1538"/>
      </w:tblGrid>
      <w:tr w:rsidR="00741586" w:rsidRPr="00364BED" w14:paraId="2D3A98B6" w14:textId="77777777" w:rsidTr="00D719AB">
        <w:trPr>
          <w:cantSplit/>
          <w:trHeight w:val="20"/>
          <w:tblHeader/>
          <w:jc w:val="center"/>
        </w:trPr>
        <w:tc>
          <w:tcPr>
            <w:tcW w:w="864" w:type="pct"/>
            <w:tcBorders>
              <w:top w:val="single" w:sz="4" w:space="0" w:color="000000"/>
              <w:left w:val="single" w:sz="4" w:space="0" w:color="000000"/>
              <w:bottom w:val="single" w:sz="4" w:space="0" w:color="000000"/>
              <w:right w:val="single" w:sz="4" w:space="0" w:color="000000"/>
            </w:tcBorders>
            <w:hideMark/>
          </w:tcPr>
          <w:p w14:paraId="620D658B" w14:textId="77777777" w:rsidR="00E22C3D" w:rsidRPr="00364BED" w:rsidRDefault="00BE7CB1" w:rsidP="00755C59">
            <w:pPr>
              <w:pStyle w:val="TABLES"/>
              <w:ind w:left="57" w:right="57"/>
              <w:jc w:val="center"/>
              <w:rPr>
                <w:b/>
                <w:bCs/>
                <w:sz w:val="18"/>
              </w:rPr>
            </w:pPr>
            <w:r>
              <w:rPr>
                <w:b/>
                <w:sz w:val="18"/>
              </w:rPr>
              <w:t>Trieda orgánových systémov</w:t>
            </w:r>
          </w:p>
        </w:tc>
        <w:tc>
          <w:tcPr>
            <w:tcW w:w="834" w:type="pct"/>
            <w:tcBorders>
              <w:top w:val="single" w:sz="4" w:space="0" w:color="000000"/>
              <w:left w:val="single" w:sz="4" w:space="0" w:color="000000"/>
              <w:bottom w:val="single" w:sz="4" w:space="0" w:color="000000"/>
              <w:right w:val="single" w:sz="4" w:space="0" w:color="000000"/>
            </w:tcBorders>
            <w:hideMark/>
          </w:tcPr>
          <w:p w14:paraId="36FD65C8" w14:textId="77777777" w:rsidR="00E22C3D" w:rsidRPr="00364BED" w:rsidRDefault="00BE7CB1" w:rsidP="00755C59">
            <w:pPr>
              <w:pStyle w:val="TABLES"/>
              <w:ind w:left="57" w:right="57"/>
              <w:jc w:val="center"/>
              <w:rPr>
                <w:b/>
                <w:bCs/>
                <w:sz w:val="18"/>
              </w:rPr>
            </w:pPr>
            <w:r>
              <w:rPr>
                <w:b/>
                <w:sz w:val="18"/>
              </w:rPr>
              <w:t>Veľmi časté</w:t>
            </w:r>
          </w:p>
        </w:tc>
        <w:tc>
          <w:tcPr>
            <w:tcW w:w="1149" w:type="pct"/>
            <w:tcBorders>
              <w:top w:val="single" w:sz="4" w:space="0" w:color="000000"/>
              <w:left w:val="single" w:sz="4" w:space="0" w:color="000000"/>
              <w:bottom w:val="single" w:sz="4" w:space="0" w:color="000000"/>
              <w:right w:val="single" w:sz="4" w:space="0" w:color="000000"/>
            </w:tcBorders>
            <w:hideMark/>
          </w:tcPr>
          <w:p w14:paraId="32366CCB" w14:textId="77777777" w:rsidR="00E22C3D" w:rsidRPr="00364BED" w:rsidRDefault="00BE7CB1" w:rsidP="00755C59">
            <w:pPr>
              <w:pStyle w:val="TABLES"/>
              <w:ind w:left="57" w:right="57"/>
              <w:jc w:val="center"/>
              <w:rPr>
                <w:b/>
                <w:bCs/>
                <w:sz w:val="18"/>
              </w:rPr>
            </w:pPr>
            <w:r>
              <w:rPr>
                <w:b/>
                <w:sz w:val="18"/>
              </w:rPr>
              <w:t>Časté</w:t>
            </w:r>
          </w:p>
        </w:tc>
        <w:tc>
          <w:tcPr>
            <w:tcW w:w="560" w:type="pct"/>
            <w:tcBorders>
              <w:top w:val="single" w:sz="4" w:space="0" w:color="000000"/>
              <w:left w:val="single" w:sz="4" w:space="0" w:color="000000"/>
              <w:bottom w:val="single" w:sz="4" w:space="0" w:color="000000"/>
              <w:right w:val="single" w:sz="4" w:space="0" w:color="000000"/>
            </w:tcBorders>
            <w:hideMark/>
          </w:tcPr>
          <w:p w14:paraId="6CF877FE" w14:textId="77777777" w:rsidR="00E22C3D" w:rsidRPr="00364BED" w:rsidRDefault="00BE7CB1" w:rsidP="00755C59">
            <w:pPr>
              <w:pStyle w:val="TABLES"/>
              <w:ind w:left="57" w:right="57"/>
              <w:jc w:val="center"/>
              <w:rPr>
                <w:b/>
                <w:bCs/>
                <w:sz w:val="18"/>
              </w:rPr>
            </w:pPr>
            <w:r>
              <w:rPr>
                <w:b/>
                <w:sz w:val="18"/>
              </w:rPr>
              <w:t>Menej časté</w:t>
            </w:r>
          </w:p>
        </w:tc>
        <w:tc>
          <w:tcPr>
            <w:tcW w:w="278" w:type="pct"/>
            <w:tcBorders>
              <w:top w:val="single" w:sz="4" w:space="0" w:color="000000"/>
              <w:left w:val="single" w:sz="4" w:space="0" w:color="000000"/>
              <w:bottom w:val="single" w:sz="4" w:space="0" w:color="000000"/>
              <w:right w:val="single" w:sz="4" w:space="0" w:color="000000"/>
            </w:tcBorders>
            <w:hideMark/>
          </w:tcPr>
          <w:p w14:paraId="132039B9" w14:textId="77777777" w:rsidR="00E22C3D" w:rsidRPr="00364BED" w:rsidRDefault="00BE7CB1" w:rsidP="00755C59">
            <w:pPr>
              <w:pStyle w:val="TABLES"/>
              <w:ind w:left="57" w:right="57"/>
              <w:jc w:val="center"/>
              <w:rPr>
                <w:b/>
                <w:bCs/>
                <w:sz w:val="18"/>
              </w:rPr>
            </w:pPr>
            <w:r>
              <w:rPr>
                <w:b/>
                <w:sz w:val="18"/>
              </w:rPr>
              <w:t>Zriedkavé</w:t>
            </w:r>
          </w:p>
        </w:tc>
        <w:tc>
          <w:tcPr>
            <w:tcW w:w="293" w:type="pct"/>
            <w:tcBorders>
              <w:top w:val="single" w:sz="4" w:space="0" w:color="000000"/>
              <w:left w:val="single" w:sz="4" w:space="0" w:color="000000"/>
              <w:bottom w:val="single" w:sz="4" w:space="0" w:color="000000"/>
              <w:right w:val="single" w:sz="4" w:space="0" w:color="000000"/>
            </w:tcBorders>
            <w:hideMark/>
          </w:tcPr>
          <w:p w14:paraId="565317CB" w14:textId="77777777" w:rsidR="00E22C3D" w:rsidRPr="00364BED" w:rsidRDefault="00BE7CB1" w:rsidP="00755C59">
            <w:pPr>
              <w:pStyle w:val="TABLES"/>
              <w:ind w:left="57" w:right="57"/>
              <w:jc w:val="center"/>
              <w:rPr>
                <w:b/>
                <w:bCs/>
                <w:sz w:val="18"/>
              </w:rPr>
            </w:pPr>
            <w:r>
              <w:rPr>
                <w:b/>
                <w:sz w:val="18"/>
              </w:rPr>
              <w:t>Veľmi zriedkavé</w:t>
            </w:r>
          </w:p>
        </w:tc>
        <w:tc>
          <w:tcPr>
            <w:tcW w:w="1022" w:type="pct"/>
            <w:tcBorders>
              <w:top w:val="single" w:sz="4" w:space="0" w:color="000000"/>
              <w:left w:val="single" w:sz="4" w:space="0" w:color="000000"/>
              <w:bottom w:val="single" w:sz="4" w:space="0" w:color="000000"/>
              <w:right w:val="single" w:sz="4" w:space="0" w:color="000000"/>
            </w:tcBorders>
            <w:hideMark/>
          </w:tcPr>
          <w:p w14:paraId="4CC49951" w14:textId="77777777" w:rsidR="00E22C3D" w:rsidRPr="00364BED" w:rsidRDefault="00BE7CB1" w:rsidP="00755C59">
            <w:pPr>
              <w:pStyle w:val="TABLES"/>
              <w:ind w:left="57" w:right="57"/>
              <w:jc w:val="center"/>
              <w:rPr>
                <w:b/>
                <w:bCs/>
                <w:sz w:val="18"/>
              </w:rPr>
            </w:pPr>
            <w:r>
              <w:rPr>
                <w:b/>
                <w:sz w:val="18"/>
              </w:rPr>
              <w:t>Neznáma frekvencia</w:t>
            </w:r>
          </w:p>
        </w:tc>
      </w:tr>
      <w:tr w:rsidR="00741586" w:rsidRPr="00F37D4D" w14:paraId="102353CE"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C014141" w14:textId="77777777" w:rsidR="00E22C3D" w:rsidRPr="005973AB" w:rsidRDefault="00BE7CB1" w:rsidP="00755C59">
            <w:pPr>
              <w:pStyle w:val="TABLES"/>
              <w:ind w:left="57" w:right="57"/>
              <w:rPr>
                <w:b/>
                <w:bCs/>
                <w:sz w:val="18"/>
              </w:rPr>
            </w:pPr>
            <w:r>
              <w:rPr>
                <w:b/>
                <w:sz w:val="18"/>
              </w:rPr>
              <w:t>Infekcie a nákazy</w:t>
            </w:r>
          </w:p>
        </w:tc>
        <w:tc>
          <w:tcPr>
            <w:tcW w:w="834" w:type="pct"/>
            <w:tcBorders>
              <w:top w:val="single" w:sz="4" w:space="0" w:color="000000"/>
              <w:left w:val="single" w:sz="4" w:space="0" w:color="000000"/>
              <w:bottom w:val="single" w:sz="4" w:space="0" w:color="000000"/>
              <w:right w:val="single" w:sz="4" w:space="0" w:color="000000"/>
            </w:tcBorders>
          </w:tcPr>
          <w:p w14:paraId="17312ADD"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5446285E" w14:textId="5E07FEFB" w:rsidR="00E22C3D" w:rsidRPr="00D719AB" w:rsidRDefault="00BE7CB1" w:rsidP="00755C59">
            <w:pPr>
              <w:pStyle w:val="TABLES"/>
              <w:ind w:left="57" w:right="57"/>
              <w:rPr>
                <w:sz w:val="18"/>
              </w:rPr>
            </w:pPr>
            <w:r>
              <w:rPr>
                <w:sz w:val="18"/>
              </w:rPr>
              <w:t>Sepsa, celulitída, absces</w:t>
            </w:r>
            <w:r w:rsidR="00451B70">
              <w:rPr>
                <w:sz w:val="18"/>
                <w:vertAlign w:val="superscript"/>
              </w:rPr>
              <w:t>a,b</w:t>
            </w:r>
            <w:r>
              <w:rPr>
                <w:sz w:val="18"/>
              </w:rPr>
              <w:t>, infekcia, infekcia močových ciest</w:t>
            </w:r>
          </w:p>
        </w:tc>
        <w:tc>
          <w:tcPr>
            <w:tcW w:w="560" w:type="pct"/>
            <w:tcBorders>
              <w:top w:val="single" w:sz="4" w:space="0" w:color="000000"/>
              <w:left w:val="single" w:sz="4" w:space="0" w:color="000000"/>
              <w:bottom w:val="single" w:sz="4" w:space="0" w:color="000000"/>
              <w:right w:val="single" w:sz="4" w:space="0" w:color="000000"/>
            </w:tcBorders>
          </w:tcPr>
          <w:p w14:paraId="22876DF3"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091C7E9"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3AF1E2C"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025405F" w14:textId="77777777" w:rsidR="00E22C3D" w:rsidRPr="00D719AB" w:rsidRDefault="00BE7CB1" w:rsidP="00755C59">
            <w:pPr>
              <w:pStyle w:val="TABLES"/>
              <w:ind w:left="57" w:right="57"/>
              <w:rPr>
                <w:sz w:val="18"/>
              </w:rPr>
            </w:pPr>
            <w:r>
              <w:rPr>
                <w:sz w:val="18"/>
              </w:rPr>
              <w:t>Nekrotizujúca fasciitída</w:t>
            </w:r>
            <w:r w:rsidRPr="00D719AB">
              <w:rPr>
                <w:sz w:val="18"/>
                <w:vertAlign w:val="superscript"/>
              </w:rPr>
              <w:t>c</w:t>
            </w:r>
          </w:p>
        </w:tc>
      </w:tr>
      <w:tr w:rsidR="00741586" w:rsidRPr="00F37D4D" w14:paraId="14137DE7"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652D0C4" w14:textId="77777777" w:rsidR="00E22C3D" w:rsidRPr="005973AB" w:rsidRDefault="00BE7CB1" w:rsidP="00755C59">
            <w:pPr>
              <w:pStyle w:val="TABLES"/>
              <w:ind w:left="57" w:right="57"/>
              <w:rPr>
                <w:b/>
                <w:bCs/>
                <w:sz w:val="18"/>
              </w:rPr>
            </w:pPr>
            <w:r>
              <w:rPr>
                <w:b/>
                <w:sz w:val="18"/>
              </w:rPr>
              <w:t>Poruchy krvi a lymfatického systému</w:t>
            </w:r>
          </w:p>
        </w:tc>
        <w:tc>
          <w:tcPr>
            <w:tcW w:w="834" w:type="pct"/>
            <w:tcBorders>
              <w:top w:val="single" w:sz="4" w:space="0" w:color="000000"/>
              <w:left w:val="single" w:sz="4" w:space="0" w:color="000000"/>
              <w:bottom w:val="single" w:sz="4" w:space="0" w:color="000000"/>
              <w:right w:val="single" w:sz="4" w:space="0" w:color="000000"/>
            </w:tcBorders>
            <w:hideMark/>
          </w:tcPr>
          <w:p w14:paraId="221FBB42" w14:textId="77777777" w:rsidR="00E22C3D" w:rsidRPr="00D719AB" w:rsidRDefault="00BE7CB1" w:rsidP="00755C59">
            <w:pPr>
              <w:pStyle w:val="TABLES"/>
              <w:ind w:left="57" w:right="57"/>
              <w:rPr>
                <w:sz w:val="18"/>
              </w:rPr>
            </w:pPr>
            <w:r>
              <w:rPr>
                <w:sz w:val="18"/>
              </w:rPr>
              <w:t>Febrilná neutropénia, leukopénia, neutropénia</w:t>
            </w:r>
            <w:r w:rsidRPr="00D719AB">
              <w:rPr>
                <w:sz w:val="18"/>
                <w:vertAlign w:val="superscript"/>
              </w:rPr>
              <w:t>a</w:t>
            </w:r>
            <w:r>
              <w:rPr>
                <w:sz w:val="18"/>
              </w:rPr>
              <w:t>, trombocytopénia</w:t>
            </w:r>
          </w:p>
        </w:tc>
        <w:tc>
          <w:tcPr>
            <w:tcW w:w="1149" w:type="pct"/>
            <w:tcBorders>
              <w:top w:val="single" w:sz="4" w:space="0" w:color="000000"/>
              <w:left w:val="single" w:sz="4" w:space="0" w:color="000000"/>
              <w:bottom w:val="single" w:sz="4" w:space="0" w:color="000000"/>
              <w:right w:val="single" w:sz="4" w:space="0" w:color="000000"/>
            </w:tcBorders>
            <w:hideMark/>
          </w:tcPr>
          <w:p w14:paraId="365F9477" w14:textId="77777777" w:rsidR="00E22C3D" w:rsidRPr="00D719AB" w:rsidRDefault="00BE7CB1" w:rsidP="00755C59">
            <w:pPr>
              <w:pStyle w:val="TABLES"/>
              <w:ind w:left="57" w:right="57"/>
              <w:rPr>
                <w:sz w:val="18"/>
              </w:rPr>
            </w:pPr>
            <w:r>
              <w:rPr>
                <w:sz w:val="18"/>
              </w:rPr>
              <w:t>Anémia, lymfopénia</w:t>
            </w:r>
          </w:p>
        </w:tc>
        <w:tc>
          <w:tcPr>
            <w:tcW w:w="560" w:type="pct"/>
            <w:tcBorders>
              <w:top w:val="single" w:sz="4" w:space="0" w:color="000000"/>
              <w:left w:val="single" w:sz="4" w:space="0" w:color="000000"/>
              <w:bottom w:val="single" w:sz="4" w:space="0" w:color="000000"/>
              <w:right w:val="single" w:sz="4" w:space="0" w:color="000000"/>
            </w:tcBorders>
          </w:tcPr>
          <w:p w14:paraId="0BCF69A2"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F141B82"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17011C9"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3671167" w14:textId="77777777" w:rsidR="00E22C3D" w:rsidRPr="00D719AB" w:rsidRDefault="00E22C3D" w:rsidP="00755C59">
            <w:pPr>
              <w:pStyle w:val="TABLES"/>
              <w:ind w:left="57" w:right="57"/>
              <w:rPr>
                <w:sz w:val="18"/>
              </w:rPr>
            </w:pPr>
          </w:p>
        </w:tc>
      </w:tr>
      <w:tr w:rsidR="00741586" w:rsidRPr="00F37D4D" w14:paraId="5747120C"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AD1C675" w14:textId="77777777" w:rsidR="00E22C3D" w:rsidRPr="005973AB" w:rsidRDefault="00BE7CB1" w:rsidP="00755C59">
            <w:pPr>
              <w:pStyle w:val="TABLES"/>
              <w:ind w:left="57" w:right="57"/>
              <w:rPr>
                <w:b/>
                <w:bCs/>
                <w:sz w:val="18"/>
              </w:rPr>
            </w:pPr>
            <w:r>
              <w:rPr>
                <w:b/>
                <w:sz w:val="18"/>
              </w:rPr>
              <w:t>Poruchy imunitného systému</w:t>
            </w:r>
          </w:p>
        </w:tc>
        <w:tc>
          <w:tcPr>
            <w:tcW w:w="834" w:type="pct"/>
            <w:tcBorders>
              <w:top w:val="single" w:sz="4" w:space="0" w:color="000000"/>
              <w:left w:val="single" w:sz="4" w:space="0" w:color="000000"/>
              <w:bottom w:val="single" w:sz="4" w:space="0" w:color="000000"/>
              <w:right w:val="single" w:sz="4" w:space="0" w:color="000000"/>
            </w:tcBorders>
          </w:tcPr>
          <w:p w14:paraId="6CB7518A"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4FC00F92" w14:textId="7D1244BC" w:rsidR="00E22C3D" w:rsidRPr="00D719AB" w:rsidRDefault="00E55D9E" w:rsidP="00755C59">
            <w:pPr>
              <w:pStyle w:val="TABLES"/>
              <w:ind w:left="57" w:right="57"/>
              <w:rPr>
                <w:sz w:val="18"/>
              </w:rPr>
            </w:pPr>
            <w:r w:rsidRPr="00E55D9E">
              <w:rPr>
                <w:sz w:val="18"/>
              </w:rPr>
              <w:t>Precitlivenosť, Reakcie na infúziu</w:t>
            </w:r>
            <w:r>
              <w:rPr>
                <w:sz w:val="18"/>
              </w:rPr>
              <w:t xml:space="preserve"> </w:t>
            </w:r>
            <w:r w:rsidRPr="004A7F9D">
              <w:rPr>
                <w:sz w:val="18"/>
                <w:vertAlign w:val="superscript"/>
              </w:rPr>
              <w:t>a,b,c</w:t>
            </w:r>
          </w:p>
        </w:tc>
        <w:tc>
          <w:tcPr>
            <w:tcW w:w="560" w:type="pct"/>
            <w:tcBorders>
              <w:top w:val="single" w:sz="4" w:space="0" w:color="000000"/>
              <w:left w:val="single" w:sz="4" w:space="0" w:color="000000"/>
              <w:bottom w:val="single" w:sz="4" w:space="0" w:color="000000"/>
              <w:right w:val="single" w:sz="4" w:space="0" w:color="000000"/>
            </w:tcBorders>
          </w:tcPr>
          <w:p w14:paraId="1622385F"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39D9504E" w14:textId="38C19C0D" w:rsidR="00E22C3D" w:rsidRPr="00D719AB" w:rsidRDefault="00E55D9E" w:rsidP="00755C59">
            <w:pPr>
              <w:pStyle w:val="TABLES"/>
              <w:ind w:left="57" w:right="57"/>
              <w:rPr>
                <w:sz w:val="18"/>
              </w:rPr>
            </w:pPr>
            <w:r w:rsidRPr="00E55D9E">
              <w:rPr>
                <w:sz w:val="18"/>
              </w:rPr>
              <w:t>Anafylaktický šok</w:t>
            </w:r>
          </w:p>
        </w:tc>
        <w:tc>
          <w:tcPr>
            <w:tcW w:w="293" w:type="pct"/>
            <w:tcBorders>
              <w:top w:val="single" w:sz="4" w:space="0" w:color="000000"/>
              <w:left w:val="single" w:sz="4" w:space="0" w:color="000000"/>
              <w:bottom w:val="single" w:sz="4" w:space="0" w:color="000000"/>
              <w:right w:val="single" w:sz="4" w:space="0" w:color="000000"/>
            </w:tcBorders>
          </w:tcPr>
          <w:p w14:paraId="60EA983A"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2DEC562" w14:textId="4BF0E350" w:rsidR="00E22C3D" w:rsidRPr="00D719AB" w:rsidRDefault="00E22C3D" w:rsidP="00755C59">
            <w:pPr>
              <w:pStyle w:val="TABLES"/>
              <w:ind w:left="57" w:right="57"/>
              <w:rPr>
                <w:sz w:val="18"/>
              </w:rPr>
            </w:pPr>
          </w:p>
        </w:tc>
      </w:tr>
      <w:tr w:rsidR="00741586" w:rsidRPr="00F37D4D" w14:paraId="07B63423"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C8C4135" w14:textId="77777777" w:rsidR="00E22C3D" w:rsidRPr="005973AB" w:rsidRDefault="00BE7CB1" w:rsidP="00755C59">
            <w:pPr>
              <w:pStyle w:val="TABLES"/>
              <w:ind w:left="57" w:right="57"/>
              <w:rPr>
                <w:b/>
                <w:bCs/>
                <w:sz w:val="18"/>
              </w:rPr>
            </w:pPr>
            <w:r>
              <w:rPr>
                <w:b/>
                <w:sz w:val="18"/>
              </w:rPr>
              <w:t>Poruchy metabolizmu a výživy</w:t>
            </w:r>
          </w:p>
        </w:tc>
        <w:tc>
          <w:tcPr>
            <w:tcW w:w="834" w:type="pct"/>
            <w:tcBorders>
              <w:top w:val="single" w:sz="4" w:space="0" w:color="000000"/>
              <w:left w:val="single" w:sz="4" w:space="0" w:color="000000"/>
              <w:bottom w:val="single" w:sz="4" w:space="0" w:color="000000"/>
              <w:right w:val="single" w:sz="4" w:space="0" w:color="000000"/>
            </w:tcBorders>
          </w:tcPr>
          <w:p w14:paraId="0BAE68D9"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3CF8F119" w14:textId="77777777" w:rsidR="00E22C3D" w:rsidRPr="00D719AB" w:rsidRDefault="00BE7CB1" w:rsidP="00755C59">
            <w:pPr>
              <w:pStyle w:val="TABLES"/>
              <w:ind w:left="57" w:right="57"/>
              <w:rPr>
                <w:sz w:val="18"/>
              </w:rPr>
            </w:pPr>
            <w:r>
              <w:rPr>
                <w:sz w:val="18"/>
              </w:rPr>
              <w:t>Dehydratácia, hyponatriémia</w:t>
            </w:r>
          </w:p>
        </w:tc>
        <w:tc>
          <w:tcPr>
            <w:tcW w:w="560" w:type="pct"/>
            <w:tcBorders>
              <w:top w:val="single" w:sz="4" w:space="0" w:color="000000"/>
              <w:left w:val="single" w:sz="4" w:space="0" w:color="000000"/>
              <w:bottom w:val="single" w:sz="4" w:space="0" w:color="000000"/>
              <w:right w:val="single" w:sz="4" w:space="0" w:color="000000"/>
            </w:tcBorders>
          </w:tcPr>
          <w:p w14:paraId="354622A0"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EAB2618"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66E15BFB"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6E929049" w14:textId="77777777" w:rsidR="00E22C3D" w:rsidRPr="00D719AB" w:rsidRDefault="00E22C3D" w:rsidP="00755C59">
            <w:pPr>
              <w:pStyle w:val="TABLES"/>
              <w:ind w:left="57" w:right="57"/>
              <w:rPr>
                <w:sz w:val="18"/>
              </w:rPr>
            </w:pPr>
          </w:p>
        </w:tc>
      </w:tr>
      <w:tr w:rsidR="00741586" w:rsidRPr="00F37D4D" w14:paraId="5B1CCCD7"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3FAE0AD" w14:textId="77777777" w:rsidR="00E22C3D" w:rsidRPr="005973AB" w:rsidRDefault="00BE7CB1" w:rsidP="00755C59">
            <w:pPr>
              <w:pStyle w:val="TABLES"/>
              <w:ind w:left="57" w:right="57"/>
              <w:rPr>
                <w:b/>
                <w:bCs/>
                <w:sz w:val="18"/>
              </w:rPr>
            </w:pPr>
            <w:r>
              <w:rPr>
                <w:b/>
                <w:sz w:val="18"/>
              </w:rPr>
              <w:lastRenderedPageBreak/>
              <w:t>Poruchy nervového systému</w:t>
            </w:r>
          </w:p>
        </w:tc>
        <w:tc>
          <w:tcPr>
            <w:tcW w:w="834" w:type="pct"/>
            <w:tcBorders>
              <w:top w:val="single" w:sz="4" w:space="0" w:color="000000"/>
              <w:left w:val="single" w:sz="4" w:space="0" w:color="000000"/>
              <w:bottom w:val="single" w:sz="4" w:space="0" w:color="000000"/>
              <w:right w:val="single" w:sz="4" w:space="0" w:color="000000"/>
            </w:tcBorders>
            <w:hideMark/>
          </w:tcPr>
          <w:p w14:paraId="7A8A555D" w14:textId="77777777" w:rsidR="00E22C3D" w:rsidRPr="00D719AB" w:rsidRDefault="00BE7CB1" w:rsidP="00755C59">
            <w:pPr>
              <w:pStyle w:val="TABLES"/>
              <w:ind w:left="57" w:right="57"/>
              <w:rPr>
                <w:sz w:val="18"/>
              </w:rPr>
            </w:pPr>
            <w:r>
              <w:rPr>
                <w:sz w:val="18"/>
              </w:rPr>
              <w:t>Periférna senzorická neuropatia</w:t>
            </w:r>
            <w:r w:rsidRPr="00D719AB">
              <w:rPr>
                <w:sz w:val="18"/>
                <w:vertAlign w:val="superscript"/>
              </w:rPr>
              <w:t>a</w:t>
            </w:r>
          </w:p>
        </w:tc>
        <w:tc>
          <w:tcPr>
            <w:tcW w:w="1149" w:type="pct"/>
            <w:tcBorders>
              <w:top w:val="single" w:sz="4" w:space="0" w:color="000000"/>
              <w:left w:val="single" w:sz="4" w:space="0" w:color="000000"/>
              <w:bottom w:val="single" w:sz="4" w:space="0" w:color="000000"/>
              <w:right w:val="single" w:sz="4" w:space="0" w:color="000000"/>
            </w:tcBorders>
            <w:hideMark/>
          </w:tcPr>
          <w:p w14:paraId="27F9CF31" w14:textId="77777777" w:rsidR="00E22C3D" w:rsidRPr="00D719AB" w:rsidRDefault="00BE7CB1" w:rsidP="00755C59">
            <w:pPr>
              <w:pStyle w:val="TABLES"/>
              <w:ind w:left="57" w:right="57"/>
              <w:rPr>
                <w:sz w:val="18"/>
              </w:rPr>
            </w:pPr>
            <w:r>
              <w:rPr>
                <w:sz w:val="18"/>
              </w:rPr>
              <w:t>Cerebrovaskulárna príhoda, synkopa, somnolencia, bolesť hlavy</w:t>
            </w:r>
          </w:p>
        </w:tc>
        <w:tc>
          <w:tcPr>
            <w:tcW w:w="560" w:type="pct"/>
            <w:tcBorders>
              <w:top w:val="single" w:sz="4" w:space="0" w:color="000000"/>
              <w:left w:val="single" w:sz="4" w:space="0" w:color="000000"/>
              <w:bottom w:val="single" w:sz="4" w:space="0" w:color="000000"/>
              <w:right w:val="single" w:sz="4" w:space="0" w:color="000000"/>
            </w:tcBorders>
          </w:tcPr>
          <w:p w14:paraId="358E4EC3"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F705F04"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04F9DD92"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0B5D79A" w14:textId="77777777" w:rsidR="00E22C3D" w:rsidRPr="00D719AB" w:rsidRDefault="00BE7CB1" w:rsidP="00755C59">
            <w:pPr>
              <w:pStyle w:val="TABLES"/>
              <w:ind w:left="57" w:right="57"/>
              <w:rPr>
                <w:sz w:val="18"/>
              </w:rPr>
            </w:pPr>
            <w:r>
              <w:rPr>
                <w:sz w:val="18"/>
              </w:rPr>
              <w:t>Posteriórny reverzibilný encefalopatický syndróm</w:t>
            </w:r>
            <w:r>
              <w:rPr>
                <w:sz w:val="18"/>
                <w:vertAlign w:val="superscript"/>
              </w:rPr>
              <w:t>a,b,c</w:t>
            </w:r>
            <w:r>
              <w:rPr>
                <w:sz w:val="18"/>
              </w:rPr>
              <w:t>, hypertenzná encefalopatia</w:t>
            </w:r>
            <w:r w:rsidRPr="00D719AB">
              <w:rPr>
                <w:sz w:val="18"/>
                <w:vertAlign w:val="superscript"/>
              </w:rPr>
              <w:t>c</w:t>
            </w:r>
          </w:p>
        </w:tc>
      </w:tr>
      <w:tr w:rsidR="00741586" w:rsidRPr="00F37D4D" w14:paraId="1D7D220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AEB4026" w14:textId="77777777" w:rsidR="00E22C3D" w:rsidRPr="005973AB" w:rsidRDefault="00BE7CB1" w:rsidP="00755C59">
            <w:pPr>
              <w:pStyle w:val="TABLES"/>
              <w:ind w:left="57" w:right="57"/>
              <w:rPr>
                <w:b/>
                <w:bCs/>
                <w:sz w:val="18"/>
              </w:rPr>
            </w:pPr>
            <w:r>
              <w:rPr>
                <w:b/>
                <w:sz w:val="18"/>
              </w:rPr>
              <w:t>Poruchy srdca a srdcovej činnosti</w:t>
            </w:r>
          </w:p>
        </w:tc>
        <w:tc>
          <w:tcPr>
            <w:tcW w:w="834" w:type="pct"/>
            <w:tcBorders>
              <w:top w:val="single" w:sz="4" w:space="0" w:color="000000"/>
              <w:left w:val="single" w:sz="4" w:space="0" w:color="000000"/>
              <w:bottom w:val="single" w:sz="4" w:space="0" w:color="000000"/>
              <w:right w:val="single" w:sz="4" w:space="0" w:color="000000"/>
            </w:tcBorders>
          </w:tcPr>
          <w:p w14:paraId="2E08FAA0"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298399AD" w14:textId="77777777" w:rsidR="00E22C3D" w:rsidRPr="00D719AB" w:rsidRDefault="00BE7CB1" w:rsidP="00755C59">
            <w:pPr>
              <w:pStyle w:val="TABLES"/>
              <w:ind w:left="57" w:right="57"/>
              <w:rPr>
                <w:sz w:val="18"/>
              </w:rPr>
            </w:pPr>
            <w:r>
              <w:rPr>
                <w:sz w:val="18"/>
              </w:rPr>
              <w:t>Kongestívne zlyhanie srdca</w:t>
            </w:r>
            <w:r w:rsidRPr="00D719AB">
              <w:rPr>
                <w:sz w:val="18"/>
                <w:vertAlign w:val="superscript"/>
              </w:rPr>
              <w:t>a,b</w:t>
            </w:r>
            <w:r>
              <w:rPr>
                <w:sz w:val="18"/>
              </w:rPr>
              <w:t>, supraventrikulárna tachykardia</w:t>
            </w:r>
          </w:p>
        </w:tc>
        <w:tc>
          <w:tcPr>
            <w:tcW w:w="560" w:type="pct"/>
            <w:tcBorders>
              <w:top w:val="single" w:sz="4" w:space="0" w:color="000000"/>
              <w:left w:val="single" w:sz="4" w:space="0" w:color="000000"/>
              <w:bottom w:val="single" w:sz="4" w:space="0" w:color="000000"/>
              <w:right w:val="single" w:sz="4" w:space="0" w:color="000000"/>
            </w:tcBorders>
          </w:tcPr>
          <w:p w14:paraId="38AB5B9D"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0E660BE"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411A102C"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1FEB35D6" w14:textId="77777777" w:rsidR="00E22C3D" w:rsidRPr="00D719AB" w:rsidRDefault="00E22C3D" w:rsidP="00755C59">
            <w:pPr>
              <w:pStyle w:val="TABLES"/>
              <w:ind w:left="57" w:right="57"/>
              <w:rPr>
                <w:sz w:val="18"/>
              </w:rPr>
            </w:pPr>
          </w:p>
        </w:tc>
      </w:tr>
      <w:tr w:rsidR="00741586" w:rsidRPr="00F37D4D" w14:paraId="3703F4A3"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48ED409" w14:textId="77777777" w:rsidR="00E22C3D" w:rsidRPr="005973AB" w:rsidRDefault="00BE7CB1" w:rsidP="00755C59">
            <w:pPr>
              <w:pStyle w:val="TABLES"/>
              <w:ind w:left="57" w:right="57"/>
              <w:rPr>
                <w:b/>
                <w:bCs/>
                <w:sz w:val="18"/>
              </w:rPr>
            </w:pPr>
            <w:r>
              <w:rPr>
                <w:b/>
                <w:sz w:val="18"/>
              </w:rPr>
              <w:t>Poruchy ciev</w:t>
            </w:r>
          </w:p>
        </w:tc>
        <w:tc>
          <w:tcPr>
            <w:tcW w:w="834" w:type="pct"/>
            <w:tcBorders>
              <w:top w:val="single" w:sz="4" w:space="0" w:color="000000"/>
              <w:left w:val="single" w:sz="4" w:space="0" w:color="000000"/>
              <w:bottom w:val="single" w:sz="4" w:space="0" w:color="000000"/>
              <w:right w:val="single" w:sz="4" w:space="0" w:color="000000"/>
            </w:tcBorders>
            <w:hideMark/>
          </w:tcPr>
          <w:p w14:paraId="56693C47" w14:textId="77777777" w:rsidR="00E22C3D" w:rsidRPr="00D719AB" w:rsidRDefault="00BE7CB1" w:rsidP="00755C59">
            <w:pPr>
              <w:pStyle w:val="TABLES"/>
              <w:ind w:left="57" w:right="57"/>
              <w:rPr>
                <w:sz w:val="18"/>
              </w:rPr>
            </w:pPr>
            <w:r>
              <w:rPr>
                <w:sz w:val="18"/>
              </w:rPr>
              <w:t>Hypertenzia</w:t>
            </w:r>
            <w:r w:rsidRPr="00D719AB">
              <w:rPr>
                <w:sz w:val="18"/>
                <w:vertAlign w:val="superscript"/>
              </w:rPr>
              <w:t>a,b</w:t>
            </w:r>
          </w:p>
        </w:tc>
        <w:tc>
          <w:tcPr>
            <w:tcW w:w="1149" w:type="pct"/>
            <w:tcBorders>
              <w:top w:val="single" w:sz="4" w:space="0" w:color="000000"/>
              <w:left w:val="single" w:sz="4" w:space="0" w:color="000000"/>
              <w:bottom w:val="single" w:sz="4" w:space="0" w:color="000000"/>
              <w:right w:val="single" w:sz="4" w:space="0" w:color="000000"/>
            </w:tcBorders>
            <w:hideMark/>
          </w:tcPr>
          <w:p w14:paraId="1E3A55EC" w14:textId="77777777" w:rsidR="00E22C3D" w:rsidRPr="00D719AB" w:rsidRDefault="00BE7CB1" w:rsidP="00755C59">
            <w:pPr>
              <w:pStyle w:val="TABLES"/>
              <w:ind w:left="57" w:right="57"/>
              <w:rPr>
                <w:sz w:val="18"/>
              </w:rPr>
            </w:pPr>
            <w:r>
              <w:rPr>
                <w:sz w:val="18"/>
              </w:rPr>
              <w:t>Arteriálny tromboembolizmus</w:t>
            </w:r>
            <w:r w:rsidRPr="00D719AB">
              <w:rPr>
                <w:sz w:val="18"/>
                <w:vertAlign w:val="superscript"/>
              </w:rPr>
              <w:t>a,b</w:t>
            </w:r>
            <w:r>
              <w:rPr>
                <w:sz w:val="18"/>
              </w:rPr>
              <w:t>, krvácanie</w:t>
            </w:r>
            <w:r w:rsidRPr="00D719AB">
              <w:rPr>
                <w:sz w:val="18"/>
                <w:vertAlign w:val="superscript"/>
              </w:rPr>
              <w:t>a,b</w:t>
            </w:r>
            <w:r>
              <w:rPr>
                <w:sz w:val="18"/>
              </w:rPr>
              <w:t>, tromboembolizmus (venózny)</w:t>
            </w:r>
            <w:r w:rsidRPr="00D719AB">
              <w:rPr>
                <w:sz w:val="18"/>
                <w:vertAlign w:val="superscript"/>
              </w:rPr>
              <w:t>a,b</w:t>
            </w:r>
            <w:r>
              <w:rPr>
                <w:sz w:val="18"/>
              </w:rPr>
              <w:t>, hlboká žilová trombóza</w:t>
            </w:r>
          </w:p>
        </w:tc>
        <w:tc>
          <w:tcPr>
            <w:tcW w:w="560" w:type="pct"/>
            <w:tcBorders>
              <w:top w:val="single" w:sz="4" w:space="0" w:color="000000"/>
              <w:left w:val="single" w:sz="4" w:space="0" w:color="000000"/>
              <w:bottom w:val="single" w:sz="4" w:space="0" w:color="000000"/>
              <w:right w:val="single" w:sz="4" w:space="0" w:color="000000"/>
            </w:tcBorders>
          </w:tcPr>
          <w:p w14:paraId="3EFF0850"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8EECD23"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C409D04"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5D49279" w14:textId="5DBDC123" w:rsidR="00E22C3D" w:rsidRPr="00D719AB" w:rsidRDefault="00BE7CB1" w:rsidP="00755C59">
            <w:pPr>
              <w:pStyle w:val="TABLES"/>
              <w:ind w:left="57" w:right="57"/>
              <w:rPr>
                <w:sz w:val="18"/>
              </w:rPr>
            </w:pPr>
            <w:r>
              <w:rPr>
                <w:sz w:val="18"/>
              </w:rPr>
              <w:t>Renálna trombotická mikroangiopatia</w:t>
            </w:r>
            <w:r w:rsidRPr="00D719AB">
              <w:rPr>
                <w:sz w:val="18"/>
                <w:vertAlign w:val="superscript"/>
              </w:rPr>
              <w:t>b,c</w:t>
            </w:r>
            <w:r>
              <w:rPr>
                <w:sz w:val="18"/>
              </w:rPr>
              <w:t xml:space="preserve">, </w:t>
            </w:r>
            <w:r w:rsidR="00837D13" w:rsidRPr="00837D13">
              <w:rPr>
                <w:sz w:val="18"/>
              </w:rPr>
              <w:t>hyalínová okluzívna glomerulárna mikroangiopatia</w:t>
            </w:r>
            <w:r w:rsidR="00837D13" w:rsidRPr="00B91565">
              <w:rPr>
                <w:sz w:val="18"/>
                <w:vertAlign w:val="superscript"/>
              </w:rPr>
              <w:t>c</w:t>
            </w:r>
            <w:r w:rsidR="00837D13" w:rsidRPr="00837D13">
              <w:rPr>
                <w:sz w:val="18"/>
              </w:rPr>
              <w:t>,</w:t>
            </w:r>
            <w:r w:rsidR="00837D13">
              <w:rPr>
                <w:sz w:val="18"/>
              </w:rPr>
              <w:t xml:space="preserve"> </w:t>
            </w:r>
            <w:r>
              <w:rPr>
                <w:sz w:val="18"/>
              </w:rPr>
              <w:t>aneuryzmy a disekcia artérií</w:t>
            </w:r>
          </w:p>
        </w:tc>
      </w:tr>
      <w:tr w:rsidR="00741586" w:rsidRPr="00F37D4D" w14:paraId="4E280450"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DCCF266" w14:textId="77777777" w:rsidR="00E22C3D" w:rsidRPr="005973AB" w:rsidRDefault="00BE7CB1" w:rsidP="00755C59">
            <w:pPr>
              <w:pStyle w:val="TABLES"/>
              <w:ind w:left="57" w:right="57"/>
              <w:rPr>
                <w:b/>
                <w:bCs/>
                <w:sz w:val="18"/>
              </w:rPr>
            </w:pPr>
            <w:r>
              <w:rPr>
                <w:b/>
                <w:sz w:val="18"/>
              </w:rPr>
              <w:t>Poruchy dýchacej sústavy, hrudníka a mediastína</w:t>
            </w:r>
          </w:p>
        </w:tc>
        <w:tc>
          <w:tcPr>
            <w:tcW w:w="834" w:type="pct"/>
            <w:tcBorders>
              <w:top w:val="single" w:sz="4" w:space="0" w:color="000000"/>
              <w:left w:val="single" w:sz="4" w:space="0" w:color="000000"/>
              <w:bottom w:val="single" w:sz="4" w:space="0" w:color="000000"/>
              <w:right w:val="single" w:sz="4" w:space="0" w:color="000000"/>
            </w:tcBorders>
          </w:tcPr>
          <w:p w14:paraId="2A7BFD16"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71A8FA26" w14:textId="77777777" w:rsidR="00E22C3D" w:rsidRPr="00D719AB" w:rsidRDefault="00BE7CB1" w:rsidP="00755C59">
            <w:pPr>
              <w:pStyle w:val="TABLES"/>
              <w:ind w:left="57" w:right="57"/>
              <w:rPr>
                <w:sz w:val="18"/>
              </w:rPr>
            </w:pPr>
            <w:r>
              <w:rPr>
                <w:sz w:val="18"/>
              </w:rPr>
              <w:t>Pľúcne krvácanie/hemoptýza</w:t>
            </w:r>
            <w:r w:rsidRPr="00D719AB">
              <w:rPr>
                <w:sz w:val="18"/>
                <w:vertAlign w:val="superscript"/>
              </w:rPr>
              <w:t>a,b</w:t>
            </w:r>
            <w:r>
              <w:rPr>
                <w:sz w:val="18"/>
              </w:rPr>
              <w:t>, pľúcna embólia, epistaxa, dyspnoe, hypoxia</w:t>
            </w:r>
          </w:p>
        </w:tc>
        <w:tc>
          <w:tcPr>
            <w:tcW w:w="560" w:type="pct"/>
            <w:tcBorders>
              <w:top w:val="single" w:sz="4" w:space="0" w:color="000000"/>
              <w:left w:val="single" w:sz="4" w:space="0" w:color="000000"/>
              <w:bottom w:val="single" w:sz="4" w:space="0" w:color="000000"/>
              <w:right w:val="single" w:sz="4" w:space="0" w:color="000000"/>
            </w:tcBorders>
          </w:tcPr>
          <w:p w14:paraId="7A9176BE"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39854971"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495F359D"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4989F66" w14:textId="77777777" w:rsidR="00E22C3D" w:rsidRPr="00D719AB" w:rsidRDefault="00BE7CB1" w:rsidP="00755C59">
            <w:pPr>
              <w:pStyle w:val="TABLES"/>
              <w:ind w:left="57" w:right="57"/>
              <w:rPr>
                <w:sz w:val="18"/>
              </w:rPr>
            </w:pPr>
            <w:r>
              <w:rPr>
                <w:sz w:val="18"/>
              </w:rPr>
              <w:t>Pľúcna hypertenzia</w:t>
            </w:r>
            <w:r w:rsidRPr="00D719AB">
              <w:rPr>
                <w:sz w:val="18"/>
                <w:vertAlign w:val="superscript"/>
              </w:rPr>
              <w:t>c</w:t>
            </w:r>
            <w:r>
              <w:rPr>
                <w:sz w:val="18"/>
              </w:rPr>
              <w:t>, perforácia nosového septa</w:t>
            </w:r>
            <w:r w:rsidRPr="00D719AB">
              <w:rPr>
                <w:sz w:val="18"/>
                <w:vertAlign w:val="superscript"/>
              </w:rPr>
              <w:t>c</w:t>
            </w:r>
          </w:p>
        </w:tc>
      </w:tr>
      <w:tr w:rsidR="00741586" w:rsidRPr="00F37D4D" w14:paraId="590BE6AC"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03A5F5B" w14:textId="77777777" w:rsidR="00E22C3D" w:rsidRPr="005973AB" w:rsidRDefault="00BE7CB1" w:rsidP="00755C59">
            <w:pPr>
              <w:pStyle w:val="TABLES"/>
              <w:ind w:left="57" w:right="57"/>
              <w:rPr>
                <w:b/>
                <w:bCs/>
                <w:sz w:val="18"/>
              </w:rPr>
            </w:pPr>
            <w:r>
              <w:rPr>
                <w:b/>
                <w:sz w:val="18"/>
              </w:rPr>
              <w:t>Poruchy gastrointestinálneho traktu</w:t>
            </w:r>
          </w:p>
        </w:tc>
        <w:tc>
          <w:tcPr>
            <w:tcW w:w="834" w:type="pct"/>
            <w:tcBorders>
              <w:top w:val="single" w:sz="4" w:space="0" w:color="000000"/>
              <w:left w:val="single" w:sz="4" w:space="0" w:color="000000"/>
              <w:bottom w:val="single" w:sz="4" w:space="0" w:color="000000"/>
              <w:right w:val="single" w:sz="4" w:space="0" w:color="000000"/>
            </w:tcBorders>
            <w:hideMark/>
          </w:tcPr>
          <w:p w14:paraId="0A690E4A" w14:textId="77777777" w:rsidR="00E22C3D" w:rsidRPr="00D719AB" w:rsidRDefault="00BE7CB1" w:rsidP="00755C59">
            <w:pPr>
              <w:pStyle w:val="TABLES"/>
              <w:ind w:left="57" w:right="57"/>
              <w:rPr>
                <w:sz w:val="18"/>
              </w:rPr>
            </w:pPr>
            <w:r>
              <w:rPr>
                <w:sz w:val="18"/>
              </w:rPr>
              <w:t>Hnačka, nevoľnosť, vracanie, bolesť brucha</w:t>
            </w:r>
          </w:p>
        </w:tc>
        <w:tc>
          <w:tcPr>
            <w:tcW w:w="1149" w:type="pct"/>
            <w:tcBorders>
              <w:top w:val="single" w:sz="4" w:space="0" w:color="000000"/>
              <w:left w:val="single" w:sz="4" w:space="0" w:color="000000"/>
              <w:bottom w:val="single" w:sz="4" w:space="0" w:color="000000"/>
              <w:right w:val="single" w:sz="4" w:space="0" w:color="000000"/>
            </w:tcBorders>
            <w:hideMark/>
          </w:tcPr>
          <w:p w14:paraId="7B55D378" w14:textId="77777777" w:rsidR="00E22C3D" w:rsidRPr="00D719AB" w:rsidRDefault="00BE7CB1" w:rsidP="00755C59">
            <w:pPr>
              <w:pStyle w:val="TABLES"/>
              <w:ind w:left="57" w:right="57"/>
              <w:rPr>
                <w:sz w:val="18"/>
              </w:rPr>
            </w:pPr>
            <w:r>
              <w:rPr>
                <w:sz w:val="18"/>
              </w:rPr>
              <w:t>Intestinálna perforácia, ileus, intestinálna obštrukcia, rekto-vaginálne fistuly</w:t>
            </w:r>
            <w:r w:rsidRPr="00D719AB">
              <w:rPr>
                <w:sz w:val="18"/>
                <w:vertAlign w:val="superscript"/>
              </w:rPr>
              <w:t>c,d</w:t>
            </w:r>
            <w:r>
              <w:rPr>
                <w:sz w:val="18"/>
              </w:rPr>
              <w:t>, porucha gastrointestinálneho traktu, stomatitída, proktalgia</w:t>
            </w:r>
          </w:p>
        </w:tc>
        <w:tc>
          <w:tcPr>
            <w:tcW w:w="560" w:type="pct"/>
            <w:tcBorders>
              <w:top w:val="single" w:sz="4" w:space="0" w:color="000000"/>
              <w:left w:val="single" w:sz="4" w:space="0" w:color="000000"/>
              <w:bottom w:val="single" w:sz="4" w:space="0" w:color="000000"/>
              <w:right w:val="single" w:sz="4" w:space="0" w:color="000000"/>
            </w:tcBorders>
          </w:tcPr>
          <w:p w14:paraId="269E9157"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C3A7C11"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AB65A43"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0B19E20" w14:textId="77777777" w:rsidR="00E22C3D" w:rsidRPr="00D719AB" w:rsidRDefault="00BE7CB1" w:rsidP="00755C59">
            <w:pPr>
              <w:pStyle w:val="TABLES"/>
              <w:ind w:left="57" w:right="57"/>
              <w:rPr>
                <w:sz w:val="18"/>
              </w:rPr>
            </w:pPr>
            <w:r>
              <w:rPr>
                <w:sz w:val="18"/>
              </w:rPr>
              <w:t>Gastrointestinálna perforácia</w:t>
            </w:r>
            <w:r w:rsidRPr="00D719AB">
              <w:rPr>
                <w:sz w:val="18"/>
                <w:vertAlign w:val="superscript"/>
              </w:rPr>
              <w:t>a,b</w:t>
            </w:r>
            <w:r>
              <w:rPr>
                <w:sz w:val="18"/>
              </w:rPr>
              <w:t>, gastrointestinálny vred</w:t>
            </w:r>
            <w:r w:rsidRPr="00D719AB">
              <w:rPr>
                <w:sz w:val="18"/>
                <w:vertAlign w:val="superscript"/>
              </w:rPr>
              <w:t>c</w:t>
            </w:r>
            <w:r>
              <w:rPr>
                <w:sz w:val="18"/>
              </w:rPr>
              <w:t>, krvácanie z konečníka</w:t>
            </w:r>
          </w:p>
        </w:tc>
      </w:tr>
      <w:tr w:rsidR="00741586" w:rsidRPr="00F37D4D" w14:paraId="437CA388"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89D4567" w14:textId="77777777" w:rsidR="00E22C3D" w:rsidRPr="005973AB" w:rsidRDefault="00BE7CB1" w:rsidP="00755C59">
            <w:pPr>
              <w:pStyle w:val="TABLES"/>
              <w:ind w:left="57" w:right="57"/>
              <w:rPr>
                <w:b/>
                <w:bCs/>
                <w:sz w:val="18"/>
              </w:rPr>
            </w:pPr>
            <w:r>
              <w:rPr>
                <w:b/>
                <w:sz w:val="18"/>
              </w:rPr>
              <w:t>Poruchy pečene a žlčových ciest</w:t>
            </w:r>
          </w:p>
        </w:tc>
        <w:tc>
          <w:tcPr>
            <w:tcW w:w="834" w:type="pct"/>
            <w:tcBorders>
              <w:top w:val="single" w:sz="4" w:space="0" w:color="000000"/>
              <w:left w:val="single" w:sz="4" w:space="0" w:color="000000"/>
              <w:bottom w:val="single" w:sz="4" w:space="0" w:color="000000"/>
              <w:right w:val="single" w:sz="4" w:space="0" w:color="000000"/>
            </w:tcBorders>
          </w:tcPr>
          <w:p w14:paraId="047C4FFF"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3015995E" w14:textId="77777777" w:rsidR="00E22C3D" w:rsidRPr="00D719AB" w:rsidRDefault="00E22C3D" w:rsidP="00755C59">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47A979AC"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BADA31C"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F574B07"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2E62DED" w14:textId="77777777" w:rsidR="00E22C3D" w:rsidRPr="00D719AB" w:rsidRDefault="00BE7CB1" w:rsidP="00755C59">
            <w:pPr>
              <w:pStyle w:val="TABLES"/>
              <w:ind w:left="57" w:right="57"/>
              <w:rPr>
                <w:sz w:val="18"/>
              </w:rPr>
            </w:pPr>
            <w:r>
              <w:rPr>
                <w:sz w:val="18"/>
              </w:rPr>
              <w:t>Perforácia žlčníka</w:t>
            </w:r>
            <w:r w:rsidRPr="00D719AB">
              <w:rPr>
                <w:sz w:val="18"/>
                <w:vertAlign w:val="superscript"/>
              </w:rPr>
              <w:t>b,c</w:t>
            </w:r>
          </w:p>
        </w:tc>
      </w:tr>
      <w:tr w:rsidR="00741586" w:rsidRPr="00F37D4D" w14:paraId="15E6A29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F9A685B" w14:textId="77777777" w:rsidR="00E22C3D" w:rsidRPr="005973AB" w:rsidRDefault="00BE7CB1" w:rsidP="00755C59">
            <w:pPr>
              <w:pStyle w:val="TABLES"/>
              <w:ind w:left="57" w:right="57"/>
              <w:rPr>
                <w:b/>
                <w:bCs/>
                <w:sz w:val="18"/>
              </w:rPr>
            </w:pPr>
            <w:r>
              <w:rPr>
                <w:b/>
                <w:sz w:val="18"/>
              </w:rPr>
              <w:t>Poruchy kože a podkožného tkaniva</w:t>
            </w:r>
          </w:p>
        </w:tc>
        <w:tc>
          <w:tcPr>
            <w:tcW w:w="834" w:type="pct"/>
            <w:tcBorders>
              <w:top w:val="single" w:sz="4" w:space="0" w:color="000000"/>
              <w:left w:val="single" w:sz="4" w:space="0" w:color="000000"/>
              <w:bottom w:val="single" w:sz="4" w:space="0" w:color="000000"/>
              <w:right w:val="single" w:sz="4" w:space="0" w:color="000000"/>
            </w:tcBorders>
          </w:tcPr>
          <w:p w14:paraId="01A23DA2"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482329C5" w14:textId="77777777" w:rsidR="00E22C3D" w:rsidRPr="00D719AB" w:rsidRDefault="00BE7CB1" w:rsidP="00755C59">
            <w:pPr>
              <w:pStyle w:val="TABLES"/>
              <w:ind w:left="57" w:right="57"/>
              <w:rPr>
                <w:sz w:val="18"/>
              </w:rPr>
            </w:pPr>
            <w:r>
              <w:rPr>
                <w:sz w:val="18"/>
              </w:rPr>
              <w:t>Komplikácie pri hojení rán</w:t>
            </w:r>
            <w:r w:rsidRPr="00D719AB">
              <w:rPr>
                <w:sz w:val="18"/>
                <w:vertAlign w:val="superscript"/>
              </w:rPr>
              <w:t>a,b</w:t>
            </w:r>
            <w:r>
              <w:rPr>
                <w:sz w:val="18"/>
              </w:rPr>
              <w:t>, syndróm palmárno-plantárnej erytrodyzestézie</w:t>
            </w:r>
          </w:p>
        </w:tc>
        <w:tc>
          <w:tcPr>
            <w:tcW w:w="560" w:type="pct"/>
            <w:tcBorders>
              <w:top w:val="single" w:sz="4" w:space="0" w:color="000000"/>
              <w:left w:val="single" w:sz="4" w:space="0" w:color="000000"/>
              <w:bottom w:val="single" w:sz="4" w:space="0" w:color="000000"/>
              <w:right w:val="single" w:sz="4" w:space="0" w:color="000000"/>
            </w:tcBorders>
          </w:tcPr>
          <w:p w14:paraId="08065412"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5D3EBE3"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E0D49E4"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ED8955B" w14:textId="77777777" w:rsidR="00E22C3D" w:rsidRPr="00D719AB" w:rsidRDefault="00E22C3D" w:rsidP="00755C59">
            <w:pPr>
              <w:pStyle w:val="TABLES"/>
              <w:ind w:left="57" w:right="57"/>
              <w:rPr>
                <w:sz w:val="18"/>
              </w:rPr>
            </w:pPr>
          </w:p>
        </w:tc>
      </w:tr>
      <w:tr w:rsidR="00741586" w:rsidRPr="00F37D4D" w14:paraId="0720AF57"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BF96A14" w14:textId="77777777" w:rsidR="00E22C3D" w:rsidRPr="005973AB" w:rsidRDefault="00BE7CB1" w:rsidP="00755C59">
            <w:pPr>
              <w:pStyle w:val="TABLES"/>
              <w:ind w:left="57" w:right="57"/>
              <w:rPr>
                <w:b/>
                <w:bCs/>
                <w:sz w:val="18"/>
              </w:rPr>
            </w:pPr>
            <w:r>
              <w:rPr>
                <w:b/>
                <w:sz w:val="18"/>
              </w:rPr>
              <w:t>Poruchy kostrovej a svalovej sústavy a spojivového tkaniva</w:t>
            </w:r>
          </w:p>
        </w:tc>
        <w:tc>
          <w:tcPr>
            <w:tcW w:w="834" w:type="pct"/>
            <w:tcBorders>
              <w:top w:val="single" w:sz="4" w:space="0" w:color="000000"/>
              <w:left w:val="single" w:sz="4" w:space="0" w:color="000000"/>
              <w:bottom w:val="single" w:sz="4" w:space="0" w:color="000000"/>
              <w:right w:val="single" w:sz="4" w:space="0" w:color="000000"/>
            </w:tcBorders>
          </w:tcPr>
          <w:p w14:paraId="3A676392"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2B63BDDE" w14:textId="77777777" w:rsidR="00E22C3D" w:rsidRPr="00D719AB" w:rsidRDefault="00BE7CB1" w:rsidP="00755C59">
            <w:pPr>
              <w:pStyle w:val="TABLES"/>
              <w:ind w:left="57" w:right="57"/>
              <w:rPr>
                <w:sz w:val="18"/>
              </w:rPr>
            </w:pPr>
            <w:r>
              <w:rPr>
                <w:sz w:val="18"/>
              </w:rPr>
              <w:t>Fistula</w:t>
            </w:r>
            <w:r w:rsidRPr="00D719AB">
              <w:rPr>
                <w:sz w:val="18"/>
                <w:vertAlign w:val="superscript"/>
              </w:rPr>
              <w:t>a,b</w:t>
            </w:r>
            <w:r>
              <w:rPr>
                <w:sz w:val="18"/>
              </w:rPr>
              <w:t>, myalgia, artralgia, svalová slabosť, bolesť chrbta</w:t>
            </w:r>
          </w:p>
        </w:tc>
        <w:tc>
          <w:tcPr>
            <w:tcW w:w="560" w:type="pct"/>
            <w:tcBorders>
              <w:top w:val="single" w:sz="4" w:space="0" w:color="000000"/>
              <w:left w:val="single" w:sz="4" w:space="0" w:color="000000"/>
              <w:bottom w:val="single" w:sz="4" w:space="0" w:color="000000"/>
              <w:right w:val="single" w:sz="4" w:space="0" w:color="000000"/>
            </w:tcBorders>
          </w:tcPr>
          <w:p w14:paraId="2C77C1B8"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94F820B"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4A3C9D70"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1270A96E" w14:textId="77777777" w:rsidR="00E22C3D" w:rsidRPr="00D719AB" w:rsidRDefault="00BE7CB1" w:rsidP="00755C59">
            <w:pPr>
              <w:pStyle w:val="TABLES"/>
              <w:ind w:left="57" w:right="57"/>
              <w:rPr>
                <w:sz w:val="18"/>
              </w:rPr>
            </w:pPr>
            <w:r>
              <w:rPr>
                <w:sz w:val="18"/>
              </w:rPr>
              <w:t>Osteonekróza čeľuste</w:t>
            </w:r>
            <w:r w:rsidRPr="00D719AB">
              <w:rPr>
                <w:sz w:val="18"/>
                <w:vertAlign w:val="superscript"/>
              </w:rPr>
              <w:t>b,c</w:t>
            </w:r>
          </w:p>
        </w:tc>
      </w:tr>
      <w:tr w:rsidR="00741586" w:rsidRPr="00F37D4D" w14:paraId="3BFCE048"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BF34FEF" w14:textId="77777777" w:rsidR="00E22C3D" w:rsidRPr="005973AB" w:rsidRDefault="00BE7CB1" w:rsidP="00755C59">
            <w:pPr>
              <w:pStyle w:val="TABLES"/>
              <w:ind w:left="57" w:right="57"/>
              <w:rPr>
                <w:b/>
                <w:bCs/>
                <w:sz w:val="18"/>
              </w:rPr>
            </w:pPr>
            <w:r>
              <w:rPr>
                <w:b/>
                <w:sz w:val="18"/>
              </w:rPr>
              <w:t>Poruchy obličiek a močových ciest</w:t>
            </w:r>
          </w:p>
        </w:tc>
        <w:tc>
          <w:tcPr>
            <w:tcW w:w="834" w:type="pct"/>
            <w:tcBorders>
              <w:top w:val="single" w:sz="4" w:space="0" w:color="000000"/>
              <w:left w:val="single" w:sz="4" w:space="0" w:color="000000"/>
              <w:bottom w:val="single" w:sz="4" w:space="0" w:color="000000"/>
              <w:right w:val="single" w:sz="4" w:space="0" w:color="000000"/>
            </w:tcBorders>
          </w:tcPr>
          <w:p w14:paraId="104E4790"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261C1A95" w14:textId="77777777" w:rsidR="00E22C3D" w:rsidRPr="00D719AB" w:rsidRDefault="00BE7CB1" w:rsidP="00755C59">
            <w:pPr>
              <w:pStyle w:val="TABLES"/>
              <w:ind w:left="57" w:right="57"/>
              <w:rPr>
                <w:sz w:val="18"/>
              </w:rPr>
            </w:pPr>
            <w:r>
              <w:rPr>
                <w:sz w:val="18"/>
              </w:rPr>
              <w:t>Proteinúria</w:t>
            </w:r>
            <w:r w:rsidRPr="00D719AB">
              <w:rPr>
                <w:sz w:val="18"/>
                <w:vertAlign w:val="superscript"/>
              </w:rPr>
              <w:t>a,b</w:t>
            </w:r>
          </w:p>
        </w:tc>
        <w:tc>
          <w:tcPr>
            <w:tcW w:w="560" w:type="pct"/>
            <w:tcBorders>
              <w:top w:val="single" w:sz="4" w:space="0" w:color="000000"/>
              <w:left w:val="single" w:sz="4" w:space="0" w:color="000000"/>
              <w:bottom w:val="single" w:sz="4" w:space="0" w:color="000000"/>
              <w:right w:val="single" w:sz="4" w:space="0" w:color="000000"/>
            </w:tcBorders>
          </w:tcPr>
          <w:p w14:paraId="1F34939B"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3F0F741B"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4EE5FEA2"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686669FC" w14:textId="77777777" w:rsidR="00E22C3D" w:rsidRPr="00D719AB" w:rsidRDefault="00E22C3D" w:rsidP="00755C59">
            <w:pPr>
              <w:pStyle w:val="TABLES"/>
              <w:ind w:left="57" w:right="57"/>
              <w:rPr>
                <w:sz w:val="18"/>
              </w:rPr>
            </w:pPr>
          </w:p>
        </w:tc>
      </w:tr>
      <w:tr w:rsidR="00741586" w:rsidRPr="00F37D4D" w14:paraId="7CD2566C"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F350E08" w14:textId="77777777" w:rsidR="00E22C3D" w:rsidRPr="005973AB" w:rsidRDefault="00BE7CB1" w:rsidP="00755C59">
            <w:pPr>
              <w:pStyle w:val="TABLES"/>
              <w:ind w:left="57" w:right="57"/>
              <w:rPr>
                <w:b/>
                <w:bCs/>
                <w:sz w:val="18"/>
              </w:rPr>
            </w:pPr>
            <w:r>
              <w:rPr>
                <w:b/>
                <w:sz w:val="18"/>
              </w:rPr>
              <w:t>Poruchy reprodukčného systému a prsníkov</w:t>
            </w:r>
          </w:p>
        </w:tc>
        <w:tc>
          <w:tcPr>
            <w:tcW w:w="834" w:type="pct"/>
            <w:tcBorders>
              <w:top w:val="single" w:sz="4" w:space="0" w:color="000000"/>
              <w:left w:val="single" w:sz="4" w:space="0" w:color="000000"/>
              <w:bottom w:val="single" w:sz="4" w:space="0" w:color="000000"/>
              <w:right w:val="single" w:sz="4" w:space="0" w:color="000000"/>
            </w:tcBorders>
          </w:tcPr>
          <w:p w14:paraId="61684DFA"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7984606F" w14:textId="77777777" w:rsidR="00E22C3D" w:rsidRPr="00D719AB" w:rsidRDefault="00BE7CB1" w:rsidP="00755C59">
            <w:pPr>
              <w:pStyle w:val="TABLES"/>
              <w:ind w:left="57" w:right="57"/>
              <w:rPr>
                <w:sz w:val="18"/>
              </w:rPr>
            </w:pPr>
            <w:r>
              <w:rPr>
                <w:sz w:val="18"/>
              </w:rPr>
              <w:t>Bolesť v panvovej oblasti</w:t>
            </w:r>
          </w:p>
        </w:tc>
        <w:tc>
          <w:tcPr>
            <w:tcW w:w="560" w:type="pct"/>
            <w:tcBorders>
              <w:top w:val="single" w:sz="4" w:space="0" w:color="000000"/>
              <w:left w:val="single" w:sz="4" w:space="0" w:color="000000"/>
              <w:bottom w:val="single" w:sz="4" w:space="0" w:color="000000"/>
              <w:right w:val="single" w:sz="4" w:space="0" w:color="000000"/>
            </w:tcBorders>
          </w:tcPr>
          <w:p w14:paraId="667482C0"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1EC8E67B"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C3EB149"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C2404A1" w14:textId="77777777" w:rsidR="00E22C3D" w:rsidRPr="00D719AB" w:rsidRDefault="00BE7CB1" w:rsidP="00755C59">
            <w:pPr>
              <w:pStyle w:val="TABLES"/>
              <w:ind w:left="57" w:right="57"/>
              <w:rPr>
                <w:sz w:val="18"/>
              </w:rPr>
            </w:pPr>
            <w:r>
              <w:rPr>
                <w:sz w:val="18"/>
              </w:rPr>
              <w:t>Zlyhanie ovárií</w:t>
            </w:r>
            <w:r w:rsidRPr="00D719AB">
              <w:rPr>
                <w:sz w:val="18"/>
                <w:vertAlign w:val="superscript"/>
              </w:rPr>
              <w:t>a,b</w:t>
            </w:r>
          </w:p>
        </w:tc>
      </w:tr>
      <w:tr w:rsidR="00741586" w:rsidRPr="00F37D4D" w14:paraId="254BBE1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C4A6772" w14:textId="77777777" w:rsidR="00E22C3D" w:rsidRPr="005973AB" w:rsidRDefault="00BE7CB1" w:rsidP="00755C59">
            <w:pPr>
              <w:pStyle w:val="TABLES"/>
              <w:ind w:left="57" w:right="57"/>
              <w:rPr>
                <w:b/>
                <w:bCs/>
                <w:sz w:val="18"/>
              </w:rPr>
            </w:pPr>
            <w:r>
              <w:rPr>
                <w:b/>
                <w:sz w:val="18"/>
              </w:rPr>
              <w:t>Vrodené, familiárne a genetické poruchy</w:t>
            </w:r>
          </w:p>
        </w:tc>
        <w:tc>
          <w:tcPr>
            <w:tcW w:w="834" w:type="pct"/>
            <w:tcBorders>
              <w:top w:val="single" w:sz="4" w:space="0" w:color="000000"/>
              <w:left w:val="single" w:sz="4" w:space="0" w:color="000000"/>
              <w:bottom w:val="single" w:sz="4" w:space="0" w:color="000000"/>
              <w:right w:val="single" w:sz="4" w:space="0" w:color="000000"/>
            </w:tcBorders>
          </w:tcPr>
          <w:p w14:paraId="3D6F3DC8" w14:textId="77777777" w:rsidR="00E22C3D" w:rsidRPr="00D719AB" w:rsidRDefault="00E22C3D" w:rsidP="00755C5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6FA1F26D" w14:textId="77777777" w:rsidR="00E22C3D" w:rsidRPr="00D719AB" w:rsidRDefault="00E22C3D" w:rsidP="00755C59">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32DE3875"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1228B9E5"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F70546B"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5363589F" w14:textId="77777777" w:rsidR="00E22C3D" w:rsidRPr="00D719AB" w:rsidRDefault="00BE7CB1" w:rsidP="00755C59">
            <w:pPr>
              <w:pStyle w:val="TABLES"/>
              <w:ind w:left="57" w:right="57"/>
              <w:rPr>
                <w:sz w:val="18"/>
              </w:rPr>
            </w:pPr>
            <w:r>
              <w:rPr>
                <w:sz w:val="18"/>
              </w:rPr>
              <w:t>Abnormality plodu</w:t>
            </w:r>
            <w:r w:rsidRPr="00D719AB">
              <w:rPr>
                <w:sz w:val="18"/>
                <w:vertAlign w:val="superscript"/>
              </w:rPr>
              <w:t>a,c</w:t>
            </w:r>
          </w:p>
        </w:tc>
      </w:tr>
      <w:tr w:rsidR="00741586" w:rsidRPr="00F37D4D" w14:paraId="0D8B622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5C8CC53" w14:textId="77777777" w:rsidR="00E22C3D" w:rsidRPr="005973AB" w:rsidRDefault="00BE7CB1" w:rsidP="00755C59">
            <w:pPr>
              <w:pStyle w:val="TABLES"/>
              <w:ind w:left="57" w:right="57"/>
              <w:rPr>
                <w:b/>
                <w:bCs/>
                <w:sz w:val="18"/>
              </w:rPr>
            </w:pPr>
            <w:r>
              <w:rPr>
                <w:b/>
                <w:sz w:val="18"/>
              </w:rPr>
              <w:t>Celkové poruchy a reakcie v mieste podania</w:t>
            </w:r>
          </w:p>
        </w:tc>
        <w:tc>
          <w:tcPr>
            <w:tcW w:w="834" w:type="pct"/>
            <w:tcBorders>
              <w:top w:val="single" w:sz="4" w:space="0" w:color="000000"/>
              <w:left w:val="single" w:sz="4" w:space="0" w:color="000000"/>
              <w:bottom w:val="single" w:sz="4" w:space="0" w:color="000000"/>
              <w:right w:val="single" w:sz="4" w:space="0" w:color="000000"/>
            </w:tcBorders>
            <w:hideMark/>
          </w:tcPr>
          <w:p w14:paraId="63538708" w14:textId="77777777" w:rsidR="00E22C3D" w:rsidRPr="00D719AB" w:rsidRDefault="00BE7CB1" w:rsidP="00755C59">
            <w:pPr>
              <w:pStyle w:val="TABLES"/>
              <w:ind w:left="57" w:right="57"/>
              <w:rPr>
                <w:sz w:val="18"/>
              </w:rPr>
            </w:pPr>
            <w:r>
              <w:rPr>
                <w:sz w:val="18"/>
              </w:rPr>
              <w:t>Asténia, únava</w:t>
            </w:r>
          </w:p>
        </w:tc>
        <w:tc>
          <w:tcPr>
            <w:tcW w:w="1149" w:type="pct"/>
            <w:tcBorders>
              <w:top w:val="single" w:sz="4" w:space="0" w:color="000000"/>
              <w:left w:val="single" w:sz="4" w:space="0" w:color="000000"/>
              <w:bottom w:val="single" w:sz="4" w:space="0" w:color="000000"/>
              <w:right w:val="single" w:sz="4" w:space="0" w:color="000000"/>
            </w:tcBorders>
            <w:hideMark/>
          </w:tcPr>
          <w:p w14:paraId="167039EA" w14:textId="77777777" w:rsidR="00E22C3D" w:rsidRPr="00D719AB" w:rsidRDefault="00BE7CB1" w:rsidP="00755C59">
            <w:pPr>
              <w:pStyle w:val="TABLES"/>
              <w:ind w:left="57" w:right="57"/>
              <w:rPr>
                <w:sz w:val="18"/>
              </w:rPr>
            </w:pPr>
            <w:r>
              <w:rPr>
                <w:sz w:val="18"/>
              </w:rPr>
              <w:t>Bolesť, letargia, zápal slizníc</w:t>
            </w:r>
          </w:p>
        </w:tc>
        <w:tc>
          <w:tcPr>
            <w:tcW w:w="560" w:type="pct"/>
            <w:tcBorders>
              <w:top w:val="single" w:sz="4" w:space="0" w:color="000000"/>
              <w:left w:val="single" w:sz="4" w:space="0" w:color="000000"/>
              <w:bottom w:val="single" w:sz="4" w:space="0" w:color="000000"/>
              <w:right w:val="single" w:sz="4" w:space="0" w:color="000000"/>
            </w:tcBorders>
          </w:tcPr>
          <w:p w14:paraId="6A6A9115" w14:textId="77777777" w:rsidR="00E22C3D" w:rsidRPr="00D719AB" w:rsidRDefault="00E22C3D" w:rsidP="00755C5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154CD2FC" w14:textId="77777777" w:rsidR="00E22C3D" w:rsidRPr="00D719AB" w:rsidRDefault="00E22C3D" w:rsidP="00755C5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F46C6CB" w14:textId="77777777" w:rsidR="00E22C3D" w:rsidRPr="00D719AB" w:rsidRDefault="00E22C3D" w:rsidP="00755C5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19452AE5" w14:textId="77777777" w:rsidR="00E22C3D" w:rsidRPr="00D719AB" w:rsidRDefault="00E22C3D" w:rsidP="00755C59">
            <w:pPr>
              <w:pStyle w:val="TABLES"/>
              <w:ind w:left="57" w:right="57"/>
              <w:rPr>
                <w:sz w:val="18"/>
              </w:rPr>
            </w:pPr>
          </w:p>
        </w:tc>
      </w:tr>
    </w:tbl>
    <w:p w14:paraId="3741D055" w14:textId="77777777" w:rsidR="00E22C3D" w:rsidRPr="00F37D4D" w:rsidRDefault="00E22C3D" w:rsidP="00755C59">
      <w:pPr>
        <w:widowControl w:val="0"/>
        <w:spacing w:line="240" w:lineRule="auto"/>
      </w:pPr>
    </w:p>
    <w:p w14:paraId="72E21602" w14:textId="77777777" w:rsidR="00E22C3D" w:rsidRPr="00F67844" w:rsidRDefault="00BE7CB1" w:rsidP="00755C59">
      <w:pPr>
        <w:widowControl w:val="0"/>
        <w:spacing w:line="240" w:lineRule="auto"/>
        <w:rPr>
          <w:sz w:val="20"/>
        </w:rPr>
      </w:pPr>
      <w:r>
        <w:rPr>
          <w:sz w:val="20"/>
        </w:rPr>
        <w:t>V tabuľke 2 sú uvedené frekvencie závažných nežiaducich reakcií. Závažné reakcie sú definované ako nežiaduce reakcie 3.-5. stupňa podľa NCI-CT CAE s rozdielom aspoň 2 % v porovnaní s kontrolnou skupinou klinických štúdií.</w:t>
      </w:r>
    </w:p>
    <w:p w14:paraId="66732F5A" w14:textId="77777777" w:rsidR="00E22C3D" w:rsidRPr="00F67844" w:rsidRDefault="00BE7CB1" w:rsidP="00755C59">
      <w:pPr>
        <w:widowControl w:val="0"/>
        <w:spacing w:line="240" w:lineRule="auto"/>
        <w:rPr>
          <w:sz w:val="20"/>
        </w:rPr>
      </w:pPr>
      <w:r>
        <w:rPr>
          <w:sz w:val="20"/>
        </w:rPr>
        <w:t>V tabuľke 2 sú uvedené nežiaduce reakcie, ktoré vyhodnotil držiteľ rozhodnutia o registrácii ako klinicky významné alebo závažné. Tieto klinicky významné nežiaduce reakcie boli hlásené v klinických skúšaniach, ale reakcie 3.-5. stupňa nespĺňajú hranicu rozdielu aspoň 2 % v porovnaní s kontrolnou skupinou. Do tabuľky 2 sú zahrnuté klinicky významné nežiaduce reakcie, ktoré sa pozorovali len v období po uvedení lieku na trh, a preto frekvencia ani stupeň NCI-CT CAE nie sú známe. Tieto klinicky významné nežiaduce reakcie sú preto uvedené v tabuľke 2 v stĺpci označenom „Neznáma frekvencia“.</w:t>
      </w:r>
    </w:p>
    <w:p w14:paraId="6BEC8DCC" w14:textId="77777777" w:rsidR="00E22C3D" w:rsidRPr="00F67844" w:rsidRDefault="00BE7CB1" w:rsidP="00755C59">
      <w:pPr>
        <w:widowControl w:val="0"/>
        <w:tabs>
          <w:tab w:val="clear" w:pos="567"/>
          <w:tab w:val="left" w:pos="426"/>
        </w:tabs>
        <w:spacing w:line="240" w:lineRule="auto"/>
        <w:rPr>
          <w:sz w:val="20"/>
        </w:rPr>
      </w:pPr>
      <w:r>
        <w:rPr>
          <w:sz w:val="20"/>
          <w:vertAlign w:val="superscript"/>
        </w:rPr>
        <w:t>a</w:t>
      </w:r>
      <w:r>
        <w:rPr>
          <w:sz w:val="20"/>
        </w:rPr>
        <w:t xml:space="preserve"> Výrazy predstavujú skupinu udalostí, ktoré opisujú skôr medicínsky koncept ako jednotlivý stav alebo uprednostňovaný výraz podľa MedDRA (Medical Dictionary for Regulatory Activities - slovník medicínskej terminológie pre regulačné aktivity). Táto skupina medicínskych výrazov môže mať rovnaký patofyziologický základ (napr. arteriálne tromboembolické reakcie zahŕňajú cerebrovaskulárnu príhodu, infarkt myokardu, </w:t>
      </w:r>
      <w:r>
        <w:rPr>
          <w:sz w:val="20"/>
        </w:rPr>
        <w:lastRenderedPageBreak/>
        <w:t>prechodný ischemický atak a ďalšie arteriálne tromboembolické reakcie).</w:t>
      </w:r>
    </w:p>
    <w:p w14:paraId="6D08BFD8" w14:textId="77777777" w:rsidR="00E22C3D" w:rsidRPr="00F67844" w:rsidRDefault="00BE7CB1" w:rsidP="00755C59">
      <w:pPr>
        <w:widowControl w:val="0"/>
        <w:tabs>
          <w:tab w:val="clear" w:pos="567"/>
          <w:tab w:val="left" w:pos="426"/>
        </w:tabs>
        <w:spacing w:line="240" w:lineRule="auto"/>
        <w:rPr>
          <w:sz w:val="20"/>
        </w:rPr>
      </w:pPr>
      <w:r>
        <w:rPr>
          <w:sz w:val="20"/>
          <w:vertAlign w:val="superscript"/>
        </w:rPr>
        <w:t>b</w:t>
      </w:r>
      <w:r w:rsidR="00300FF9">
        <w:rPr>
          <w:sz w:val="20"/>
          <w:vertAlign w:val="superscript"/>
        </w:rPr>
        <w:t xml:space="preserve"> </w:t>
      </w:r>
      <w:r>
        <w:rPr>
          <w:sz w:val="20"/>
        </w:rPr>
        <w:t>Ďalšie informácie si prečítajte nižšie v časti „Opis vybraných závažných nežiaducich reakcií“.</w:t>
      </w:r>
    </w:p>
    <w:p w14:paraId="03B4C1AD" w14:textId="77777777" w:rsidR="00E22C3D" w:rsidRPr="00F67844" w:rsidRDefault="00BE7CB1" w:rsidP="00755C59">
      <w:pPr>
        <w:widowControl w:val="0"/>
        <w:tabs>
          <w:tab w:val="clear" w:pos="567"/>
          <w:tab w:val="left" w:pos="426"/>
        </w:tabs>
        <w:spacing w:line="240" w:lineRule="auto"/>
        <w:rPr>
          <w:sz w:val="20"/>
        </w:rPr>
      </w:pPr>
      <w:r>
        <w:rPr>
          <w:sz w:val="20"/>
          <w:vertAlign w:val="superscript"/>
        </w:rPr>
        <w:t>c</w:t>
      </w:r>
      <w:r>
        <w:rPr>
          <w:sz w:val="20"/>
        </w:rPr>
        <w:t xml:space="preserve"> Ďalšie informácie si prečítajte v tabuľke 3 „Nežiaduce reakcie hlásené po uvedení lieku na trh“.</w:t>
      </w:r>
    </w:p>
    <w:p w14:paraId="4876B53B" w14:textId="77777777" w:rsidR="00E22C3D" w:rsidRPr="00F67844" w:rsidRDefault="00BE7CB1" w:rsidP="00755C59">
      <w:pPr>
        <w:widowControl w:val="0"/>
        <w:tabs>
          <w:tab w:val="clear" w:pos="567"/>
          <w:tab w:val="left" w:pos="426"/>
        </w:tabs>
        <w:spacing w:line="240" w:lineRule="auto"/>
        <w:rPr>
          <w:sz w:val="20"/>
        </w:rPr>
      </w:pPr>
      <w:r>
        <w:rPr>
          <w:sz w:val="20"/>
          <w:vertAlign w:val="superscript"/>
        </w:rPr>
        <w:t>d</w:t>
      </w:r>
      <w:r>
        <w:rPr>
          <w:sz w:val="20"/>
        </w:rPr>
        <w:t xml:space="preserve"> Rekto-vaginálne fistuly sú najbežnejšie fistuly v kategórii GI-vaginálnych fistúl.</w:t>
      </w:r>
    </w:p>
    <w:p w14:paraId="0D1378CB" w14:textId="77777777" w:rsidR="00E22C3D" w:rsidRPr="00F37D4D" w:rsidRDefault="00E22C3D" w:rsidP="00F64BF9">
      <w:pPr>
        <w:spacing w:line="240" w:lineRule="auto"/>
      </w:pPr>
    </w:p>
    <w:p w14:paraId="3F0DCDDA" w14:textId="77777777" w:rsidR="00E22C3D" w:rsidRPr="00C873FD" w:rsidRDefault="00BE7CB1" w:rsidP="00F64BF9">
      <w:pPr>
        <w:keepNext/>
        <w:spacing w:line="240" w:lineRule="auto"/>
        <w:rPr>
          <w:u w:val="single"/>
        </w:rPr>
      </w:pPr>
      <w:r>
        <w:rPr>
          <w:u w:val="single"/>
        </w:rPr>
        <w:t>Opis vybraných závažných nežiaducich reakcií</w:t>
      </w:r>
    </w:p>
    <w:p w14:paraId="0F9EF053" w14:textId="77777777" w:rsidR="00E22C3D" w:rsidRPr="00DA33C1" w:rsidRDefault="00E22C3D" w:rsidP="00F64BF9">
      <w:pPr>
        <w:keepNext/>
        <w:spacing w:line="240" w:lineRule="auto"/>
      </w:pPr>
    </w:p>
    <w:p w14:paraId="5F76689B" w14:textId="77777777" w:rsidR="00E22C3D" w:rsidRPr="00A07F0C" w:rsidRDefault="005E48DD" w:rsidP="00F64BF9">
      <w:pPr>
        <w:keepNext/>
        <w:spacing w:line="240" w:lineRule="auto"/>
        <w:rPr>
          <w:i/>
          <w:iCs/>
          <w:u w:val="single"/>
        </w:rPr>
      </w:pPr>
      <w:r w:rsidRPr="00A07F0C">
        <w:rPr>
          <w:i/>
          <w:iCs/>
          <w:u w:val="single"/>
        </w:rPr>
        <w:t xml:space="preserve">Gastrointestinálne (GI) perforácie a fistuly </w:t>
      </w:r>
      <w:r w:rsidR="00BE7CB1" w:rsidRPr="00A07F0C">
        <w:rPr>
          <w:u w:val="single"/>
        </w:rPr>
        <w:t>(pozri časť 4.4)</w:t>
      </w:r>
    </w:p>
    <w:p w14:paraId="5C97F4F3" w14:textId="77777777" w:rsidR="00E22C3D" w:rsidRPr="00DA33C1" w:rsidRDefault="00E22C3D" w:rsidP="00F64BF9">
      <w:pPr>
        <w:keepNext/>
        <w:spacing w:line="240" w:lineRule="auto"/>
      </w:pPr>
    </w:p>
    <w:p w14:paraId="4C9CE4AB" w14:textId="77777777" w:rsidR="00E22C3D" w:rsidRPr="002F3218" w:rsidRDefault="00BE7CB1" w:rsidP="00F64BF9">
      <w:pPr>
        <w:spacing w:line="240" w:lineRule="auto"/>
      </w:pPr>
      <w:r>
        <w:t>Liečba bevacizumabom bola spojená so závažnými prípadmi gastrointestinálnej perforácie.</w:t>
      </w:r>
    </w:p>
    <w:p w14:paraId="39FD5E85" w14:textId="77777777" w:rsidR="00E22C3D" w:rsidRPr="002F3218" w:rsidRDefault="00E22C3D" w:rsidP="00F64BF9">
      <w:pPr>
        <w:spacing w:line="240" w:lineRule="auto"/>
      </w:pPr>
    </w:p>
    <w:p w14:paraId="481FEB75" w14:textId="77777777" w:rsidR="00E22C3D" w:rsidRPr="00C873FD" w:rsidRDefault="006D792F" w:rsidP="00F64BF9">
      <w:pPr>
        <w:spacing w:line="240" w:lineRule="auto"/>
      </w:pPr>
      <w:r>
        <w:t>Gastrointestinálne perforácie boli hlásené v klinických skúšaniach s výskytom nižším ako 1 % u pacientov s neskvamóznym nemalobunkovým karcinómom pľúc s výskytom do 1,</w:t>
      </w:r>
      <w:r w:rsidRPr="00F14E99">
        <w:t>3 % u pacientov s metastatickým karcinómom prsníka, s výskytom do 2,0 % u pacientov s metastatickým karcinómom z obličkových buniek alebo u pacientok s ovariálnym karcinómom s výskytom do 2,</w:t>
      </w:r>
      <w:r>
        <w:t>7 % (vrátane gastrointestinálnej fistuly a abscesu) u pacientov s metastatickým kolorektálnym karcinómom. Z klinického skúšania (štúdia GOG-0240) bolo u pacientok s pretrvávajúcim, rekurentným alebo metastatickým karcinómom krčku maternice hlásených 3,2 % pacientok s GI perforáciami (všetkých stupňov), každá z nich mala predchádzajúce ožarovanie panvovej oblasti v anamnéze.</w:t>
      </w:r>
    </w:p>
    <w:p w14:paraId="0B98CADD" w14:textId="77777777" w:rsidR="00E22C3D" w:rsidRPr="00C873FD" w:rsidRDefault="00E22C3D" w:rsidP="00F64BF9">
      <w:pPr>
        <w:spacing w:line="240" w:lineRule="auto"/>
      </w:pPr>
    </w:p>
    <w:p w14:paraId="7FAB2E36" w14:textId="77777777" w:rsidR="00E22C3D" w:rsidRPr="002F3218" w:rsidRDefault="00BE7CB1" w:rsidP="00F64BF9">
      <w:pPr>
        <w:spacing w:line="240" w:lineRule="auto"/>
      </w:pPr>
      <w:r>
        <w:t>Výskyt týchto udalostí sa líšil v závislosti od druhu a závažnosti, od voľného vzduchu viditeľného na röntgenovom snímku brucha, ktorý vymizol bez liečby, až po perforáciu čreva s abdominálnym abscesom, ktorá sa skončila smrťou. V niektorých prípadoch bol prítomný základný intraabdominálny zápal zapríčinený buď gastrickým vredom, nekrózou nádoru, divertikulitídou alebo kolitídou spojenou s chemoterapiou.</w:t>
      </w:r>
    </w:p>
    <w:p w14:paraId="6518DB14" w14:textId="77777777" w:rsidR="00E22C3D" w:rsidRPr="002F3218" w:rsidRDefault="00E22C3D" w:rsidP="00F64BF9">
      <w:pPr>
        <w:spacing w:line="240" w:lineRule="auto"/>
      </w:pPr>
    </w:p>
    <w:p w14:paraId="05998C13" w14:textId="77777777" w:rsidR="00E22C3D" w:rsidRPr="002F3218" w:rsidRDefault="00BE7CB1" w:rsidP="00F64BF9">
      <w:pPr>
        <w:spacing w:line="240" w:lineRule="auto"/>
      </w:pPr>
      <w:r>
        <w:t>Fatálny koniec bol hlásený približne v jednej tretine závažných prípadov gastrointestinálnych perforácií, čo predstavuje 0,2 % - 1 % všetkých pacientov liečených bevacizumabom.</w:t>
      </w:r>
    </w:p>
    <w:p w14:paraId="6E9F6767" w14:textId="77777777" w:rsidR="00E22C3D" w:rsidRPr="00F37D4D" w:rsidRDefault="00E22C3D" w:rsidP="00F64BF9">
      <w:pPr>
        <w:spacing w:line="240" w:lineRule="auto"/>
      </w:pPr>
    </w:p>
    <w:p w14:paraId="744EC497" w14:textId="77777777" w:rsidR="00E22C3D" w:rsidRPr="00F37D4D" w:rsidRDefault="00BE7CB1" w:rsidP="00F64BF9">
      <w:pPr>
        <w:spacing w:line="240" w:lineRule="auto"/>
      </w:pPr>
      <w:r>
        <w:t>V klinických skúšaniach s bevacizumabom boli hlásené gastrointestinálne fistuly (všetkých stupňov) s incidenciou do 2 % u pacientov s metastatickým kolorektálnym karcinómom a karcinómom vaječníkov, menej často však boli hlásené u pacientov s inými typmi nádoru.</w:t>
      </w:r>
    </w:p>
    <w:p w14:paraId="0CD8BD89" w14:textId="77777777" w:rsidR="00E22C3D" w:rsidRPr="00F37D4D" w:rsidRDefault="00E22C3D" w:rsidP="00F64BF9">
      <w:pPr>
        <w:spacing w:line="240" w:lineRule="auto"/>
      </w:pPr>
    </w:p>
    <w:p w14:paraId="71EBDACD" w14:textId="77777777" w:rsidR="00E22C3D" w:rsidRPr="00C873FD" w:rsidRDefault="00BE7CB1" w:rsidP="00F64BF9">
      <w:pPr>
        <w:keepNext/>
        <w:spacing w:line="240" w:lineRule="auto"/>
        <w:rPr>
          <w:rFonts w:eastAsia="SimSun"/>
          <w:i/>
          <w:iCs/>
          <w:u w:val="single"/>
        </w:rPr>
      </w:pPr>
      <w:r>
        <w:rPr>
          <w:i/>
          <w:u w:val="single"/>
        </w:rPr>
        <w:t>GI-vaginálne fistuly v štúdii GOG-0240</w:t>
      </w:r>
    </w:p>
    <w:p w14:paraId="0035E6DC" w14:textId="77777777" w:rsidR="00E22C3D" w:rsidRPr="00F37D4D" w:rsidRDefault="00E22C3D" w:rsidP="00F64BF9">
      <w:pPr>
        <w:keepNext/>
        <w:spacing w:line="240" w:lineRule="auto"/>
        <w:rPr>
          <w:rFonts w:eastAsia="SimSun"/>
        </w:rPr>
      </w:pPr>
    </w:p>
    <w:p w14:paraId="2EE6271E" w14:textId="77777777" w:rsidR="00E22C3D" w:rsidRPr="00F37D4D" w:rsidRDefault="00BE7CB1" w:rsidP="00F64BF9">
      <w:pPr>
        <w:spacing w:line="240" w:lineRule="auto"/>
        <w:rPr>
          <w:rFonts w:eastAsia="SimSun"/>
        </w:rPr>
      </w:pPr>
      <w:r>
        <w:t xml:space="preserve">V skúšaní s pacientkami s pretrvávajúcim, rekurentným alebo metastatickým karcinómom </w:t>
      </w:r>
      <w:r w:rsidR="00300FF9">
        <w:t xml:space="preserve">krčka </w:t>
      </w:r>
      <w:r>
        <w:t>maternice bola incidencia GI-vaginálnych fistúl u pacientok liečených bevacizumabom 8,3 % a 0,9 % u pacientok v kontrolnej skupine, každá z nich mala predchádzajúce ožarovanie panvovej oblasti v anamnéze. Frekvencia GI–vaginálnych fistúl v skupine liečnej bevacizumabom + chemoterapiou bola vyššia u pacientok s rekurenciou v miestach, kde boli predtým ožarované (16,7 %), v porovnaní s pacientkami bez predchádzajúceho ožarovania a/alebo bez rekurencie v mieste, kde boli predtým ožarované (3,6 %). V kontrolnej skupine, ktorá bola liečená iba chemoterapiou, bol výskyt v mieste ožiarenia 1,1 % oproti 0,8 % v mieste, ktoré nebolo ožiarené. U pacientok, u ktorých sa vyvinula GI-vaginálna fistula, mohlo tiež prísť k obštrukcii čriev a stav si vyžadoval chirurgický zákrok ako aj vytvorenie stómií.</w:t>
      </w:r>
    </w:p>
    <w:p w14:paraId="4E776F48" w14:textId="77777777" w:rsidR="00E22C3D" w:rsidRPr="00F37D4D" w:rsidRDefault="00E22C3D" w:rsidP="00F64BF9">
      <w:pPr>
        <w:spacing w:line="240" w:lineRule="auto"/>
        <w:rPr>
          <w:rFonts w:eastAsia="SimSun"/>
        </w:rPr>
      </w:pPr>
    </w:p>
    <w:p w14:paraId="56F50D06" w14:textId="77777777" w:rsidR="00E22C3D" w:rsidRPr="00C873FD" w:rsidRDefault="00BE7CB1" w:rsidP="00F64BF9">
      <w:pPr>
        <w:keepNext/>
        <w:spacing w:line="240" w:lineRule="auto"/>
        <w:rPr>
          <w:rFonts w:eastAsia="SimSun"/>
          <w:i/>
          <w:iCs/>
          <w:u w:val="single"/>
        </w:rPr>
      </w:pPr>
      <w:r>
        <w:rPr>
          <w:i/>
          <w:u w:val="single"/>
        </w:rPr>
        <w:t xml:space="preserve">Iné ako GI fistuly </w:t>
      </w:r>
      <w:r w:rsidRPr="00C873FD">
        <w:rPr>
          <w:u w:val="single"/>
        </w:rPr>
        <w:t>(pozri časť 4.4)</w:t>
      </w:r>
    </w:p>
    <w:p w14:paraId="1201804A" w14:textId="77777777" w:rsidR="00E22C3D" w:rsidRPr="00F37D4D" w:rsidRDefault="00E22C3D" w:rsidP="00F64BF9">
      <w:pPr>
        <w:keepNext/>
        <w:spacing w:line="240" w:lineRule="auto"/>
        <w:rPr>
          <w:rFonts w:eastAsia="SimSun"/>
        </w:rPr>
      </w:pPr>
    </w:p>
    <w:p w14:paraId="5EA359F1" w14:textId="77777777" w:rsidR="00E22C3D" w:rsidRPr="00F37D4D" w:rsidRDefault="00BE7CB1" w:rsidP="00F64BF9">
      <w:pPr>
        <w:spacing w:line="240" w:lineRule="auto"/>
        <w:rPr>
          <w:rFonts w:eastAsia="SimSun"/>
        </w:rPr>
      </w:pPr>
      <w:r>
        <w:t>Liečba bevacizumabom sa spájala so závažnými prípadmi fistúl vrátane reakcií, ktoré viedli k úmrtiu.</w:t>
      </w:r>
    </w:p>
    <w:p w14:paraId="3BBE6232" w14:textId="77777777" w:rsidR="00E22C3D" w:rsidRPr="00F37D4D" w:rsidRDefault="00E22C3D" w:rsidP="00F64BF9">
      <w:pPr>
        <w:spacing w:line="240" w:lineRule="auto"/>
        <w:rPr>
          <w:rFonts w:eastAsia="SimSun"/>
        </w:rPr>
      </w:pPr>
    </w:p>
    <w:p w14:paraId="11C9E45F" w14:textId="77777777" w:rsidR="00E22C3D" w:rsidRPr="00F37D4D" w:rsidRDefault="00BE7CB1" w:rsidP="00F64BF9">
      <w:pPr>
        <w:spacing w:line="240" w:lineRule="auto"/>
        <w:rPr>
          <w:rFonts w:eastAsia="SimSun"/>
        </w:rPr>
      </w:pPr>
      <w:r>
        <w:t>Z klinického skúšania s pacientkami s pretrvávajúcim, rekurentným alebo metastatickým karcinómom krčka maternice (GOG- 0240) hlásilo 1,8 % pacientok liečených bevacizumabom a 1,4 % pacientok z kontrolnej skupiny iné ako gastrointestinálno-vaginálne, vezikálne fistuly alebo fistuly na ženskom pohlavnom ústrojenstve.</w:t>
      </w:r>
    </w:p>
    <w:p w14:paraId="094AB993" w14:textId="77777777" w:rsidR="00E22C3D" w:rsidRPr="00F37D4D" w:rsidRDefault="00E22C3D" w:rsidP="00F64BF9">
      <w:pPr>
        <w:spacing w:line="240" w:lineRule="auto"/>
        <w:rPr>
          <w:rFonts w:eastAsia="SimSun"/>
        </w:rPr>
      </w:pPr>
    </w:p>
    <w:p w14:paraId="12BE0490" w14:textId="77777777" w:rsidR="00E22C3D" w:rsidRPr="00F37D4D" w:rsidRDefault="00BE7CB1" w:rsidP="00F64BF9">
      <w:pPr>
        <w:spacing w:line="240" w:lineRule="auto"/>
        <w:rPr>
          <w:rFonts w:eastAsia="SimSun"/>
        </w:rPr>
      </w:pPr>
      <w:r>
        <w:lastRenderedPageBreak/>
        <w:t>Menej časté (≥ 0,1 % až &lt; 1 %) hlásenia fistúl, ktoré postihujú iné oblasti tela než gastrointestinálny trakt (napr. bronchopleurálne a biliárne fistuly) sa pozorovali v rôznych indikáciách. Fistuly boli hlásené aj zo skúseností po uvedení lieku na trh.</w:t>
      </w:r>
    </w:p>
    <w:p w14:paraId="1EC1B8B8" w14:textId="77777777" w:rsidR="00E22C3D" w:rsidRPr="00F37D4D" w:rsidRDefault="00E22C3D" w:rsidP="00F64BF9">
      <w:pPr>
        <w:spacing w:line="240" w:lineRule="auto"/>
        <w:rPr>
          <w:rFonts w:eastAsia="SimSun"/>
        </w:rPr>
      </w:pPr>
    </w:p>
    <w:p w14:paraId="08D82B5C" w14:textId="77777777" w:rsidR="00E22C3D" w:rsidRPr="00F37D4D" w:rsidRDefault="00BE7CB1" w:rsidP="00F64BF9">
      <w:pPr>
        <w:spacing w:line="240" w:lineRule="auto"/>
        <w:rPr>
          <w:rFonts w:eastAsia="SimSun"/>
        </w:rPr>
      </w:pPr>
      <w:r>
        <w:t>Reakcie boli hlásené v rôznych časových obdobiach počas liečby v rozmedzí od jedného týždňa až po viac ako 1 rok od začiatku liečby bevacizumabom; väčšina reakcií sa prejavuje v prvých 6 mesiacoch liečby.</w:t>
      </w:r>
    </w:p>
    <w:p w14:paraId="68042AF5" w14:textId="77777777" w:rsidR="00E22C3D" w:rsidRPr="00C873FD" w:rsidRDefault="00E22C3D" w:rsidP="00F64BF9">
      <w:pPr>
        <w:spacing w:line="240" w:lineRule="auto"/>
        <w:rPr>
          <w:rFonts w:eastAsia="SimSun"/>
        </w:rPr>
      </w:pPr>
    </w:p>
    <w:p w14:paraId="02F0DE3C" w14:textId="77777777" w:rsidR="00E22C3D" w:rsidRPr="00C873FD" w:rsidRDefault="00BE7CB1" w:rsidP="00F64BF9">
      <w:pPr>
        <w:keepNext/>
        <w:spacing w:line="240" w:lineRule="auto"/>
        <w:rPr>
          <w:rFonts w:eastAsia="SimSun"/>
          <w:i/>
          <w:iCs/>
          <w:u w:val="single"/>
        </w:rPr>
      </w:pPr>
      <w:r>
        <w:rPr>
          <w:i/>
          <w:u w:val="single"/>
        </w:rPr>
        <w:t xml:space="preserve">Hojenie rán </w:t>
      </w:r>
      <w:r w:rsidRPr="00C873FD">
        <w:rPr>
          <w:u w:val="single"/>
        </w:rPr>
        <w:t>(pozri časť 4.4)</w:t>
      </w:r>
    </w:p>
    <w:p w14:paraId="6D8A667B" w14:textId="77777777" w:rsidR="00E22C3D" w:rsidRPr="00F37D4D" w:rsidRDefault="00E22C3D" w:rsidP="00F64BF9">
      <w:pPr>
        <w:keepNext/>
        <w:spacing w:line="240" w:lineRule="auto"/>
        <w:rPr>
          <w:rFonts w:eastAsia="SimSun"/>
        </w:rPr>
      </w:pPr>
    </w:p>
    <w:p w14:paraId="718A6FD9" w14:textId="77777777" w:rsidR="00E22C3D" w:rsidRPr="00F37D4D" w:rsidRDefault="00BE7CB1" w:rsidP="00F64BF9">
      <w:pPr>
        <w:spacing w:line="240" w:lineRule="auto"/>
        <w:rPr>
          <w:rFonts w:eastAsia="SimSun"/>
        </w:rPr>
      </w:pPr>
      <w:r>
        <w:t>Keďže bevacizumab môže mať nežiaduci vplyv na hojenie rán, pacienti do 28 dní po rozsiahlej operácii boli vylúčení z účasti v klinických skúšaniach fázy III.</w:t>
      </w:r>
    </w:p>
    <w:p w14:paraId="66F1CFA4" w14:textId="77777777" w:rsidR="00E22C3D" w:rsidRPr="00F37D4D" w:rsidRDefault="00E22C3D" w:rsidP="00F64BF9">
      <w:pPr>
        <w:spacing w:line="240" w:lineRule="auto"/>
        <w:rPr>
          <w:rFonts w:eastAsia="SimSun"/>
        </w:rPr>
      </w:pPr>
    </w:p>
    <w:p w14:paraId="65B7B180" w14:textId="77777777" w:rsidR="00E22C3D" w:rsidRPr="00F37D4D" w:rsidRDefault="00BE7CB1" w:rsidP="00F64BF9">
      <w:pPr>
        <w:spacing w:line="240" w:lineRule="auto"/>
        <w:rPr>
          <w:rFonts w:eastAsia="SimSun"/>
        </w:rPr>
      </w:pPr>
      <w:r>
        <w:t>V klinických skúšaniach metastatického karcinómu hrubého čreva alebo konečníka sa u pacientov, ktorí podstúpili rozsiahlu operáciu 28 až 60 dní pred začiatkom liečby bevacizumabom, nepozorovalo zvýšené riziko pooperačného krvácania alebo komplikácií pri hojení rán. Zvýšený výskyt pooperačného krvácania alebo komplikácií pri hojení rán vyskytujúcich sa v priebehu 60 dní po rozsiahlej operácii sa pozoroval, ak bol pacient liečený bevacizumabom v čase operácie. Výskyt sa pohyboval medzi 10 % (4/40) a 20 % (3/15).</w:t>
      </w:r>
    </w:p>
    <w:p w14:paraId="53215D0E" w14:textId="77777777" w:rsidR="00E22C3D" w:rsidRPr="00F37D4D" w:rsidRDefault="00E22C3D" w:rsidP="00F64BF9">
      <w:pPr>
        <w:spacing w:line="240" w:lineRule="auto"/>
        <w:rPr>
          <w:rFonts w:eastAsia="SimSun"/>
        </w:rPr>
      </w:pPr>
    </w:p>
    <w:p w14:paraId="41FBCEF5" w14:textId="77777777" w:rsidR="00E22C3D" w:rsidRPr="00F37D4D" w:rsidRDefault="00BE7CB1" w:rsidP="00F64BF9">
      <w:pPr>
        <w:spacing w:line="240" w:lineRule="auto"/>
        <w:rPr>
          <w:rFonts w:eastAsia="SimSun"/>
        </w:rPr>
      </w:pPr>
      <w:r>
        <w:t>Boli hlásené závažné komplikácie hojenia rán vrátane anastomotických komplikácií, z ktorých niektoré skončili fatálne.</w:t>
      </w:r>
    </w:p>
    <w:p w14:paraId="743F63EB" w14:textId="77777777" w:rsidR="00E22C3D" w:rsidRPr="00F37D4D" w:rsidRDefault="00E22C3D" w:rsidP="00F64BF9">
      <w:pPr>
        <w:spacing w:line="240" w:lineRule="auto"/>
        <w:rPr>
          <w:rFonts w:eastAsia="SimSun"/>
        </w:rPr>
      </w:pPr>
    </w:p>
    <w:p w14:paraId="3EE9232F" w14:textId="77777777" w:rsidR="00E22C3D" w:rsidRPr="00F37D4D" w:rsidRDefault="00BE7CB1" w:rsidP="00F64BF9">
      <w:pPr>
        <w:spacing w:line="240" w:lineRule="auto"/>
        <w:rPr>
          <w:rFonts w:eastAsia="SimSun"/>
        </w:rPr>
      </w:pPr>
      <w:r>
        <w:t>V skúšaniach lokálne recidivujúceho a metastatického karcinómu prsníka sa komplikácie pri hojení rán 3.-5. stupňa pozorovali až u 1,1 % pacientov, ktorí dostávali bevacizumab, v porovnaní s až do 0,9 % pacientov v kontrolných skupinách (NCI-CTCAE v.3).</w:t>
      </w:r>
    </w:p>
    <w:p w14:paraId="10F7A2CF" w14:textId="77777777" w:rsidR="00E22C3D" w:rsidRPr="00F37D4D" w:rsidRDefault="00E22C3D" w:rsidP="00F64BF9">
      <w:pPr>
        <w:spacing w:line="240" w:lineRule="auto"/>
        <w:rPr>
          <w:rFonts w:eastAsia="SimSun"/>
        </w:rPr>
      </w:pPr>
    </w:p>
    <w:p w14:paraId="072DA5C9" w14:textId="77777777" w:rsidR="00E22C3D" w:rsidRPr="00F37D4D" w:rsidRDefault="00BE7CB1" w:rsidP="00F64BF9">
      <w:pPr>
        <w:spacing w:line="240" w:lineRule="auto"/>
        <w:rPr>
          <w:rFonts w:eastAsia="SimSun"/>
        </w:rPr>
      </w:pPr>
      <w:r>
        <w:t>V klinických skúšaniach s karcinómom vaječníkov sa pozorovali komplikácie hojenia rán 3.-5. stupňa až u 1,8 % pacientok v skupine s bevacizumabom v porovnaní s 0,1 % v kontrolnej skupine (NCI-CTCAE v.3).</w:t>
      </w:r>
    </w:p>
    <w:p w14:paraId="7D3DC78A" w14:textId="77777777" w:rsidR="00E22C3D" w:rsidRPr="00F37D4D" w:rsidRDefault="00E22C3D" w:rsidP="00F64BF9">
      <w:pPr>
        <w:spacing w:line="240" w:lineRule="auto"/>
        <w:rPr>
          <w:rFonts w:eastAsia="SimSun"/>
        </w:rPr>
      </w:pPr>
    </w:p>
    <w:p w14:paraId="461CE9D3" w14:textId="77777777" w:rsidR="00E22C3D" w:rsidRPr="00C873FD" w:rsidRDefault="00BE7CB1" w:rsidP="00F64BF9">
      <w:pPr>
        <w:keepNext/>
        <w:spacing w:line="240" w:lineRule="auto"/>
        <w:rPr>
          <w:i/>
          <w:iCs/>
          <w:u w:val="single"/>
        </w:rPr>
      </w:pPr>
      <w:r>
        <w:rPr>
          <w:i/>
          <w:u w:val="single"/>
        </w:rPr>
        <w:t xml:space="preserve">Hypertenzia </w:t>
      </w:r>
      <w:r w:rsidRPr="00C873FD">
        <w:rPr>
          <w:u w:val="single"/>
        </w:rPr>
        <w:t>(pozri časť 4.4)</w:t>
      </w:r>
    </w:p>
    <w:p w14:paraId="5E4324AF" w14:textId="77777777" w:rsidR="00E22C3D" w:rsidRPr="00DA33C1" w:rsidRDefault="00E22C3D" w:rsidP="00F64BF9">
      <w:pPr>
        <w:keepNext/>
        <w:spacing w:line="240" w:lineRule="auto"/>
      </w:pPr>
    </w:p>
    <w:p w14:paraId="50E33007" w14:textId="77777777" w:rsidR="00E22C3D" w:rsidRPr="002F3218" w:rsidRDefault="00BE7CB1" w:rsidP="00F64BF9">
      <w:pPr>
        <w:spacing w:line="240" w:lineRule="auto"/>
      </w:pPr>
      <w:r>
        <w:t xml:space="preserve">V klinických skúšaniach sa, s výnimkou štúdie JO25567, pozoroval celkový výskyt hypertenzie (všetky stupne) v rozsahu až do 42,1 % v skupinách s </w:t>
      </w:r>
      <w:r w:rsidR="001E217E">
        <w:t>b</w:t>
      </w:r>
      <w:r>
        <w:t>evacizumabom v porovnaní s výskytom do 14 % v kontrolných skupinách. Celková incidencia hypertenzie 3. a 4. stupňa v skupine NCI-CTC u pacientov, ktorí dostávali bevacizumab, bola v rozsahu od 0,4 % do 17,9 %. Hypertenzia 4. stupňa (hypertenzná kríza) sa vyskytla až u 1 % pacientov liečených bevacizumabom a chemoterapiou v porovnaní s do 0,2 % pacientov liečených samotnou rovnakou chemoterapiou.</w:t>
      </w:r>
    </w:p>
    <w:p w14:paraId="36B6704F" w14:textId="77777777" w:rsidR="00E22C3D" w:rsidRPr="00F37D4D" w:rsidRDefault="00E22C3D" w:rsidP="00F64BF9">
      <w:pPr>
        <w:spacing w:line="240" w:lineRule="auto"/>
      </w:pPr>
    </w:p>
    <w:p w14:paraId="0FFF5288" w14:textId="77777777" w:rsidR="00E22C3D" w:rsidRPr="00F37D4D" w:rsidRDefault="00BE7CB1" w:rsidP="00F64BF9">
      <w:pPr>
        <w:spacing w:line="240" w:lineRule="auto"/>
      </w:pPr>
      <w:r>
        <w:t>V štúdii JO25567 boli všetky stupne hypertenzie pozorované u 77,3 % pacientov, ktorí dostávali bevacizumab v kombinácii s erlotinibom ako prvolínio</w:t>
      </w:r>
      <w:r w:rsidR="00FC3A8B">
        <w:t>vu</w:t>
      </w:r>
      <w:r>
        <w:t xml:space="preserve"> liečb</w:t>
      </w:r>
      <w:r w:rsidR="00FC3A8B">
        <w:t>u</w:t>
      </w:r>
      <w:r>
        <w:t xml:space="preserve"> neskvamózneho NSCLC s aktivujúcimi mutáciami EGFR, v porovnaní so 14,3 % pacientov, ktorí sa liečili samotným erlotinibom. Hypertenzia 3. stupňa sa vyskytla u 60 % pacientov liečených bevacizumabom v kombinácii s erlotinibom v porovnaní s 11,7 % pacientov liečených samotným erlotinibom. Udalosti hypertenzie 4. a 5. stupňa sa nezaznamenali.</w:t>
      </w:r>
    </w:p>
    <w:p w14:paraId="510DD7FD" w14:textId="77777777" w:rsidR="00E22C3D" w:rsidRPr="00F37D4D" w:rsidRDefault="00E22C3D" w:rsidP="00F64BF9">
      <w:pPr>
        <w:spacing w:line="240" w:lineRule="auto"/>
      </w:pPr>
    </w:p>
    <w:p w14:paraId="1B23E1AD" w14:textId="77777777" w:rsidR="00E22C3D" w:rsidRPr="00C873FD" w:rsidRDefault="00BE7CB1" w:rsidP="00F64BF9">
      <w:pPr>
        <w:spacing w:line="240" w:lineRule="auto"/>
        <w:rPr>
          <w:rFonts w:eastAsia="SimSun"/>
        </w:rPr>
      </w:pPr>
      <w:r>
        <w:t>Hypertenzia bola zvyčajne dostatočne zvládnutá perorálnymi antihypertenzívami, ako sú inhibítory enzýmu konvertujúceho angiotenzín, diuretiká a blokátory kalciových kanálov. Hypertenzia v zriedkavých prípadoch viedla k ukončeniu liečby bevacizumabom alebo k hospitalizácii.</w:t>
      </w:r>
    </w:p>
    <w:p w14:paraId="4A955861" w14:textId="77777777" w:rsidR="00E22C3D" w:rsidRPr="00C873FD" w:rsidRDefault="00E22C3D" w:rsidP="00F64BF9">
      <w:pPr>
        <w:spacing w:line="240" w:lineRule="auto"/>
        <w:rPr>
          <w:rFonts w:eastAsia="SimSun"/>
        </w:rPr>
      </w:pPr>
    </w:p>
    <w:p w14:paraId="5E6C535C" w14:textId="77777777" w:rsidR="00E22C3D" w:rsidRPr="00C873FD" w:rsidRDefault="00BE7CB1" w:rsidP="00F64BF9">
      <w:pPr>
        <w:spacing w:line="240" w:lineRule="auto"/>
        <w:rPr>
          <w:rFonts w:eastAsia="SimSun"/>
        </w:rPr>
      </w:pPr>
      <w:r>
        <w:t>Zaznamenali sa veľmi zriedkavé prípady hypertenznej encefalopatie, niektoré z nich fatálne.</w:t>
      </w:r>
    </w:p>
    <w:p w14:paraId="7CC6CD41" w14:textId="77777777" w:rsidR="00E22C3D" w:rsidRPr="00C873FD" w:rsidRDefault="00E22C3D" w:rsidP="00F64BF9">
      <w:pPr>
        <w:spacing w:line="240" w:lineRule="auto"/>
        <w:rPr>
          <w:rFonts w:eastAsia="SimSun"/>
        </w:rPr>
      </w:pPr>
    </w:p>
    <w:p w14:paraId="71BD38D6" w14:textId="77777777" w:rsidR="00E22C3D" w:rsidRPr="00C873FD" w:rsidRDefault="00BE7CB1" w:rsidP="00F64BF9">
      <w:pPr>
        <w:spacing w:line="240" w:lineRule="auto"/>
        <w:rPr>
          <w:rFonts w:eastAsia="SimSun"/>
        </w:rPr>
      </w:pPr>
      <w:r>
        <w:t>Riziko hypertenzie spojenej s bevacizumabom nekorelovalo so základnými charakteristikami pacienta, so samotným ochorením alebo súbežne prebiehajúcou liečbou.</w:t>
      </w:r>
    </w:p>
    <w:p w14:paraId="033A5E42" w14:textId="77777777" w:rsidR="00E22C3D" w:rsidRPr="00C873FD" w:rsidRDefault="00E22C3D" w:rsidP="00F64BF9">
      <w:pPr>
        <w:spacing w:line="240" w:lineRule="auto"/>
        <w:rPr>
          <w:rFonts w:eastAsia="SimSun"/>
        </w:rPr>
      </w:pPr>
    </w:p>
    <w:p w14:paraId="713ECED5" w14:textId="77777777" w:rsidR="00E22C3D" w:rsidRPr="00F933B6" w:rsidRDefault="00BE7CB1" w:rsidP="00F64BF9">
      <w:pPr>
        <w:keepNext/>
        <w:tabs>
          <w:tab w:val="clear" w:pos="567"/>
          <w:tab w:val="left" w:pos="720"/>
        </w:tabs>
        <w:autoSpaceDE w:val="0"/>
        <w:autoSpaceDN w:val="0"/>
        <w:adjustRightInd w:val="0"/>
        <w:spacing w:line="240" w:lineRule="auto"/>
        <w:rPr>
          <w:rFonts w:eastAsia="SimSun"/>
          <w:szCs w:val="22"/>
          <w:u w:val="single"/>
        </w:rPr>
      </w:pPr>
      <w:r>
        <w:rPr>
          <w:rFonts w:ascii="TimesNewRoman,Italic" w:hAnsi="TimesNewRoman,Italic"/>
          <w:i/>
          <w:u w:val="single"/>
        </w:rPr>
        <w:lastRenderedPageBreak/>
        <w:t>Posteriórny reverzibilný encefalopatický syndróm (PRES</w:t>
      </w:r>
      <w:r w:rsidR="0011215F" w:rsidRPr="00F933B6">
        <w:rPr>
          <w:i/>
          <w:u w:val="single"/>
        </w:rPr>
        <w:t xml:space="preserve">) </w:t>
      </w:r>
      <w:r w:rsidR="0011215F" w:rsidRPr="00F933B6">
        <w:rPr>
          <w:szCs w:val="22"/>
          <w:u w:val="single"/>
        </w:rPr>
        <w:t xml:space="preserve">(pozri </w:t>
      </w:r>
      <w:r w:rsidR="0011215F" w:rsidRPr="00F933B6">
        <w:rPr>
          <w:rFonts w:hint="eastAsia"/>
          <w:szCs w:val="22"/>
          <w:u w:val="single"/>
        </w:rPr>
        <w:t>č</w:t>
      </w:r>
      <w:r w:rsidR="0011215F" w:rsidRPr="00F933B6">
        <w:rPr>
          <w:szCs w:val="22"/>
          <w:u w:val="single"/>
        </w:rPr>
        <w:t>as</w:t>
      </w:r>
      <w:r w:rsidR="0011215F" w:rsidRPr="00F933B6">
        <w:rPr>
          <w:rFonts w:hint="eastAsia"/>
          <w:szCs w:val="22"/>
          <w:u w:val="single"/>
        </w:rPr>
        <w:t>ť </w:t>
      </w:r>
      <w:r w:rsidR="0011215F" w:rsidRPr="00F933B6">
        <w:rPr>
          <w:szCs w:val="22"/>
          <w:u w:val="single"/>
        </w:rPr>
        <w:t>4.4)</w:t>
      </w:r>
    </w:p>
    <w:p w14:paraId="1191BED0" w14:textId="77777777" w:rsidR="00E22C3D" w:rsidRPr="00F37D4D" w:rsidRDefault="00E22C3D" w:rsidP="00F64BF9">
      <w:pPr>
        <w:keepNext/>
        <w:spacing w:line="240" w:lineRule="auto"/>
        <w:rPr>
          <w:rFonts w:eastAsia="SimSun"/>
        </w:rPr>
      </w:pPr>
    </w:p>
    <w:p w14:paraId="1F51FEAB" w14:textId="77777777" w:rsidR="00E22C3D" w:rsidRPr="00F37D4D" w:rsidRDefault="00BE7CB1" w:rsidP="00F64BF9">
      <w:pPr>
        <w:spacing w:line="240" w:lineRule="auto"/>
        <w:rPr>
          <w:rFonts w:eastAsia="SimSun"/>
        </w:rPr>
      </w:pPr>
      <w:r>
        <w:t>U pacientov liečených bevacizumabom sa zriedkavo zaznamenal vývoj prejavov a symptómov, ktoré sú konzistentné s PRES, zriedkavou neurologickou poruchou. Môže sa prejaviť ako záchvaty, bolesť hlavy, zmena mentálneho stavu, poruchy videnia alebo kortikálna slepota súvisiaca s hypertenziou alebo bez nej. Klinický prejav PRES je často nešpecifický, a preto diagnóza PRES si vyžaduje potvrdenie zobrazovacím vyšetrením mozgu, najlepšie MRI.</w:t>
      </w:r>
    </w:p>
    <w:p w14:paraId="27A39614" w14:textId="77777777" w:rsidR="00E22C3D" w:rsidRPr="00F37D4D" w:rsidRDefault="00E22C3D" w:rsidP="00F64BF9">
      <w:pPr>
        <w:spacing w:line="240" w:lineRule="auto"/>
        <w:rPr>
          <w:rFonts w:eastAsia="SimSun"/>
        </w:rPr>
      </w:pPr>
    </w:p>
    <w:p w14:paraId="49C13A55" w14:textId="1EBCA382" w:rsidR="00E22C3D" w:rsidRPr="00F37D4D" w:rsidRDefault="00BE7CB1" w:rsidP="00F64BF9">
      <w:pPr>
        <w:spacing w:line="240" w:lineRule="auto"/>
        <w:rPr>
          <w:rFonts w:eastAsia="SimSun"/>
        </w:rPr>
      </w:pPr>
      <w:r>
        <w:t xml:space="preserve">U pacientov s vyvinutým PRES sa odporúča včasné rozpoznanie symptómov s promptnou liečbou špecifických symptómov vrátane kontroly hypertenzie (ak </w:t>
      </w:r>
      <w:r w:rsidR="00CB3A58">
        <w:t>súvisí</w:t>
      </w:r>
      <w:r>
        <w:t xml:space="preserve"> so závažnou nekontrolovanou hypertenziou) súbežne s prerušením liečby bevacizumabom. Symptómy zvyčajne ustúpia alebo sa zlepšia v priebehu niekoľkých dní po prerušení liečby, hoci u niektorých pacientov sa vyskytovali niektoré neurologické následky. Bezpečnosť opätovného začatia liečby bevacizumabom u pacientov, ktorí mali v minulosti PRES, nie je známa.</w:t>
      </w:r>
    </w:p>
    <w:p w14:paraId="14E7AA25" w14:textId="77777777" w:rsidR="00E22C3D" w:rsidRPr="00F37D4D" w:rsidRDefault="00E22C3D" w:rsidP="00F64BF9">
      <w:pPr>
        <w:spacing w:line="240" w:lineRule="auto"/>
        <w:rPr>
          <w:rFonts w:eastAsia="SimSun"/>
        </w:rPr>
      </w:pPr>
    </w:p>
    <w:p w14:paraId="16770A10" w14:textId="77777777" w:rsidR="00E22C3D" w:rsidRPr="00F37D4D" w:rsidRDefault="00BE7CB1" w:rsidP="00F64BF9">
      <w:pPr>
        <w:spacing w:line="240" w:lineRule="auto"/>
        <w:rPr>
          <w:rFonts w:eastAsia="SimSun"/>
        </w:rPr>
      </w:pPr>
      <w:r>
        <w:t>Počas klinických skúšaní bolo hlásených 8 prípadov PRES. Dva z ôsmich prípadov nemali rádiologické potvrdenie pomocou MRI.</w:t>
      </w:r>
    </w:p>
    <w:p w14:paraId="6FC9B943" w14:textId="77777777" w:rsidR="00E22C3D" w:rsidRPr="00C873FD" w:rsidRDefault="00E22C3D" w:rsidP="00F64BF9">
      <w:pPr>
        <w:spacing w:line="240" w:lineRule="auto"/>
        <w:rPr>
          <w:rFonts w:eastAsia="SimSun"/>
        </w:rPr>
      </w:pPr>
    </w:p>
    <w:p w14:paraId="28D53B0C" w14:textId="77777777" w:rsidR="00E22C3D" w:rsidRPr="00C873FD" w:rsidRDefault="00BE7CB1" w:rsidP="00F64BF9">
      <w:pPr>
        <w:keepNext/>
        <w:spacing w:line="240" w:lineRule="auto"/>
        <w:rPr>
          <w:rFonts w:eastAsia="SimSun"/>
          <w:u w:val="single"/>
        </w:rPr>
      </w:pPr>
      <w:r>
        <w:rPr>
          <w:i/>
          <w:u w:val="single"/>
        </w:rPr>
        <w:t>Proteinúria</w:t>
      </w:r>
      <w:r w:rsidRPr="00C873FD">
        <w:rPr>
          <w:u w:val="single"/>
        </w:rPr>
        <w:t xml:space="preserve"> (pozri časť 4.4)</w:t>
      </w:r>
    </w:p>
    <w:p w14:paraId="17471101" w14:textId="77777777" w:rsidR="00E22C3D" w:rsidRPr="00F37D4D" w:rsidRDefault="00E22C3D" w:rsidP="00F64BF9">
      <w:pPr>
        <w:keepNext/>
        <w:spacing w:line="240" w:lineRule="auto"/>
        <w:rPr>
          <w:rFonts w:eastAsia="SimSun"/>
        </w:rPr>
      </w:pPr>
    </w:p>
    <w:p w14:paraId="1C641E72" w14:textId="77777777" w:rsidR="00E22C3D" w:rsidRPr="00F37D4D" w:rsidRDefault="00BE7CB1" w:rsidP="00F64BF9">
      <w:pPr>
        <w:spacing w:line="240" w:lineRule="auto"/>
        <w:rPr>
          <w:rFonts w:eastAsia="SimSun"/>
        </w:rPr>
      </w:pPr>
      <w:r>
        <w:t>V klinických skúšaniach bola hlásená proteinúria u pacientov, ktorí dostávali bevacizumab v rozmedzí od 0,7 % do 54,7 %.</w:t>
      </w:r>
    </w:p>
    <w:p w14:paraId="47F0AF0A" w14:textId="77777777" w:rsidR="00E22C3D" w:rsidRPr="00F37D4D" w:rsidRDefault="00E22C3D" w:rsidP="00F64BF9">
      <w:pPr>
        <w:spacing w:line="240" w:lineRule="auto"/>
        <w:rPr>
          <w:rFonts w:eastAsia="SimSun"/>
        </w:rPr>
      </w:pPr>
    </w:p>
    <w:p w14:paraId="7777F23D" w14:textId="77777777" w:rsidR="00E22C3D" w:rsidRPr="00F37D4D" w:rsidRDefault="00BE7CB1" w:rsidP="00F64BF9">
      <w:pPr>
        <w:spacing w:line="240" w:lineRule="auto"/>
        <w:rPr>
          <w:rFonts w:eastAsia="SimSun"/>
        </w:rPr>
      </w:pPr>
      <w:r>
        <w:t>Závažnosť proteinúrie sa pohybovala od klinicky asymptomatickej, prechodnej, stopovej proteinúrie až po nefrotický syndróm, pričom vo väčšine prípadov išlo o proteinúriu 1. stupňa (NCI-CTCAE v.3). Proteinúria 3. stupňa bola hlásená až u 10,9 % liečených pacientov. Proteinúria 4. stupňa (nefrotický syndróm) sa pozorovala až u 1,4 % liečených pacientov. Pred začiatkom liečby Alymsysom sa odporúča vyšetrenie pacientov na proteinúriu. Vo väčšine klinických skúšaní viedli hodnoty proteínov v moči ≥ 2 g/24 hod k pozastaveniu liečby bevacizumabom až do návratu hodnôt na &lt; 2 g/24 hod.</w:t>
      </w:r>
    </w:p>
    <w:p w14:paraId="4F9505AC" w14:textId="77777777" w:rsidR="00E22C3D" w:rsidRPr="00C873FD" w:rsidRDefault="00E22C3D" w:rsidP="00F64BF9">
      <w:pPr>
        <w:spacing w:line="240" w:lineRule="auto"/>
        <w:rPr>
          <w:rFonts w:eastAsia="SimSun"/>
        </w:rPr>
      </w:pPr>
    </w:p>
    <w:p w14:paraId="23076689" w14:textId="77777777" w:rsidR="00E22C3D" w:rsidRPr="00694C1C" w:rsidRDefault="00BE7CB1" w:rsidP="00F64BF9">
      <w:pPr>
        <w:keepNext/>
        <w:spacing w:line="240" w:lineRule="auto"/>
        <w:rPr>
          <w:rFonts w:eastAsia="SimSun"/>
          <w:u w:val="single"/>
        </w:rPr>
      </w:pPr>
      <w:r>
        <w:rPr>
          <w:i/>
          <w:u w:val="single"/>
        </w:rPr>
        <w:t xml:space="preserve">Krvácanie </w:t>
      </w:r>
      <w:r w:rsidRPr="00694C1C">
        <w:rPr>
          <w:u w:val="single"/>
        </w:rPr>
        <w:t>(pozri časť 4.4)</w:t>
      </w:r>
    </w:p>
    <w:p w14:paraId="6DF56172" w14:textId="77777777" w:rsidR="00E22C3D" w:rsidRPr="00F37D4D" w:rsidRDefault="00E22C3D" w:rsidP="00F64BF9">
      <w:pPr>
        <w:keepNext/>
        <w:spacing w:line="240" w:lineRule="auto"/>
        <w:rPr>
          <w:rFonts w:eastAsia="SimSun"/>
        </w:rPr>
      </w:pPr>
    </w:p>
    <w:p w14:paraId="79A83DC8" w14:textId="77777777" w:rsidR="00E22C3D" w:rsidRPr="00F37D4D" w:rsidRDefault="00BE7CB1" w:rsidP="00F64BF9">
      <w:pPr>
        <w:spacing w:line="240" w:lineRule="auto"/>
        <w:rPr>
          <w:rFonts w:eastAsia="SimSun"/>
        </w:rPr>
      </w:pPr>
      <w:r>
        <w:t>V klinických skúšaniach sa pri všetkých indikáciách celkový výskyt udalostí spojených s krvácaním 3.-5. stupňa podľa (NCI-CTCAE v.3) pohyboval v rozmedzí od 0,4 % do 6,9 % u pacientov liečených bevacizumabom v porovnaní s až 4,5 % pacientov v kontrolnej skupine s chemoterapiou.</w:t>
      </w:r>
    </w:p>
    <w:p w14:paraId="46572D19" w14:textId="77777777" w:rsidR="00E22C3D" w:rsidRPr="00F37D4D" w:rsidRDefault="00E22C3D" w:rsidP="00F64BF9">
      <w:pPr>
        <w:spacing w:line="240" w:lineRule="auto"/>
        <w:rPr>
          <w:rFonts w:eastAsia="SimSun"/>
        </w:rPr>
      </w:pPr>
    </w:p>
    <w:p w14:paraId="1969F346" w14:textId="77777777" w:rsidR="00E22C3D" w:rsidRPr="00F37D4D" w:rsidRDefault="00BE7CB1" w:rsidP="00F64BF9">
      <w:pPr>
        <w:spacing w:line="240" w:lineRule="auto"/>
        <w:rPr>
          <w:rFonts w:eastAsia="SimSun"/>
        </w:rPr>
      </w:pPr>
      <w:r>
        <w:t xml:space="preserve">Z klinického skúšania (GOG-0240) s pacientkami s pretrvávajúcim, rekurentným alebo metastatickým karcinómom </w:t>
      </w:r>
      <w:r w:rsidR="00727721">
        <w:t xml:space="preserve">krčka </w:t>
      </w:r>
      <w:r>
        <w:t>maternice boli hlásené reakcie krvácania 3. - 5. stupňa až u 8,3 % pacientok liečených bevacizumabom v kombinácii s paklitaxelom a topotekánom v porovnaní s výskytom až do 4,6 % u pacientok liečených paklitaxelom a topotekánom.</w:t>
      </w:r>
    </w:p>
    <w:p w14:paraId="10A67A15" w14:textId="77777777" w:rsidR="00E22C3D" w:rsidRPr="00F37D4D" w:rsidRDefault="00E22C3D" w:rsidP="00F64BF9">
      <w:pPr>
        <w:spacing w:line="240" w:lineRule="auto"/>
        <w:rPr>
          <w:rFonts w:eastAsia="SimSun"/>
        </w:rPr>
      </w:pPr>
    </w:p>
    <w:p w14:paraId="5DA62D33" w14:textId="77777777" w:rsidR="00E22C3D" w:rsidRPr="00F37D4D" w:rsidRDefault="00BE7CB1" w:rsidP="00F64BF9">
      <w:pPr>
        <w:spacing w:line="240" w:lineRule="auto"/>
      </w:pPr>
      <w:r>
        <w:t>Hemoragické reakcie, ktoré sa pozorovali v klinických skúšaniach, v prvom rade súviseli s nádorovým ochorením (pozri ďalej) a pozorovali sa tiež menšie krvácania do slizníc a kože (napr. epistaxa).</w:t>
      </w:r>
    </w:p>
    <w:p w14:paraId="4B20F8DC" w14:textId="77777777" w:rsidR="00E22C3D" w:rsidRPr="00F37D4D" w:rsidRDefault="00E22C3D" w:rsidP="00F64BF9">
      <w:pPr>
        <w:spacing w:line="240" w:lineRule="auto"/>
      </w:pPr>
    </w:p>
    <w:p w14:paraId="4AF7E903" w14:textId="77777777" w:rsidR="00E22C3D" w:rsidRPr="00694C1C" w:rsidRDefault="00BE7CB1" w:rsidP="00F64BF9">
      <w:pPr>
        <w:keepNext/>
        <w:spacing w:line="240" w:lineRule="auto"/>
        <w:rPr>
          <w:i/>
          <w:iCs/>
          <w:u w:val="single"/>
        </w:rPr>
      </w:pPr>
      <w:r>
        <w:rPr>
          <w:i/>
          <w:u w:val="single"/>
        </w:rPr>
        <w:t xml:space="preserve">Krvácanie spojené s nádorovým ochorením </w:t>
      </w:r>
      <w:r w:rsidRPr="00694C1C">
        <w:rPr>
          <w:u w:val="single"/>
        </w:rPr>
        <w:t>(pozri časť 4.4)</w:t>
      </w:r>
    </w:p>
    <w:p w14:paraId="23B2F0CF" w14:textId="77777777" w:rsidR="003767A6" w:rsidRPr="00DA33C1" w:rsidRDefault="003767A6" w:rsidP="00F64BF9">
      <w:pPr>
        <w:keepNext/>
        <w:spacing w:line="240" w:lineRule="auto"/>
      </w:pPr>
    </w:p>
    <w:p w14:paraId="22CCEB13" w14:textId="77777777" w:rsidR="00E22C3D" w:rsidRPr="002F3218" w:rsidRDefault="00BE7CB1" w:rsidP="00F64BF9">
      <w:pPr>
        <w:spacing w:line="240" w:lineRule="auto"/>
      </w:pPr>
      <w:r>
        <w:t xml:space="preserve">Rozsiahle alebo masívne pľúcne krvácanie/hemoptýza sa </w:t>
      </w:r>
      <w:r w:rsidR="00727721">
        <w:t xml:space="preserve">pozorovalo </w:t>
      </w:r>
      <w:r>
        <w:t>predovšetkým v skúšaniach s pacientmi s nemalobunkovým karcinómom pľúc (NSCLC). Možné rizikové faktory zahŕňajú histologický nález skvamóznych buniek, liečbu antireumatikami/</w:t>
      </w:r>
      <w:r w:rsidRPr="00F14E99">
        <w:t>protizápalovými substanciami, liečbu antikoagulanciami, predchádzajúcu rádioterapiu, liečbu bevacizumabom, aterosklerózu</w:t>
      </w:r>
      <w:r>
        <w:t xml:space="preserve"> v predchádzajúcej lekárskej anamnéze, lokalizáciu nádoru v centrálnej časti a kavitáciu nádorov pred </w:t>
      </w:r>
      <w:r w:rsidR="00727721">
        <w:t xml:space="preserve">liečbou </w:t>
      </w:r>
      <w:r>
        <w:t>alebo počas nej. Jediné premenné, u ktorých sa dokázala štatisticky významná korelácia s krvácaním, boli liečba bevacizumabom a histologický nález skvamóznych buniek. Pacienti s NSCLC so známym histologickým nálezom skvamóznych buniek alebo zmiešaného bunkového typu s histologickým nálezom prevažne skvamóznych buniek boli vylúčení z ďalších skúšaní III. fázy, zatiaľ čo pacienti s neznámou histológiou boli do štúdií zaradení.</w:t>
      </w:r>
    </w:p>
    <w:p w14:paraId="2A630262" w14:textId="77777777" w:rsidR="00E22C3D" w:rsidRPr="002F3218" w:rsidRDefault="00E22C3D" w:rsidP="00F64BF9">
      <w:pPr>
        <w:spacing w:line="240" w:lineRule="auto"/>
      </w:pPr>
    </w:p>
    <w:p w14:paraId="335F3235" w14:textId="77777777" w:rsidR="00E22C3D" w:rsidRPr="002F3218" w:rsidRDefault="00BE7CB1" w:rsidP="00F64BF9">
      <w:pPr>
        <w:spacing w:line="240" w:lineRule="auto"/>
      </w:pPr>
      <w:r>
        <w:lastRenderedPageBreak/>
        <w:t>U pacientov s NSCLC okrem prevládajúceho histologického nálezu skvamóznych buniek, boli reakcie všetkých stupňov s frekvenciou až do 9,3 %, ak sa pacienti liečili bevacizumabom s chemoterapiou v porovnaní s až 5 % u pacientov liečených samotnou chemoterapiou. Reakcie 3.-5. stupňa sa pozorovali až u 2,3 % pacientov liečených bevacizumabom s chemoterapiou v porovnaní s &lt; 1 % pacientov liečených samotnou chemoterapiou (NCI-CTCAE v.3). Väčšie alebo masívne pľúcne krvácanie/hemoptýza sa môžu objaviť náhle a až dve tretiny závažných pľúcnych krvácaní mali smrteľné následky.</w:t>
      </w:r>
    </w:p>
    <w:p w14:paraId="6615F577" w14:textId="77777777" w:rsidR="00E22C3D" w:rsidRPr="002F3218" w:rsidRDefault="00E22C3D" w:rsidP="00F64BF9">
      <w:pPr>
        <w:spacing w:line="240" w:lineRule="auto"/>
      </w:pPr>
    </w:p>
    <w:p w14:paraId="7376CABE" w14:textId="77777777" w:rsidR="00E22C3D" w:rsidRPr="002F3218" w:rsidRDefault="00BE7CB1" w:rsidP="00F64BF9">
      <w:pPr>
        <w:spacing w:line="240" w:lineRule="auto"/>
      </w:pPr>
      <w:r>
        <w:t>U pacientov s kolorektálnym karcinómom bolo hlásené gastrointestinálne krvácanie, zahŕňajúce krvácanie z konečníka a melénu, a zhodnotili sa ako krvácania spojené s nádorovým ochorením.</w:t>
      </w:r>
    </w:p>
    <w:p w14:paraId="2F4CC62C" w14:textId="77777777" w:rsidR="00E22C3D" w:rsidRPr="002F3218" w:rsidRDefault="00E22C3D" w:rsidP="00F64BF9">
      <w:pPr>
        <w:spacing w:line="240" w:lineRule="auto"/>
      </w:pPr>
    </w:p>
    <w:p w14:paraId="2F5B563C" w14:textId="77777777" w:rsidR="00E22C3D" w:rsidRPr="002F3218" w:rsidRDefault="00BE7CB1" w:rsidP="00F64BF9">
      <w:pPr>
        <w:spacing w:line="240" w:lineRule="auto"/>
      </w:pPr>
      <w:r>
        <w:t>Krvácanie spojené s nádorovým ochorením sa vyskytlo aj v zriedkavých prípadoch u iných typov a miest nádorov vrátane prípadov krvácania do centrálneho nervového systému (CNS) u pacientov s metastázami v CNS (pozri časť 4.4).</w:t>
      </w:r>
    </w:p>
    <w:p w14:paraId="5E0803E0" w14:textId="77777777" w:rsidR="00E22C3D" w:rsidRPr="002F3218" w:rsidRDefault="00E22C3D" w:rsidP="00F64BF9">
      <w:pPr>
        <w:spacing w:line="240" w:lineRule="auto"/>
      </w:pPr>
    </w:p>
    <w:p w14:paraId="74899E89" w14:textId="77777777" w:rsidR="00E22C3D" w:rsidRPr="002F3218" w:rsidRDefault="00BE7CB1" w:rsidP="00F64BF9">
      <w:pPr>
        <w:spacing w:line="240" w:lineRule="auto"/>
      </w:pPr>
      <w:r>
        <w:t xml:space="preserve">Výskyt krvácania do CNS u pacientov s neliečenými metastázami v CNS, ktorí dostávali bevacizumab, sa v randomizovaných klinických skúšaniach prospektívne nehodnotil. V exploračnej retrospektívnej analýze údajov získaných z 13 ukončených randomizovaných skúšaní s pacientmi s rôznymi typmi nádorov sa zistilo, že ku krvácaniu do CNS (vo všetkých prípadoch 4. stupňa) došlo u 3 z 91 pacientov (3,3 %) s metastázami v mozgu liečených bevacizumabom v porovnaní s 1 prípadom (5. stupňa) pripadajúcim na 96 pacientov (1 %), ktorí nedostávali bevacizumab. V dvoch ďalších štúdiách </w:t>
      </w:r>
      <w:r w:rsidR="00864588">
        <w:t xml:space="preserve">u </w:t>
      </w:r>
      <w:r>
        <w:t>pacientov s liečenými metastázami v mozgu (ktoré zahŕňali okolo 800 pacientov), bol v čase priebežnej analýzy bezpečnosti hlásený jeden prípad krvácania do CNS 2. stupňa pripadajúci na 83 jedincov liečených bevacizumabom (1,2 %) (NCI-CTCAE v.3).</w:t>
      </w:r>
    </w:p>
    <w:p w14:paraId="5E93D8C4" w14:textId="77777777" w:rsidR="00E22C3D" w:rsidRPr="002F3218" w:rsidRDefault="00E22C3D" w:rsidP="00F64BF9">
      <w:pPr>
        <w:spacing w:line="240" w:lineRule="auto"/>
      </w:pPr>
    </w:p>
    <w:p w14:paraId="68EFBFBA" w14:textId="77777777" w:rsidR="00E22C3D" w:rsidRPr="002F3218" w:rsidRDefault="00BE7CB1" w:rsidP="00F64BF9">
      <w:pPr>
        <w:spacing w:line="240" w:lineRule="auto"/>
      </w:pPr>
      <w:r>
        <w:t xml:space="preserve">Vo všetkých klinických skúšaniach sa mukokutánne krvácanie vyskytlo až u 50 % pacientov liečených bevacizumabom. Tieto prípady väčšinou zahŕňali epistaxu 1. stupňa podľa NCI-CTCAE v.3, ktorá trvala menej ako 5 minút a ustúpila bez lekárskeho zásahu, pričom sa nevyžadovali žiadne zmeny v liečebnom režime s bevacizumabom. Klinické údaje bezpečnosti ukazujú, že incidencia malého krvácania zo slizníc (napr. epistaxa) </w:t>
      </w:r>
      <w:r w:rsidR="00687D2F">
        <w:t xml:space="preserve">môže </w:t>
      </w:r>
      <w:r>
        <w:t xml:space="preserve">byť </w:t>
      </w:r>
      <w:r w:rsidR="00687D2F">
        <w:t xml:space="preserve">závislá </w:t>
      </w:r>
      <w:r>
        <w:t>od dávky.</w:t>
      </w:r>
    </w:p>
    <w:p w14:paraId="509B2B52" w14:textId="77777777" w:rsidR="00E22C3D" w:rsidRPr="002F3218" w:rsidRDefault="00E22C3D" w:rsidP="00F64BF9">
      <w:pPr>
        <w:spacing w:line="240" w:lineRule="auto"/>
      </w:pPr>
    </w:p>
    <w:p w14:paraId="6BD9C014" w14:textId="77777777" w:rsidR="00E22C3D" w:rsidRPr="002F3218" w:rsidRDefault="00BE7CB1" w:rsidP="00F64BF9">
      <w:pPr>
        <w:spacing w:line="240" w:lineRule="auto"/>
      </w:pPr>
      <w:r>
        <w:t>Menej často sa vyskytlo menšie mukokutánne krvácanie na iných miestach, ako je krvácanie z ďasien alebo vaginálne krvácanie.</w:t>
      </w:r>
    </w:p>
    <w:p w14:paraId="1BAAB08F" w14:textId="77777777" w:rsidR="00E22C3D" w:rsidRPr="00694C1C" w:rsidRDefault="00E22C3D" w:rsidP="00F64BF9">
      <w:pPr>
        <w:spacing w:line="240" w:lineRule="auto"/>
      </w:pPr>
    </w:p>
    <w:p w14:paraId="7E4429FF" w14:textId="77777777" w:rsidR="00E22C3D" w:rsidRPr="00DA33C1" w:rsidRDefault="00BE7CB1" w:rsidP="00F64BF9">
      <w:pPr>
        <w:keepNext/>
        <w:spacing w:line="240" w:lineRule="auto"/>
        <w:rPr>
          <w:u w:val="single"/>
        </w:rPr>
      </w:pPr>
      <w:r>
        <w:rPr>
          <w:i/>
          <w:u w:val="single"/>
        </w:rPr>
        <w:t xml:space="preserve">Tromboembolizmus </w:t>
      </w:r>
      <w:r w:rsidRPr="00DA33C1">
        <w:rPr>
          <w:u w:val="single"/>
        </w:rPr>
        <w:t>(pozri časť 4.4)</w:t>
      </w:r>
    </w:p>
    <w:p w14:paraId="180C29DA" w14:textId="77777777" w:rsidR="00E22C3D" w:rsidRPr="00F37D4D" w:rsidRDefault="00E22C3D" w:rsidP="00F64BF9">
      <w:pPr>
        <w:keepNext/>
        <w:spacing w:line="240" w:lineRule="auto"/>
      </w:pPr>
    </w:p>
    <w:p w14:paraId="25AE60BF" w14:textId="77777777" w:rsidR="006D792F" w:rsidRDefault="00BE7CB1" w:rsidP="00F64BF9">
      <w:pPr>
        <w:keepNext/>
        <w:spacing w:line="240" w:lineRule="auto"/>
        <w:rPr>
          <w:i/>
          <w:iCs/>
          <w:szCs w:val="22"/>
        </w:rPr>
      </w:pPr>
      <w:r>
        <w:rPr>
          <w:i/>
        </w:rPr>
        <w:t>Arteriálny tromboembolizmus</w:t>
      </w:r>
    </w:p>
    <w:p w14:paraId="2DC23CFB" w14:textId="77777777" w:rsidR="00236840" w:rsidRPr="006D792F" w:rsidRDefault="00236840" w:rsidP="00F64BF9">
      <w:pPr>
        <w:keepNext/>
        <w:spacing w:line="240" w:lineRule="auto"/>
        <w:rPr>
          <w:i/>
          <w:iCs/>
          <w:szCs w:val="22"/>
        </w:rPr>
      </w:pPr>
    </w:p>
    <w:p w14:paraId="0FAA2880" w14:textId="77777777" w:rsidR="00E22C3D" w:rsidRPr="00F37D4D" w:rsidRDefault="00BE7CB1" w:rsidP="00F64BF9">
      <w:pPr>
        <w:spacing w:line="240" w:lineRule="auto"/>
        <w:rPr>
          <w:szCs w:val="22"/>
        </w:rPr>
      </w:pPr>
      <w:r>
        <w:t>U pacientov liečených bevacizumabom sa pri všetkých indikáciách pozoroval zvýšený výskyt arteriálnych tromboembolických reakcií vrátane cerebrovaskulárnych príhod, infarktu myokardu, prechodných ischemických atakov a ďalších arteriálnych tromboembolických reakcií.</w:t>
      </w:r>
    </w:p>
    <w:p w14:paraId="0DE07CA3" w14:textId="77777777" w:rsidR="00E22C3D" w:rsidRPr="00F37D4D" w:rsidRDefault="00E22C3D" w:rsidP="00F64BF9">
      <w:pPr>
        <w:spacing w:line="240" w:lineRule="auto"/>
        <w:rPr>
          <w:szCs w:val="22"/>
        </w:rPr>
      </w:pPr>
    </w:p>
    <w:p w14:paraId="781A2D49" w14:textId="77777777" w:rsidR="00E22C3D" w:rsidRPr="002F3218" w:rsidRDefault="00BE7CB1" w:rsidP="00F64BF9">
      <w:pPr>
        <w:spacing w:line="240" w:lineRule="auto"/>
        <w:rPr>
          <w:szCs w:val="22"/>
        </w:rPr>
      </w:pPr>
      <w:r>
        <w:t>V klinických skúšaniach bol celkový výskyt tromboembolických reakcií v rozsahu do 3,8 % v skupinách s obsahom bevacizumabu v porovnaní s 2,1 % v kontrolných skupinách s chemoterapiou. Fatálny koniec bol hlásený u 0,8 % pacientov, ktorí dostávali bevacizumab v porovnaní s 0,5 % u pacientov, ktorí dostávali samotnú chemoterapiu. Cerebrovaskulárne príhody (vrátane prechodných ischemických atakov) boli hlásené až u 2,7 % pacientov liečených bevacizumabom v kombinácii s chemoterapiou v porovnaní s až 0,5 % pacientov liečených samotnou chemoterapiou. Infarkt myokardu bol hlásený až u 1,4 % pacientov liečených bevacizumabom v kombinácii s chemoterapiou v porovnaní s až 0,7 % pacientov liečených samotnou chemoterapiou.</w:t>
      </w:r>
    </w:p>
    <w:p w14:paraId="1F4852F1" w14:textId="77777777" w:rsidR="00E22C3D" w:rsidRPr="002F3218" w:rsidRDefault="00E22C3D" w:rsidP="00F64BF9">
      <w:pPr>
        <w:spacing w:line="240" w:lineRule="auto"/>
        <w:rPr>
          <w:szCs w:val="22"/>
        </w:rPr>
      </w:pPr>
    </w:p>
    <w:p w14:paraId="34A2A01F" w14:textId="77777777" w:rsidR="00E22C3D" w:rsidRPr="002F3218" w:rsidRDefault="00BE7CB1" w:rsidP="00F64BF9">
      <w:pPr>
        <w:spacing w:line="240" w:lineRule="auto"/>
        <w:rPr>
          <w:szCs w:val="22"/>
        </w:rPr>
      </w:pPr>
      <w:r>
        <w:t>V jednom klinickom skúšaní, ktoré hodnotilo bevacizumab v kombinácii s 5-fluóruracilom/kyselinou folínovou, AVF2192g, boli zaradení pacienti s metastatickým kolorektálnym karcinómom, ktorí neboli kandidátmi na liečbu irinotekánom. V tomto skúšaní sa arteriálne tromboembolické reakcie pozorovali u 11 % (11/100) pacientov v porovnaní s 5,8 % (6/104) v kontrolnej skupine s chemoterapiou.</w:t>
      </w:r>
    </w:p>
    <w:p w14:paraId="5DE5A46B" w14:textId="77777777" w:rsidR="00E22C3D" w:rsidRPr="002F3218" w:rsidRDefault="00E22C3D" w:rsidP="00F64BF9">
      <w:pPr>
        <w:spacing w:line="240" w:lineRule="auto"/>
        <w:rPr>
          <w:szCs w:val="22"/>
        </w:rPr>
      </w:pPr>
    </w:p>
    <w:p w14:paraId="4DE190EF" w14:textId="77777777" w:rsidR="006D792F" w:rsidRDefault="00BE7CB1" w:rsidP="00F64BF9">
      <w:pPr>
        <w:keepNext/>
        <w:spacing w:line="240" w:lineRule="auto"/>
        <w:rPr>
          <w:i/>
          <w:iCs/>
          <w:szCs w:val="22"/>
        </w:rPr>
      </w:pPr>
      <w:r>
        <w:rPr>
          <w:i/>
        </w:rPr>
        <w:lastRenderedPageBreak/>
        <w:t>Venózny tromboembolizmus</w:t>
      </w:r>
    </w:p>
    <w:p w14:paraId="61820886" w14:textId="77777777" w:rsidR="00F425DD" w:rsidRDefault="00F425DD" w:rsidP="00F64BF9">
      <w:pPr>
        <w:keepNext/>
        <w:spacing w:line="240" w:lineRule="auto"/>
        <w:rPr>
          <w:i/>
          <w:iCs/>
          <w:szCs w:val="22"/>
        </w:rPr>
      </w:pPr>
    </w:p>
    <w:p w14:paraId="548DE581" w14:textId="77777777" w:rsidR="00E22C3D" w:rsidRPr="002F3218" w:rsidRDefault="00BE7CB1" w:rsidP="00F64BF9">
      <w:pPr>
        <w:spacing w:line="240" w:lineRule="auto"/>
        <w:rPr>
          <w:szCs w:val="22"/>
        </w:rPr>
      </w:pPr>
      <w:r>
        <w:t xml:space="preserve">V klinických skúšaniach bol výskyt venóznych tromboembolických reakcií u pacientov, ktorí dostávali bevacizumab v kombinácii s chemoterapiou, v porovnaní s tými, ktorí dostávali samotnú kontrolnú chemoterapiu, podobný. Venózne tromboembolické udalosti zahŕňajú </w:t>
      </w:r>
      <w:r w:rsidR="009140E9">
        <w:t xml:space="preserve">hlbokú </w:t>
      </w:r>
      <w:r>
        <w:t>žilovú trombózu, pľúcnu embóliu a tromboflebitídu.</w:t>
      </w:r>
    </w:p>
    <w:p w14:paraId="62AA641F" w14:textId="77777777" w:rsidR="00E22C3D" w:rsidRPr="002F3218" w:rsidRDefault="00E22C3D" w:rsidP="00F64BF9">
      <w:pPr>
        <w:spacing w:line="240" w:lineRule="auto"/>
        <w:rPr>
          <w:szCs w:val="22"/>
        </w:rPr>
      </w:pPr>
    </w:p>
    <w:p w14:paraId="3DCFE66F" w14:textId="77777777" w:rsidR="00E22C3D" w:rsidRPr="002F3218" w:rsidRDefault="00BE7CB1" w:rsidP="00F64BF9">
      <w:pPr>
        <w:spacing w:line="240" w:lineRule="auto"/>
        <w:rPr>
          <w:szCs w:val="22"/>
        </w:rPr>
      </w:pPr>
      <w:r>
        <w:t>V klinických skúšaniach bol pri všetkých indikáciách celkový výskyt venóznych tromboembolických reakcií v rozsahu od 2,8 % do 17,3 % pacientov liečených bevacizumabom v porovnaní s 3,2 % až 15,6 % pacientov v kontrolných skupinách.</w:t>
      </w:r>
    </w:p>
    <w:p w14:paraId="6BC7FCC0" w14:textId="77777777" w:rsidR="00E22C3D" w:rsidRPr="002F3218" w:rsidRDefault="00E22C3D" w:rsidP="00F64BF9">
      <w:pPr>
        <w:spacing w:line="240" w:lineRule="auto"/>
        <w:rPr>
          <w:szCs w:val="22"/>
        </w:rPr>
      </w:pPr>
    </w:p>
    <w:p w14:paraId="72383614" w14:textId="77777777" w:rsidR="00E22C3D" w:rsidRPr="002F3218" w:rsidRDefault="00BE7CB1" w:rsidP="00F64BF9">
      <w:pPr>
        <w:spacing w:line="240" w:lineRule="auto"/>
        <w:rPr>
          <w:szCs w:val="22"/>
        </w:rPr>
      </w:pPr>
      <w:r>
        <w:t xml:space="preserve">Venózne tromboembolické reakcie so závažnosťou 3.-5. stupňa (NCI-CTCAE v.3) boli hlásené až u 7,8 % pacientov liečených chemoterapiou a bevacizumabom v porovnaní </w:t>
      </w:r>
      <w:r w:rsidR="009140E9">
        <w:t xml:space="preserve">s </w:t>
      </w:r>
      <w:r>
        <w:t xml:space="preserve">až 4,9 % pacientov liečených samotnou chemoterapiou (pri všetkých indikáciách, s výnimkou pretrvávajúceho, rekurentného alebo metastatického karcinómu </w:t>
      </w:r>
      <w:r w:rsidR="009140E9">
        <w:t xml:space="preserve">krčka </w:t>
      </w:r>
      <w:r>
        <w:t>maternice).</w:t>
      </w:r>
    </w:p>
    <w:p w14:paraId="717F7F7E" w14:textId="77777777" w:rsidR="00E22C3D" w:rsidRPr="002F3218" w:rsidRDefault="00E22C3D" w:rsidP="00F64BF9">
      <w:pPr>
        <w:spacing w:line="240" w:lineRule="auto"/>
        <w:rPr>
          <w:szCs w:val="22"/>
        </w:rPr>
      </w:pPr>
    </w:p>
    <w:p w14:paraId="434B0A12" w14:textId="77777777" w:rsidR="00E22C3D" w:rsidRPr="002F3218" w:rsidRDefault="00BE7CB1" w:rsidP="00F64BF9">
      <w:pPr>
        <w:spacing w:line="240" w:lineRule="auto"/>
        <w:rPr>
          <w:szCs w:val="22"/>
        </w:rPr>
      </w:pPr>
      <w:r>
        <w:t xml:space="preserve">Z klinického skúšania (GOG-0240) s pacientkami s pretrvávajúcim, rekurentným alebo metastatickým karcinómom </w:t>
      </w:r>
      <w:r w:rsidR="009140E9">
        <w:t xml:space="preserve">krčka </w:t>
      </w:r>
      <w:r>
        <w:t>maternice boli hlásené venózne tromboembolické príhody so závažnosťou 3.-5. stupňa až u 15,6 % pacientok liečených bevacizumabom v kombinácii s paklitaxelom a cisplatinou v</w:t>
      </w:r>
      <w:r w:rsidR="009140E9">
        <w:t> </w:t>
      </w:r>
      <w:r>
        <w:t>porovnaní</w:t>
      </w:r>
      <w:r w:rsidR="009140E9">
        <w:t xml:space="preserve"> s</w:t>
      </w:r>
      <w:r>
        <w:t xml:space="preserve"> až 7,0 % pacientov liečených paklitaxelom a cisplatinou.</w:t>
      </w:r>
    </w:p>
    <w:p w14:paraId="30CE33C6" w14:textId="77777777" w:rsidR="00E22C3D" w:rsidRPr="002F3218" w:rsidRDefault="00E22C3D" w:rsidP="00F64BF9">
      <w:pPr>
        <w:spacing w:line="240" w:lineRule="auto"/>
        <w:rPr>
          <w:szCs w:val="22"/>
        </w:rPr>
      </w:pPr>
    </w:p>
    <w:p w14:paraId="71A50799" w14:textId="77777777" w:rsidR="00E22C3D" w:rsidRPr="00F37D4D" w:rsidRDefault="00BE7CB1" w:rsidP="00F64BF9">
      <w:pPr>
        <w:spacing w:line="240" w:lineRule="auto"/>
        <w:rPr>
          <w:szCs w:val="22"/>
        </w:rPr>
      </w:pPr>
      <w:r>
        <w:t xml:space="preserve">Pacienti, u ktorých došlo k venóznej tromboembolickej reakcii, môžu </w:t>
      </w:r>
      <w:r w:rsidR="009140E9">
        <w:t xml:space="preserve">mať </w:t>
      </w:r>
      <w:r>
        <w:t>vyššie riziko jej opakovaného výskytu, ak dostávajú bevacizumab v kombinácii s chemoterapiou oproti samotnej chemoterapii.</w:t>
      </w:r>
    </w:p>
    <w:p w14:paraId="63215C29" w14:textId="77777777" w:rsidR="00E22C3D" w:rsidRPr="00F37D4D" w:rsidRDefault="00E22C3D" w:rsidP="00F64BF9">
      <w:pPr>
        <w:spacing w:line="240" w:lineRule="auto"/>
        <w:rPr>
          <w:szCs w:val="22"/>
        </w:rPr>
      </w:pPr>
    </w:p>
    <w:p w14:paraId="11D97A2C" w14:textId="77777777" w:rsidR="00E22C3D" w:rsidRPr="00694C1C" w:rsidRDefault="00BE7CB1" w:rsidP="00F64BF9">
      <w:pPr>
        <w:keepNext/>
        <w:spacing w:line="240" w:lineRule="auto"/>
        <w:rPr>
          <w:i/>
          <w:iCs/>
          <w:u w:val="single"/>
        </w:rPr>
      </w:pPr>
      <w:r w:rsidRPr="00687D2F">
        <w:rPr>
          <w:i/>
          <w:u w:val="single"/>
        </w:rPr>
        <w:t>Kongestívne zlyhávanie srdca (CHF)</w:t>
      </w:r>
    </w:p>
    <w:p w14:paraId="5F30A553" w14:textId="77777777" w:rsidR="00E22C3D" w:rsidRPr="00DA33C1" w:rsidRDefault="00E22C3D" w:rsidP="00F64BF9">
      <w:pPr>
        <w:keepNext/>
        <w:spacing w:line="240" w:lineRule="auto"/>
      </w:pPr>
    </w:p>
    <w:p w14:paraId="68435BF5" w14:textId="73CDDA18" w:rsidR="00E22C3D" w:rsidRPr="002F3218" w:rsidRDefault="00BE7CB1" w:rsidP="00F64BF9">
      <w:pPr>
        <w:spacing w:line="240" w:lineRule="auto"/>
      </w:pPr>
      <w:r>
        <w:t>V klinických skúšaniach s bevacizumabom sa kongestívne zlyhávanie srdca (</w:t>
      </w:r>
      <w:r w:rsidR="00C40588">
        <w:t xml:space="preserve">congestive heart failure </w:t>
      </w:r>
      <w:r>
        <w:t>CHF) pozorovalo pri všetkých doposiaľ skúmaných indikáciách týkajúcich sa karcinómov, ale vyskytovalo sa predovšetkým</w:t>
      </w:r>
      <w:r w:rsidR="00687D2F">
        <w:t xml:space="preserve"> </w:t>
      </w:r>
      <w:r>
        <w:t xml:space="preserve">u pacientok s metastatickým karcinómom prsníka. V štyroch skúšaniach III. fázy (AVF2119g, E2100, BO17708 a AVF3694g) </w:t>
      </w:r>
      <w:r w:rsidR="00C40588">
        <w:t xml:space="preserve">u pacientov s metastatickým karcinómom prsníka </w:t>
      </w:r>
      <w:r>
        <w:t xml:space="preserve">CHF 3. stupňa (NCI-CTCAE v.3) alebo vyššieho sa CHF hlásilo až u 3,5 % pacientov liečených bevacizumabom v kombinácii s chemoterapiou v porovnaní s kontrolnými skupinami, kde bol výskyt do 0,9 %.  U pacientov v štúdii AVF3694g, ktorí dostávali antracyklíny súbežne s bevacizumabom, bola incidencia CHF 3. stupňa alebo vyššieho pre príslušnú skupinu s bevacizumabom a pre kontrolnú skupinu podobná incidencii v iných štúdiách s metastatickým karcinómom prsníka: 2,9 % v skupine antracyklín + bevacizumab a 0 % v skupine antracyklín + placebo. Okrem toho v štúdii AVF3694g bola incidencia CHF akéhokoľvek stupňa podobná medzi </w:t>
      </w:r>
      <w:r w:rsidR="00687D2F">
        <w:t>s</w:t>
      </w:r>
      <w:r>
        <w:t>kupinami antracyklín + bevacizumab (6,2 %) a antracyklín + placebo (6,0 %).</w:t>
      </w:r>
    </w:p>
    <w:p w14:paraId="7B2BBB0A" w14:textId="77777777" w:rsidR="00E22C3D" w:rsidRPr="002F3218" w:rsidRDefault="00E22C3D" w:rsidP="00F64BF9">
      <w:pPr>
        <w:spacing w:line="240" w:lineRule="auto"/>
      </w:pPr>
    </w:p>
    <w:p w14:paraId="57B36432" w14:textId="77777777" w:rsidR="00E22C3D" w:rsidRPr="002F3218" w:rsidRDefault="00BE7CB1" w:rsidP="00F64BF9">
      <w:pPr>
        <w:spacing w:line="240" w:lineRule="auto"/>
      </w:pPr>
      <w:r>
        <w:t>Po primeranej liečbe sa u väčšiny pacientov s mBC, u ktorých došlo k rozvoju CHF počas skúšaní zmiernili symptómy a/alebo sa zlepšila funkcia ľavej komory.</w:t>
      </w:r>
    </w:p>
    <w:p w14:paraId="1817ABDB" w14:textId="77777777" w:rsidR="00E22C3D" w:rsidRPr="002F3218" w:rsidRDefault="00E22C3D" w:rsidP="00F64BF9">
      <w:pPr>
        <w:spacing w:line="240" w:lineRule="auto"/>
      </w:pPr>
    </w:p>
    <w:p w14:paraId="5F28B44B" w14:textId="77777777" w:rsidR="00E22C3D" w:rsidRPr="002F3218" w:rsidRDefault="00BE7CB1" w:rsidP="00F64BF9">
      <w:pPr>
        <w:spacing w:line="240" w:lineRule="auto"/>
      </w:pPr>
      <w:r>
        <w:t>Pacienti s už existujúcou CHF II-IV podľa NYHA (New York Heart Association) boli z väčšiny klinických skúšaní s bevacizumabom vylúčení. Preto nie sú k dispozícii žiadne informácie o riziku CHF v tejto populácii.</w:t>
      </w:r>
    </w:p>
    <w:p w14:paraId="379982E1" w14:textId="77777777" w:rsidR="00E22C3D" w:rsidRPr="002F3218" w:rsidRDefault="00E22C3D" w:rsidP="00F64BF9">
      <w:pPr>
        <w:spacing w:line="240" w:lineRule="auto"/>
      </w:pPr>
    </w:p>
    <w:p w14:paraId="173EBF38" w14:textId="77777777" w:rsidR="00E22C3D" w:rsidRPr="002F3218" w:rsidRDefault="00BE7CB1" w:rsidP="00F64BF9">
      <w:pPr>
        <w:spacing w:line="240" w:lineRule="auto"/>
      </w:pPr>
      <w:r>
        <w:t>Predošlá expozícia antracyklínom a/alebo predošlé ožarovanie hrudnej steny môžu byť možné rizikové faktory vzniku CHF.</w:t>
      </w:r>
    </w:p>
    <w:p w14:paraId="5D3A73C6" w14:textId="77777777" w:rsidR="00E22C3D" w:rsidRPr="002F3218" w:rsidRDefault="00E22C3D" w:rsidP="00F64BF9">
      <w:pPr>
        <w:spacing w:line="240" w:lineRule="auto"/>
      </w:pPr>
    </w:p>
    <w:p w14:paraId="2678681F" w14:textId="77777777" w:rsidR="00E22C3D" w:rsidRPr="002F3218" w:rsidRDefault="00BE7CB1" w:rsidP="00F64BF9">
      <w:pPr>
        <w:spacing w:line="240" w:lineRule="auto"/>
      </w:pPr>
      <w:r>
        <w:t xml:space="preserve">Zvýšený výskyt CHF sa pozoroval v klinickom skúšaní s pacientmi s </w:t>
      </w:r>
      <w:r w:rsidRPr="00F14E99">
        <w:t>difúznym veľkobunkovým B-lymfómom, keď dostávali bevacizumab s kumulatívnou dávkou doxorubicínu vyššou</w:t>
      </w:r>
      <w:r>
        <w:t xml:space="preserve"> ako 300 mg/m</w:t>
      </w:r>
      <w:r w:rsidRPr="002F3218">
        <w:rPr>
          <w:vertAlign w:val="superscript"/>
        </w:rPr>
        <w:t>2</w:t>
      </w:r>
      <w:r>
        <w:t xml:space="preserve">. Toto klinické skúšanie fázy III porovnávalo rituximab/cyklofosfamid/doxorubicín/vinkristín/prednizón (R-CHOP) plus bevacizumab s R-CHOP bez bevacizumabu. Kým výskyt CHF bol u oboch skupín vyšší ako výskyt pozorovaný predtým v súvislosti s liečbou doxorubicínom, miera bola vyššia v skupine s R-CHOP plus bevacizumab. Tieto výsledky naznačujú, že starostlivé klinické sledovanie s </w:t>
      </w:r>
      <w:r>
        <w:lastRenderedPageBreak/>
        <w:t>primeraným hodnotením srdcových funkcií sa má zvážiť u pacientov vystavených kumulatívnym dávkam doxorubicínu vyšším ako 300 mg/m</w:t>
      </w:r>
      <w:r>
        <w:rPr>
          <w:vertAlign w:val="superscript"/>
        </w:rPr>
        <w:t>2</w:t>
      </w:r>
      <w:r>
        <w:t xml:space="preserve"> v kombinácii s bevacizumabom.</w:t>
      </w:r>
    </w:p>
    <w:p w14:paraId="743F2408" w14:textId="77777777" w:rsidR="00E22C3D" w:rsidRPr="002F3218" w:rsidRDefault="00E22C3D" w:rsidP="00F64BF9">
      <w:pPr>
        <w:spacing w:line="240" w:lineRule="auto"/>
      </w:pPr>
    </w:p>
    <w:p w14:paraId="35563EA5" w14:textId="734D5398" w:rsidR="00E22C3D" w:rsidRPr="00694C1C" w:rsidRDefault="00BE7CB1" w:rsidP="00F64BF9">
      <w:pPr>
        <w:keepNext/>
        <w:spacing w:line="240" w:lineRule="auto"/>
        <w:rPr>
          <w:i/>
          <w:iCs/>
          <w:u w:val="single"/>
        </w:rPr>
      </w:pPr>
      <w:r>
        <w:rPr>
          <w:i/>
          <w:u w:val="single"/>
        </w:rPr>
        <w:t>Reakcie z</w:t>
      </w:r>
      <w:r w:rsidR="00E55D9E">
        <w:rPr>
          <w:i/>
          <w:u w:val="single"/>
        </w:rPr>
        <w:t> </w:t>
      </w:r>
      <w:r>
        <w:rPr>
          <w:i/>
          <w:u w:val="single"/>
        </w:rPr>
        <w:t>precitlivenosti</w:t>
      </w:r>
      <w:r w:rsidR="00E55D9E">
        <w:rPr>
          <w:i/>
          <w:u w:val="single"/>
        </w:rPr>
        <w:t xml:space="preserve"> </w:t>
      </w:r>
      <w:r w:rsidR="00E55D9E" w:rsidRPr="00E55D9E">
        <w:rPr>
          <w:i/>
          <w:u w:val="single"/>
        </w:rPr>
        <w:t>(vrátane anafylaktického šoku)</w:t>
      </w:r>
      <w:r>
        <w:rPr>
          <w:i/>
          <w:u w:val="single"/>
        </w:rPr>
        <w:t xml:space="preserve">/reakcie na infúziu </w:t>
      </w:r>
      <w:r w:rsidRPr="00694C1C">
        <w:rPr>
          <w:u w:val="single"/>
        </w:rPr>
        <w:t xml:space="preserve">(pozri časť 4.4 </w:t>
      </w:r>
      <w:r w:rsidRPr="003B76ED">
        <w:rPr>
          <w:u w:val="single"/>
        </w:rPr>
        <w:t>a nižšie</w:t>
      </w:r>
      <w:r w:rsidRPr="00165382">
        <w:rPr>
          <w:i/>
          <w:iCs/>
          <w:u w:val="single"/>
        </w:rPr>
        <w:t xml:space="preserve"> uvedené skúsenosti po uvedení lieku na trh)</w:t>
      </w:r>
    </w:p>
    <w:p w14:paraId="48ADFD9B" w14:textId="77777777" w:rsidR="00E22C3D" w:rsidRPr="00DA33C1" w:rsidRDefault="00E22C3D" w:rsidP="00F64BF9">
      <w:pPr>
        <w:keepNext/>
        <w:spacing w:line="240" w:lineRule="auto"/>
      </w:pPr>
    </w:p>
    <w:p w14:paraId="55E70FF4" w14:textId="77777777" w:rsidR="00E22C3D" w:rsidRPr="002F3218" w:rsidRDefault="00BE7CB1" w:rsidP="00F64BF9">
      <w:pPr>
        <w:spacing w:line="240" w:lineRule="auto"/>
      </w:pPr>
      <w:r>
        <w:t>V niektorých klinických skúšaniach s pacientmi liečenými bevacizumabom v kombinácii s chemoterapiou boli v porovnaní so samotnou chemoterapiou častejšie hlásené anafylaktické a anafylaktoidné reakcie. V niektorých klinických skúšaniach s bevacizumabom bol výskyt týchto reakcií častý (až 5 % pacientov liečených bevacizumabom).</w:t>
      </w:r>
    </w:p>
    <w:p w14:paraId="1C5BEC05" w14:textId="77777777" w:rsidR="00E22C3D" w:rsidRPr="00694C1C" w:rsidRDefault="00E22C3D" w:rsidP="00F64BF9">
      <w:pPr>
        <w:spacing w:line="240" w:lineRule="auto"/>
      </w:pPr>
    </w:p>
    <w:p w14:paraId="0D7A3045" w14:textId="77777777" w:rsidR="00E22C3D" w:rsidRPr="00694C1C" w:rsidRDefault="00BE7CB1" w:rsidP="00F64BF9">
      <w:pPr>
        <w:keepNext/>
        <w:spacing w:line="240" w:lineRule="auto"/>
        <w:rPr>
          <w:i/>
          <w:iCs/>
          <w:u w:val="single"/>
        </w:rPr>
      </w:pPr>
      <w:r>
        <w:rPr>
          <w:i/>
          <w:u w:val="single"/>
        </w:rPr>
        <w:t>Infekcie</w:t>
      </w:r>
    </w:p>
    <w:p w14:paraId="239A803D" w14:textId="77777777" w:rsidR="00E22C3D" w:rsidRPr="00DA33C1" w:rsidRDefault="00E22C3D" w:rsidP="00F64BF9">
      <w:pPr>
        <w:keepNext/>
        <w:spacing w:line="240" w:lineRule="auto"/>
      </w:pPr>
    </w:p>
    <w:p w14:paraId="79366E56" w14:textId="77777777" w:rsidR="00E22C3D" w:rsidRPr="002F3218" w:rsidRDefault="00BE7CB1" w:rsidP="00F64BF9">
      <w:pPr>
        <w:spacing w:line="240" w:lineRule="auto"/>
      </w:pPr>
      <w:r>
        <w:t xml:space="preserve">Z klinického skúšania (GOG-0240) s pacientkami s pretrvávajúcim, rekurentným alebo metastatickým karcinómom </w:t>
      </w:r>
      <w:r w:rsidR="003A3E12">
        <w:t xml:space="preserve">krčka </w:t>
      </w:r>
      <w:r>
        <w:t>maternice boli hlásené infekcie 3.-5. stupňa závažnosti až u 24 % pacientok liečených bevacizumabom v kombinácii s paklitaxelom a topotekánom v porovnaní s až 13 % pacientok liečených paklitaxelom a topotekánom.</w:t>
      </w:r>
    </w:p>
    <w:p w14:paraId="3833D2B4" w14:textId="77777777" w:rsidR="00E22C3D" w:rsidRPr="00694C1C" w:rsidRDefault="00E22C3D" w:rsidP="00F64BF9">
      <w:pPr>
        <w:spacing w:line="240" w:lineRule="auto"/>
      </w:pPr>
    </w:p>
    <w:p w14:paraId="372707CD" w14:textId="77777777" w:rsidR="00E22C3D" w:rsidRPr="00694C1C" w:rsidRDefault="00BE7CB1" w:rsidP="00F64BF9">
      <w:pPr>
        <w:keepNext/>
        <w:spacing w:line="240" w:lineRule="auto"/>
        <w:rPr>
          <w:u w:val="single"/>
        </w:rPr>
      </w:pPr>
      <w:r>
        <w:rPr>
          <w:i/>
          <w:u w:val="single"/>
        </w:rPr>
        <w:t xml:space="preserve">Ovariálne zlyhanie/fertilita </w:t>
      </w:r>
      <w:r w:rsidRPr="00694C1C">
        <w:rPr>
          <w:u w:val="single"/>
        </w:rPr>
        <w:t>(pozri časti 4.4 a 4.6)</w:t>
      </w:r>
    </w:p>
    <w:p w14:paraId="6F631717" w14:textId="77777777" w:rsidR="00E22C3D" w:rsidRPr="00DA33C1" w:rsidRDefault="00E22C3D" w:rsidP="00F64BF9">
      <w:pPr>
        <w:keepNext/>
        <w:spacing w:line="240" w:lineRule="auto"/>
      </w:pPr>
    </w:p>
    <w:p w14:paraId="4779C278" w14:textId="3B34AEAC" w:rsidR="00E22C3D" w:rsidRPr="002F3218" w:rsidRDefault="00BE7CB1" w:rsidP="00F64BF9">
      <w:pPr>
        <w:spacing w:line="240" w:lineRule="auto"/>
      </w:pPr>
      <w:r>
        <w:t xml:space="preserve">V NSABP C-08, v skúšaní fázy III s bevacizumabom v adjuvantnej liečbe u pacientov s </w:t>
      </w:r>
      <w:r w:rsidRPr="00691D6C">
        <w:t>karcinómom</w:t>
      </w:r>
      <w:r w:rsidR="007D0DB0" w:rsidRPr="00691D6C">
        <w:t xml:space="preserve"> hrubého čreva</w:t>
      </w:r>
      <w:r>
        <w:t>, sa u 295 premenopauzálnych žien hodnotil výskyt nových prípadov ovariálneho zlyhania, definovaného ako amenorea trvajúca 3 alebo viac mesiacov, FSH hladina ≥ 30 mIU/ml a negatívny tehotenský test sérového ß-HCG. Nové prípady ovariálneho zlyhania sa zaznamenali u 2,6 % pacientok v skupine s mFOLFOX-6 v porovnaní s 39 % v skupine mFOLFOX-6+ bevacizumab. Po ukončení liečby bevacizumabom sa u 86,2 % hodnotených žien funkcia ovárií obnovila. Dlhodobé účinky liečby bevacizumbom na fertilitu nie sú známe.</w:t>
      </w:r>
    </w:p>
    <w:p w14:paraId="25264BD7" w14:textId="77777777" w:rsidR="00E22C3D" w:rsidRPr="00694C1C" w:rsidRDefault="00E22C3D" w:rsidP="00F64BF9">
      <w:pPr>
        <w:spacing w:line="240" w:lineRule="auto"/>
      </w:pPr>
    </w:p>
    <w:p w14:paraId="49382D34" w14:textId="77777777" w:rsidR="00E22C3D" w:rsidRPr="00694C1C" w:rsidRDefault="00BE7CB1" w:rsidP="00F64BF9">
      <w:pPr>
        <w:keepNext/>
        <w:spacing w:line="240" w:lineRule="auto"/>
        <w:rPr>
          <w:i/>
          <w:iCs/>
          <w:u w:val="single"/>
        </w:rPr>
      </w:pPr>
      <w:r>
        <w:rPr>
          <w:i/>
          <w:u w:val="single"/>
        </w:rPr>
        <w:t>Laboratórne odchýlky</w:t>
      </w:r>
    </w:p>
    <w:p w14:paraId="0B2B0347" w14:textId="77777777" w:rsidR="00E22C3D" w:rsidRPr="00DA33C1" w:rsidRDefault="00E22C3D" w:rsidP="00F64BF9">
      <w:pPr>
        <w:keepNext/>
        <w:spacing w:line="240" w:lineRule="auto"/>
      </w:pPr>
    </w:p>
    <w:p w14:paraId="0C29770A" w14:textId="77777777" w:rsidR="00E22C3D" w:rsidRPr="00DA33C1" w:rsidRDefault="00BE7CB1" w:rsidP="00F64BF9">
      <w:pPr>
        <w:spacing w:line="240" w:lineRule="auto"/>
      </w:pPr>
      <w:r>
        <w:t>S liečbou bevacizumabom sa môže spájať znížený počet neutrofilov, znížený počet bielych krviniek a prítomnosť bielkovín v moči.</w:t>
      </w:r>
    </w:p>
    <w:p w14:paraId="2DC86F9C" w14:textId="77777777" w:rsidR="00E22C3D" w:rsidRPr="002F3218" w:rsidRDefault="00E22C3D" w:rsidP="00F64BF9">
      <w:pPr>
        <w:spacing w:line="240" w:lineRule="auto"/>
      </w:pPr>
    </w:p>
    <w:p w14:paraId="7D6E7741" w14:textId="77777777" w:rsidR="00E22C3D" w:rsidRPr="002F3218" w:rsidRDefault="00BE7CB1" w:rsidP="00F64BF9">
      <w:pPr>
        <w:spacing w:line="240" w:lineRule="auto"/>
      </w:pPr>
      <w:r>
        <w:t>Vo všetkých klinických skúšaniach sa nasledovné laboratórne odchýlky 3. a 4. stupňa (NCI-CTCAE v.3) vyskytli u pacientov liečených bevacizumabom s aspoň 2 % rozdielom v porovnaní so zodpovedajúcimi kontrolnými skupinami: hyperglykémia, znížená hladina hemoglobínu, hypokaliémia, hyponatriémia, znížený počet bielych krviniek, zvýšený medzinárodný normalizovaný pomer (INR, international normalised ratio).</w:t>
      </w:r>
    </w:p>
    <w:p w14:paraId="11E1F2AD" w14:textId="77777777" w:rsidR="00E22C3D" w:rsidRPr="002F3218" w:rsidRDefault="00E22C3D" w:rsidP="00F64BF9">
      <w:pPr>
        <w:spacing w:line="240" w:lineRule="auto"/>
      </w:pPr>
    </w:p>
    <w:p w14:paraId="24278647" w14:textId="77777777" w:rsidR="00E22C3D" w:rsidRPr="002F3218" w:rsidRDefault="00BE7CB1" w:rsidP="00F64BF9">
      <w:pPr>
        <w:spacing w:line="240" w:lineRule="auto"/>
      </w:pPr>
      <w:r>
        <w:t>Klinické skúšania preukázali, že dočasné zvýšenie hodnôt kreatinínu v sére (v rozmedzí 1,5-1,9 násobku oproti východiskovým hodnotám) s proteinúriou aj bez proteinúrie, súvisí s používaním bevacizumabu. Pozorované zvýšenie sérového kreatinínu nesúviselo s vyššou incidenciou klinických prejavov poruchy funkcie obličiek u pacientov liečených bevacizumabom.</w:t>
      </w:r>
    </w:p>
    <w:p w14:paraId="1B572ACF" w14:textId="77777777" w:rsidR="00E22C3D" w:rsidRPr="002F3218" w:rsidRDefault="00E22C3D" w:rsidP="00F64BF9">
      <w:pPr>
        <w:spacing w:line="240" w:lineRule="auto"/>
      </w:pPr>
    </w:p>
    <w:p w14:paraId="7A1218F1" w14:textId="77777777" w:rsidR="00E22C3D" w:rsidRPr="00694C1C" w:rsidRDefault="00BE7CB1" w:rsidP="00F64BF9">
      <w:pPr>
        <w:keepNext/>
        <w:spacing w:line="240" w:lineRule="auto"/>
        <w:rPr>
          <w:u w:val="single"/>
        </w:rPr>
      </w:pPr>
      <w:r w:rsidRPr="00F14E99">
        <w:rPr>
          <w:u w:val="single"/>
        </w:rPr>
        <w:t>Ďalšie špeciálne populácie</w:t>
      </w:r>
    </w:p>
    <w:p w14:paraId="2353DC46" w14:textId="77777777" w:rsidR="00E22C3D" w:rsidRPr="00DA33C1" w:rsidRDefault="00E22C3D" w:rsidP="00F64BF9">
      <w:pPr>
        <w:keepNext/>
        <w:spacing w:line="240" w:lineRule="auto"/>
      </w:pPr>
    </w:p>
    <w:p w14:paraId="633633AF" w14:textId="77777777" w:rsidR="00E22C3D" w:rsidRPr="00694C1C" w:rsidRDefault="00BE7CB1" w:rsidP="00F64BF9">
      <w:pPr>
        <w:keepNext/>
        <w:spacing w:line="240" w:lineRule="auto"/>
        <w:rPr>
          <w:i/>
          <w:iCs/>
          <w:u w:val="single"/>
        </w:rPr>
      </w:pPr>
      <w:r>
        <w:rPr>
          <w:i/>
          <w:u w:val="single"/>
        </w:rPr>
        <w:t>Starší pacienti</w:t>
      </w:r>
    </w:p>
    <w:p w14:paraId="31699AA4" w14:textId="77777777" w:rsidR="00E22C3D" w:rsidRPr="00DA33C1" w:rsidRDefault="00E22C3D" w:rsidP="00F64BF9">
      <w:pPr>
        <w:keepNext/>
        <w:spacing w:line="240" w:lineRule="auto"/>
      </w:pPr>
    </w:p>
    <w:p w14:paraId="3B5E45CB" w14:textId="687FEB21" w:rsidR="00E22C3D" w:rsidRPr="002F3218" w:rsidRDefault="00BE7CB1" w:rsidP="00F64BF9">
      <w:pPr>
        <w:spacing w:line="240" w:lineRule="auto"/>
      </w:pPr>
      <w:r>
        <w:t xml:space="preserve">V randomizovaných klinických skúšaniach bol vek &gt; 65 rokov spojený so zvýšeným rizikom vývoja arteriálnych tromboembolických reakcií vrátane cerebrovaskulárnych príhod (CVA), prechodných ischemických atakov (TIA) a infarktu myokardu (MI). Ďalšie reakcie, ktoré sa pozorovali s vyššou frekvenciou u pacientov nad 65 rokov boli leukopénia a trombocytopénia 3.-4. stupňa (NCI-CTCAE v.3) a všetky stupne neutropénie, hnačky, nevoľnosť, bolesť hlavy a únava v porovnaní s pacientmi vo veku ≤ 65 rokov, ak sa títo pacienti liečili bevacizumabom (pozri časti 4.4 a 4.8, </w:t>
      </w:r>
      <w:r w:rsidRPr="002F3218">
        <w:rPr>
          <w:i/>
          <w:iCs/>
        </w:rPr>
        <w:t>Tromboembolizmus</w:t>
      </w:r>
      <w:r>
        <w:t xml:space="preserve">). V jednom klinickom skúšaní bol výskyt hypertenzie ≥ 3. stupňa dvojnásobne vyšší u pacientov vo veku &gt; 65 rokov ako v mladšej vekovej skupine (&lt; 65 rokov). V štúdii s pacientmi s rekurentným karcinómom vaječníkov rezistentným na platinu bola tiež hlásená alopécia, zápal sliznice, periférna </w:t>
      </w:r>
      <w:r>
        <w:lastRenderedPageBreak/>
        <w:t xml:space="preserve">senzorická neuropatia, proteinúria a hypertenzia a ich výskyt bol minimálne o 5 % vyšší v skupine CT+BV u pacientov vo veku ≥ 65 rokov liečených bevacizumabom v porovnaní s pacientmi vo veku </w:t>
      </w:r>
      <w:r w:rsidR="00B704B8" w:rsidRPr="002F3218">
        <w:t>&lt;</w:t>
      </w:r>
      <w:r>
        <w:t>65 rokov liečených bevacizumabom.</w:t>
      </w:r>
    </w:p>
    <w:p w14:paraId="2AA849C6" w14:textId="77777777" w:rsidR="00E22C3D" w:rsidRPr="002F3218" w:rsidRDefault="00E22C3D" w:rsidP="00F64BF9">
      <w:pPr>
        <w:spacing w:line="240" w:lineRule="auto"/>
      </w:pPr>
    </w:p>
    <w:p w14:paraId="15230048" w14:textId="77777777" w:rsidR="00E22C3D" w:rsidRPr="002F3218" w:rsidRDefault="00BE7CB1" w:rsidP="00F64BF9">
      <w:pPr>
        <w:spacing w:line="240" w:lineRule="auto"/>
      </w:pPr>
      <w:r>
        <w:t>U starších pacientov (&gt; 65 rokov)</w:t>
      </w:r>
      <w:r w:rsidR="00B704B8">
        <w:t xml:space="preserve"> liečených bevacizumabom</w:t>
      </w:r>
      <w:r>
        <w:t xml:space="preserve"> sa nepozorovalo zvýšenie výskytu iných reakcií vrátane gastrointestinálnej perforácie, komplikácií pri hojení rán, kongestívneho zlyhávania srdca a krvácania v porovnaní s pacientami vo veku ≤ 65 rokov liečenými bevacizumabom.</w:t>
      </w:r>
    </w:p>
    <w:p w14:paraId="7ACE8B57" w14:textId="77777777" w:rsidR="00E22C3D" w:rsidRPr="00694C1C" w:rsidRDefault="00E22C3D" w:rsidP="00F64BF9">
      <w:pPr>
        <w:spacing w:line="240" w:lineRule="auto"/>
      </w:pPr>
    </w:p>
    <w:p w14:paraId="60C489DB" w14:textId="77777777" w:rsidR="00E22C3D" w:rsidRPr="00694C1C" w:rsidRDefault="00BE7CB1" w:rsidP="00F64BF9">
      <w:pPr>
        <w:keepNext/>
        <w:spacing w:line="240" w:lineRule="auto"/>
        <w:rPr>
          <w:i/>
          <w:iCs/>
          <w:u w:val="single"/>
        </w:rPr>
      </w:pPr>
      <w:r>
        <w:rPr>
          <w:i/>
          <w:u w:val="single"/>
        </w:rPr>
        <w:t>Pediatrická populácia</w:t>
      </w:r>
    </w:p>
    <w:p w14:paraId="6EE97D22" w14:textId="77777777" w:rsidR="00E22C3D" w:rsidRPr="00DA33C1" w:rsidRDefault="00E22C3D" w:rsidP="00F64BF9">
      <w:pPr>
        <w:keepNext/>
        <w:spacing w:line="240" w:lineRule="auto"/>
      </w:pPr>
    </w:p>
    <w:p w14:paraId="0E7274BF" w14:textId="77777777" w:rsidR="00E22C3D" w:rsidRPr="002F3218" w:rsidRDefault="00BE7CB1" w:rsidP="00F64BF9">
      <w:pPr>
        <w:spacing w:line="240" w:lineRule="auto"/>
      </w:pPr>
      <w:r>
        <w:t>Bezpečnosť a účinnosť bevacizumabu u detí mladších ako 18 rokov neboli doteraz stanovené.</w:t>
      </w:r>
    </w:p>
    <w:p w14:paraId="57F56C5F" w14:textId="77777777" w:rsidR="00E22C3D" w:rsidRPr="002F3218" w:rsidRDefault="00E22C3D" w:rsidP="00F64BF9">
      <w:pPr>
        <w:spacing w:line="240" w:lineRule="auto"/>
      </w:pPr>
    </w:p>
    <w:p w14:paraId="7D4B600F" w14:textId="77777777" w:rsidR="00E22C3D" w:rsidRPr="002F3218" w:rsidRDefault="00BE7CB1" w:rsidP="00F64BF9">
      <w:pPr>
        <w:spacing w:line="240" w:lineRule="auto"/>
      </w:pPr>
      <w:r>
        <w:t>V štúdii BO25041, v ktorej bol bevacizumab pridaný k pooeračnej rádioterapii (RT) so súbežne a adjuvantne podávaným temozolomidom u pediatrických pacientov s novodiagnostikovaným supratentoriálnym, infratentoriálnym, cerebelárnym alebo pedunkulárnym gliómom vysokého stupňa malignity (high-grade glióm), bol jeho bezpečnostný profil porovnateľný s profilom dospelých pacientov s inými typmi nádorov liečených bevacizumabom.</w:t>
      </w:r>
    </w:p>
    <w:p w14:paraId="4FB120B3" w14:textId="77777777" w:rsidR="00E22C3D" w:rsidRPr="002F3218" w:rsidRDefault="00E22C3D" w:rsidP="00F64BF9">
      <w:pPr>
        <w:spacing w:line="240" w:lineRule="auto"/>
      </w:pPr>
    </w:p>
    <w:p w14:paraId="5940599A" w14:textId="0E6C49B3" w:rsidR="00E22C3D" w:rsidRPr="002F3218" w:rsidRDefault="00BE7CB1" w:rsidP="00F64BF9">
      <w:pPr>
        <w:spacing w:line="240" w:lineRule="auto"/>
      </w:pPr>
      <w:r w:rsidRPr="00FC3A8B">
        <w:t xml:space="preserve">V štúdii BO20924, kde bol bevacizumab podávaný súbežne so štandardnou liečbou v liečbe </w:t>
      </w:r>
      <w:r w:rsidRPr="00F14E99">
        <w:t>metastatické</w:t>
      </w:r>
      <w:r w:rsidRPr="00FC3A8B">
        <w:t xml:space="preserve">ho rabdomyosarkómu a sarkómu mäkkého tkaniva </w:t>
      </w:r>
      <w:r w:rsidR="00E50B07">
        <w:t xml:space="preserve">iného ako </w:t>
      </w:r>
      <w:r w:rsidRPr="00FC3A8B">
        <w:t>rabdomyosarkóm, bol bezpečnostný profil u detí liečených bevacizumabom porovnateľný s profilom dospelých liečených bevacizumabom.</w:t>
      </w:r>
    </w:p>
    <w:p w14:paraId="14BA5C56" w14:textId="77777777" w:rsidR="00E22C3D" w:rsidRPr="00F37D4D" w:rsidRDefault="00E22C3D" w:rsidP="00F64BF9">
      <w:pPr>
        <w:spacing w:line="240" w:lineRule="auto"/>
      </w:pPr>
    </w:p>
    <w:p w14:paraId="4C751E97" w14:textId="77777777" w:rsidR="00E22C3D" w:rsidRPr="00F37D4D" w:rsidRDefault="00BE7CB1" w:rsidP="00F64BF9">
      <w:pPr>
        <w:spacing w:line="240" w:lineRule="auto"/>
      </w:pPr>
      <w:r>
        <w:t>Alymsys nie je schválený na použitie u pacientov mladších než 18 rokov. V hláseniach v publikovanej literatúre boli u pacientov mladších než 18 rokov liečených bevacizumabom hlásené prípady osteonekrózy v inej lokalizácii než mandibulárnej.</w:t>
      </w:r>
    </w:p>
    <w:p w14:paraId="44236E68" w14:textId="77777777" w:rsidR="00E22C3D" w:rsidRPr="00F37D4D" w:rsidRDefault="00E22C3D" w:rsidP="00755C59">
      <w:pPr>
        <w:widowControl w:val="0"/>
        <w:spacing w:line="240" w:lineRule="auto"/>
      </w:pPr>
    </w:p>
    <w:p w14:paraId="1E4F66AC" w14:textId="77777777" w:rsidR="00E22C3D" w:rsidRPr="00694C1C" w:rsidRDefault="00BE7CB1" w:rsidP="00755C59">
      <w:pPr>
        <w:widowControl w:val="0"/>
        <w:spacing w:line="240" w:lineRule="auto"/>
        <w:rPr>
          <w:i/>
          <w:u w:val="single"/>
        </w:rPr>
      </w:pPr>
      <w:r>
        <w:rPr>
          <w:u w:val="single"/>
        </w:rPr>
        <w:t>Skúsenosti po uvedení lieku na trh</w:t>
      </w:r>
    </w:p>
    <w:p w14:paraId="6722949F" w14:textId="77777777" w:rsidR="001A1BBA" w:rsidRPr="00F37D4D" w:rsidRDefault="001A1BBA" w:rsidP="00755C59">
      <w:pPr>
        <w:widowControl w:val="0"/>
        <w:spacing w:line="240" w:lineRule="auto"/>
      </w:pPr>
    </w:p>
    <w:p w14:paraId="34AC842F" w14:textId="77777777" w:rsidR="00E22C3D" w:rsidRPr="00694C1C" w:rsidRDefault="00BE7CB1" w:rsidP="00755C59">
      <w:pPr>
        <w:widowControl w:val="0"/>
        <w:spacing w:line="240" w:lineRule="auto"/>
        <w:rPr>
          <w:b/>
          <w:bCs/>
        </w:rPr>
      </w:pPr>
      <w:r>
        <w:rPr>
          <w:b/>
        </w:rPr>
        <w:t>Tabuľka 3. Nežiaduce reakcie hlásené po uvedení lieku na trh</w:t>
      </w:r>
    </w:p>
    <w:p w14:paraId="5957D28B" w14:textId="77777777" w:rsidR="00E22C3D" w:rsidRPr="00DA33C1" w:rsidRDefault="00E22C3D"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D719AB" w14:paraId="5EE2A6E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193505AD" w14:textId="6B542367" w:rsidR="00E22C3D" w:rsidRPr="00D719AB" w:rsidRDefault="00BE7CB1" w:rsidP="00755C59">
            <w:pPr>
              <w:pStyle w:val="TABLES"/>
              <w:ind w:left="57" w:right="57"/>
              <w:jc w:val="center"/>
              <w:rPr>
                <w:b/>
                <w:bCs/>
              </w:rPr>
            </w:pPr>
            <w:r>
              <w:rPr>
                <w:b/>
              </w:rPr>
              <w:t>Trieda orgánového systému (S</w:t>
            </w:r>
            <w:r w:rsidR="000440B7">
              <w:rPr>
                <w:b/>
              </w:rPr>
              <w:t>OC</w:t>
            </w:r>
            <w:r>
              <w:rPr>
                <w:b/>
              </w:rPr>
              <w:t>, System organ class)</w:t>
            </w:r>
          </w:p>
        </w:tc>
        <w:tc>
          <w:tcPr>
            <w:tcW w:w="3796" w:type="pct"/>
            <w:tcBorders>
              <w:top w:val="single" w:sz="4" w:space="0" w:color="000000"/>
              <w:left w:val="single" w:sz="4" w:space="0" w:color="000000"/>
              <w:bottom w:val="single" w:sz="4" w:space="0" w:color="000000"/>
              <w:right w:val="single" w:sz="4" w:space="0" w:color="000000"/>
            </w:tcBorders>
            <w:hideMark/>
          </w:tcPr>
          <w:p w14:paraId="222775E5" w14:textId="77777777" w:rsidR="00E22C3D" w:rsidRPr="00D719AB" w:rsidRDefault="00BE7CB1" w:rsidP="00755C59">
            <w:pPr>
              <w:pStyle w:val="TABLES"/>
              <w:ind w:left="57" w:right="57"/>
              <w:jc w:val="center"/>
              <w:rPr>
                <w:b/>
                <w:bCs/>
              </w:rPr>
            </w:pPr>
            <w:r>
              <w:rPr>
                <w:b/>
              </w:rPr>
              <w:t>Reakcie (frekvencia*)</w:t>
            </w:r>
          </w:p>
        </w:tc>
      </w:tr>
      <w:tr w:rsidR="00741586" w:rsidRPr="00F37D4D" w14:paraId="115389F9"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82B0960" w14:textId="77777777" w:rsidR="00E22C3D" w:rsidRPr="005973AB" w:rsidRDefault="00BE7CB1" w:rsidP="00755C59">
            <w:pPr>
              <w:pStyle w:val="TABLES"/>
              <w:ind w:left="57" w:right="57"/>
              <w:rPr>
                <w:b/>
                <w:iCs/>
              </w:rPr>
            </w:pPr>
            <w:r>
              <w:rPr>
                <w:b/>
              </w:rPr>
              <w:t>Infekcie a nákazy</w:t>
            </w:r>
          </w:p>
        </w:tc>
        <w:tc>
          <w:tcPr>
            <w:tcW w:w="3796" w:type="pct"/>
            <w:tcBorders>
              <w:top w:val="single" w:sz="4" w:space="0" w:color="000000"/>
              <w:left w:val="single" w:sz="4" w:space="0" w:color="000000"/>
              <w:bottom w:val="single" w:sz="4" w:space="0" w:color="000000"/>
              <w:right w:val="single" w:sz="4" w:space="0" w:color="000000"/>
            </w:tcBorders>
            <w:hideMark/>
          </w:tcPr>
          <w:p w14:paraId="66136697" w14:textId="77777777" w:rsidR="00E22C3D" w:rsidRPr="00F37D4D" w:rsidRDefault="00BE7CB1" w:rsidP="00755C59">
            <w:pPr>
              <w:pStyle w:val="TABLES"/>
            </w:pPr>
            <w:r>
              <w:t>Nekrotizujúca fasciitída, zvyčajne sekundárna pri komplikáciách hojenia rán, pri gastrointestinálnej perforácii alebo pri vytvorení fistuly (zriedkavo) (pozri tiež časť 4.4)</w:t>
            </w:r>
          </w:p>
        </w:tc>
      </w:tr>
      <w:tr w:rsidR="00741586" w:rsidRPr="00F37D4D" w14:paraId="2A614A86"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4CE0C423" w14:textId="77777777" w:rsidR="00E22C3D" w:rsidRPr="005973AB" w:rsidRDefault="00BE7CB1" w:rsidP="00755C59">
            <w:pPr>
              <w:pStyle w:val="TABLES"/>
              <w:ind w:left="57" w:right="57"/>
              <w:rPr>
                <w:b/>
                <w:iCs/>
              </w:rPr>
            </w:pPr>
            <w:r>
              <w:rPr>
                <w:b/>
              </w:rPr>
              <w:t>Poruchy imunitného systému</w:t>
            </w:r>
          </w:p>
        </w:tc>
        <w:tc>
          <w:tcPr>
            <w:tcW w:w="3796" w:type="pct"/>
            <w:tcBorders>
              <w:top w:val="single" w:sz="4" w:space="0" w:color="000000"/>
              <w:left w:val="single" w:sz="4" w:space="0" w:color="000000"/>
              <w:bottom w:val="single" w:sz="4" w:space="0" w:color="000000"/>
              <w:right w:val="single" w:sz="4" w:space="0" w:color="000000"/>
            </w:tcBorders>
            <w:hideMark/>
          </w:tcPr>
          <w:p w14:paraId="5A9D2EC0" w14:textId="788CDEC2" w:rsidR="00E22C3D" w:rsidRDefault="00BE7CB1" w:rsidP="00755C59">
            <w:pPr>
              <w:pStyle w:val="TABLES"/>
              <w:spacing w:after="240"/>
            </w:pPr>
            <w:r>
              <w:t>Reakcie z precitlivenosti a reakcie na infúziu (</w:t>
            </w:r>
            <w:r w:rsidR="00E55D9E" w:rsidRPr="00E55D9E">
              <w:t>časté</w:t>
            </w:r>
            <w:r>
              <w:t>); súbežne s ďalšími možnými prejavmi: dyspnoe/ťažkosti s dýchaním, návaly horúčavy</w:t>
            </w:r>
            <w:r w:rsidRPr="00F14E99">
              <w:t>/sčervenenie/vyrážka, hypotenzia alebo hypertenzia, znížené nasýtenie krvi kyslíkom, bolesť</w:t>
            </w:r>
            <w:r>
              <w:t xml:space="preserve"> na hrudi, stuhnutosť a nauzea/vracanie (pozri tiež </w:t>
            </w:r>
            <w:r w:rsidR="00E55D9E" w:rsidRPr="00E55D9E">
              <w:t xml:space="preserve">vyššie </w:t>
            </w:r>
            <w:r>
              <w:t xml:space="preserve">časť 4.4 </w:t>
            </w:r>
            <w:r w:rsidRPr="00F37D4D">
              <w:rPr>
                <w:i/>
              </w:rPr>
              <w:t>Reakcie z precitlivenosti/reakcie na infúziu</w:t>
            </w:r>
            <w:r>
              <w:t>)</w:t>
            </w:r>
          </w:p>
          <w:p w14:paraId="65D152C5" w14:textId="6446BFC9" w:rsidR="00E55D9E" w:rsidRPr="00F37D4D" w:rsidRDefault="00E55D9E" w:rsidP="00755C59">
            <w:pPr>
              <w:pStyle w:val="TABLES"/>
              <w:spacing w:after="240"/>
            </w:pPr>
            <w:r w:rsidRPr="00E55D9E">
              <w:t>Anafylaktický šok (zriedkavé) (pozri tiež časť 4.4)</w:t>
            </w:r>
          </w:p>
        </w:tc>
      </w:tr>
      <w:tr w:rsidR="00741586" w:rsidRPr="00F37D4D" w14:paraId="6406AD92"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7174D34A" w14:textId="77777777" w:rsidR="00E22C3D" w:rsidRPr="005973AB" w:rsidRDefault="00BE7CB1" w:rsidP="00755C59">
            <w:pPr>
              <w:pStyle w:val="TABLES"/>
              <w:ind w:left="57" w:right="57"/>
              <w:rPr>
                <w:b/>
                <w:iCs/>
              </w:rPr>
            </w:pPr>
            <w:r>
              <w:rPr>
                <w:b/>
              </w:rPr>
              <w:t>Poruchy nervového systému</w:t>
            </w:r>
          </w:p>
        </w:tc>
        <w:tc>
          <w:tcPr>
            <w:tcW w:w="3796" w:type="pct"/>
            <w:tcBorders>
              <w:top w:val="single" w:sz="4" w:space="0" w:color="000000"/>
              <w:left w:val="single" w:sz="4" w:space="0" w:color="000000"/>
              <w:bottom w:val="single" w:sz="4" w:space="0" w:color="000000"/>
              <w:right w:val="single" w:sz="4" w:space="0" w:color="000000"/>
            </w:tcBorders>
            <w:hideMark/>
          </w:tcPr>
          <w:p w14:paraId="29DAAB34" w14:textId="77777777" w:rsidR="00E22C3D" w:rsidRPr="00F37D4D" w:rsidRDefault="00BE7CB1" w:rsidP="00755C59">
            <w:pPr>
              <w:pStyle w:val="TABLES"/>
            </w:pPr>
            <w:r>
              <w:t>Hypertenzná encefalopatia (veľmi zriedkavé) (pozri tiež časť 4.4 a</w:t>
            </w:r>
            <w:r w:rsidR="002C03BE">
              <w:t xml:space="preserve"> </w:t>
            </w:r>
            <w:r w:rsidRPr="00F37D4D">
              <w:rPr>
                <w:i/>
              </w:rPr>
              <w:t xml:space="preserve">Hypertenzia </w:t>
            </w:r>
            <w:r>
              <w:t>v časti 4.8)</w:t>
            </w:r>
          </w:p>
          <w:p w14:paraId="44E6C454" w14:textId="77777777" w:rsidR="00E22C3D" w:rsidRPr="00F37D4D" w:rsidRDefault="00BE7CB1" w:rsidP="00755C59">
            <w:pPr>
              <w:pStyle w:val="TABLES"/>
            </w:pPr>
            <w:r>
              <w:t>Posteriórny reverzibilný encefalopatický syndróm (PRES) (zriedkavé) (pozri tiež časť 4.4)</w:t>
            </w:r>
          </w:p>
        </w:tc>
      </w:tr>
      <w:tr w:rsidR="00741586" w:rsidRPr="00F37D4D" w14:paraId="4B611251"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F3D98D2" w14:textId="77777777" w:rsidR="00E22C3D" w:rsidRPr="005973AB" w:rsidRDefault="00BE7CB1" w:rsidP="00755C59">
            <w:pPr>
              <w:pStyle w:val="TABLES"/>
              <w:ind w:left="57" w:right="57"/>
              <w:rPr>
                <w:b/>
                <w:iCs/>
              </w:rPr>
            </w:pPr>
            <w:r>
              <w:rPr>
                <w:b/>
              </w:rPr>
              <w:t>Poruchy ciev</w:t>
            </w:r>
          </w:p>
        </w:tc>
        <w:tc>
          <w:tcPr>
            <w:tcW w:w="3796" w:type="pct"/>
            <w:tcBorders>
              <w:top w:val="single" w:sz="4" w:space="0" w:color="000000"/>
              <w:left w:val="single" w:sz="4" w:space="0" w:color="000000"/>
              <w:bottom w:val="single" w:sz="4" w:space="0" w:color="000000"/>
              <w:right w:val="single" w:sz="4" w:space="0" w:color="000000"/>
            </w:tcBorders>
            <w:hideMark/>
          </w:tcPr>
          <w:p w14:paraId="291CA7E0" w14:textId="1A56F9CC" w:rsidR="00E22C3D" w:rsidRPr="00F37D4D" w:rsidRDefault="00BE7CB1" w:rsidP="00755C59">
            <w:pPr>
              <w:pStyle w:val="TABLES"/>
            </w:pPr>
            <w:r>
              <w:t>Renálna trombotická mikroangiopatia</w:t>
            </w:r>
            <w:r w:rsidR="00837D13">
              <w:t xml:space="preserve"> pri súbežnom použití sunitinibu alebo bez neho a hyalínová okluzívna glomerulárna mikroangiopatia</w:t>
            </w:r>
            <w:r>
              <w:t>, ktorá sa môže klinicky prejavovať ako proteinúria (</w:t>
            </w:r>
            <w:r w:rsidR="00837D13" w:rsidRPr="00837D13">
              <w:t>neznáme</w:t>
            </w:r>
            <w:r>
              <w:t xml:space="preserve">). Ďalšie informácie o proteinúrii, pozri časť  4.4 a </w:t>
            </w:r>
            <w:r w:rsidRPr="00F37D4D">
              <w:rPr>
                <w:i/>
              </w:rPr>
              <w:t xml:space="preserve">Proteinúria </w:t>
            </w:r>
            <w:r>
              <w:t>časť  4.8</w:t>
            </w:r>
          </w:p>
        </w:tc>
      </w:tr>
      <w:tr w:rsidR="00741586" w:rsidRPr="00F37D4D" w14:paraId="4E2A52CA"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6089460" w14:textId="77777777" w:rsidR="00E22C3D" w:rsidRPr="005973AB" w:rsidRDefault="00BE7CB1" w:rsidP="00755C59">
            <w:pPr>
              <w:pStyle w:val="TABLES"/>
              <w:ind w:left="57" w:right="57"/>
              <w:rPr>
                <w:b/>
                <w:iCs/>
              </w:rPr>
            </w:pPr>
            <w:r>
              <w:rPr>
                <w:b/>
              </w:rPr>
              <w:t>Poruchy dýchacej sústavy, hrudníka a mediastína</w:t>
            </w:r>
          </w:p>
        </w:tc>
        <w:tc>
          <w:tcPr>
            <w:tcW w:w="3796" w:type="pct"/>
            <w:tcBorders>
              <w:top w:val="single" w:sz="4" w:space="0" w:color="000000"/>
              <w:left w:val="single" w:sz="4" w:space="0" w:color="000000"/>
              <w:bottom w:val="single" w:sz="4" w:space="0" w:color="000000"/>
              <w:right w:val="single" w:sz="4" w:space="0" w:color="000000"/>
            </w:tcBorders>
            <w:hideMark/>
          </w:tcPr>
          <w:p w14:paraId="723116BD" w14:textId="77777777" w:rsidR="006D792F" w:rsidRDefault="00BE7CB1" w:rsidP="00755C59">
            <w:pPr>
              <w:pStyle w:val="TABLES"/>
            </w:pPr>
            <w:r>
              <w:t>Perforácia nosového septa (nie je známa)</w:t>
            </w:r>
          </w:p>
          <w:p w14:paraId="60425821" w14:textId="77777777" w:rsidR="006D792F" w:rsidRDefault="00BE7CB1" w:rsidP="00755C59">
            <w:pPr>
              <w:pStyle w:val="TABLES"/>
            </w:pPr>
            <w:r>
              <w:t>Pľúcna hypertenzia (nie je známa)</w:t>
            </w:r>
          </w:p>
          <w:p w14:paraId="6C3BD369" w14:textId="77777777" w:rsidR="00E22C3D" w:rsidRPr="00F37D4D" w:rsidRDefault="00BE7CB1" w:rsidP="00755C59">
            <w:pPr>
              <w:pStyle w:val="TABLES"/>
            </w:pPr>
            <w:r>
              <w:t>Dysfónia (časté)</w:t>
            </w:r>
          </w:p>
        </w:tc>
      </w:tr>
      <w:tr w:rsidR="00741586" w:rsidRPr="00F37D4D" w14:paraId="0CA54B5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48B6DBBC" w14:textId="77777777" w:rsidR="00E22C3D" w:rsidRPr="005973AB" w:rsidRDefault="00BE7CB1" w:rsidP="00755C59">
            <w:pPr>
              <w:pStyle w:val="TABLES"/>
              <w:ind w:left="57" w:right="57"/>
              <w:rPr>
                <w:b/>
                <w:iCs/>
              </w:rPr>
            </w:pPr>
            <w:r>
              <w:rPr>
                <w:b/>
              </w:rPr>
              <w:lastRenderedPageBreak/>
              <w:t>Poruchy gastrointestinálneho traktu</w:t>
            </w:r>
          </w:p>
        </w:tc>
        <w:tc>
          <w:tcPr>
            <w:tcW w:w="3796" w:type="pct"/>
            <w:tcBorders>
              <w:top w:val="single" w:sz="4" w:space="0" w:color="000000"/>
              <w:left w:val="single" w:sz="4" w:space="0" w:color="000000"/>
              <w:bottom w:val="single" w:sz="4" w:space="0" w:color="000000"/>
              <w:right w:val="single" w:sz="4" w:space="0" w:color="000000"/>
            </w:tcBorders>
            <w:hideMark/>
          </w:tcPr>
          <w:p w14:paraId="2A1898A9" w14:textId="77777777" w:rsidR="00E22C3D" w:rsidRPr="00F37D4D" w:rsidRDefault="00BE7CB1" w:rsidP="00755C59">
            <w:pPr>
              <w:pStyle w:val="TABLES"/>
            </w:pPr>
            <w:r>
              <w:t>Gastrointestinálny vred (nie je známa)</w:t>
            </w:r>
          </w:p>
        </w:tc>
      </w:tr>
      <w:tr w:rsidR="00741586" w:rsidRPr="00F37D4D" w14:paraId="17CEAF9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C46ED37" w14:textId="77777777" w:rsidR="00E22C3D" w:rsidRPr="005973AB" w:rsidRDefault="00BE7CB1" w:rsidP="00755C59">
            <w:pPr>
              <w:pStyle w:val="TABLES"/>
              <w:ind w:left="57" w:right="57"/>
              <w:rPr>
                <w:b/>
                <w:iCs/>
              </w:rPr>
            </w:pPr>
            <w:r>
              <w:rPr>
                <w:b/>
              </w:rPr>
              <w:t>Poruchy pečene a žlčových ciest</w:t>
            </w:r>
          </w:p>
        </w:tc>
        <w:tc>
          <w:tcPr>
            <w:tcW w:w="3796" w:type="pct"/>
            <w:tcBorders>
              <w:top w:val="single" w:sz="4" w:space="0" w:color="000000"/>
              <w:left w:val="single" w:sz="4" w:space="0" w:color="000000"/>
              <w:bottom w:val="single" w:sz="4" w:space="0" w:color="000000"/>
              <w:right w:val="single" w:sz="4" w:space="0" w:color="000000"/>
            </w:tcBorders>
            <w:hideMark/>
          </w:tcPr>
          <w:p w14:paraId="080736D1" w14:textId="77777777" w:rsidR="00E22C3D" w:rsidRPr="00F37D4D" w:rsidRDefault="00BE7CB1" w:rsidP="00755C59">
            <w:pPr>
              <w:pStyle w:val="TABLES"/>
            </w:pPr>
            <w:r>
              <w:t>Perforácia žlčníka (nie je známa)</w:t>
            </w:r>
          </w:p>
        </w:tc>
      </w:tr>
      <w:tr w:rsidR="00741586" w:rsidRPr="00F37D4D" w14:paraId="585AF5A9"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6F340302" w14:textId="77777777" w:rsidR="00E22C3D" w:rsidRPr="005973AB" w:rsidRDefault="00BE7CB1" w:rsidP="00755C59">
            <w:pPr>
              <w:pStyle w:val="TABLES"/>
              <w:ind w:left="57" w:right="57"/>
              <w:rPr>
                <w:b/>
                <w:iCs/>
              </w:rPr>
            </w:pPr>
            <w:r>
              <w:rPr>
                <w:b/>
              </w:rPr>
              <w:t>Poruchy kostrovej a svalovej sústavy a spojivového tkaniva</w:t>
            </w:r>
          </w:p>
        </w:tc>
        <w:tc>
          <w:tcPr>
            <w:tcW w:w="3796" w:type="pct"/>
            <w:tcBorders>
              <w:top w:val="single" w:sz="4" w:space="0" w:color="000000"/>
              <w:left w:val="single" w:sz="4" w:space="0" w:color="000000"/>
              <w:bottom w:val="single" w:sz="4" w:space="0" w:color="000000"/>
              <w:right w:val="single" w:sz="4" w:space="0" w:color="000000"/>
            </w:tcBorders>
            <w:hideMark/>
          </w:tcPr>
          <w:p w14:paraId="39644FEC" w14:textId="77777777" w:rsidR="00E22C3D" w:rsidRPr="00F37D4D" w:rsidRDefault="00BE7CB1" w:rsidP="00755C59">
            <w:pPr>
              <w:pStyle w:val="TABLES"/>
            </w:pPr>
            <w:r>
              <w:t>Prípady osteonekrózy čeľuste (ONJ) boli hlásené u pacientov liečených bevacizumabom, z ktorých väčšina sa vyskytla u pacientov, ktorí mali zistené rizikové faktory vzniku ONJ, najmä u pacientov, ktorí boli liečení intravenóznymi bisfosfonátmi a/alebo mali zubné ochorenie v anamnéze, ktoré vyžad</w:t>
            </w:r>
            <w:r w:rsidR="005A2C61">
              <w:t>u</w:t>
            </w:r>
            <w:r w:rsidR="00EC70F4">
              <w:t>je</w:t>
            </w:r>
            <w:r>
              <w:t xml:space="preserve"> invazívny stomatologický zákrok (pozri tiež časť 4.4)</w:t>
            </w:r>
          </w:p>
        </w:tc>
      </w:tr>
      <w:tr w:rsidR="00741586" w:rsidRPr="00F37D4D" w14:paraId="3A7E067B"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348F47EF" w14:textId="77777777" w:rsidR="00E22C3D" w:rsidRPr="005973AB" w:rsidRDefault="00E22C3D" w:rsidP="00755C59">
            <w:pPr>
              <w:widowControl w:val="0"/>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77C7791B" w14:textId="77777777" w:rsidR="00E22C3D" w:rsidRPr="00F37D4D" w:rsidRDefault="00BE7CB1" w:rsidP="00755C59">
            <w:pPr>
              <w:pStyle w:val="TABLES"/>
            </w:pPr>
            <w:r>
              <w:t>Prípady osteonekrózy v inej lokalizácii než mandibulárnej boli pozorované v pediatrickej populácii liečenej bevacizumabom (pozri časť 4.8. Pediatrická populácia).</w:t>
            </w:r>
          </w:p>
        </w:tc>
      </w:tr>
      <w:tr w:rsidR="00741586" w:rsidRPr="00F37D4D" w14:paraId="55A97776"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FCB7853" w14:textId="77777777" w:rsidR="00E22C3D" w:rsidRPr="005973AB" w:rsidRDefault="00BE7CB1" w:rsidP="00755C59">
            <w:pPr>
              <w:pStyle w:val="TABLES"/>
              <w:ind w:left="57" w:right="57"/>
              <w:rPr>
                <w:b/>
                <w:iCs/>
              </w:rPr>
            </w:pPr>
            <w:r>
              <w:rPr>
                <w:b/>
              </w:rPr>
              <w:t>Vrodené, familiárne a genetické poruchy</w:t>
            </w:r>
          </w:p>
        </w:tc>
        <w:tc>
          <w:tcPr>
            <w:tcW w:w="3796" w:type="pct"/>
            <w:tcBorders>
              <w:top w:val="single" w:sz="4" w:space="0" w:color="000000"/>
              <w:left w:val="single" w:sz="4" w:space="0" w:color="000000"/>
              <w:bottom w:val="single" w:sz="4" w:space="0" w:color="000000"/>
              <w:right w:val="single" w:sz="4" w:space="0" w:color="000000"/>
            </w:tcBorders>
            <w:hideMark/>
          </w:tcPr>
          <w:p w14:paraId="0BD3C140" w14:textId="77777777" w:rsidR="00E22C3D" w:rsidRPr="00F37D4D" w:rsidRDefault="00BE7CB1" w:rsidP="00755C59">
            <w:pPr>
              <w:pStyle w:val="TABLES"/>
            </w:pPr>
            <w:r>
              <w:t xml:space="preserve">Prípady </w:t>
            </w:r>
            <w:r w:rsidR="00686834">
              <w:t xml:space="preserve">abnormalít </w:t>
            </w:r>
            <w:r>
              <w:t>plodu u žien liečených samotným bevacizumabom alebo v kombinácii so známymi embryotoxickými chemoterapeutikami (pozri časť 4.6.)</w:t>
            </w:r>
          </w:p>
        </w:tc>
      </w:tr>
    </w:tbl>
    <w:p w14:paraId="6158C115" w14:textId="77777777" w:rsidR="00E22C3D" w:rsidRPr="00F37D4D" w:rsidRDefault="00BE7CB1" w:rsidP="00755C59">
      <w:pPr>
        <w:widowControl w:val="0"/>
        <w:tabs>
          <w:tab w:val="clear" w:pos="567"/>
          <w:tab w:val="left" w:pos="284"/>
        </w:tabs>
        <w:spacing w:line="240" w:lineRule="auto"/>
        <w:ind w:left="284" w:hanging="284"/>
        <w:rPr>
          <w:sz w:val="20"/>
        </w:rPr>
      </w:pPr>
      <w:r>
        <w:rPr>
          <w:sz w:val="20"/>
        </w:rPr>
        <w:t>*</w:t>
      </w:r>
      <w:r w:rsidR="009B3447">
        <w:rPr>
          <w:sz w:val="20"/>
        </w:rPr>
        <w:tab/>
      </w:r>
      <w:r>
        <w:rPr>
          <w:sz w:val="20"/>
        </w:rPr>
        <w:t>Ak je uvedené, frekvencia pochádza z údajov z klinického skúšania.</w:t>
      </w:r>
    </w:p>
    <w:p w14:paraId="24F42CF4" w14:textId="77777777" w:rsidR="00E22C3D" w:rsidRPr="00F37D4D" w:rsidRDefault="00E22C3D" w:rsidP="00755C59">
      <w:pPr>
        <w:widowControl w:val="0"/>
        <w:spacing w:line="240" w:lineRule="auto"/>
      </w:pPr>
    </w:p>
    <w:p w14:paraId="466D5CD0" w14:textId="77777777" w:rsidR="00E22C3D" w:rsidRPr="00F37D4D" w:rsidRDefault="00BE7CB1" w:rsidP="00F64BF9">
      <w:pPr>
        <w:keepNext/>
        <w:autoSpaceDE w:val="0"/>
        <w:autoSpaceDN w:val="0"/>
        <w:adjustRightInd w:val="0"/>
        <w:spacing w:line="240" w:lineRule="auto"/>
        <w:rPr>
          <w:szCs w:val="22"/>
          <w:u w:val="single"/>
        </w:rPr>
      </w:pPr>
      <w:r>
        <w:rPr>
          <w:u w:val="single"/>
        </w:rPr>
        <w:t>Hlásenie podozrení na nežiaduce reakcie</w:t>
      </w:r>
    </w:p>
    <w:p w14:paraId="6C8E7F09" w14:textId="77777777" w:rsidR="00E22C3D" w:rsidRPr="00F37D4D" w:rsidRDefault="00E22C3D" w:rsidP="00F64BF9">
      <w:pPr>
        <w:keepNext/>
        <w:autoSpaceDE w:val="0"/>
        <w:autoSpaceDN w:val="0"/>
        <w:adjustRightInd w:val="0"/>
        <w:spacing w:line="240" w:lineRule="auto"/>
        <w:rPr>
          <w:szCs w:val="22"/>
        </w:rPr>
      </w:pPr>
    </w:p>
    <w:p w14:paraId="31AC768E" w14:textId="77777777" w:rsidR="00E22C3D" w:rsidRPr="00F37D4D" w:rsidRDefault="00BE7CB1" w:rsidP="00F64BF9">
      <w:pPr>
        <w:autoSpaceDE w:val="0"/>
        <w:autoSpaceDN w:val="0"/>
        <w:adjustRightInd w:val="0"/>
        <w:spacing w:line="240" w:lineRule="auto"/>
        <w:rPr>
          <w:szCs w:val="22"/>
        </w:rPr>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37D4D">
        <w:rPr>
          <w:szCs w:val="22"/>
          <w:highlight w:val="lightGray"/>
        </w:rPr>
        <w:t>národné centrum hlásenia uvedené v</w:t>
      </w:r>
      <w:r w:rsidR="00672A0E">
        <w:rPr>
          <w:szCs w:val="22"/>
        </w:rPr>
        <w:t xml:space="preserve"> </w:t>
      </w:r>
      <w:hyperlink r:id="rId8" w:history="1">
        <w:r>
          <w:rPr>
            <w:rStyle w:val="Hyperlink"/>
            <w:highlight w:val="lightGray"/>
          </w:rPr>
          <w:t>Prílohe V</w:t>
        </w:r>
      </w:hyperlink>
      <w:r>
        <w:t>.</w:t>
      </w:r>
    </w:p>
    <w:p w14:paraId="404CE9D9" w14:textId="77777777" w:rsidR="008D35AD" w:rsidRPr="00F37D4D" w:rsidRDefault="008D35AD" w:rsidP="00F64BF9">
      <w:pPr>
        <w:spacing w:line="240" w:lineRule="auto"/>
        <w:rPr>
          <w:szCs w:val="22"/>
        </w:rPr>
      </w:pPr>
    </w:p>
    <w:p w14:paraId="61B3EF83" w14:textId="77777777" w:rsidR="00812D16" w:rsidRPr="00F37D4D" w:rsidRDefault="00BE7CB1" w:rsidP="00F64BF9">
      <w:pPr>
        <w:keepNext/>
        <w:spacing w:line="240" w:lineRule="auto"/>
        <w:rPr>
          <w:b/>
          <w:bCs/>
          <w:szCs w:val="22"/>
        </w:rPr>
      </w:pPr>
      <w:r>
        <w:rPr>
          <w:b/>
        </w:rPr>
        <w:t>4.9</w:t>
      </w:r>
      <w:r w:rsidRPr="00F37D4D">
        <w:rPr>
          <w:b/>
          <w:bCs/>
          <w:szCs w:val="22"/>
        </w:rPr>
        <w:tab/>
      </w:r>
      <w:r>
        <w:rPr>
          <w:b/>
        </w:rPr>
        <w:t>Predávkovanie</w:t>
      </w:r>
    </w:p>
    <w:p w14:paraId="4EF871F2" w14:textId="77777777" w:rsidR="00812D16" w:rsidRPr="00F37D4D" w:rsidRDefault="00812D16" w:rsidP="00F64BF9">
      <w:pPr>
        <w:keepNext/>
        <w:spacing w:line="240" w:lineRule="auto"/>
        <w:rPr>
          <w:szCs w:val="22"/>
        </w:rPr>
      </w:pPr>
    </w:p>
    <w:p w14:paraId="2C382655" w14:textId="77777777" w:rsidR="00E22C3D" w:rsidRPr="00F37D4D" w:rsidRDefault="00BE7CB1" w:rsidP="00F64BF9">
      <w:pPr>
        <w:spacing w:line="240" w:lineRule="auto"/>
      </w:pPr>
      <w:r>
        <w:t>Najvyššia testovaná dávka u ľudí (20 mg/kg telesnej hmotnosti, intravenózne každé 2 týždne) bola u niekoľkých pacientov spojená so silnou migrénou.</w:t>
      </w:r>
    </w:p>
    <w:p w14:paraId="0123676B" w14:textId="77777777" w:rsidR="00674492" w:rsidRPr="00F37D4D" w:rsidRDefault="00674492" w:rsidP="00F64BF9">
      <w:pPr>
        <w:spacing w:line="240" w:lineRule="auto"/>
        <w:rPr>
          <w:szCs w:val="22"/>
        </w:rPr>
      </w:pPr>
    </w:p>
    <w:p w14:paraId="464333DC" w14:textId="77777777" w:rsidR="00FE1BD0" w:rsidRPr="00F37D4D" w:rsidRDefault="00FE1BD0" w:rsidP="00F64BF9">
      <w:pPr>
        <w:spacing w:line="240" w:lineRule="auto"/>
        <w:rPr>
          <w:szCs w:val="22"/>
        </w:rPr>
      </w:pPr>
    </w:p>
    <w:p w14:paraId="1B295D69" w14:textId="77777777" w:rsidR="00812D16" w:rsidRPr="00694C1C" w:rsidRDefault="00BE7CB1" w:rsidP="00F64BF9">
      <w:pPr>
        <w:keepNext/>
        <w:spacing w:line="240" w:lineRule="auto"/>
        <w:rPr>
          <w:b/>
          <w:bCs/>
        </w:rPr>
      </w:pPr>
      <w:r>
        <w:rPr>
          <w:b/>
        </w:rPr>
        <w:t>5.</w:t>
      </w:r>
      <w:r w:rsidRPr="00694C1C">
        <w:rPr>
          <w:b/>
          <w:bCs/>
          <w:szCs w:val="22"/>
        </w:rPr>
        <w:tab/>
      </w:r>
      <w:r>
        <w:rPr>
          <w:b/>
        </w:rPr>
        <w:t>FARMAKOLOGICKÉ VLASTNOSTI</w:t>
      </w:r>
    </w:p>
    <w:p w14:paraId="1CF145F6" w14:textId="77777777" w:rsidR="00812D16" w:rsidRPr="00F37D4D" w:rsidRDefault="00812D16" w:rsidP="00F64BF9">
      <w:pPr>
        <w:keepNext/>
        <w:spacing w:line="240" w:lineRule="auto"/>
      </w:pPr>
    </w:p>
    <w:p w14:paraId="6F15A669" w14:textId="77777777" w:rsidR="00812D16" w:rsidRPr="00694C1C" w:rsidRDefault="00BE7CB1" w:rsidP="00F64BF9">
      <w:pPr>
        <w:keepNext/>
        <w:spacing w:line="240" w:lineRule="auto"/>
        <w:rPr>
          <w:b/>
          <w:bCs/>
        </w:rPr>
      </w:pPr>
      <w:r>
        <w:rPr>
          <w:b/>
        </w:rPr>
        <w:t>5.1</w:t>
      </w:r>
      <w:r w:rsidRPr="00694C1C">
        <w:rPr>
          <w:b/>
          <w:bCs/>
        </w:rPr>
        <w:tab/>
      </w:r>
      <w:r>
        <w:rPr>
          <w:b/>
        </w:rPr>
        <w:t>Farmakodynamické vlastnosti</w:t>
      </w:r>
    </w:p>
    <w:p w14:paraId="2C9E0541" w14:textId="77777777" w:rsidR="00812D16" w:rsidRPr="00F37D4D" w:rsidRDefault="00812D16" w:rsidP="00F64BF9">
      <w:pPr>
        <w:keepNext/>
        <w:spacing w:line="240" w:lineRule="auto"/>
      </w:pPr>
    </w:p>
    <w:p w14:paraId="453C52DF" w14:textId="3F177634" w:rsidR="00E22C3D" w:rsidRPr="00755C59" w:rsidRDefault="00BE7CB1" w:rsidP="00755C59">
      <w:pPr>
        <w:spacing w:line="240" w:lineRule="auto"/>
        <w:rPr>
          <w:rFonts w:eastAsia="SimSun"/>
        </w:rPr>
      </w:pPr>
      <w:r w:rsidRPr="00755C59">
        <w:t>Farmakoterapeutická skupina: cytostatiká a imunomodulátory, cytostatiká, monoklonálne protilátky</w:t>
      </w:r>
      <w:r w:rsidR="00C13D7B" w:rsidRPr="00755C59">
        <w:t xml:space="preserve"> a konjugáty protilátka-liečivo</w:t>
      </w:r>
      <w:r w:rsidRPr="00755C59">
        <w:t>, ATC kód: L01</w:t>
      </w:r>
      <w:r w:rsidR="00C13D7B" w:rsidRPr="00755C59">
        <w:t>FG01</w:t>
      </w:r>
    </w:p>
    <w:p w14:paraId="3644210F" w14:textId="77777777" w:rsidR="00E22C3D" w:rsidRPr="000C43D6" w:rsidRDefault="00E22C3D" w:rsidP="00F64BF9">
      <w:pPr>
        <w:spacing w:line="240" w:lineRule="auto"/>
        <w:rPr>
          <w:szCs w:val="22"/>
        </w:rPr>
      </w:pPr>
    </w:p>
    <w:p w14:paraId="6EB51370" w14:textId="4C62015D" w:rsidR="00E22C3D" w:rsidRPr="00F37D4D" w:rsidRDefault="00BE7CB1" w:rsidP="00F64BF9">
      <w:pPr>
        <w:spacing w:line="240" w:lineRule="auto"/>
        <w:rPr>
          <w:szCs w:val="22"/>
        </w:rPr>
      </w:pPr>
      <w:r w:rsidRPr="00F14E99">
        <w:t xml:space="preserve">Alymsys je </w:t>
      </w:r>
      <w:r w:rsidR="00CB3A58">
        <w:t>biologicky podobný</w:t>
      </w:r>
      <w:r w:rsidRPr="00F14E99">
        <w:t xml:space="preserve"> liek. Podrobné informácie sú dostupné na internetovej stránke Európskej</w:t>
      </w:r>
      <w:r>
        <w:t xml:space="preserve"> agentúry pre lieky </w:t>
      </w:r>
      <w:hyperlink r:id="rId9" w:history="1">
        <w:r>
          <w:rPr>
            <w:rStyle w:val="Hyperlink"/>
          </w:rPr>
          <w:t>http://www.ema.europa.eu.</w:t>
        </w:r>
      </w:hyperlink>
      <w:r w:rsidRPr="00F37D4D">
        <w:rPr>
          <w:color w:val="0000FF"/>
          <w:szCs w:val="22"/>
        </w:rPr>
        <w:t>.</w:t>
      </w:r>
    </w:p>
    <w:p w14:paraId="33B7AB78" w14:textId="77777777" w:rsidR="00812D16" w:rsidRPr="00694C1C" w:rsidRDefault="00812D16" w:rsidP="00F64BF9">
      <w:pPr>
        <w:spacing w:line="240" w:lineRule="auto"/>
      </w:pPr>
    </w:p>
    <w:p w14:paraId="2839F722" w14:textId="77777777" w:rsidR="009C4600" w:rsidRPr="00694C1C" w:rsidRDefault="00BE7CB1" w:rsidP="00F64BF9">
      <w:pPr>
        <w:keepNext/>
        <w:spacing w:line="240" w:lineRule="auto"/>
        <w:rPr>
          <w:szCs w:val="22"/>
          <w:u w:val="single"/>
        </w:rPr>
      </w:pPr>
      <w:r>
        <w:rPr>
          <w:u w:val="single"/>
        </w:rPr>
        <w:t>Mechanizmus účinku</w:t>
      </w:r>
    </w:p>
    <w:p w14:paraId="52CA9357" w14:textId="77777777" w:rsidR="009C4600" w:rsidRPr="00F37D4D" w:rsidRDefault="009C4600" w:rsidP="00F64BF9">
      <w:pPr>
        <w:keepNext/>
        <w:spacing w:line="240" w:lineRule="auto"/>
        <w:rPr>
          <w:szCs w:val="22"/>
        </w:rPr>
      </w:pPr>
    </w:p>
    <w:p w14:paraId="40834F17" w14:textId="77777777" w:rsidR="009C4600" w:rsidRPr="00F37D4D" w:rsidRDefault="00BE7CB1" w:rsidP="00F64BF9">
      <w:pPr>
        <w:spacing w:line="240" w:lineRule="auto"/>
        <w:rPr>
          <w:szCs w:val="22"/>
        </w:rPr>
      </w:pPr>
      <w:r>
        <w:t>Bevacizumab sa viaže na vaskulárny endoteliálny rastový faktor (VEGF), čo je kľúčový aktivátor vaskulogenézy a angiogenézy, čím inhibuje väzbu VEGF na receptory Flt-1 (VEGFR-1) a KDR (VEGFR-2) na povrchu endoteliálnych buniek. Neutralizácia biologickej aktivity VEGF spôsobuje regresiu vaskularizácie nádorov, normalizuje zvyšné cievne zásobovanie nádoru a bráni tvorbe nového cievneho zásobovania nádoru a tak inhibuje rast nádoru.</w:t>
      </w:r>
    </w:p>
    <w:p w14:paraId="087E0112" w14:textId="77777777" w:rsidR="009C4600" w:rsidRPr="00F37D4D" w:rsidRDefault="009C4600" w:rsidP="00F64BF9">
      <w:pPr>
        <w:spacing w:line="240" w:lineRule="auto"/>
        <w:rPr>
          <w:szCs w:val="22"/>
        </w:rPr>
      </w:pPr>
    </w:p>
    <w:p w14:paraId="64FBCF9A" w14:textId="77777777" w:rsidR="009C4600" w:rsidRPr="00694C1C" w:rsidRDefault="00BE7CB1" w:rsidP="00F64BF9">
      <w:pPr>
        <w:keepNext/>
        <w:spacing w:line="240" w:lineRule="auto"/>
        <w:rPr>
          <w:szCs w:val="22"/>
          <w:u w:val="single"/>
        </w:rPr>
      </w:pPr>
      <w:r>
        <w:rPr>
          <w:u w:val="single"/>
        </w:rPr>
        <w:t>Farmakodynamické účinky</w:t>
      </w:r>
    </w:p>
    <w:p w14:paraId="2B582C66" w14:textId="77777777" w:rsidR="009C4600" w:rsidRPr="00F37D4D" w:rsidRDefault="009C4600" w:rsidP="00F64BF9">
      <w:pPr>
        <w:keepNext/>
        <w:spacing w:line="240" w:lineRule="auto"/>
        <w:rPr>
          <w:rFonts w:eastAsia="SimSun"/>
          <w:szCs w:val="22"/>
        </w:rPr>
      </w:pPr>
    </w:p>
    <w:p w14:paraId="70AC1CA5" w14:textId="77777777" w:rsidR="009C4600" w:rsidRPr="00F37D4D" w:rsidRDefault="00BE7CB1" w:rsidP="00F64BF9">
      <w:pPr>
        <w:spacing w:line="240" w:lineRule="auto"/>
        <w:rPr>
          <w:szCs w:val="22"/>
        </w:rPr>
      </w:pPr>
      <w:r>
        <w:t>Podávanie bevacizumabu alebo rodičovskej myšej protilátky xenotransplantátovým modelom na štúdium rakoviny u holých myší viedlo k rozsiahlej protinádorovej aktivite v prípade rakoviny u ľudí vrátane karcinómu hrubého čreva, prsníka, pankreasu a prostaty. Progresia metastatického ochorenia bola inhibovaná a mikrovaskulárna permeabilita sa znížila.</w:t>
      </w:r>
    </w:p>
    <w:p w14:paraId="15D3CCBF" w14:textId="77777777" w:rsidR="009C4600" w:rsidRPr="00F37D4D" w:rsidRDefault="009C4600" w:rsidP="00F64BF9">
      <w:pPr>
        <w:spacing w:line="240" w:lineRule="auto"/>
        <w:rPr>
          <w:szCs w:val="22"/>
        </w:rPr>
      </w:pPr>
    </w:p>
    <w:p w14:paraId="796276F4" w14:textId="77777777" w:rsidR="009C4600" w:rsidRPr="00694C1C" w:rsidRDefault="00BE7CB1" w:rsidP="00F64BF9">
      <w:pPr>
        <w:keepNext/>
        <w:spacing w:line="240" w:lineRule="auto"/>
        <w:rPr>
          <w:szCs w:val="22"/>
          <w:u w:val="single"/>
        </w:rPr>
      </w:pPr>
      <w:r>
        <w:rPr>
          <w:u w:val="single"/>
        </w:rPr>
        <w:t>Klinická účinnosť a bezpečnosť</w:t>
      </w:r>
    </w:p>
    <w:p w14:paraId="517A57FD" w14:textId="77777777" w:rsidR="009C4600" w:rsidRPr="00F37D4D" w:rsidRDefault="009C4600" w:rsidP="00F64BF9">
      <w:pPr>
        <w:keepNext/>
        <w:spacing w:line="240" w:lineRule="auto"/>
        <w:rPr>
          <w:szCs w:val="22"/>
        </w:rPr>
      </w:pPr>
    </w:p>
    <w:p w14:paraId="5D8E6DBC" w14:textId="77777777" w:rsidR="009C4600" w:rsidRPr="00694C1C" w:rsidRDefault="00BE7CB1" w:rsidP="00F64BF9">
      <w:pPr>
        <w:keepNext/>
        <w:spacing w:line="240" w:lineRule="auto"/>
        <w:rPr>
          <w:rFonts w:eastAsia="SimSun"/>
          <w:i/>
          <w:iCs/>
          <w:u w:val="single"/>
        </w:rPr>
      </w:pPr>
      <w:r>
        <w:rPr>
          <w:i/>
          <w:u w:val="single"/>
        </w:rPr>
        <w:t>Metastatický karcinóm hrubého čreva alebo konečníka (mCRC, Metastatic carcinoma of the colon or rectum)</w:t>
      </w:r>
    </w:p>
    <w:p w14:paraId="3C14A38F" w14:textId="77777777" w:rsidR="009C4600" w:rsidRPr="00755C59" w:rsidRDefault="009C4600" w:rsidP="00755C59">
      <w:pPr>
        <w:spacing w:line="240" w:lineRule="auto"/>
        <w:rPr>
          <w:rFonts w:eastAsia="SimSun"/>
        </w:rPr>
      </w:pPr>
    </w:p>
    <w:p w14:paraId="7ED36BC1" w14:textId="77777777" w:rsidR="009C4600" w:rsidRPr="00755C59" w:rsidRDefault="00BE7CB1" w:rsidP="00755C59">
      <w:pPr>
        <w:spacing w:line="240" w:lineRule="auto"/>
        <w:rPr>
          <w:rFonts w:eastAsia="SimSun"/>
        </w:rPr>
      </w:pPr>
      <w:r w:rsidRPr="00755C59">
        <w:t>Bezpe</w:t>
      </w:r>
      <w:r w:rsidRPr="00755C59">
        <w:rPr>
          <w:rFonts w:hint="eastAsia"/>
        </w:rPr>
        <w:t>č</w:t>
      </w:r>
      <w:r w:rsidRPr="00755C59">
        <w:t>nos</w:t>
      </w:r>
      <w:r w:rsidRPr="00755C59">
        <w:rPr>
          <w:rFonts w:hint="eastAsia"/>
        </w:rPr>
        <w:t>ť</w:t>
      </w:r>
      <w:r w:rsidRPr="00755C59">
        <w:t xml:space="preserve"> a ú</w:t>
      </w:r>
      <w:r w:rsidRPr="00755C59">
        <w:rPr>
          <w:rFonts w:hint="eastAsia"/>
        </w:rPr>
        <w:t>č</w:t>
      </w:r>
      <w:r w:rsidRPr="00755C59">
        <w:t>innos</w:t>
      </w:r>
      <w:r w:rsidRPr="00755C59">
        <w:rPr>
          <w:rFonts w:hint="eastAsia"/>
        </w:rPr>
        <w:t>ť</w:t>
      </w:r>
      <w:r w:rsidRPr="00755C59">
        <w:t xml:space="preserve"> odporú</w:t>
      </w:r>
      <w:r w:rsidRPr="00755C59">
        <w:rPr>
          <w:rFonts w:hint="eastAsia"/>
        </w:rPr>
        <w:t>č</w:t>
      </w:r>
      <w:r w:rsidRPr="00755C59">
        <w:t xml:space="preserve">anej dávky (5 mg/kg telesnej hmotnosti, každé dva týždne) v prípade metastatického karcinómu hrubého </w:t>
      </w:r>
      <w:r w:rsidRPr="00755C59">
        <w:rPr>
          <w:rFonts w:hint="eastAsia"/>
        </w:rPr>
        <w:t>č</w:t>
      </w:r>
      <w:r w:rsidRPr="00755C59">
        <w:t>reva alebo kone</w:t>
      </w:r>
      <w:r w:rsidRPr="00755C59">
        <w:rPr>
          <w:rFonts w:hint="eastAsia"/>
        </w:rPr>
        <w:t>č</w:t>
      </w:r>
      <w:r w:rsidRPr="00755C59">
        <w:t>níka sa skúmali v troch randomizovaných, kontrolovaných klinických skúšaniach v kombinácii s chemoterapiou prvej línie na báze fluóropyrimidínu. Bevacizumab sa kombinoval s dvomi režimami chemoterapie:</w:t>
      </w:r>
    </w:p>
    <w:p w14:paraId="0FD9BDE8" w14:textId="77777777" w:rsidR="009C4600" w:rsidRPr="00694C1C" w:rsidRDefault="009C4600" w:rsidP="00F64BF9">
      <w:pPr>
        <w:spacing w:line="240" w:lineRule="auto"/>
        <w:rPr>
          <w:rFonts w:eastAsia="SimSun"/>
        </w:rPr>
      </w:pPr>
    </w:p>
    <w:p w14:paraId="2F572B40" w14:textId="77777777" w:rsidR="009C4600" w:rsidRPr="00694C1C" w:rsidRDefault="00BE7CB1" w:rsidP="0033150F">
      <w:pPr>
        <w:pStyle w:val="ListParagraph"/>
        <w:numPr>
          <w:ilvl w:val="0"/>
          <w:numId w:val="9"/>
        </w:numPr>
        <w:ind w:left="567" w:hanging="567"/>
        <w:rPr>
          <w:rFonts w:eastAsia="SimSun"/>
        </w:rPr>
      </w:pPr>
      <w:r>
        <w:t>AVF2107g: Týždenný rozvrh irinotekánu/bolus 5-fluóruracil/kyselina folinová (IFL) počas celkovo 4 týždňov každého 6-týždňového cyklu (Saltzov režim).</w:t>
      </w:r>
    </w:p>
    <w:p w14:paraId="3E22F20B" w14:textId="77777777" w:rsidR="009C4600" w:rsidRPr="00694C1C" w:rsidRDefault="00BE7CB1" w:rsidP="0033150F">
      <w:pPr>
        <w:pStyle w:val="ListParagraph"/>
        <w:numPr>
          <w:ilvl w:val="0"/>
          <w:numId w:val="9"/>
        </w:numPr>
        <w:ind w:left="567" w:hanging="567"/>
        <w:rPr>
          <w:rFonts w:eastAsia="SimSun"/>
        </w:rPr>
      </w:pPr>
      <w:r>
        <w:t>AVF0780g: V kombinácii s bolusom 5-fluóruracil/kyselina folinová (5-FU/FA) počas celkovo 6 týždňov každého 8-týždňového cyklu (Roswell-Parkov režim).</w:t>
      </w:r>
    </w:p>
    <w:p w14:paraId="5DAC67E3" w14:textId="77777777" w:rsidR="009C4600" w:rsidRPr="00694C1C" w:rsidRDefault="00BE7CB1" w:rsidP="0033150F">
      <w:pPr>
        <w:pStyle w:val="ListParagraph"/>
        <w:numPr>
          <w:ilvl w:val="0"/>
          <w:numId w:val="9"/>
        </w:numPr>
        <w:ind w:left="567" w:hanging="567"/>
        <w:rPr>
          <w:rFonts w:eastAsia="SimSun"/>
        </w:rPr>
      </w:pPr>
      <w:r>
        <w:t>AVF2192g: V kombinácii s bolusom 5-FU/FA počas celkovo 6 týždňov každého 8-týždňového cyklu (Roswell-Parkov režim) u pacientov, ktorí neboli optimálnymi kandidátmi na liečbu prvej línie irinotekánom.</w:t>
      </w:r>
    </w:p>
    <w:p w14:paraId="3A1A4BC7" w14:textId="77777777" w:rsidR="009C4600" w:rsidRPr="00694C1C" w:rsidRDefault="009C4600" w:rsidP="00F64BF9">
      <w:pPr>
        <w:spacing w:line="240" w:lineRule="auto"/>
        <w:rPr>
          <w:rFonts w:eastAsia="SimSun"/>
        </w:rPr>
      </w:pPr>
    </w:p>
    <w:p w14:paraId="1DD9E2BE" w14:textId="77777777" w:rsidR="009C4600" w:rsidRPr="00694C1C" w:rsidRDefault="00BE7CB1" w:rsidP="00F64BF9">
      <w:pPr>
        <w:spacing w:line="240" w:lineRule="auto"/>
        <w:rPr>
          <w:rFonts w:eastAsia="SimSun"/>
        </w:rPr>
      </w:pPr>
      <w:r>
        <w:t>Uskutočnili sa tri ďalšie štúdie s bevacizumabom u pacientov s mCRC: zamerané na prvú líniu (NO16966), druhú líniu bez predchádzajúcej liečby bevacizumabom (E3200) a na druhú líniu s predchádzajúcou liečbou bevacizumabom po progresii ochorenia v prvej línii (ML18147). V týchto štúdiách bol bevacizumab podávaný v nasledovných dávkovacích schémach v kombinácii s FOLFOX- 4 (5FU/LV/oxaliplatina), XELOX (kapecitabín/oxaliplatina) a fluórpyrimidín/irinotekán a fluórpyrimidín/oxaliplatina:</w:t>
      </w:r>
    </w:p>
    <w:p w14:paraId="4ADC5782" w14:textId="77777777" w:rsidR="009C4600" w:rsidRPr="00694C1C" w:rsidRDefault="009C4600" w:rsidP="00F64BF9">
      <w:pPr>
        <w:spacing w:line="240" w:lineRule="auto"/>
        <w:rPr>
          <w:rFonts w:eastAsia="SimSun"/>
        </w:rPr>
      </w:pPr>
    </w:p>
    <w:p w14:paraId="0215F0D2" w14:textId="77777777" w:rsidR="009C4600" w:rsidRPr="00694C1C" w:rsidRDefault="00BE7CB1" w:rsidP="0033150F">
      <w:pPr>
        <w:pStyle w:val="ListParagraph"/>
        <w:numPr>
          <w:ilvl w:val="0"/>
          <w:numId w:val="10"/>
        </w:numPr>
        <w:ind w:left="567" w:hanging="567"/>
        <w:rPr>
          <w:rFonts w:eastAsia="SimSun"/>
        </w:rPr>
      </w:pPr>
      <w:r>
        <w:t>NO16966: Bevacizumab v dávke 7,5 mg/kg telesnej hmotnosti podávanej raz za 3 týždne v kombinácii s perorálnym kapecitabínom a intravenóznou oxaliplatinou (XELOX) alebo bevacizumab v dávke 5 mg/kg podávanej raz za 2 týždne v kombinácii s leukovorínom a bolusom 5-fluóruracilu a následnou infúziou 5-fluóruracilu a intravenóznou oxaliplatinou (FOLFOX-4).</w:t>
      </w:r>
    </w:p>
    <w:p w14:paraId="1EC44C8F" w14:textId="77777777" w:rsidR="009C4600" w:rsidRPr="00694C1C" w:rsidRDefault="00BE7CB1" w:rsidP="0033150F">
      <w:pPr>
        <w:pStyle w:val="ListParagraph"/>
        <w:numPr>
          <w:ilvl w:val="0"/>
          <w:numId w:val="10"/>
        </w:numPr>
        <w:ind w:left="567" w:hanging="567"/>
        <w:rPr>
          <w:rFonts w:eastAsia="SimSun"/>
        </w:rPr>
      </w:pPr>
      <w:r>
        <w:t>E3200: Bevacizumab v dávke 10 mg/kg telesnej hmotnosti podávanej raz za 2 týždne v kombinácii s leukovorínom a bolusom 5-fluóruracilu a následnou infúziou 5-fluóruracilu a intravenóznou oxaliplatinou (FOLFOX-4) u pacientov neliečených bevacizumabom.</w:t>
      </w:r>
    </w:p>
    <w:p w14:paraId="6BB9BA21" w14:textId="77777777" w:rsidR="009C4600" w:rsidRPr="00694C1C" w:rsidRDefault="00BE7CB1" w:rsidP="0033150F">
      <w:pPr>
        <w:pStyle w:val="ListParagraph"/>
        <w:numPr>
          <w:ilvl w:val="0"/>
          <w:numId w:val="10"/>
        </w:numPr>
        <w:ind w:left="567" w:hanging="567"/>
        <w:rPr>
          <w:rFonts w:eastAsia="SimSun"/>
        </w:rPr>
      </w:pPr>
      <w:r>
        <w:t>ML18147: Bevacizumab v dávke 5,0 mg/kg telesnej hmotnosti podávanej raz za 2 týždne alebo bevacizumab v dávke 7,5 mg/kg telesnej hmotnosti podávanej raz za 3 týždne v kombinácii s fluórpyrimidínom/irinotekánom alebo s fluórpyrimidínom/oxaliplatinou u pacientov s progresiou ochorenia po liečbe bevacizumabom v prvej línii. Použitie chemoterapie obsahujúcej irinotekán alebo oxaliplatinu bolo zmenené v závislosti od použitia oxaliplatiny alebo irinotekánu v prvej línii liečby.</w:t>
      </w:r>
    </w:p>
    <w:p w14:paraId="4F266CF6" w14:textId="77777777" w:rsidR="009C4600" w:rsidRPr="00694C1C" w:rsidRDefault="009C4600" w:rsidP="00F64BF9">
      <w:pPr>
        <w:spacing w:line="240" w:lineRule="auto"/>
        <w:rPr>
          <w:rFonts w:eastAsia="SimSun"/>
        </w:rPr>
      </w:pPr>
    </w:p>
    <w:p w14:paraId="102F05A4" w14:textId="77777777" w:rsidR="009C4600" w:rsidRDefault="00BE7CB1" w:rsidP="00F64BF9">
      <w:pPr>
        <w:keepNext/>
        <w:spacing w:line="240" w:lineRule="auto"/>
        <w:rPr>
          <w:rFonts w:eastAsia="SimSun"/>
          <w:i/>
          <w:iCs/>
        </w:rPr>
      </w:pPr>
      <w:r>
        <w:rPr>
          <w:i/>
        </w:rPr>
        <w:t>AVF2107g</w:t>
      </w:r>
    </w:p>
    <w:p w14:paraId="76F82A1C" w14:textId="77777777" w:rsidR="005D2ECE" w:rsidRPr="00694C1C" w:rsidRDefault="005D2ECE" w:rsidP="00F64BF9">
      <w:pPr>
        <w:keepNext/>
        <w:spacing w:line="240" w:lineRule="auto"/>
        <w:rPr>
          <w:rFonts w:eastAsia="SimSun"/>
          <w:i/>
          <w:iCs/>
        </w:rPr>
      </w:pPr>
    </w:p>
    <w:p w14:paraId="29746398" w14:textId="15DF1C48" w:rsidR="009C4600" w:rsidRPr="00694C1C" w:rsidRDefault="00BE7CB1" w:rsidP="00F64BF9">
      <w:pPr>
        <w:spacing w:line="240" w:lineRule="auto"/>
        <w:rPr>
          <w:rFonts w:eastAsia="SimSun"/>
        </w:rPr>
      </w:pPr>
      <w:r>
        <w:t>Išlo o randomizovanú, dvojito zaslepenú, aktívne kontrolovanú klinickú štúdiu fázy III, v ktorej sa hodnotil bevacizumab v kombinácii s IFL ako liečba prvej línie metastatického karcinómu hrubého čreva alebo konečníka. Osemstotrinásť pacientov bolo randomizovaných do skupiny, v ktorej sa podával IFL + placebo (skupina 1), alebo do skupiny, v ktorej sa podával IFL + bevacizumab (5 mg/kg, každé 2 týždne, skupina 2). Tretia skupina so 110 pacientmi dostávala bolus 5-FU/FA + bevacizumab (skupina 3). Výber pacientov bol v skupine 3 ukončený, pretože ako bolo vopred špecifikované, bezpečnosť bevacizumabu s režimom IFL už bola stanovená a posúdená ako prijateľná. Liečb</w:t>
      </w:r>
      <w:r w:rsidR="00F25108">
        <w:t>y</w:t>
      </w:r>
      <w:r>
        <w:t xml:space="preserve"> pokračoval</w:t>
      </w:r>
      <w:r w:rsidR="00F25108">
        <w:t>i</w:t>
      </w:r>
      <w:r>
        <w:t xml:space="preserve"> až do progresie ochorenia. Celkový priemerný vek bol 59,4 rokov; celkový výkonnostný stav pacienta hodnotený podľa škály ECOG bol u 56,6 % pacientov 0, u 43 % pacientov hodnota 1 a u 0,4 % pacientov hodnota 2. 15,5 % dostalo predtým rádioterapiu a 28,4 % chemoterapiu.</w:t>
      </w:r>
    </w:p>
    <w:p w14:paraId="711D7597" w14:textId="77777777" w:rsidR="009C4600" w:rsidRPr="00694C1C" w:rsidRDefault="009C4600" w:rsidP="00F64BF9">
      <w:pPr>
        <w:spacing w:line="240" w:lineRule="auto"/>
        <w:rPr>
          <w:rFonts w:eastAsia="SimSun"/>
        </w:rPr>
      </w:pPr>
    </w:p>
    <w:p w14:paraId="1235049D" w14:textId="77777777" w:rsidR="009C4600" w:rsidRPr="00694C1C" w:rsidRDefault="00BE7CB1" w:rsidP="00F64BF9">
      <w:pPr>
        <w:spacing w:line="240" w:lineRule="auto"/>
        <w:rPr>
          <w:rFonts w:eastAsia="SimSun"/>
        </w:rPr>
      </w:pPr>
      <w:r>
        <w:t xml:space="preserve">Premennou primárnej účinnosti v skúšaní bolo celkové prežívanie. Pridanie bevacizumabu k IFL viedlo k štatisticky významnému zvýšeniu celkového prežívania, prežívania bez progresie a celkovej miery odpovede (pozri tabuľku 4). Klinický prínos vzhľadom na celkové prežívanie sa pozoroval vo </w:t>
      </w:r>
      <w:r>
        <w:lastRenderedPageBreak/>
        <w:t>všetkých vopred špecifikovaných podskupinách pacientov vrátane pacientov, u ktorých bol definovaný vek, pohlavie, výkonnostný stav, miesto primárneho nádoru, počet postihnutých orgánov a dĺžka metastatického ochorenia.</w:t>
      </w:r>
    </w:p>
    <w:p w14:paraId="16FEBE19" w14:textId="77777777" w:rsidR="009C4600" w:rsidRPr="00694C1C" w:rsidRDefault="009C4600" w:rsidP="00F64BF9">
      <w:pPr>
        <w:spacing w:line="240" w:lineRule="auto"/>
        <w:rPr>
          <w:rFonts w:eastAsia="SimSun"/>
        </w:rPr>
      </w:pPr>
    </w:p>
    <w:p w14:paraId="45CF8E5D" w14:textId="77777777" w:rsidR="009C4600" w:rsidRPr="00694C1C" w:rsidRDefault="00BE7CB1" w:rsidP="00F64BF9">
      <w:pPr>
        <w:spacing w:line="240" w:lineRule="auto"/>
      </w:pPr>
      <w:r>
        <w:t>Výsledky účinnosti bevacizumabu v kombinácii s IFL-chemoterapiou sú uvedené v tabuľke 4.</w:t>
      </w:r>
    </w:p>
    <w:p w14:paraId="469551FD" w14:textId="77777777" w:rsidR="0080703A" w:rsidRPr="00694C1C" w:rsidRDefault="0080703A" w:rsidP="00F64BF9">
      <w:pPr>
        <w:spacing w:line="240" w:lineRule="auto"/>
      </w:pPr>
    </w:p>
    <w:p w14:paraId="69772655" w14:textId="77777777" w:rsidR="009C4600" w:rsidRPr="00694C1C" w:rsidRDefault="00BE7CB1" w:rsidP="00F64BF9">
      <w:pPr>
        <w:keepNext/>
        <w:spacing w:line="240" w:lineRule="auto"/>
        <w:rPr>
          <w:b/>
          <w:bCs/>
        </w:rPr>
      </w:pPr>
      <w:r>
        <w:rPr>
          <w:b/>
        </w:rPr>
        <w:t>Tabuľka 4. Výsledky účinnosti skúšania AVF2107g</w:t>
      </w:r>
    </w:p>
    <w:p w14:paraId="1B067967" w14:textId="77777777" w:rsidR="009C4600" w:rsidRPr="00694C1C"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F37D4D" w14:paraId="0DEB6B2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626C14D2" w14:textId="77777777" w:rsidR="009C4600" w:rsidRPr="00D719AB" w:rsidRDefault="009C4600" w:rsidP="00F64BF9">
            <w:pPr>
              <w:pStyle w:val="TABLES"/>
              <w:keepNext/>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767A32A" w14:textId="77777777" w:rsidR="009C4600" w:rsidRPr="00D719AB" w:rsidRDefault="00BE7CB1" w:rsidP="00F64BF9">
            <w:pPr>
              <w:pStyle w:val="TABLES"/>
              <w:ind w:left="57" w:right="57"/>
              <w:jc w:val="center"/>
              <w:rPr>
                <w:b/>
                <w:bCs/>
              </w:rPr>
            </w:pPr>
            <w:r>
              <w:rPr>
                <w:b/>
              </w:rPr>
              <w:t>AVF2107g</w:t>
            </w:r>
          </w:p>
        </w:tc>
      </w:tr>
      <w:tr w:rsidR="00741586" w:rsidRPr="00F37D4D" w14:paraId="4B71A747"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1B7AC2C3" w14:textId="77777777" w:rsidR="009C4600" w:rsidRPr="00D719AB" w:rsidRDefault="009C4600" w:rsidP="00F64BF9">
            <w:pPr>
              <w:pStyle w:val="TABL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4F8E7587" w14:textId="77777777" w:rsidR="009C4600" w:rsidRPr="00D719AB" w:rsidRDefault="00BE7CB1" w:rsidP="00F64BF9">
            <w:pPr>
              <w:pStyle w:val="TABLES"/>
              <w:ind w:left="57" w:right="57"/>
              <w:jc w:val="center"/>
              <w:rPr>
                <w:b/>
                <w:bCs/>
              </w:rPr>
            </w:pPr>
            <w:r>
              <w:rPr>
                <w:b/>
              </w:rPr>
              <w:t>Skupina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273F88D9" w14:textId="77777777" w:rsidR="009C4600" w:rsidRPr="00D719AB" w:rsidRDefault="00BE7CB1" w:rsidP="00F64BF9">
            <w:pPr>
              <w:pStyle w:val="TABLES"/>
              <w:ind w:left="57" w:right="57"/>
              <w:jc w:val="center"/>
              <w:rPr>
                <w:b/>
                <w:bCs/>
              </w:rPr>
            </w:pPr>
            <w:r>
              <w:rPr>
                <w:b/>
              </w:rPr>
              <w:t>Skupina 2 IFL + bevacizumab</w:t>
            </w:r>
            <w:r w:rsidR="00B10C3A" w:rsidRPr="00D719AB">
              <w:rPr>
                <w:b/>
                <w:bCs/>
                <w:vertAlign w:val="superscript"/>
              </w:rPr>
              <w:t>a</w:t>
            </w:r>
          </w:p>
        </w:tc>
      </w:tr>
      <w:tr w:rsidR="00741586" w:rsidRPr="00F37D4D" w14:paraId="71663582"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22B1C58" w14:textId="77777777" w:rsidR="009C4600" w:rsidRPr="00F37D4D" w:rsidRDefault="00BE7CB1" w:rsidP="00F64BF9">
            <w:pPr>
              <w:pStyle w:val="TABLES"/>
              <w:ind w:left="57" w:right="57"/>
            </w:pPr>
            <w:r>
              <w:t>Počet pacientov</w:t>
            </w:r>
          </w:p>
        </w:tc>
        <w:tc>
          <w:tcPr>
            <w:tcW w:w="1435" w:type="pct"/>
            <w:tcBorders>
              <w:top w:val="single" w:sz="4" w:space="0" w:color="000000"/>
              <w:left w:val="single" w:sz="4" w:space="0" w:color="000000"/>
              <w:bottom w:val="single" w:sz="4" w:space="0" w:color="000000"/>
              <w:right w:val="single" w:sz="4" w:space="0" w:color="000000"/>
            </w:tcBorders>
            <w:hideMark/>
          </w:tcPr>
          <w:p w14:paraId="2AEB35BC" w14:textId="77777777" w:rsidR="009C4600" w:rsidRPr="00F37D4D" w:rsidRDefault="00BE7CB1" w:rsidP="00F64BF9">
            <w:pPr>
              <w:pStyle w:val="TABLES"/>
              <w:jc w:val="center"/>
            </w:pPr>
            <w:r>
              <w:t>411</w:t>
            </w:r>
          </w:p>
        </w:tc>
        <w:tc>
          <w:tcPr>
            <w:tcW w:w="1794" w:type="pct"/>
            <w:tcBorders>
              <w:top w:val="single" w:sz="4" w:space="0" w:color="000000"/>
              <w:left w:val="single" w:sz="4" w:space="0" w:color="000000"/>
              <w:bottom w:val="single" w:sz="4" w:space="0" w:color="000000"/>
              <w:right w:val="single" w:sz="4" w:space="0" w:color="000000"/>
            </w:tcBorders>
            <w:hideMark/>
          </w:tcPr>
          <w:p w14:paraId="1C793801" w14:textId="77777777" w:rsidR="009C4600" w:rsidRPr="00F37D4D" w:rsidRDefault="00BE7CB1" w:rsidP="00F64BF9">
            <w:pPr>
              <w:pStyle w:val="TABLES"/>
              <w:jc w:val="center"/>
            </w:pPr>
            <w:r>
              <w:t>402</w:t>
            </w:r>
          </w:p>
        </w:tc>
      </w:tr>
      <w:tr w:rsidR="00741586" w:rsidRPr="00F37D4D" w14:paraId="4FC0AE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1FB070" w14:textId="77777777" w:rsidR="009C4600" w:rsidRPr="00F37D4D" w:rsidRDefault="00BE7CB1" w:rsidP="00F64BF9">
            <w:pPr>
              <w:pStyle w:val="TABLES"/>
              <w:ind w:left="57" w:right="57"/>
            </w:pPr>
            <w:r>
              <w:t>Celkové prežívanie</w:t>
            </w:r>
          </w:p>
        </w:tc>
      </w:tr>
      <w:tr w:rsidR="00741586" w:rsidRPr="00F37D4D" w14:paraId="18E58562"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2DEF66AF" w14:textId="77777777" w:rsidR="009C4600" w:rsidRPr="00F37D4D" w:rsidRDefault="00BE7CB1" w:rsidP="00F64BF9">
            <w:pPr>
              <w:pStyle w:val="TABLES"/>
              <w:ind w:left="567" w:right="57"/>
            </w:pPr>
            <w:r>
              <w:t>Medián času (mesiace)</w:t>
            </w:r>
          </w:p>
        </w:tc>
        <w:tc>
          <w:tcPr>
            <w:tcW w:w="1435" w:type="pct"/>
            <w:tcBorders>
              <w:top w:val="single" w:sz="4" w:space="0" w:color="000000"/>
              <w:left w:val="single" w:sz="4" w:space="0" w:color="000000"/>
              <w:bottom w:val="single" w:sz="4" w:space="0" w:color="000000"/>
              <w:right w:val="single" w:sz="4" w:space="0" w:color="000000"/>
            </w:tcBorders>
            <w:hideMark/>
          </w:tcPr>
          <w:p w14:paraId="54430311" w14:textId="77777777" w:rsidR="009C4600" w:rsidRPr="00F37D4D" w:rsidRDefault="00BE7CB1" w:rsidP="00F64BF9">
            <w:pPr>
              <w:pStyle w:val="TABLES"/>
              <w:jc w:val="center"/>
            </w:pPr>
            <w:r>
              <w:t>15,6</w:t>
            </w:r>
          </w:p>
        </w:tc>
        <w:tc>
          <w:tcPr>
            <w:tcW w:w="1794" w:type="pct"/>
            <w:tcBorders>
              <w:top w:val="single" w:sz="4" w:space="0" w:color="000000"/>
              <w:left w:val="single" w:sz="4" w:space="0" w:color="000000"/>
              <w:bottom w:val="single" w:sz="4" w:space="0" w:color="000000"/>
              <w:right w:val="single" w:sz="4" w:space="0" w:color="000000"/>
            </w:tcBorders>
            <w:hideMark/>
          </w:tcPr>
          <w:p w14:paraId="29D9858F" w14:textId="77777777" w:rsidR="009C4600" w:rsidRPr="00F37D4D" w:rsidRDefault="00BE7CB1" w:rsidP="00F64BF9">
            <w:pPr>
              <w:pStyle w:val="TABLES"/>
              <w:jc w:val="center"/>
            </w:pPr>
            <w:r>
              <w:t>20,3</w:t>
            </w:r>
          </w:p>
        </w:tc>
      </w:tr>
      <w:tr w:rsidR="00741586" w:rsidRPr="00F37D4D" w14:paraId="0DC56D0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83AD08D" w14:textId="77777777" w:rsidR="009C4600" w:rsidRPr="00F37D4D" w:rsidRDefault="00BE7CB1" w:rsidP="00F64BF9">
            <w:pPr>
              <w:pStyle w:val="TABLES"/>
              <w:ind w:left="1134" w:right="57"/>
            </w:pPr>
            <w:r>
              <w:t xml:space="preserve">95 % </w:t>
            </w:r>
            <w:r w:rsidRPr="00596761">
              <w:t>CI</w:t>
            </w:r>
          </w:p>
        </w:tc>
        <w:tc>
          <w:tcPr>
            <w:tcW w:w="1435" w:type="pct"/>
            <w:tcBorders>
              <w:top w:val="single" w:sz="4" w:space="0" w:color="000000"/>
              <w:left w:val="single" w:sz="4" w:space="0" w:color="000000"/>
              <w:bottom w:val="single" w:sz="4" w:space="0" w:color="000000"/>
              <w:right w:val="single" w:sz="4" w:space="0" w:color="000000"/>
            </w:tcBorders>
            <w:hideMark/>
          </w:tcPr>
          <w:p w14:paraId="435F83CB" w14:textId="77777777" w:rsidR="009C4600" w:rsidRPr="00F37D4D" w:rsidRDefault="00BE7CB1" w:rsidP="00F64BF9">
            <w:pPr>
              <w:pStyle w:val="TABLES"/>
              <w:jc w:val="center"/>
            </w:pPr>
            <w:r>
              <w:t>14,29 – 16,99</w:t>
            </w:r>
          </w:p>
        </w:tc>
        <w:tc>
          <w:tcPr>
            <w:tcW w:w="1794" w:type="pct"/>
            <w:tcBorders>
              <w:top w:val="single" w:sz="4" w:space="0" w:color="000000"/>
              <w:left w:val="single" w:sz="4" w:space="0" w:color="000000"/>
              <w:bottom w:val="single" w:sz="4" w:space="0" w:color="000000"/>
              <w:right w:val="single" w:sz="4" w:space="0" w:color="000000"/>
            </w:tcBorders>
            <w:hideMark/>
          </w:tcPr>
          <w:p w14:paraId="424FE307" w14:textId="77777777" w:rsidR="009C4600" w:rsidRPr="00F37D4D" w:rsidRDefault="00BE7CB1" w:rsidP="00F64BF9">
            <w:pPr>
              <w:pStyle w:val="TABLES"/>
              <w:jc w:val="center"/>
            </w:pPr>
            <w:r>
              <w:t>18,46 – 24,18</w:t>
            </w:r>
          </w:p>
        </w:tc>
      </w:tr>
      <w:tr w:rsidR="00741586" w:rsidRPr="00F37D4D" w14:paraId="3D97CDE7"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F50F3E" w14:textId="77777777" w:rsidR="009C4600" w:rsidRPr="00F37D4D" w:rsidRDefault="00BE7CB1" w:rsidP="00F64BF9">
            <w:pPr>
              <w:pStyle w:val="TABLES"/>
              <w:ind w:left="567" w:right="57"/>
            </w:pPr>
            <w:r>
              <w:t>Miera rizika</w:t>
            </w:r>
            <w:r w:rsidR="00B10C3A" w:rsidRPr="00F37D4D">
              <w:rPr>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7956ABF7" w14:textId="77777777" w:rsidR="009C4600" w:rsidRPr="00F37D4D" w:rsidRDefault="00BE7CB1" w:rsidP="00F64BF9">
            <w:pPr>
              <w:pStyle w:val="TABLES"/>
              <w:ind w:left="57" w:right="57"/>
              <w:jc w:val="center"/>
            </w:pPr>
            <w:r>
              <w:t>0,660</w:t>
            </w:r>
          </w:p>
          <w:p w14:paraId="0D1018E5" w14:textId="77777777" w:rsidR="009C4600" w:rsidRPr="00F37D4D" w:rsidRDefault="00BE7CB1" w:rsidP="00F64BF9">
            <w:pPr>
              <w:pStyle w:val="TABLES"/>
              <w:ind w:left="57" w:right="57"/>
              <w:jc w:val="center"/>
            </w:pPr>
            <w:r>
              <w:t>(p-hodnota = 0,00004)</w:t>
            </w:r>
          </w:p>
        </w:tc>
      </w:tr>
      <w:tr w:rsidR="00741586" w:rsidRPr="00F37D4D" w14:paraId="661A10FC"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3C2E00D" w14:textId="77777777" w:rsidR="009C4600" w:rsidRPr="00F37D4D" w:rsidRDefault="00BE7CB1" w:rsidP="00F64BF9">
            <w:pPr>
              <w:pStyle w:val="TABLES"/>
              <w:ind w:left="57" w:right="57"/>
            </w:pPr>
            <w:r>
              <w:t>Prežívanie bez progresie</w:t>
            </w:r>
          </w:p>
        </w:tc>
      </w:tr>
      <w:tr w:rsidR="00741586" w:rsidRPr="00F37D4D" w14:paraId="566B0878"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10A9194" w14:textId="77777777" w:rsidR="009C4600" w:rsidRPr="00F37D4D" w:rsidRDefault="00BE7CB1" w:rsidP="00F64BF9">
            <w:pPr>
              <w:pStyle w:val="TABLES"/>
              <w:ind w:left="567" w:right="57"/>
            </w:pPr>
            <w:r>
              <w:t>Medián času (mesiace)</w:t>
            </w:r>
          </w:p>
        </w:tc>
        <w:tc>
          <w:tcPr>
            <w:tcW w:w="1435" w:type="pct"/>
            <w:tcBorders>
              <w:top w:val="single" w:sz="4" w:space="0" w:color="000000"/>
              <w:left w:val="single" w:sz="4" w:space="0" w:color="000000"/>
              <w:bottom w:val="single" w:sz="4" w:space="0" w:color="000000"/>
              <w:right w:val="single" w:sz="4" w:space="0" w:color="000000"/>
            </w:tcBorders>
            <w:hideMark/>
          </w:tcPr>
          <w:p w14:paraId="5D7FA22C" w14:textId="77777777" w:rsidR="009C4600" w:rsidRPr="00F37D4D" w:rsidRDefault="00BE7CB1" w:rsidP="00F64BF9">
            <w:pPr>
              <w:pStyle w:val="TABLES"/>
              <w:jc w:val="center"/>
            </w:pPr>
            <w:r>
              <w:t>6,2</w:t>
            </w:r>
          </w:p>
        </w:tc>
        <w:tc>
          <w:tcPr>
            <w:tcW w:w="1794" w:type="pct"/>
            <w:tcBorders>
              <w:top w:val="single" w:sz="4" w:space="0" w:color="000000"/>
              <w:left w:val="single" w:sz="4" w:space="0" w:color="000000"/>
              <w:bottom w:val="single" w:sz="4" w:space="0" w:color="000000"/>
              <w:right w:val="single" w:sz="4" w:space="0" w:color="000000"/>
            </w:tcBorders>
            <w:hideMark/>
          </w:tcPr>
          <w:p w14:paraId="047D4FCC" w14:textId="77777777" w:rsidR="009C4600" w:rsidRPr="00F37D4D" w:rsidRDefault="00BE7CB1" w:rsidP="00F64BF9">
            <w:pPr>
              <w:pStyle w:val="TABLES"/>
              <w:jc w:val="center"/>
            </w:pPr>
            <w:r>
              <w:t>10,6</w:t>
            </w:r>
          </w:p>
        </w:tc>
      </w:tr>
      <w:tr w:rsidR="00741586" w:rsidRPr="00F37D4D" w14:paraId="229FF563"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330C8BF" w14:textId="77777777" w:rsidR="009C4600" w:rsidRPr="00F37D4D" w:rsidRDefault="00BE7CB1" w:rsidP="00F64BF9">
            <w:pPr>
              <w:pStyle w:val="TABLES"/>
              <w:ind w:left="567" w:right="57"/>
            </w:pPr>
            <w:r>
              <w:t>Miera rizika</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1922977" w14:textId="77777777" w:rsidR="009C4600" w:rsidRPr="00F37D4D" w:rsidRDefault="00BE7CB1" w:rsidP="00F64BF9">
            <w:pPr>
              <w:pStyle w:val="TABLES"/>
              <w:jc w:val="center"/>
            </w:pPr>
            <w:r>
              <w:t>0,54</w:t>
            </w:r>
          </w:p>
          <w:p w14:paraId="3F4DB184" w14:textId="77777777" w:rsidR="009C4600" w:rsidRPr="00F37D4D" w:rsidRDefault="00BE7CB1" w:rsidP="00F64BF9">
            <w:pPr>
              <w:pStyle w:val="TABLES"/>
              <w:jc w:val="center"/>
            </w:pPr>
            <w:r>
              <w:t>(p-hodnota &lt; 0,0001)</w:t>
            </w:r>
          </w:p>
        </w:tc>
      </w:tr>
      <w:tr w:rsidR="00741586" w:rsidRPr="00F37D4D" w14:paraId="215C4FA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D95A809" w14:textId="77777777" w:rsidR="009C4600" w:rsidRPr="00F37D4D" w:rsidRDefault="00BE7CB1" w:rsidP="00F64BF9">
            <w:pPr>
              <w:pStyle w:val="TABLES"/>
              <w:ind w:left="57" w:right="57"/>
            </w:pPr>
            <w:r>
              <w:t>Celková miera odpovede</w:t>
            </w:r>
          </w:p>
        </w:tc>
      </w:tr>
      <w:tr w:rsidR="00741586" w:rsidRPr="00F37D4D" w14:paraId="255BA7D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D680F7B" w14:textId="77777777" w:rsidR="009C4600" w:rsidRPr="00F37D4D" w:rsidRDefault="00BE7CB1" w:rsidP="00F64BF9">
            <w:pPr>
              <w:pStyle w:val="TABLES"/>
              <w:ind w:left="567" w:right="57"/>
            </w:pPr>
            <w:r>
              <w:t>Pomer (%)</w:t>
            </w:r>
          </w:p>
        </w:tc>
        <w:tc>
          <w:tcPr>
            <w:tcW w:w="1435" w:type="pct"/>
            <w:tcBorders>
              <w:top w:val="single" w:sz="4" w:space="0" w:color="000000"/>
              <w:left w:val="single" w:sz="4" w:space="0" w:color="000000"/>
              <w:bottom w:val="single" w:sz="4" w:space="0" w:color="000000"/>
              <w:right w:val="single" w:sz="4" w:space="0" w:color="000000"/>
            </w:tcBorders>
            <w:hideMark/>
          </w:tcPr>
          <w:p w14:paraId="4C26D7C5" w14:textId="77777777" w:rsidR="009C4600" w:rsidRPr="00F37D4D" w:rsidRDefault="00BE7CB1" w:rsidP="00F64BF9">
            <w:pPr>
              <w:pStyle w:val="TABLES"/>
              <w:jc w:val="center"/>
            </w:pPr>
            <w:r>
              <w:t>34,8</w:t>
            </w:r>
          </w:p>
        </w:tc>
        <w:tc>
          <w:tcPr>
            <w:tcW w:w="1794" w:type="pct"/>
            <w:tcBorders>
              <w:top w:val="single" w:sz="4" w:space="0" w:color="000000"/>
              <w:left w:val="single" w:sz="4" w:space="0" w:color="000000"/>
              <w:bottom w:val="single" w:sz="4" w:space="0" w:color="000000"/>
              <w:right w:val="single" w:sz="4" w:space="0" w:color="000000"/>
            </w:tcBorders>
            <w:hideMark/>
          </w:tcPr>
          <w:p w14:paraId="09308499" w14:textId="77777777" w:rsidR="009C4600" w:rsidRPr="00F37D4D" w:rsidRDefault="00BE7CB1" w:rsidP="00F64BF9">
            <w:pPr>
              <w:pStyle w:val="TABLES"/>
              <w:jc w:val="center"/>
            </w:pPr>
            <w:r>
              <w:t>44,8</w:t>
            </w:r>
          </w:p>
        </w:tc>
      </w:tr>
      <w:tr w:rsidR="00741586" w:rsidRPr="00F37D4D" w14:paraId="689A7FC9"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4843B1A9" w14:textId="77777777" w:rsidR="009C4600" w:rsidRPr="00F37D4D" w:rsidRDefault="009C4600" w:rsidP="00F64BF9">
            <w:pPr>
              <w:pStyle w:val="TABL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8037B35" w14:textId="77777777" w:rsidR="009C4600" w:rsidRPr="00F37D4D" w:rsidRDefault="00BE7CB1" w:rsidP="00F64BF9">
            <w:pPr>
              <w:pStyle w:val="TABLES"/>
              <w:jc w:val="center"/>
            </w:pPr>
            <w:r>
              <w:t>(p-hodnota = 0,0036)</w:t>
            </w:r>
          </w:p>
        </w:tc>
      </w:tr>
    </w:tbl>
    <w:p w14:paraId="0A253291" w14:textId="77777777" w:rsidR="009C4600" w:rsidRPr="00694C1C" w:rsidRDefault="00BE7CB1" w:rsidP="00F64BF9">
      <w:pPr>
        <w:tabs>
          <w:tab w:val="clear" w:pos="567"/>
          <w:tab w:val="left" w:pos="284"/>
        </w:tabs>
        <w:spacing w:line="240" w:lineRule="auto"/>
        <w:ind w:left="284" w:hanging="284"/>
        <w:rPr>
          <w:sz w:val="20"/>
        </w:rPr>
      </w:pPr>
      <w:r>
        <w:rPr>
          <w:sz w:val="20"/>
          <w:vertAlign w:val="superscript"/>
        </w:rPr>
        <w:t>a</w:t>
      </w:r>
      <w:r w:rsidR="006A77CC">
        <w:rPr>
          <w:sz w:val="20"/>
          <w:vertAlign w:val="superscript"/>
        </w:rPr>
        <w:t xml:space="preserve"> </w:t>
      </w:r>
      <w:r>
        <w:rPr>
          <w:spacing w:val="-3"/>
          <w:sz w:val="20"/>
        </w:rPr>
        <w:t>5 mg/kg, každé 2 týždne.</w:t>
      </w:r>
    </w:p>
    <w:p w14:paraId="50119168" w14:textId="77777777" w:rsidR="009C4600" w:rsidRPr="00694C1C" w:rsidRDefault="00BE7CB1" w:rsidP="00F64BF9">
      <w:pPr>
        <w:tabs>
          <w:tab w:val="clear" w:pos="567"/>
          <w:tab w:val="left" w:pos="284"/>
        </w:tabs>
        <w:spacing w:line="240" w:lineRule="auto"/>
        <w:ind w:left="284" w:hanging="284"/>
        <w:rPr>
          <w:sz w:val="20"/>
        </w:rPr>
      </w:pPr>
      <w:r>
        <w:rPr>
          <w:sz w:val="20"/>
          <w:vertAlign w:val="superscript"/>
        </w:rPr>
        <w:t>b</w:t>
      </w:r>
      <w:r w:rsidR="006A77CC">
        <w:rPr>
          <w:sz w:val="20"/>
          <w:vertAlign w:val="superscript"/>
        </w:rPr>
        <w:t xml:space="preserve"> </w:t>
      </w:r>
      <w:r>
        <w:rPr>
          <w:spacing w:val="-3"/>
          <w:sz w:val="20"/>
        </w:rPr>
        <w:t>Vzhľadom na kontrolnú skupinu.</w:t>
      </w:r>
    </w:p>
    <w:p w14:paraId="4D042D7B" w14:textId="77777777" w:rsidR="009C4600" w:rsidRPr="00F37D4D" w:rsidRDefault="009C4600" w:rsidP="00F64BF9">
      <w:pPr>
        <w:spacing w:line="240" w:lineRule="auto"/>
        <w:rPr>
          <w:szCs w:val="22"/>
        </w:rPr>
      </w:pPr>
    </w:p>
    <w:p w14:paraId="34519456" w14:textId="77777777" w:rsidR="009C4600" w:rsidRPr="00F37D4D" w:rsidRDefault="00BE7CB1" w:rsidP="00F64BF9">
      <w:pPr>
        <w:spacing w:line="240" w:lineRule="auto"/>
        <w:rPr>
          <w:szCs w:val="22"/>
        </w:rPr>
      </w:pPr>
      <w:r>
        <w:t>U 110 pacientov randomizovaných do 3. skupiny (5-FU/FA + bevacizumab) skôr, ako bola táto skupina zrušená, bol medián celkového prežívania 18,3 mesiacov a medián prežívania bez progresie ochorenia bol 8,8 mesiacov.</w:t>
      </w:r>
    </w:p>
    <w:p w14:paraId="38B47A1D" w14:textId="77777777" w:rsidR="009C4600" w:rsidRPr="00F37D4D" w:rsidRDefault="009C4600" w:rsidP="00F64BF9">
      <w:pPr>
        <w:spacing w:line="240" w:lineRule="auto"/>
        <w:rPr>
          <w:szCs w:val="22"/>
        </w:rPr>
      </w:pPr>
    </w:p>
    <w:p w14:paraId="7EBD8053" w14:textId="77777777" w:rsidR="009C4600" w:rsidRDefault="00BE7CB1" w:rsidP="00F64BF9">
      <w:pPr>
        <w:keepNext/>
        <w:spacing w:line="240" w:lineRule="auto"/>
        <w:rPr>
          <w:i/>
          <w:iCs/>
          <w:szCs w:val="22"/>
        </w:rPr>
      </w:pPr>
      <w:r>
        <w:rPr>
          <w:i/>
        </w:rPr>
        <w:t>AVF2192g</w:t>
      </w:r>
    </w:p>
    <w:p w14:paraId="46F0EF88" w14:textId="77777777" w:rsidR="003D341F" w:rsidRPr="00F67844" w:rsidRDefault="003D341F" w:rsidP="00F64BF9">
      <w:pPr>
        <w:keepNext/>
        <w:spacing w:line="240" w:lineRule="auto"/>
        <w:rPr>
          <w:i/>
          <w:iCs/>
          <w:szCs w:val="22"/>
        </w:rPr>
      </w:pPr>
    </w:p>
    <w:p w14:paraId="24220628" w14:textId="77777777" w:rsidR="009C4600" w:rsidRPr="00F37D4D" w:rsidRDefault="00BE7CB1" w:rsidP="00F64BF9">
      <w:pPr>
        <w:tabs>
          <w:tab w:val="clear" w:pos="567"/>
          <w:tab w:val="left" w:pos="720"/>
        </w:tabs>
        <w:autoSpaceDE w:val="0"/>
        <w:autoSpaceDN w:val="0"/>
        <w:adjustRightInd w:val="0"/>
        <w:spacing w:line="240" w:lineRule="auto"/>
        <w:rPr>
          <w:szCs w:val="22"/>
        </w:rPr>
      </w:pPr>
      <w:r>
        <w:t xml:space="preserve">Toto bola II. fáza randomizovaného, dvojito zaslepeného, kontrolovaného klinického skúšania, pri ktorom sa hodnotila účinnosť a bezpečnosť bevacizumabu v kombinácii s 5-FU/FA ako </w:t>
      </w:r>
      <w:r w:rsidR="00041CA6">
        <w:t xml:space="preserve">liečby prvej línie </w:t>
      </w:r>
      <w:r>
        <w:t>metastatického karcinómu hrubého čreva a konečníka u pacientov, ktorí neboli optimálnymi kandidátmi na liečbu prvej línie irinotekánom. Stopäť pacientov bolo randomizovaných do skupiny 5- FU/FA + placebo a stoštyri pacientov do skupiny 5-FU/FA + bevacizumab (5 mg/kg, každé 2 týždne). Liečba pokračovala až do progresie ochorenia. Pridanie bevacizumabu 5 mg/kg každé dva týždne k 5-FU/FA viedlo k vyššej miere objektívnej odpovede, k významne dlhšiemu prežívaniu bez progresie ochorenia a trend dlhšieho prežívania sa porovnával so samotnou 5-FU/FA chemoterapiou.</w:t>
      </w:r>
    </w:p>
    <w:p w14:paraId="4852E687"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2F629326" w14:textId="77777777" w:rsidR="009C4600" w:rsidRDefault="00BE7CB1" w:rsidP="00F64BF9">
      <w:pPr>
        <w:keepNext/>
        <w:spacing w:line="240" w:lineRule="auto"/>
        <w:rPr>
          <w:i/>
          <w:iCs/>
          <w:szCs w:val="22"/>
        </w:rPr>
      </w:pPr>
      <w:r w:rsidRPr="00526D6F">
        <w:rPr>
          <w:i/>
        </w:rPr>
        <w:t>AVF0780g</w:t>
      </w:r>
    </w:p>
    <w:p w14:paraId="73B3E4EE" w14:textId="77777777" w:rsidR="005C7799" w:rsidRPr="00F67844" w:rsidRDefault="005C7799" w:rsidP="00F64BF9">
      <w:pPr>
        <w:keepNext/>
        <w:spacing w:line="240" w:lineRule="auto"/>
        <w:rPr>
          <w:i/>
          <w:iCs/>
          <w:szCs w:val="22"/>
        </w:rPr>
      </w:pPr>
    </w:p>
    <w:p w14:paraId="57626D47" w14:textId="77777777" w:rsidR="009C4600" w:rsidRPr="00F37D4D" w:rsidRDefault="00BE7CB1" w:rsidP="00F64BF9">
      <w:pPr>
        <w:spacing w:line="240" w:lineRule="auto"/>
        <w:rPr>
          <w:szCs w:val="22"/>
        </w:rPr>
      </w:pPr>
      <w:r>
        <w:t xml:space="preserve">Toto bola II. fáza randomizovaného aktívne kontrolovaného otvoreného klinického skúšania, ktoré skúmalo bevacizumab v kombinácii s 5-FU/FA ako </w:t>
      </w:r>
      <w:r w:rsidR="00041CA6">
        <w:t>liečbu prvej línie</w:t>
      </w:r>
      <w:r>
        <w:t xml:space="preserve"> metastatického kolorektálneho karcinómu. Medián veku bol 64 rokov. 19 % pacientov podstúpilo predchádzajúcu chemoterapiu a 14 % predchádzajúcu rádioterapiu. Sedemdesiatjeden pacientov bolo randomizovaných na liečbu bolusom 5-FU/FA alebo 5-FU/FA + bevacizumab (5 mg/kg každé 2 týždne). Tretia skupina s 33 pacientami dostávala bolus 5</w:t>
      </w:r>
      <w:r w:rsidR="00242536">
        <w:rPr>
          <w:b/>
          <w:bCs/>
          <w:szCs w:val="22"/>
        </w:rPr>
        <w:t>-</w:t>
      </w:r>
      <w:r>
        <w:t>FU/FA + bevacizumab (10 mg/kg každé 2 týždne). Pacienti boli liečení až do progresie ochorenia. Primárnym koncovým ukazovateľom skúšania bola miera objektívnej odpovede a prežívanie bez progresie ochorenia. Pridanie bevacizumabu 5 mg/kg každé dva týždne k 5-FU/FA viedlo k vyššej miere objektívnej odpovede, k dlhšiemu prežívaniu bez progresie ochorenia a trend dlhšieho prežívania sa porovnával so samotnou 5-FU/FA chemoterapiou (pozri tabuľku 5). Tieto údaje o účinnosti sú zhodné s výsledkami skúšania AVF2107g.</w:t>
      </w:r>
    </w:p>
    <w:p w14:paraId="76072F81" w14:textId="77777777" w:rsidR="009C4600" w:rsidRPr="00F37D4D" w:rsidRDefault="009C4600" w:rsidP="00F64BF9">
      <w:pPr>
        <w:spacing w:line="240" w:lineRule="auto"/>
        <w:rPr>
          <w:szCs w:val="22"/>
        </w:rPr>
      </w:pPr>
    </w:p>
    <w:p w14:paraId="0CB66B97" w14:textId="77777777" w:rsidR="009C4600" w:rsidRPr="00F37D4D" w:rsidRDefault="00BE7CB1" w:rsidP="00F64BF9">
      <w:pPr>
        <w:spacing w:line="240" w:lineRule="auto"/>
        <w:rPr>
          <w:szCs w:val="22"/>
        </w:rPr>
      </w:pPr>
      <w:r>
        <w:t>Údaje o účinnosti zo skúšaní AVF0780g a AVF2192g, skúmajúcich bevacizumab v kombinácii s 5-FU/FA- chemoterapiou, sú zhrnuté v tabuľke 5.</w:t>
      </w:r>
    </w:p>
    <w:p w14:paraId="4D4A3FEB" w14:textId="77777777" w:rsidR="009C4600" w:rsidRPr="00755C59" w:rsidRDefault="009C4600" w:rsidP="00755C59"/>
    <w:p w14:paraId="3482FFD3" w14:textId="77777777" w:rsidR="009C4600" w:rsidRPr="00F67844" w:rsidRDefault="00BE7CB1" w:rsidP="00231170">
      <w:pPr>
        <w:keepNext/>
        <w:keepLines/>
        <w:spacing w:line="240" w:lineRule="auto"/>
        <w:rPr>
          <w:b/>
          <w:bCs/>
        </w:rPr>
      </w:pPr>
      <w:r>
        <w:rPr>
          <w:b/>
        </w:rPr>
        <w:t>Tabuľka 5. Výsledky účinnosti skúšaní AVF0780g a AVF2192g</w:t>
      </w:r>
    </w:p>
    <w:p w14:paraId="209D193F" w14:textId="77777777" w:rsidR="009C4600" w:rsidRPr="00F67844" w:rsidRDefault="009C4600" w:rsidP="00231170">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8"/>
        <w:gridCol w:w="890"/>
        <w:gridCol w:w="1735"/>
        <w:gridCol w:w="1742"/>
        <w:gridCol w:w="1151"/>
        <w:gridCol w:w="1665"/>
      </w:tblGrid>
      <w:tr w:rsidR="00741586" w:rsidRPr="00DE7995" w14:paraId="2E8E35A5"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45DE4653" w14:textId="77777777" w:rsidR="009C4600" w:rsidRPr="00DE7995" w:rsidRDefault="009C4600" w:rsidP="00231170">
            <w:pPr>
              <w:pStyle w:val="TABLES"/>
              <w:keepNext/>
              <w:keepLines/>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7B3CC015" w14:textId="77777777" w:rsidR="009C4600" w:rsidRPr="00DE7995" w:rsidRDefault="00BE7CB1" w:rsidP="00231170">
            <w:pPr>
              <w:pStyle w:val="TABLES"/>
              <w:keepNext/>
              <w:keepLines/>
              <w:ind w:left="57" w:right="57"/>
              <w:jc w:val="center"/>
              <w:rPr>
                <w:b/>
                <w:bCs/>
              </w:rPr>
            </w:pPr>
            <w:r>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64A1CEFA" w14:textId="77777777" w:rsidR="009C4600" w:rsidRPr="00DE7995" w:rsidRDefault="00BE7CB1" w:rsidP="00231170">
            <w:pPr>
              <w:pStyle w:val="TABLES"/>
              <w:keepNext/>
              <w:keepLines/>
              <w:ind w:left="57" w:right="57"/>
              <w:jc w:val="center"/>
              <w:rPr>
                <w:b/>
                <w:bCs/>
              </w:rPr>
            </w:pPr>
            <w:r>
              <w:rPr>
                <w:b/>
              </w:rPr>
              <w:t>AVF2192g</w:t>
            </w:r>
          </w:p>
        </w:tc>
      </w:tr>
      <w:tr w:rsidR="00741586" w:rsidRPr="00DE7995" w14:paraId="1346AFE5"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20ACD934" w14:textId="77777777" w:rsidR="009C4600" w:rsidRPr="00DE7995" w:rsidRDefault="009C4600" w:rsidP="00231170">
            <w:pPr>
              <w:pStyle w:val="TABLES"/>
              <w:keepNext/>
              <w:keepLines/>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221566B3" w14:textId="77777777" w:rsidR="009C4600" w:rsidRPr="00DE7995" w:rsidRDefault="00BE7CB1" w:rsidP="00231170">
            <w:pPr>
              <w:pStyle w:val="TABLES"/>
              <w:keepNext/>
              <w:keepLines/>
              <w:ind w:left="57" w:right="57"/>
              <w:jc w:val="center"/>
              <w:rPr>
                <w:b/>
                <w:bCs/>
              </w:rPr>
            </w:pPr>
            <w:r>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2A11AD75" w14:textId="77777777" w:rsidR="009C4600" w:rsidRPr="00DE7995" w:rsidRDefault="00BE7CB1" w:rsidP="00231170">
            <w:pPr>
              <w:pStyle w:val="TABLES"/>
              <w:keepNext/>
              <w:keepLines/>
              <w:ind w:left="57" w:right="57"/>
              <w:jc w:val="center"/>
              <w:rPr>
                <w:b/>
                <w:bCs/>
              </w:rPr>
            </w:pPr>
            <w:r>
              <w:rPr>
                <w:b/>
              </w:rPr>
              <w:t>5-FU/FA + bevacizumab</w:t>
            </w:r>
            <w:r w:rsidR="00B10C3A" w:rsidRPr="00DE7995">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03381F79" w14:textId="77777777" w:rsidR="009C4600" w:rsidRPr="00DE7995" w:rsidRDefault="00BE7CB1" w:rsidP="00231170">
            <w:pPr>
              <w:pStyle w:val="TABLES"/>
              <w:keepNext/>
              <w:keepLines/>
              <w:ind w:left="57" w:right="57"/>
              <w:jc w:val="center"/>
              <w:rPr>
                <w:b/>
                <w:bCs/>
              </w:rPr>
            </w:pPr>
            <w:r>
              <w:rPr>
                <w:b/>
              </w:rPr>
              <w:t>5-FU/FA + bevacizumab</w:t>
            </w:r>
            <w:r w:rsidR="00B10C3A" w:rsidRPr="00DE7995">
              <w:rPr>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1B1C20C1" w14:textId="77777777" w:rsidR="009C4600" w:rsidRPr="00DE7995" w:rsidRDefault="00BE7CB1" w:rsidP="00231170">
            <w:pPr>
              <w:pStyle w:val="TABLES"/>
              <w:keepNext/>
              <w:keepLines/>
              <w:ind w:left="57" w:right="57"/>
              <w:jc w:val="center"/>
              <w:rPr>
                <w:b/>
                <w:bCs/>
              </w:rPr>
            </w:pPr>
            <w:r>
              <w:rPr>
                <w:b/>
              </w:rPr>
              <w:t>5-FU/FA + placebo</w:t>
            </w:r>
          </w:p>
        </w:tc>
        <w:tc>
          <w:tcPr>
            <w:tcW w:w="927" w:type="pct"/>
            <w:tcBorders>
              <w:top w:val="single" w:sz="4" w:space="0" w:color="000000"/>
              <w:left w:val="single" w:sz="4" w:space="0" w:color="000000"/>
              <w:bottom w:val="single" w:sz="4" w:space="0" w:color="000000"/>
              <w:right w:val="single" w:sz="4" w:space="0" w:color="000000"/>
            </w:tcBorders>
            <w:hideMark/>
          </w:tcPr>
          <w:p w14:paraId="21213DA5" w14:textId="77777777" w:rsidR="009C4600" w:rsidRPr="00DE7995" w:rsidRDefault="00BE7CB1" w:rsidP="00231170">
            <w:pPr>
              <w:pStyle w:val="TABLES"/>
              <w:keepNext/>
              <w:keepLines/>
              <w:ind w:left="57" w:right="57"/>
              <w:jc w:val="center"/>
              <w:rPr>
                <w:b/>
                <w:bCs/>
              </w:rPr>
            </w:pPr>
            <w:r>
              <w:rPr>
                <w:b/>
              </w:rPr>
              <w:t>5-FU/FA + bevacizumab</w:t>
            </w:r>
          </w:p>
        </w:tc>
      </w:tr>
      <w:tr w:rsidR="00741586" w:rsidRPr="00F37D4D" w14:paraId="4077330A"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9D6AC93" w14:textId="77777777" w:rsidR="009C4600" w:rsidRPr="00F37D4D" w:rsidRDefault="00BE7CB1" w:rsidP="00231170">
            <w:pPr>
              <w:pStyle w:val="TABLES"/>
              <w:keepNext/>
              <w:keepLines/>
              <w:ind w:left="57" w:right="57"/>
            </w:pPr>
            <w:r>
              <w:t>Počet pacientov</w:t>
            </w:r>
          </w:p>
        </w:tc>
        <w:tc>
          <w:tcPr>
            <w:tcW w:w="448" w:type="pct"/>
            <w:tcBorders>
              <w:top w:val="single" w:sz="4" w:space="0" w:color="000000"/>
              <w:left w:val="single" w:sz="4" w:space="0" w:color="000000"/>
              <w:bottom w:val="single" w:sz="4" w:space="0" w:color="000000"/>
              <w:right w:val="single" w:sz="4" w:space="0" w:color="000000"/>
            </w:tcBorders>
            <w:hideMark/>
          </w:tcPr>
          <w:p w14:paraId="5BA748B6" w14:textId="77777777" w:rsidR="009C4600" w:rsidRPr="00F37D4D" w:rsidRDefault="00BE7CB1" w:rsidP="00231170">
            <w:pPr>
              <w:pStyle w:val="TABLES"/>
              <w:keepNext/>
              <w:keepLines/>
              <w:jc w:val="center"/>
            </w:pPr>
            <w:r>
              <w:t>36</w:t>
            </w:r>
          </w:p>
        </w:tc>
        <w:tc>
          <w:tcPr>
            <w:tcW w:w="966" w:type="pct"/>
            <w:tcBorders>
              <w:top w:val="single" w:sz="4" w:space="0" w:color="000000"/>
              <w:left w:val="single" w:sz="4" w:space="0" w:color="000000"/>
              <w:bottom w:val="single" w:sz="4" w:space="0" w:color="000000"/>
              <w:right w:val="single" w:sz="4" w:space="0" w:color="000000"/>
            </w:tcBorders>
            <w:hideMark/>
          </w:tcPr>
          <w:p w14:paraId="3B9D48A2" w14:textId="77777777" w:rsidR="009C4600" w:rsidRPr="00F37D4D" w:rsidRDefault="00BE7CB1" w:rsidP="00231170">
            <w:pPr>
              <w:pStyle w:val="TABLES"/>
              <w:keepNext/>
              <w:keepLines/>
              <w:jc w:val="center"/>
            </w:pPr>
            <w:r>
              <w:t>35</w:t>
            </w:r>
          </w:p>
        </w:tc>
        <w:tc>
          <w:tcPr>
            <w:tcW w:w="970" w:type="pct"/>
            <w:tcBorders>
              <w:top w:val="single" w:sz="4" w:space="0" w:color="000000"/>
              <w:left w:val="single" w:sz="4" w:space="0" w:color="000000"/>
              <w:bottom w:val="single" w:sz="4" w:space="0" w:color="000000"/>
              <w:right w:val="single" w:sz="4" w:space="0" w:color="000000"/>
            </w:tcBorders>
            <w:hideMark/>
          </w:tcPr>
          <w:p w14:paraId="1BF83284" w14:textId="77777777" w:rsidR="009C4600" w:rsidRPr="00F37D4D" w:rsidRDefault="00BE7CB1" w:rsidP="00231170">
            <w:pPr>
              <w:pStyle w:val="TABLES"/>
              <w:keepNext/>
              <w:keepLines/>
              <w:jc w:val="center"/>
            </w:pPr>
            <w:r>
              <w:t>33</w:t>
            </w:r>
          </w:p>
        </w:tc>
        <w:tc>
          <w:tcPr>
            <w:tcW w:w="644" w:type="pct"/>
            <w:tcBorders>
              <w:top w:val="single" w:sz="4" w:space="0" w:color="000000"/>
              <w:left w:val="single" w:sz="4" w:space="0" w:color="000000"/>
              <w:bottom w:val="single" w:sz="4" w:space="0" w:color="000000"/>
              <w:right w:val="single" w:sz="4" w:space="0" w:color="000000"/>
            </w:tcBorders>
            <w:hideMark/>
          </w:tcPr>
          <w:p w14:paraId="1BB6A641" w14:textId="77777777" w:rsidR="009C4600" w:rsidRPr="00F37D4D" w:rsidRDefault="00BE7CB1" w:rsidP="00231170">
            <w:pPr>
              <w:pStyle w:val="TABLES"/>
              <w:keepNext/>
              <w:keepLines/>
              <w:jc w:val="center"/>
            </w:pPr>
            <w:r>
              <w:t>105</w:t>
            </w:r>
          </w:p>
        </w:tc>
        <w:tc>
          <w:tcPr>
            <w:tcW w:w="927" w:type="pct"/>
            <w:tcBorders>
              <w:top w:val="single" w:sz="4" w:space="0" w:color="000000"/>
              <w:left w:val="single" w:sz="4" w:space="0" w:color="000000"/>
              <w:bottom w:val="single" w:sz="4" w:space="0" w:color="000000"/>
              <w:right w:val="single" w:sz="4" w:space="0" w:color="000000"/>
            </w:tcBorders>
            <w:hideMark/>
          </w:tcPr>
          <w:p w14:paraId="4914DD36" w14:textId="77777777" w:rsidR="009C4600" w:rsidRPr="00F37D4D" w:rsidRDefault="00BE7CB1" w:rsidP="00231170">
            <w:pPr>
              <w:pStyle w:val="TABLES"/>
              <w:keepNext/>
              <w:keepLines/>
              <w:jc w:val="center"/>
            </w:pPr>
            <w:r>
              <w:t>104</w:t>
            </w:r>
          </w:p>
        </w:tc>
      </w:tr>
      <w:tr w:rsidR="00741586" w:rsidRPr="00F37D4D" w14:paraId="3AA9E09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37EDD8FB" w14:textId="77777777" w:rsidR="009C4600" w:rsidRPr="00F37D4D" w:rsidRDefault="00BE7CB1" w:rsidP="00231170">
            <w:pPr>
              <w:pStyle w:val="TABLES"/>
              <w:keepNext/>
              <w:keepLines/>
              <w:ind w:left="57" w:right="57"/>
            </w:pPr>
            <w:r>
              <w:t>Celkové prežívanie</w:t>
            </w:r>
          </w:p>
        </w:tc>
      </w:tr>
      <w:tr w:rsidR="00741586" w:rsidRPr="00F37D4D" w14:paraId="7CD244BC"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18C3D0" w14:textId="77777777" w:rsidR="009C4600" w:rsidRPr="00F37D4D" w:rsidRDefault="00BE7CB1" w:rsidP="00231170">
            <w:pPr>
              <w:pStyle w:val="TABLES"/>
              <w:keepNext/>
              <w:keepLines/>
              <w:ind w:left="567" w:right="57"/>
            </w:pPr>
            <w:r>
              <w:t>Medián času (mesiace)</w:t>
            </w:r>
          </w:p>
        </w:tc>
        <w:tc>
          <w:tcPr>
            <w:tcW w:w="448" w:type="pct"/>
            <w:tcBorders>
              <w:top w:val="single" w:sz="4" w:space="0" w:color="000000"/>
              <w:left w:val="single" w:sz="4" w:space="0" w:color="000000"/>
              <w:bottom w:val="single" w:sz="4" w:space="0" w:color="000000"/>
              <w:right w:val="single" w:sz="4" w:space="0" w:color="000000"/>
            </w:tcBorders>
            <w:hideMark/>
          </w:tcPr>
          <w:p w14:paraId="2B1CD1B0" w14:textId="77777777" w:rsidR="009C4600" w:rsidRPr="00F37D4D" w:rsidRDefault="00BE7CB1" w:rsidP="00231170">
            <w:pPr>
              <w:pStyle w:val="TABLES"/>
              <w:keepNext/>
              <w:keepLines/>
              <w:jc w:val="center"/>
            </w:pPr>
            <w:r>
              <w:t>13,6</w:t>
            </w:r>
          </w:p>
        </w:tc>
        <w:tc>
          <w:tcPr>
            <w:tcW w:w="966" w:type="pct"/>
            <w:tcBorders>
              <w:top w:val="single" w:sz="4" w:space="0" w:color="000000"/>
              <w:left w:val="single" w:sz="4" w:space="0" w:color="000000"/>
              <w:bottom w:val="single" w:sz="4" w:space="0" w:color="000000"/>
              <w:right w:val="single" w:sz="4" w:space="0" w:color="000000"/>
            </w:tcBorders>
            <w:hideMark/>
          </w:tcPr>
          <w:p w14:paraId="0BA51F96" w14:textId="77777777" w:rsidR="009C4600" w:rsidRPr="00F37D4D" w:rsidRDefault="00BE7CB1" w:rsidP="00231170">
            <w:pPr>
              <w:pStyle w:val="TABLES"/>
              <w:keepNext/>
              <w:keepLines/>
              <w:jc w:val="center"/>
            </w:pPr>
            <w:r>
              <w:t>17,7</w:t>
            </w:r>
          </w:p>
        </w:tc>
        <w:tc>
          <w:tcPr>
            <w:tcW w:w="970" w:type="pct"/>
            <w:tcBorders>
              <w:top w:val="single" w:sz="4" w:space="0" w:color="000000"/>
              <w:left w:val="single" w:sz="4" w:space="0" w:color="000000"/>
              <w:bottom w:val="single" w:sz="4" w:space="0" w:color="000000"/>
              <w:right w:val="single" w:sz="4" w:space="0" w:color="000000"/>
            </w:tcBorders>
            <w:hideMark/>
          </w:tcPr>
          <w:p w14:paraId="58B97E61" w14:textId="77777777" w:rsidR="009C4600" w:rsidRPr="00F37D4D" w:rsidRDefault="00BE7CB1" w:rsidP="00231170">
            <w:pPr>
              <w:pStyle w:val="TABLES"/>
              <w:keepNext/>
              <w:keepLines/>
              <w:jc w:val="center"/>
            </w:pPr>
            <w:r>
              <w:t>15,2</w:t>
            </w:r>
          </w:p>
        </w:tc>
        <w:tc>
          <w:tcPr>
            <w:tcW w:w="644" w:type="pct"/>
            <w:tcBorders>
              <w:top w:val="single" w:sz="4" w:space="0" w:color="000000"/>
              <w:left w:val="single" w:sz="4" w:space="0" w:color="000000"/>
              <w:bottom w:val="single" w:sz="4" w:space="0" w:color="000000"/>
              <w:right w:val="single" w:sz="4" w:space="0" w:color="000000"/>
            </w:tcBorders>
            <w:hideMark/>
          </w:tcPr>
          <w:p w14:paraId="5F32349D" w14:textId="77777777" w:rsidR="009C4600" w:rsidRPr="00F37D4D" w:rsidRDefault="00BE7CB1" w:rsidP="00231170">
            <w:pPr>
              <w:pStyle w:val="TABLES"/>
              <w:keepNext/>
              <w:keepLines/>
              <w:jc w:val="center"/>
            </w:pPr>
            <w:r>
              <w:t>12,9</w:t>
            </w:r>
          </w:p>
        </w:tc>
        <w:tc>
          <w:tcPr>
            <w:tcW w:w="927" w:type="pct"/>
            <w:tcBorders>
              <w:top w:val="single" w:sz="4" w:space="0" w:color="000000"/>
              <w:left w:val="single" w:sz="4" w:space="0" w:color="000000"/>
              <w:bottom w:val="single" w:sz="4" w:space="0" w:color="000000"/>
              <w:right w:val="single" w:sz="4" w:space="0" w:color="000000"/>
            </w:tcBorders>
            <w:hideMark/>
          </w:tcPr>
          <w:p w14:paraId="24196206" w14:textId="77777777" w:rsidR="009C4600" w:rsidRPr="00F37D4D" w:rsidRDefault="00BE7CB1" w:rsidP="00231170">
            <w:pPr>
              <w:pStyle w:val="TABLES"/>
              <w:keepNext/>
              <w:keepLines/>
              <w:jc w:val="center"/>
            </w:pPr>
            <w:r>
              <w:t>16,6</w:t>
            </w:r>
          </w:p>
        </w:tc>
      </w:tr>
      <w:tr w:rsidR="00741586" w:rsidRPr="00F37D4D" w14:paraId="1BE1CA7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9A3E838" w14:textId="77777777" w:rsidR="009C4600" w:rsidRPr="00F37D4D" w:rsidRDefault="00BE7CB1" w:rsidP="00231170">
            <w:pPr>
              <w:pStyle w:val="TABLES"/>
              <w:keepNext/>
              <w:keepLines/>
              <w:ind w:left="1134" w:right="57"/>
            </w:pPr>
            <w:r>
              <w:t>95 % I</w:t>
            </w:r>
            <w:r w:rsidR="00FC3A8B">
              <w:t>S</w:t>
            </w:r>
          </w:p>
        </w:tc>
        <w:tc>
          <w:tcPr>
            <w:tcW w:w="448" w:type="pct"/>
            <w:tcBorders>
              <w:top w:val="single" w:sz="4" w:space="0" w:color="000000"/>
              <w:left w:val="single" w:sz="4" w:space="0" w:color="000000"/>
              <w:bottom w:val="single" w:sz="4" w:space="0" w:color="000000"/>
              <w:right w:val="single" w:sz="4" w:space="0" w:color="000000"/>
            </w:tcBorders>
          </w:tcPr>
          <w:p w14:paraId="10107301" w14:textId="77777777" w:rsidR="009C4600" w:rsidRPr="00F37D4D" w:rsidRDefault="009C4600" w:rsidP="00231170">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tcPr>
          <w:p w14:paraId="6218ABDA" w14:textId="77777777" w:rsidR="009C4600" w:rsidRPr="00F37D4D" w:rsidRDefault="009C4600" w:rsidP="00231170">
            <w:pPr>
              <w:pStyle w:val="TABLES"/>
              <w:keepNext/>
              <w:keepLines/>
              <w:jc w:val="center"/>
            </w:pPr>
          </w:p>
        </w:tc>
        <w:tc>
          <w:tcPr>
            <w:tcW w:w="970" w:type="pct"/>
            <w:tcBorders>
              <w:top w:val="single" w:sz="4" w:space="0" w:color="000000"/>
              <w:left w:val="single" w:sz="4" w:space="0" w:color="000000"/>
              <w:bottom w:val="single" w:sz="4" w:space="0" w:color="000000"/>
              <w:right w:val="single" w:sz="4" w:space="0" w:color="000000"/>
            </w:tcBorders>
          </w:tcPr>
          <w:p w14:paraId="6785B6C4" w14:textId="77777777" w:rsidR="009C4600" w:rsidRPr="00F37D4D" w:rsidRDefault="009C4600" w:rsidP="00231170">
            <w:pPr>
              <w:pStyle w:val="TABLES"/>
              <w:keepNext/>
              <w:keepLin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0FC15E9D" w14:textId="77777777" w:rsidR="009C4600" w:rsidRPr="00F37D4D" w:rsidRDefault="00BE7CB1" w:rsidP="00231170">
            <w:pPr>
              <w:pStyle w:val="TABLES"/>
              <w:keepNext/>
              <w:keepLines/>
              <w:jc w:val="center"/>
            </w:pPr>
            <w:r>
              <w:t>10,35–16,95</w:t>
            </w:r>
          </w:p>
        </w:tc>
        <w:tc>
          <w:tcPr>
            <w:tcW w:w="927" w:type="pct"/>
            <w:tcBorders>
              <w:top w:val="single" w:sz="4" w:space="0" w:color="000000"/>
              <w:left w:val="single" w:sz="4" w:space="0" w:color="000000"/>
              <w:bottom w:val="single" w:sz="4" w:space="0" w:color="000000"/>
              <w:right w:val="single" w:sz="4" w:space="0" w:color="000000"/>
            </w:tcBorders>
            <w:hideMark/>
          </w:tcPr>
          <w:p w14:paraId="0857659C" w14:textId="77777777" w:rsidR="009C4600" w:rsidRPr="00F37D4D" w:rsidRDefault="00BE7CB1" w:rsidP="00231170">
            <w:pPr>
              <w:pStyle w:val="TABLES"/>
              <w:keepNext/>
              <w:keepLines/>
              <w:jc w:val="center"/>
            </w:pPr>
            <w:r>
              <w:t>13,63–19,32</w:t>
            </w:r>
          </w:p>
        </w:tc>
      </w:tr>
      <w:tr w:rsidR="00741586" w:rsidRPr="00F37D4D" w14:paraId="2631DCD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0212B4B" w14:textId="77777777" w:rsidR="009C4600" w:rsidRPr="00F37D4D" w:rsidRDefault="00BE7CB1" w:rsidP="00231170">
            <w:pPr>
              <w:pStyle w:val="TABLES"/>
              <w:keepNext/>
              <w:keepLines/>
              <w:ind w:left="567" w:right="57"/>
            </w:pPr>
            <w:r>
              <w:t>Miera rizika</w:t>
            </w:r>
            <w:r w:rsidR="00B10C3A" w:rsidRPr="00F37D4D">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5386C3F2" w14:textId="77777777" w:rsidR="009C4600" w:rsidRPr="00F37D4D" w:rsidRDefault="00BE7CB1" w:rsidP="00231170">
            <w:pPr>
              <w:pStyle w:val="TABLES"/>
              <w:keepNext/>
              <w:keepLines/>
              <w:jc w:val="center"/>
            </w:pPr>
            <w:r>
              <w:t>–</w:t>
            </w:r>
          </w:p>
        </w:tc>
        <w:tc>
          <w:tcPr>
            <w:tcW w:w="966" w:type="pct"/>
            <w:tcBorders>
              <w:top w:val="single" w:sz="4" w:space="0" w:color="000000"/>
              <w:left w:val="single" w:sz="4" w:space="0" w:color="000000"/>
              <w:bottom w:val="single" w:sz="4" w:space="0" w:color="000000"/>
              <w:right w:val="single" w:sz="4" w:space="0" w:color="000000"/>
            </w:tcBorders>
            <w:hideMark/>
          </w:tcPr>
          <w:p w14:paraId="741803BC" w14:textId="77777777" w:rsidR="009C4600" w:rsidRPr="00F37D4D" w:rsidRDefault="00BE7CB1" w:rsidP="00231170">
            <w:pPr>
              <w:pStyle w:val="TABLES"/>
              <w:keepNext/>
              <w:keepLines/>
              <w:jc w:val="center"/>
            </w:pPr>
            <w:r>
              <w:t>0,52</w:t>
            </w:r>
          </w:p>
        </w:tc>
        <w:tc>
          <w:tcPr>
            <w:tcW w:w="970" w:type="pct"/>
            <w:tcBorders>
              <w:top w:val="single" w:sz="4" w:space="0" w:color="000000"/>
              <w:left w:val="single" w:sz="4" w:space="0" w:color="000000"/>
              <w:bottom w:val="single" w:sz="4" w:space="0" w:color="000000"/>
              <w:right w:val="single" w:sz="4" w:space="0" w:color="000000"/>
            </w:tcBorders>
            <w:hideMark/>
          </w:tcPr>
          <w:p w14:paraId="585447EB" w14:textId="77777777" w:rsidR="009C4600" w:rsidRPr="00F37D4D" w:rsidRDefault="00BE7CB1" w:rsidP="00231170">
            <w:pPr>
              <w:pStyle w:val="TABLES"/>
              <w:keepNext/>
              <w:keepLines/>
              <w:jc w:val="center"/>
            </w:pPr>
            <w:r>
              <w:t>1,01</w:t>
            </w:r>
          </w:p>
        </w:tc>
        <w:tc>
          <w:tcPr>
            <w:tcW w:w="644" w:type="pct"/>
            <w:tcBorders>
              <w:top w:val="single" w:sz="4" w:space="0" w:color="000000"/>
              <w:left w:val="single" w:sz="4" w:space="0" w:color="000000"/>
              <w:bottom w:val="single" w:sz="4" w:space="0" w:color="000000"/>
              <w:right w:val="single" w:sz="4" w:space="0" w:color="000000"/>
            </w:tcBorders>
          </w:tcPr>
          <w:p w14:paraId="3457EFB1" w14:textId="77777777" w:rsidR="009C4600" w:rsidRPr="00F37D4D" w:rsidRDefault="009C4600" w:rsidP="00231170">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2C9333AA" w14:textId="77777777" w:rsidR="009C4600" w:rsidRPr="00F37D4D" w:rsidRDefault="00BE7CB1" w:rsidP="00231170">
            <w:pPr>
              <w:pStyle w:val="TABLES"/>
              <w:keepNext/>
              <w:keepLines/>
              <w:jc w:val="center"/>
            </w:pPr>
            <w:r>
              <w:t>0,79</w:t>
            </w:r>
          </w:p>
        </w:tc>
      </w:tr>
      <w:tr w:rsidR="00741586" w:rsidRPr="00F37D4D" w14:paraId="77D296A6"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1F22D5F" w14:textId="77777777" w:rsidR="009C4600" w:rsidRPr="00F37D4D" w:rsidRDefault="00BE7CB1" w:rsidP="00231170">
            <w:pPr>
              <w:pStyle w:val="TABLES"/>
              <w:keepNext/>
              <w:keepLines/>
              <w:ind w:left="567" w:right="57"/>
            </w:pPr>
            <w:r>
              <w:t>p-hodnota</w:t>
            </w:r>
          </w:p>
        </w:tc>
        <w:tc>
          <w:tcPr>
            <w:tcW w:w="448" w:type="pct"/>
            <w:tcBorders>
              <w:top w:val="single" w:sz="4" w:space="0" w:color="000000"/>
              <w:left w:val="single" w:sz="4" w:space="0" w:color="000000"/>
              <w:bottom w:val="single" w:sz="4" w:space="0" w:color="000000"/>
              <w:right w:val="single" w:sz="4" w:space="0" w:color="000000"/>
            </w:tcBorders>
          </w:tcPr>
          <w:p w14:paraId="22C38CBA" w14:textId="77777777" w:rsidR="009C4600" w:rsidRPr="00F37D4D" w:rsidRDefault="009C4600" w:rsidP="00231170">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42FA6EAC" w14:textId="77777777" w:rsidR="009C4600" w:rsidRPr="00F37D4D" w:rsidRDefault="00BE7CB1" w:rsidP="00231170">
            <w:pPr>
              <w:pStyle w:val="TABLES"/>
              <w:keepNext/>
              <w:keepLines/>
              <w:jc w:val="center"/>
            </w:pPr>
            <w:r>
              <w:t>0,073</w:t>
            </w:r>
          </w:p>
        </w:tc>
        <w:tc>
          <w:tcPr>
            <w:tcW w:w="970" w:type="pct"/>
            <w:tcBorders>
              <w:top w:val="single" w:sz="4" w:space="0" w:color="000000"/>
              <w:left w:val="single" w:sz="4" w:space="0" w:color="000000"/>
              <w:bottom w:val="single" w:sz="4" w:space="0" w:color="000000"/>
              <w:right w:val="single" w:sz="4" w:space="0" w:color="000000"/>
            </w:tcBorders>
            <w:hideMark/>
          </w:tcPr>
          <w:p w14:paraId="1C7491AE" w14:textId="77777777" w:rsidR="009C4600" w:rsidRPr="00F37D4D" w:rsidRDefault="00BE7CB1" w:rsidP="00231170">
            <w:pPr>
              <w:pStyle w:val="TABLES"/>
              <w:keepNext/>
              <w:keepLines/>
              <w:jc w:val="center"/>
            </w:pPr>
            <w:r>
              <w:t>0,978</w:t>
            </w:r>
          </w:p>
        </w:tc>
        <w:tc>
          <w:tcPr>
            <w:tcW w:w="644" w:type="pct"/>
            <w:tcBorders>
              <w:top w:val="single" w:sz="4" w:space="0" w:color="000000"/>
              <w:left w:val="single" w:sz="4" w:space="0" w:color="000000"/>
              <w:bottom w:val="single" w:sz="4" w:space="0" w:color="000000"/>
              <w:right w:val="single" w:sz="4" w:space="0" w:color="000000"/>
            </w:tcBorders>
          </w:tcPr>
          <w:p w14:paraId="3F0587D8" w14:textId="77777777" w:rsidR="009C4600" w:rsidRPr="00F37D4D" w:rsidRDefault="009C4600" w:rsidP="00231170">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523935D2" w14:textId="77777777" w:rsidR="009C4600" w:rsidRPr="00F37D4D" w:rsidRDefault="00BE7CB1" w:rsidP="00231170">
            <w:pPr>
              <w:pStyle w:val="TABLES"/>
              <w:keepNext/>
              <w:keepLines/>
              <w:jc w:val="center"/>
            </w:pPr>
            <w:r>
              <w:t>0,16</w:t>
            </w:r>
          </w:p>
        </w:tc>
      </w:tr>
      <w:tr w:rsidR="00741586" w:rsidRPr="00F37D4D" w14:paraId="0A55DFB9"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EA4494" w14:textId="77777777" w:rsidR="009C4600" w:rsidRPr="00F37D4D" w:rsidRDefault="00BE7CB1" w:rsidP="00231170">
            <w:pPr>
              <w:pStyle w:val="TABLES"/>
              <w:keepNext/>
              <w:keepLines/>
              <w:ind w:left="57" w:right="57"/>
            </w:pPr>
            <w:r>
              <w:t>Prežívanie bez progresie</w:t>
            </w:r>
          </w:p>
        </w:tc>
      </w:tr>
      <w:tr w:rsidR="00741586" w:rsidRPr="00F37D4D" w14:paraId="1BE0FB0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B747CA6" w14:textId="77777777" w:rsidR="009C4600" w:rsidRPr="00F37D4D" w:rsidRDefault="00BE7CB1" w:rsidP="00231170">
            <w:pPr>
              <w:pStyle w:val="TABLES"/>
              <w:keepNext/>
              <w:keepLines/>
              <w:ind w:left="567" w:right="57"/>
            </w:pPr>
            <w:r>
              <w:t>Medián času (mesiace)</w:t>
            </w:r>
          </w:p>
        </w:tc>
        <w:tc>
          <w:tcPr>
            <w:tcW w:w="448" w:type="pct"/>
            <w:tcBorders>
              <w:top w:val="single" w:sz="4" w:space="0" w:color="000000"/>
              <w:left w:val="single" w:sz="4" w:space="0" w:color="000000"/>
              <w:bottom w:val="single" w:sz="4" w:space="0" w:color="000000"/>
              <w:right w:val="single" w:sz="4" w:space="0" w:color="000000"/>
            </w:tcBorders>
            <w:hideMark/>
          </w:tcPr>
          <w:p w14:paraId="5EDEA7DF" w14:textId="77777777" w:rsidR="009C4600" w:rsidRPr="00F37D4D" w:rsidRDefault="00BE7CB1" w:rsidP="00231170">
            <w:pPr>
              <w:pStyle w:val="TABLES"/>
              <w:keepNext/>
              <w:keepLines/>
              <w:jc w:val="center"/>
            </w:pPr>
            <w:r>
              <w:t>5,2</w:t>
            </w:r>
          </w:p>
        </w:tc>
        <w:tc>
          <w:tcPr>
            <w:tcW w:w="966" w:type="pct"/>
            <w:tcBorders>
              <w:top w:val="single" w:sz="4" w:space="0" w:color="000000"/>
              <w:left w:val="single" w:sz="4" w:space="0" w:color="000000"/>
              <w:bottom w:val="single" w:sz="4" w:space="0" w:color="000000"/>
              <w:right w:val="single" w:sz="4" w:space="0" w:color="000000"/>
            </w:tcBorders>
            <w:hideMark/>
          </w:tcPr>
          <w:p w14:paraId="1EDAFF5D" w14:textId="77777777" w:rsidR="009C4600" w:rsidRPr="00F37D4D" w:rsidRDefault="00BE7CB1" w:rsidP="00231170">
            <w:pPr>
              <w:pStyle w:val="TABLES"/>
              <w:keepNext/>
              <w:keepLines/>
              <w:jc w:val="center"/>
            </w:pPr>
            <w:r>
              <w:t>9,0</w:t>
            </w:r>
          </w:p>
        </w:tc>
        <w:tc>
          <w:tcPr>
            <w:tcW w:w="970" w:type="pct"/>
            <w:tcBorders>
              <w:top w:val="single" w:sz="4" w:space="0" w:color="000000"/>
              <w:left w:val="single" w:sz="4" w:space="0" w:color="000000"/>
              <w:bottom w:val="single" w:sz="4" w:space="0" w:color="000000"/>
              <w:right w:val="single" w:sz="4" w:space="0" w:color="000000"/>
            </w:tcBorders>
            <w:hideMark/>
          </w:tcPr>
          <w:p w14:paraId="52835519" w14:textId="77777777" w:rsidR="009C4600" w:rsidRPr="00F37D4D" w:rsidRDefault="00BE7CB1" w:rsidP="00231170">
            <w:pPr>
              <w:pStyle w:val="TABLES"/>
              <w:keepNext/>
              <w:keepLines/>
              <w:jc w:val="center"/>
            </w:pPr>
            <w:r>
              <w:t>7,2</w:t>
            </w:r>
          </w:p>
        </w:tc>
        <w:tc>
          <w:tcPr>
            <w:tcW w:w="644" w:type="pct"/>
            <w:tcBorders>
              <w:top w:val="single" w:sz="4" w:space="0" w:color="000000"/>
              <w:left w:val="single" w:sz="4" w:space="0" w:color="000000"/>
              <w:bottom w:val="single" w:sz="4" w:space="0" w:color="000000"/>
              <w:right w:val="single" w:sz="4" w:space="0" w:color="000000"/>
            </w:tcBorders>
            <w:hideMark/>
          </w:tcPr>
          <w:p w14:paraId="13647069" w14:textId="77777777" w:rsidR="009C4600" w:rsidRPr="00F37D4D" w:rsidRDefault="00BE7CB1" w:rsidP="00231170">
            <w:pPr>
              <w:pStyle w:val="TABLES"/>
              <w:keepNext/>
              <w:keepLines/>
              <w:jc w:val="center"/>
            </w:pPr>
            <w:r>
              <w:t>5,5</w:t>
            </w:r>
          </w:p>
        </w:tc>
        <w:tc>
          <w:tcPr>
            <w:tcW w:w="927" w:type="pct"/>
            <w:tcBorders>
              <w:top w:val="single" w:sz="4" w:space="0" w:color="000000"/>
              <w:left w:val="single" w:sz="4" w:space="0" w:color="000000"/>
              <w:bottom w:val="single" w:sz="4" w:space="0" w:color="000000"/>
              <w:right w:val="single" w:sz="4" w:space="0" w:color="000000"/>
            </w:tcBorders>
            <w:hideMark/>
          </w:tcPr>
          <w:p w14:paraId="0F3914D5" w14:textId="77777777" w:rsidR="009C4600" w:rsidRPr="00F37D4D" w:rsidRDefault="00BE7CB1" w:rsidP="00231170">
            <w:pPr>
              <w:pStyle w:val="TABLES"/>
              <w:keepNext/>
              <w:keepLines/>
              <w:jc w:val="center"/>
            </w:pPr>
            <w:r>
              <w:t>9,2</w:t>
            </w:r>
          </w:p>
        </w:tc>
      </w:tr>
      <w:tr w:rsidR="00741586" w:rsidRPr="00F37D4D" w14:paraId="303E46C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10C3376" w14:textId="77777777" w:rsidR="009C4600" w:rsidRPr="00F37D4D" w:rsidRDefault="00BE7CB1" w:rsidP="00231170">
            <w:pPr>
              <w:pStyle w:val="TABLES"/>
              <w:keepNext/>
              <w:keepLines/>
              <w:ind w:left="567" w:right="57"/>
            </w:pPr>
            <w:r>
              <w:t>Miera rizika</w:t>
            </w:r>
          </w:p>
        </w:tc>
        <w:tc>
          <w:tcPr>
            <w:tcW w:w="448" w:type="pct"/>
            <w:tcBorders>
              <w:top w:val="single" w:sz="4" w:space="0" w:color="000000"/>
              <w:left w:val="single" w:sz="4" w:space="0" w:color="000000"/>
              <w:bottom w:val="single" w:sz="4" w:space="0" w:color="000000"/>
              <w:right w:val="single" w:sz="4" w:space="0" w:color="000000"/>
            </w:tcBorders>
          </w:tcPr>
          <w:p w14:paraId="6C1EF481" w14:textId="77777777" w:rsidR="009C4600" w:rsidRPr="00F37D4D" w:rsidRDefault="009C4600" w:rsidP="00231170">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7A96F35E" w14:textId="77777777" w:rsidR="009C4600" w:rsidRPr="00F37D4D" w:rsidRDefault="00BE7CB1" w:rsidP="00231170">
            <w:pPr>
              <w:pStyle w:val="TABLES"/>
              <w:keepNext/>
              <w:keepLines/>
              <w:jc w:val="center"/>
            </w:pPr>
            <w:r>
              <w:t>0,44</w:t>
            </w:r>
          </w:p>
        </w:tc>
        <w:tc>
          <w:tcPr>
            <w:tcW w:w="970" w:type="pct"/>
            <w:tcBorders>
              <w:top w:val="single" w:sz="4" w:space="0" w:color="000000"/>
              <w:left w:val="single" w:sz="4" w:space="0" w:color="000000"/>
              <w:bottom w:val="single" w:sz="4" w:space="0" w:color="000000"/>
              <w:right w:val="single" w:sz="4" w:space="0" w:color="000000"/>
            </w:tcBorders>
            <w:hideMark/>
          </w:tcPr>
          <w:p w14:paraId="0C035CC1" w14:textId="77777777" w:rsidR="009C4600" w:rsidRPr="00F37D4D" w:rsidRDefault="00BE7CB1" w:rsidP="00231170">
            <w:pPr>
              <w:pStyle w:val="TABLES"/>
              <w:keepNext/>
              <w:keepLines/>
              <w:jc w:val="center"/>
            </w:pPr>
            <w:r>
              <w:t>0,69</w:t>
            </w:r>
          </w:p>
        </w:tc>
        <w:tc>
          <w:tcPr>
            <w:tcW w:w="644" w:type="pct"/>
            <w:tcBorders>
              <w:top w:val="single" w:sz="4" w:space="0" w:color="000000"/>
              <w:left w:val="single" w:sz="4" w:space="0" w:color="000000"/>
              <w:bottom w:val="single" w:sz="4" w:space="0" w:color="000000"/>
              <w:right w:val="single" w:sz="4" w:space="0" w:color="000000"/>
            </w:tcBorders>
          </w:tcPr>
          <w:p w14:paraId="780A1879" w14:textId="77777777" w:rsidR="009C4600" w:rsidRPr="00F37D4D" w:rsidRDefault="009C4600" w:rsidP="00231170">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3659DB49" w14:textId="77777777" w:rsidR="009C4600" w:rsidRPr="00F37D4D" w:rsidRDefault="00BE7CB1" w:rsidP="00231170">
            <w:pPr>
              <w:pStyle w:val="TABLES"/>
              <w:keepNext/>
              <w:keepLines/>
              <w:jc w:val="center"/>
            </w:pPr>
            <w:r>
              <w:t>0,5</w:t>
            </w:r>
          </w:p>
        </w:tc>
      </w:tr>
      <w:tr w:rsidR="00741586" w:rsidRPr="00F37D4D" w14:paraId="3F716106"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02E102A" w14:textId="77777777" w:rsidR="009C4600" w:rsidRPr="00F37D4D" w:rsidRDefault="00BE7CB1" w:rsidP="00231170">
            <w:pPr>
              <w:pStyle w:val="TABLES"/>
              <w:keepNext/>
              <w:keepLines/>
              <w:ind w:left="567" w:right="57"/>
            </w:pPr>
            <w:r>
              <w:t>p-hodnota</w:t>
            </w:r>
          </w:p>
        </w:tc>
        <w:tc>
          <w:tcPr>
            <w:tcW w:w="448" w:type="pct"/>
            <w:tcBorders>
              <w:top w:val="single" w:sz="4" w:space="0" w:color="000000"/>
              <w:left w:val="single" w:sz="4" w:space="0" w:color="000000"/>
              <w:bottom w:val="single" w:sz="4" w:space="0" w:color="000000"/>
              <w:right w:val="single" w:sz="4" w:space="0" w:color="000000"/>
            </w:tcBorders>
            <w:hideMark/>
          </w:tcPr>
          <w:p w14:paraId="622F0D39" w14:textId="77777777" w:rsidR="009C4600" w:rsidRPr="00F37D4D" w:rsidRDefault="00BE7CB1" w:rsidP="00231170">
            <w:pPr>
              <w:pStyle w:val="TABLES"/>
              <w:keepNext/>
              <w:keepLines/>
              <w:jc w:val="center"/>
            </w:pPr>
            <w:r>
              <w:t>–</w:t>
            </w:r>
          </w:p>
        </w:tc>
        <w:tc>
          <w:tcPr>
            <w:tcW w:w="966" w:type="pct"/>
            <w:tcBorders>
              <w:top w:val="single" w:sz="4" w:space="0" w:color="000000"/>
              <w:left w:val="single" w:sz="4" w:space="0" w:color="000000"/>
              <w:bottom w:val="single" w:sz="4" w:space="0" w:color="000000"/>
              <w:right w:val="single" w:sz="4" w:space="0" w:color="000000"/>
            </w:tcBorders>
            <w:hideMark/>
          </w:tcPr>
          <w:p w14:paraId="421B281C" w14:textId="77777777" w:rsidR="009C4600" w:rsidRPr="00F37D4D" w:rsidRDefault="00BE7CB1" w:rsidP="00231170">
            <w:pPr>
              <w:pStyle w:val="TABLES"/>
              <w:keepNext/>
              <w:keepLines/>
              <w:jc w:val="center"/>
            </w:pPr>
            <w:r>
              <w:t>0,0049</w:t>
            </w:r>
          </w:p>
        </w:tc>
        <w:tc>
          <w:tcPr>
            <w:tcW w:w="970" w:type="pct"/>
            <w:tcBorders>
              <w:top w:val="single" w:sz="4" w:space="0" w:color="000000"/>
              <w:left w:val="single" w:sz="4" w:space="0" w:color="000000"/>
              <w:bottom w:val="single" w:sz="4" w:space="0" w:color="000000"/>
              <w:right w:val="single" w:sz="4" w:space="0" w:color="000000"/>
            </w:tcBorders>
            <w:hideMark/>
          </w:tcPr>
          <w:p w14:paraId="26DEA34C" w14:textId="77777777" w:rsidR="009C4600" w:rsidRPr="00F37D4D" w:rsidRDefault="00BE7CB1" w:rsidP="00231170">
            <w:pPr>
              <w:pStyle w:val="TABLES"/>
              <w:keepNext/>
              <w:keepLines/>
              <w:jc w:val="center"/>
            </w:pPr>
            <w:r>
              <w:t>0,217</w:t>
            </w:r>
          </w:p>
        </w:tc>
        <w:tc>
          <w:tcPr>
            <w:tcW w:w="644" w:type="pct"/>
            <w:tcBorders>
              <w:top w:val="single" w:sz="4" w:space="0" w:color="000000"/>
              <w:left w:val="single" w:sz="4" w:space="0" w:color="000000"/>
              <w:bottom w:val="single" w:sz="4" w:space="0" w:color="000000"/>
              <w:right w:val="single" w:sz="4" w:space="0" w:color="000000"/>
            </w:tcBorders>
          </w:tcPr>
          <w:p w14:paraId="462B6E61" w14:textId="77777777" w:rsidR="009C4600" w:rsidRPr="00F37D4D" w:rsidRDefault="009C4600" w:rsidP="00231170">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B365BEE" w14:textId="77777777" w:rsidR="009C4600" w:rsidRPr="00F37D4D" w:rsidRDefault="00BE7CB1" w:rsidP="00231170">
            <w:pPr>
              <w:pStyle w:val="TABLES"/>
              <w:keepNext/>
              <w:keepLines/>
              <w:jc w:val="center"/>
            </w:pPr>
            <w:r>
              <w:t>0,0002</w:t>
            </w:r>
          </w:p>
        </w:tc>
      </w:tr>
      <w:tr w:rsidR="00741586" w:rsidRPr="00F37D4D" w14:paraId="5CA480B2"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BA3F96B" w14:textId="77777777" w:rsidR="009C4600" w:rsidRPr="00F37D4D" w:rsidRDefault="00BE7CB1" w:rsidP="00231170">
            <w:pPr>
              <w:pStyle w:val="TABLES"/>
              <w:keepNext/>
              <w:keepLines/>
              <w:ind w:left="57" w:right="57"/>
            </w:pPr>
            <w:r>
              <w:t>Celková miera odpovede</w:t>
            </w:r>
          </w:p>
        </w:tc>
      </w:tr>
      <w:tr w:rsidR="00741586" w:rsidRPr="00F37D4D" w14:paraId="0427667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DEA0C33" w14:textId="77777777" w:rsidR="009C4600" w:rsidRPr="00F37D4D" w:rsidRDefault="00BE7CB1" w:rsidP="00231170">
            <w:pPr>
              <w:pStyle w:val="TABLES"/>
              <w:keepNext/>
              <w:keepLines/>
              <w:ind w:left="567" w:right="57"/>
            </w:pPr>
            <w:r>
              <w:t>Miera (percentá)</w:t>
            </w:r>
          </w:p>
        </w:tc>
        <w:tc>
          <w:tcPr>
            <w:tcW w:w="448" w:type="pct"/>
            <w:tcBorders>
              <w:top w:val="single" w:sz="4" w:space="0" w:color="000000"/>
              <w:left w:val="single" w:sz="4" w:space="0" w:color="000000"/>
              <w:bottom w:val="single" w:sz="4" w:space="0" w:color="000000"/>
              <w:right w:val="single" w:sz="4" w:space="0" w:color="000000"/>
            </w:tcBorders>
            <w:hideMark/>
          </w:tcPr>
          <w:p w14:paraId="06E2CAB6" w14:textId="77777777" w:rsidR="009C4600" w:rsidRPr="00F37D4D" w:rsidRDefault="00BE7CB1" w:rsidP="00231170">
            <w:pPr>
              <w:pStyle w:val="TABLES"/>
              <w:keepNext/>
              <w:keepLines/>
              <w:jc w:val="center"/>
            </w:pPr>
            <w:r>
              <w:t>16,7</w:t>
            </w:r>
          </w:p>
        </w:tc>
        <w:tc>
          <w:tcPr>
            <w:tcW w:w="966" w:type="pct"/>
            <w:tcBorders>
              <w:top w:val="single" w:sz="4" w:space="0" w:color="000000"/>
              <w:left w:val="single" w:sz="4" w:space="0" w:color="000000"/>
              <w:bottom w:val="single" w:sz="4" w:space="0" w:color="000000"/>
              <w:right w:val="single" w:sz="4" w:space="0" w:color="000000"/>
            </w:tcBorders>
            <w:hideMark/>
          </w:tcPr>
          <w:p w14:paraId="458754D9" w14:textId="77777777" w:rsidR="009C4600" w:rsidRPr="00F37D4D" w:rsidRDefault="00BE7CB1" w:rsidP="00231170">
            <w:pPr>
              <w:pStyle w:val="TABLES"/>
              <w:keepNext/>
              <w:keepLines/>
              <w:jc w:val="center"/>
            </w:pPr>
            <w:r>
              <w:t>40,0</w:t>
            </w:r>
          </w:p>
        </w:tc>
        <w:tc>
          <w:tcPr>
            <w:tcW w:w="970" w:type="pct"/>
            <w:tcBorders>
              <w:top w:val="single" w:sz="4" w:space="0" w:color="000000"/>
              <w:left w:val="single" w:sz="4" w:space="0" w:color="000000"/>
              <w:bottom w:val="single" w:sz="4" w:space="0" w:color="000000"/>
              <w:right w:val="single" w:sz="4" w:space="0" w:color="000000"/>
            </w:tcBorders>
            <w:hideMark/>
          </w:tcPr>
          <w:p w14:paraId="73CEF387" w14:textId="77777777" w:rsidR="009C4600" w:rsidRPr="00F37D4D" w:rsidRDefault="00BE7CB1" w:rsidP="00231170">
            <w:pPr>
              <w:pStyle w:val="TABLES"/>
              <w:keepNext/>
              <w:keepLines/>
              <w:jc w:val="center"/>
            </w:pPr>
            <w:r>
              <w:t>24,2</w:t>
            </w:r>
          </w:p>
        </w:tc>
        <w:tc>
          <w:tcPr>
            <w:tcW w:w="644" w:type="pct"/>
            <w:tcBorders>
              <w:top w:val="single" w:sz="4" w:space="0" w:color="000000"/>
              <w:left w:val="single" w:sz="4" w:space="0" w:color="000000"/>
              <w:bottom w:val="single" w:sz="4" w:space="0" w:color="000000"/>
              <w:right w:val="single" w:sz="4" w:space="0" w:color="000000"/>
            </w:tcBorders>
            <w:hideMark/>
          </w:tcPr>
          <w:p w14:paraId="6561750E" w14:textId="77777777" w:rsidR="009C4600" w:rsidRPr="00F37D4D" w:rsidRDefault="00BE7CB1" w:rsidP="00231170">
            <w:pPr>
              <w:pStyle w:val="TABLES"/>
              <w:keepNext/>
              <w:keepLines/>
              <w:jc w:val="center"/>
            </w:pPr>
            <w:r>
              <w:t>15,2</w:t>
            </w:r>
          </w:p>
        </w:tc>
        <w:tc>
          <w:tcPr>
            <w:tcW w:w="927" w:type="pct"/>
            <w:tcBorders>
              <w:top w:val="single" w:sz="4" w:space="0" w:color="000000"/>
              <w:left w:val="single" w:sz="4" w:space="0" w:color="000000"/>
              <w:bottom w:val="single" w:sz="4" w:space="0" w:color="000000"/>
              <w:right w:val="single" w:sz="4" w:space="0" w:color="000000"/>
            </w:tcBorders>
            <w:hideMark/>
          </w:tcPr>
          <w:p w14:paraId="66D49365" w14:textId="77777777" w:rsidR="009C4600" w:rsidRPr="00F37D4D" w:rsidRDefault="00BE7CB1" w:rsidP="00231170">
            <w:pPr>
              <w:pStyle w:val="TABLES"/>
              <w:keepNext/>
              <w:keepLines/>
              <w:jc w:val="center"/>
            </w:pPr>
            <w:r>
              <w:t>26</w:t>
            </w:r>
          </w:p>
        </w:tc>
      </w:tr>
      <w:tr w:rsidR="00741586" w:rsidRPr="00F37D4D" w14:paraId="5445A790"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6924508" w14:textId="77777777" w:rsidR="009C4600" w:rsidRPr="00F37D4D" w:rsidRDefault="00BE7CB1" w:rsidP="00231170">
            <w:pPr>
              <w:pStyle w:val="TABLES"/>
              <w:keepNext/>
              <w:keepLines/>
              <w:ind w:left="567" w:right="57"/>
            </w:pPr>
            <w:r>
              <w:t>95 % I</w:t>
            </w:r>
            <w:r w:rsidR="00C6754A">
              <w:t>S</w:t>
            </w:r>
          </w:p>
        </w:tc>
        <w:tc>
          <w:tcPr>
            <w:tcW w:w="448" w:type="pct"/>
            <w:tcBorders>
              <w:top w:val="single" w:sz="4" w:space="0" w:color="000000"/>
              <w:left w:val="single" w:sz="4" w:space="0" w:color="000000"/>
              <w:bottom w:val="single" w:sz="4" w:space="0" w:color="000000"/>
              <w:right w:val="single" w:sz="4" w:space="0" w:color="000000"/>
            </w:tcBorders>
            <w:hideMark/>
          </w:tcPr>
          <w:p w14:paraId="646F3C64" w14:textId="77777777" w:rsidR="009C4600" w:rsidRPr="00F37D4D" w:rsidRDefault="00BE7CB1" w:rsidP="00231170">
            <w:pPr>
              <w:pStyle w:val="TABLES"/>
              <w:keepNext/>
              <w:keepLines/>
              <w:jc w:val="center"/>
            </w:pPr>
            <w:r>
              <w:t>7,0 – 33,5</w:t>
            </w:r>
          </w:p>
        </w:tc>
        <w:tc>
          <w:tcPr>
            <w:tcW w:w="966" w:type="pct"/>
            <w:tcBorders>
              <w:top w:val="single" w:sz="4" w:space="0" w:color="000000"/>
              <w:left w:val="single" w:sz="4" w:space="0" w:color="000000"/>
              <w:bottom w:val="single" w:sz="4" w:space="0" w:color="000000"/>
              <w:right w:val="single" w:sz="4" w:space="0" w:color="000000"/>
            </w:tcBorders>
            <w:hideMark/>
          </w:tcPr>
          <w:p w14:paraId="1A6CA52B" w14:textId="77777777" w:rsidR="009C4600" w:rsidRPr="00F37D4D" w:rsidRDefault="00BE7CB1" w:rsidP="00231170">
            <w:pPr>
              <w:pStyle w:val="TABLES"/>
              <w:keepNext/>
              <w:keepLines/>
              <w:jc w:val="center"/>
            </w:pPr>
            <w:r>
              <w:t>24,4 – 57,8</w:t>
            </w:r>
          </w:p>
        </w:tc>
        <w:tc>
          <w:tcPr>
            <w:tcW w:w="970" w:type="pct"/>
            <w:tcBorders>
              <w:top w:val="single" w:sz="4" w:space="0" w:color="000000"/>
              <w:left w:val="single" w:sz="4" w:space="0" w:color="000000"/>
              <w:bottom w:val="single" w:sz="4" w:space="0" w:color="000000"/>
              <w:right w:val="single" w:sz="4" w:space="0" w:color="000000"/>
            </w:tcBorders>
            <w:hideMark/>
          </w:tcPr>
          <w:p w14:paraId="5509181E" w14:textId="77777777" w:rsidR="009C4600" w:rsidRPr="00F37D4D" w:rsidRDefault="00BE7CB1" w:rsidP="00231170">
            <w:pPr>
              <w:pStyle w:val="TABLES"/>
              <w:keepNext/>
              <w:keepLines/>
              <w:jc w:val="center"/>
            </w:pPr>
            <w:r>
              <w:t>11,7 – 42,6</w:t>
            </w:r>
          </w:p>
        </w:tc>
        <w:tc>
          <w:tcPr>
            <w:tcW w:w="644" w:type="pct"/>
            <w:tcBorders>
              <w:top w:val="single" w:sz="4" w:space="0" w:color="000000"/>
              <w:left w:val="single" w:sz="4" w:space="0" w:color="000000"/>
              <w:bottom w:val="single" w:sz="4" w:space="0" w:color="000000"/>
              <w:right w:val="single" w:sz="4" w:space="0" w:color="000000"/>
            </w:tcBorders>
            <w:hideMark/>
          </w:tcPr>
          <w:p w14:paraId="58EF2B43" w14:textId="77777777" w:rsidR="009C4600" w:rsidRPr="00F37D4D" w:rsidRDefault="00BE7CB1" w:rsidP="00231170">
            <w:pPr>
              <w:pStyle w:val="TABLES"/>
              <w:keepNext/>
              <w:keepLines/>
              <w:jc w:val="center"/>
            </w:pPr>
            <w:r>
              <w:t>9,2 – 23,9</w:t>
            </w:r>
          </w:p>
        </w:tc>
        <w:tc>
          <w:tcPr>
            <w:tcW w:w="927" w:type="pct"/>
            <w:tcBorders>
              <w:top w:val="single" w:sz="4" w:space="0" w:color="000000"/>
              <w:left w:val="single" w:sz="4" w:space="0" w:color="000000"/>
              <w:bottom w:val="single" w:sz="4" w:space="0" w:color="000000"/>
              <w:right w:val="single" w:sz="4" w:space="0" w:color="000000"/>
            </w:tcBorders>
            <w:hideMark/>
          </w:tcPr>
          <w:p w14:paraId="6A5B868C" w14:textId="77777777" w:rsidR="009C4600" w:rsidRPr="00F37D4D" w:rsidRDefault="00BE7CB1" w:rsidP="00231170">
            <w:pPr>
              <w:pStyle w:val="TABLES"/>
              <w:keepNext/>
              <w:keepLines/>
              <w:jc w:val="center"/>
            </w:pPr>
            <w:r>
              <w:t>18,1 – 35,6</w:t>
            </w:r>
          </w:p>
        </w:tc>
      </w:tr>
      <w:tr w:rsidR="00741586" w:rsidRPr="00F37D4D" w14:paraId="7D99794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F3A1F13" w14:textId="77777777" w:rsidR="009C4600" w:rsidRPr="00F37D4D" w:rsidRDefault="00BE7CB1" w:rsidP="00231170">
            <w:pPr>
              <w:pStyle w:val="TABLES"/>
              <w:keepNext/>
              <w:keepLines/>
              <w:ind w:left="567" w:right="57"/>
            </w:pPr>
            <w:r>
              <w:t>p-hodnota</w:t>
            </w:r>
          </w:p>
        </w:tc>
        <w:tc>
          <w:tcPr>
            <w:tcW w:w="448" w:type="pct"/>
            <w:tcBorders>
              <w:top w:val="single" w:sz="4" w:space="0" w:color="000000"/>
              <w:left w:val="single" w:sz="4" w:space="0" w:color="000000"/>
              <w:bottom w:val="single" w:sz="4" w:space="0" w:color="000000"/>
              <w:right w:val="single" w:sz="4" w:space="0" w:color="000000"/>
            </w:tcBorders>
          </w:tcPr>
          <w:p w14:paraId="43C6D4A0" w14:textId="77777777" w:rsidR="009C4600" w:rsidRPr="00F37D4D" w:rsidRDefault="009C4600" w:rsidP="00231170">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3DD7C4DC" w14:textId="77777777" w:rsidR="009C4600" w:rsidRPr="00F37D4D" w:rsidRDefault="00BE7CB1" w:rsidP="00231170">
            <w:pPr>
              <w:pStyle w:val="TABLES"/>
              <w:keepNext/>
              <w:keepLines/>
              <w:jc w:val="center"/>
            </w:pPr>
            <w:r>
              <w:t>0,029</w:t>
            </w:r>
          </w:p>
        </w:tc>
        <w:tc>
          <w:tcPr>
            <w:tcW w:w="970" w:type="pct"/>
            <w:tcBorders>
              <w:top w:val="single" w:sz="4" w:space="0" w:color="000000"/>
              <w:left w:val="single" w:sz="4" w:space="0" w:color="000000"/>
              <w:bottom w:val="single" w:sz="4" w:space="0" w:color="000000"/>
              <w:right w:val="single" w:sz="4" w:space="0" w:color="000000"/>
            </w:tcBorders>
            <w:hideMark/>
          </w:tcPr>
          <w:p w14:paraId="19A7F162" w14:textId="77777777" w:rsidR="009C4600" w:rsidRPr="00F37D4D" w:rsidRDefault="00BE7CB1" w:rsidP="00231170">
            <w:pPr>
              <w:pStyle w:val="TABLES"/>
              <w:keepNext/>
              <w:keepLines/>
              <w:jc w:val="center"/>
            </w:pPr>
            <w:r>
              <w:t>0,43</w:t>
            </w:r>
          </w:p>
        </w:tc>
        <w:tc>
          <w:tcPr>
            <w:tcW w:w="644" w:type="pct"/>
            <w:tcBorders>
              <w:top w:val="single" w:sz="4" w:space="0" w:color="000000"/>
              <w:left w:val="single" w:sz="4" w:space="0" w:color="000000"/>
              <w:bottom w:val="single" w:sz="4" w:space="0" w:color="000000"/>
              <w:right w:val="single" w:sz="4" w:space="0" w:color="000000"/>
            </w:tcBorders>
          </w:tcPr>
          <w:p w14:paraId="5AE3FEB0" w14:textId="77777777" w:rsidR="009C4600" w:rsidRPr="00F37D4D" w:rsidRDefault="009C4600" w:rsidP="00231170">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77AE87B7" w14:textId="77777777" w:rsidR="009C4600" w:rsidRPr="00F37D4D" w:rsidRDefault="00BE7CB1" w:rsidP="00231170">
            <w:pPr>
              <w:pStyle w:val="TABLES"/>
              <w:keepNext/>
              <w:keepLines/>
              <w:jc w:val="center"/>
            </w:pPr>
            <w:r>
              <w:t>0,055</w:t>
            </w:r>
          </w:p>
        </w:tc>
      </w:tr>
      <w:tr w:rsidR="00741586" w:rsidRPr="00F37D4D" w14:paraId="0307680F"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3CDA389" w14:textId="77777777" w:rsidR="009C4600" w:rsidRPr="00F37D4D" w:rsidRDefault="00BE7CB1" w:rsidP="00231170">
            <w:pPr>
              <w:pStyle w:val="TABLES"/>
              <w:keepNext/>
              <w:keepLines/>
              <w:ind w:left="57" w:right="57"/>
            </w:pPr>
            <w:r>
              <w:t>Dĺžka odpovede</w:t>
            </w:r>
          </w:p>
        </w:tc>
      </w:tr>
      <w:tr w:rsidR="00741586" w:rsidRPr="00F37D4D" w14:paraId="2EDC665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E2FBE25" w14:textId="77777777" w:rsidR="009C4600" w:rsidRPr="00F37D4D" w:rsidRDefault="00BE7CB1" w:rsidP="00231170">
            <w:pPr>
              <w:pStyle w:val="TABLES"/>
              <w:keepNext/>
              <w:keepLines/>
              <w:ind w:left="567" w:right="57"/>
            </w:pPr>
            <w:r>
              <w:t>Medián času (mesiace)</w:t>
            </w:r>
          </w:p>
        </w:tc>
        <w:tc>
          <w:tcPr>
            <w:tcW w:w="448" w:type="pct"/>
            <w:tcBorders>
              <w:top w:val="single" w:sz="4" w:space="0" w:color="000000"/>
              <w:left w:val="single" w:sz="4" w:space="0" w:color="000000"/>
              <w:bottom w:val="single" w:sz="4" w:space="0" w:color="000000"/>
              <w:right w:val="single" w:sz="4" w:space="0" w:color="000000"/>
            </w:tcBorders>
            <w:hideMark/>
          </w:tcPr>
          <w:p w14:paraId="189E8237" w14:textId="77777777" w:rsidR="009C4600" w:rsidRPr="00F37D4D" w:rsidRDefault="00BE7CB1" w:rsidP="00231170">
            <w:pPr>
              <w:pStyle w:val="TABLES"/>
              <w:keepNext/>
              <w:keepLines/>
              <w:jc w:val="center"/>
            </w:pPr>
            <w:r>
              <w:t>NR</w:t>
            </w:r>
          </w:p>
        </w:tc>
        <w:tc>
          <w:tcPr>
            <w:tcW w:w="966" w:type="pct"/>
            <w:tcBorders>
              <w:top w:val="single" w:sz="4" w:space="0" w:color="000000"/>
              <w:left w:val="single" w:sz="4" w:space="0" w:color="000000"/>
              <w:bottom w:val="single" w:sz="4" w:space="0" w:color="000000"/>
              <w:right w:val="single" w:sz="4" w:space="0" w:color="000000"/>
            </w:tcBorders>
            <w:hideMark/>
          </w:tcPr>
          <w:p w14:paraId="13F62A43" w14:textId="77777777" w:rsidR="009C4600" w:rsidRPr="00F37D4D" w:rsidRDefault="00BE7CB1" w:rsidP="00231170">
            <w:pPr>
              <w:pStyle w:val="TABLES"/>
              <w:keepNext/>
              <w:keepLines/>
              <w:jc w:val="center"/>
            </w:pPr>
            <w:r>
              <w:t>9,3</w:t>
            </w:r>
          </w:p>
        </w:tc>
        <w:tc>
          <w:tcPr>
            <w:tcW w:w="970" w:type="pct"/>
            <w:tcBorders>
              <w:top w:val="single" w:sz="4" w:space="0" w:color="000000"/>
              <w:left w:val="single" w:sz="4" w:space="0" w:color="000000"/>
              <w:bottom w:val="single" w:sz="4" w:space="0" w:color="000000"/>
              <w:right w:val="single" w:sz="4" w:space="0" w:color="000000"/>
            </w:tcBorders>
            <w:hideMark/>
          </w:tcPr>
          <w:p w14:paraId="65BFFB3E" w14:textId="77777777" w:rsidR="009C4600" w:rsidRPr="00F37D4D" w:rsidRDefault="00BE7CB1" w:rsidP="00231170">
            <w:pPr>
              <w:pStyle w:val="TABLES"/>
              <w:keepNext/>
              <w:keepLines/>
              <w:jc w:val="center"/>
            </w:pPr>
            <w:r>
              <w:t>5,0</w:t>
            </w:r>
          </w:p>
        </w:tc>
        <w:tc>
          <w:tcPr>
            <w:tcW w:w="644" w:type="pct"/>
            <w:tcBorders>
              <w:top w:val="single" w:sz="4" w:space="0" w:color="000000"/>
              <w:left w:val="single" w:sz="4" w:space="0" w:color="000000"/>
              <w:bottom w:val="single" w:sz="4" w:space="0" w:color="000000"/>
              <w:right w:val="single" w:sz="4" w:space="0" w:color="000000"/>
            </w:tcBorders>
            <w:hideMark/>
          </w:tcPr>
          <w:p w14:paraId="11166E7D" w14:textId="77777777" w:rsidR="009C4600" w:rsidRPr="00F37D4D" w:rsidRDefault="00BE7CB1" w:rsidP="00231170">
            <w:pPr>
              <w:pStyle w:val="TABLES"/>
              <w:keepNext/>
              <w:keepLines/>
              <w:jc w:val="center"/>
            </w:pPr>
            <w:r>
              <w:t>6,8</w:t>
            </w:r>
          </w:p>
        </w:tc>
        <w:tc>
          <w:tcPr>
            <w:tcW w:w="927" w:type="pct"/>
            <w:tcBorders>
              <w:top w:val="single" w:sz="4" w:space="0" w:color="000000"/>
              <w:left w:val="single" w:sz="4" w:space="0" w:color="000000"/>
              <w:bottom w:val="single" w:sz="4" w:space="0" w:color="000000"/>
              <w:right w:val="single" w:sz="4" w:space="0" w:color="000000"/>
            </w:tcBorders>
            <w:hideMark/>
          </w:tcPr>
          <w:p w14:paraId="249979A5" w14:textId="77777777" w:rsidR="009C4600" w:rsidRPr="00F37D4D" w:rsidRDefault="00BE7CB1" w:rsidP="00231170">
            <w:pPr>
              <w:pStyle w:val="TABLES"/>
              <w:keepNext/>
              <w:keepLines/>
              <w:jc w:val="center"/>
            </w:pPr>
            <w:r>
              <w:t>9,2</w:t>
            </w:r>
          </w:p>
        </w:tc>
      </w:tr>
      <w:tr w:rsidR="00741586" w:rsidRPr="00F37D4D" w14:paraId="4C1824ED"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84DEDD1" w14:textId="77777777" w:rsidR="009C4600" w:rsidRPr="00F37D4D" w:rsidRDefault="00BE7CB1" w:rsidP="00231170">
            <w:pPr>
              <w:pStyle w:val="TABLES"/>
              <w:keepNext/>
              <w:keepLines/>
              <w:ind w:left="567" w:right="57"/>
            </w:pPr>
            <w:r>
              <w:t>25–75 percentil (mesiace)</w:t>
            </w:r>
          </w:p>
        </w:tc>
        <w:tc>
          <w:tcPr>
            <w:tcW w:w="448" w:type="pct"/>
            <w:tcBorders>
              <w:top w:val="single" w:sz="4" w:space="0" w:color="000000"/>
              <w:left w:val="single" w:sz="4" w:space="0" w:color="000000"/>
              <w:bottom w:val="single" w:sz="4" w:space="0" w:color="000000"/>
              <w:right w:val="single" w:sz="4" w:space="0" w:color="000000"/>
            </w:tcBorders>
            <w:hideMark/>
          </w:tcPr>
          <w:p w14:paraId="40A95433" w14:textId="77777777" w:rsidR="009C4600" w:rsidRPr="00F37D4D" w:rsidRDefault="00BE7CB1" w:rsidP="00231170">
            <w:pPr>
              <w:pStyle w:val="TABLES"/>
              <w:keepNext/>
              <w:keepLines/>
              <w:jc w:val="center"/>
            </w:pPr>
            <w:r>
              <w:t>5,5 – NR</w:t>
            </w:r>
          </w:p>
        </w:tc>
        <w:tc>
          <w:tcPr>
            <w:tcW w:w="966" w:type="pct"/>
            <w:tcBorders>
              <w:top w:val="single" w:sz="4" w:space="0" w:color="000000"/>
              <w:left w:val="single" w:sz="4" w:space="0" w:color="000000"/>
              <w:bottom w:val="single" w:sz="4" w:space="0" w:color="000000"/>
              <w:right w:val="single" w:sz="4" w:space="0" w:color="000000"/>
            </w:tcBorders>
            <w:hideMark/>
          </w:tcPr>
          <w:p w14:paraId="3B100A3C" w14:textId="77777777" w:rsidR="009C4600" w:rsidRPr="00F37D4D" w:rsidRDefault="00BE7CB1" w:rsidP="00231170">
            <w:pPr>
              <w:pStyle w:val="TABLES"/>
              <w:keepNext/>
              <w:keepLines/>
              <w:jc w:val="center"/>
            </w:pPr>
            <w:r>
              <w:t>6,1 - NR</w:t>
            </w:r>
          </w:p>
        </w:tc>
        <w:tc>
          <w:tcPr>
            <w:tcW w:w="970" w:type="pct"/>
            <w:tcBorders>
              <w:top w:val="single" w:sz="4" w:space="0" w:color="000000"/>
              <w:left w:val="single" w:sz="4" w:space="0" w:color="000000"/>
              <w:bottom w:val="single" w:sz="4" w:space="0" w:color="000000"/>
              <w:right w:val="single" w:sz="4" w:space="0" w:color="000000"/>
            </w:tcBorders>
            <w:hideMark/>
          </w:tcPr>
          <w:p w14:paraId="7165743D" w14:textId="77777777" w:rsidR="009C4600" w:rsidRPr="00F37D4D" w:rsidRDefault="00BE7CB1" w:rsidP="00231170">
            <w:pPr>
              <w:pStyle w:val="TABLES"/>
              <w:keepNext/>
              <w:keepLines/>
              <w:jc w:val="center"/>
            </w:pPr>
            <w:r>
              <w:t>3,8 – 7,8</w:t>
            </w:r>
          </w:p>
        </w:tc>
        <w:tc>
          <w:tcPr>
            <w:tcW w:w="644" w:type="pct"/>
            <w:tcBorders>
              <w:top w:val="single" w:sz="4" w:space="0" w:color="000000"/>
              <w:left w:val="single" w:sz="4" w:space="0" w:color="000000"/>
              <w:bottom w:val="single" w:sz="4" w:space="0" w:color="000000"/>
              <w:right w:val="single" w:sz="4" w:space="0" w:color="000000"/>
            </w:tcBorders>
            <w:hideMark/>
          </w:tcPr>
          <w:p w14:paraId="5C293D32" w14:textId="77777777" w:rsidR="009C4600" w:rsidRPr="00F37D4D" w:rsidRDefault="00BE7CB1" w:rsidP="00231170">
            <w:pPr>
              <w:pStyle w:val="TABLES"/>
              <w:keepNext/>
              <w:keepLines/>
              <w:jc w:val="center"/>
            </w:pPr>
            <w:r>
              <w:t>5,59 – 9,17</w:t>
            </w:r>
          </w:p>
        </w:tc>
        <w:tc>
          <w:tcPr>
            <w:tcW w:w="927" w:type="pct"/>
            <w:tcBorders>
              <w:top w:val="single" w:sz="4" w:space="0" w:color="000000"/>
              <w:left w:val="single" w:sz="4" w:space="0" w:color="000000"/>
              <w:bottom w:val="single" w:sz="4" w:space="0" w:color="000000"/>
              <w:right w:val="single" w:sz="4" w:space="0" w:color="000000"/>
            </w:tcBorders>
            <w:hideMark/>
          </w:tcPr>
          <w:p w14:paraId="351D9CE1" w14:textId="77777777" w:rsidR="009C4600" w:rsidRPr="00F37D4D" w:rsidRDefault="00BE7CB1" w:rsidP="00231170">
            <w:pPr>
              <w:pStyle w:val="TABLES"/>
              <w:keepNext/>
              <w:keepLines/>
              <w:jc w:val="center"/>
            </w:pPr>
            <w:r>
              <w:t>5,88 – 13,01</w:t>
            </w:r>
          </w:p>
        </w:tc>
      </w:tr>
    </w:tbl>
    <w:p w14:paraId="554D72FC" w14:textId="77777777" w:rsidR="009C4600" w:rsidRPr="00F67844" w:rsidRDefault="00BE7CB1" w:rsidP="00231170">
      <w:pPr>
        <w:keepNext/>
        <w:keepLines/>
        <w:tabs>
          <w:tab w:val="clear" w:pos="567"/>
          <w:tab w:val="left" w:pos="284"/>
        </w:tabs>
        <w:spacing w:line="240" w:lineRule="auto"/>
        <w:ind w:left="284" w:hanging="284"/>
        <w:rPr>
          <w:sz w:val="20"/>
        </w:rPr>
      </w:pPr>
      <w:r>
        <w:rPr>
          <w:sz w:val="20"/>
          <w:vertAlign w:val="superscript"/>
        </w:rPr>
        <w:t>a</w:t>
      </w:r>
      <w:r>
        <w:rPr>
          <w:sz w:val="20"/>
        </w:rPr>
        <w:t xml:space="preserve"> 5 mg/kg, každé 2 týždne.</w:t>
      </w:r>
    </w:p>
    <w:p w14:paraId="1741140D" w14:textId="77777777" w:rsidR="009C4600" w:rsidRPr="00F67844" w:rsidRDefault="00BE7CB1" w:rsidP="00231170">
      <w:pPr>
        <w:keepNext/>
        <w:keepLines/>
        <w:tabs>
          <w:tab w:val="clear" w:pos="567"/>
          <w:tab w:val="left" w:pos="284"/>
        </w:tabs>
        <w:spacing w:line="240" w:lineRule="auto"/>
        <w:ind w:left="284" w:hanging="284"/>
        <w:rPr>
          <w:sz w:val="20"/>
        </w:rPr>
      </w:pPr>
      <w:r>
        <w:rPr>
          <w:sz w:val="20"/>
          <w:vertAlign w:val="superscript"/>
        </w:rPr>
        <w:t>b</w:t>
      </w:r>
      <w:r>
        <w:rPr>
          <w:sz w:val="20"/>
        </w:rPr>
        <w:t xml:space="preserve"> 10 mg/kg každé 2 týždne.</w:t>
      </w:r>
    </w:p>
    <w:p w14:paraId="36AAFCC8" w14:textId="77777777" w:rsidR="009C4600" w:rsidRPr="00F67844" w:rsidRDefault="00BE7CB1" w:rsidP="00231170">
      <w:pPr>
        <w:keepNext/>
        <w:keepLines/>
        <w:tabs>
          <w:tab w:val="clear" w:pos="567"/>
          <w:tab w:val="left" w:pos="284"/>
        </w:tabs>
        <w:spacing w:line="240" w:lineRule="auto"/>
        <w:ind w:left="284" w:hanging="284"/>
        <w:rPr>
          <w:sz w:val="20"/>
        </w:rPr>
      </w:pPr>
      <w:r>
        <w:rPr>
          <w:sz w:val="20"/>
          <w:vertAlign w:val="superscript"/>
        </w:rPr>
        <w:t>c</w:t>
      </w:r>
      <w:r>
        <w:rPr>
          <w:sz w:val="20"/>
        </w:rPr>
        <w:t xml:space="preserve"> Vzhľadom na kontrolnú skupinu.</w:t>
      </w:r>
    </w:p>
    <w:p w14:paraId="58B05820" w14:textId="77777777" w:rsidR="009C4600" w:rsidRPr="00F67844" w:rsidRDefault="00BE7CB1" w:rsidP="00231170">
      <w:pPr>
        <w:keepNext/>
        <w:keepLines/>
        <w:tabs>
          <w:tab w:val="clear" w:pos="567"/>
          <w:tab w:val="left" w:pos="284"/>
        </w:tabs>
        <w:spacing w:line="240" w:lineRule="auto"/>
        <w:ind w:left="284" w:hanging="284"/>
        <w:rPr>
          <w:sz w:val="20"/>
        </w:rPr>
      </w:pPr>
      <w:r>
        <w:rPr>
          <w:spacing w:val="-1"/>
          <w:sz w:val="20"/>
        </w:rPr>
        <w:t>NR (not reached) = nedosiahnuté.</w:t>
      </w:r>
    </w:p>
    <w:p w14:paraId="0031AACE" w14:textId="77777777" w:rsidR="009C4600" w:rsidRPr="00F67844" w:rsidRDefault="009C4600" w:rsidP="00F64BF9">
      <w:pPr>
        <w:spacing w:line="240" w:lineRule="auto"/>
      </w:pPr>
    </w:p>
    <w:p w14:paraId="0C7258E3" w14:textId="77777777" w:rsidR="009C4600" w:rsidRDefault="00BE7CB1" w:rsidP="00F64BF9">
      <w:pPr>
        <w:keepNext/>
        <w:spacing w:line="240" w:lineRule="auto"/>
        <w:rPr>
          <w:i/>
          <w:iCs/>
          <w:szCs w:val="22"/>
        </w:rPr>
      </w:pPr>
      <w:r>
        <w:rPr>
          <w:i/>
        </w:rPr>
        <w:t>NO16966</w:t>
      </w:r>
    </w:p>
    <w:p w14:paraId="19C8AAD9" w14:textId="77777777" w:rsidR="00C42156" w:rsidRPr="00F67844" w:rsidRDefault="00C42156" w:rsidP="00F64BF9">
      <w:pPr>
        <w:keepNext/>
        <w:spacing w:line="240" w:lineRule="auto"/>
        <w:rPr>
          <w:i/>
          <w:iCs/>
          <w:szCs w:val="22"/>
        </w:rPr>
      </w:pPr>
    </w:p>
    <w:p w14:paraId="424F1965" w14:textId="77777777" w:rsidR="009C4600" w:rsidRPr="00F37D4D" w:rsidRDefault="00BE7CB1" w:rsidP="00F64BF9">
      <w:pPr>
        <w:spacing w:line="240" w:lineRule="auto"/>
        <w:rPr>
          <w:szCs w:val="22"/>
        </w:rPr>
      </w:pPr>
      <w:r>
        <w:t>Toto skúšanie bolo randomizované, dvojito zaslepené (vzhľadom k bevacizumabu) klinické skúšanie III. fázy skúmajúce bevacizumab v dávke 7,5 mg/kg podávanej raz za 3 týždne v kombinácii s perorálnym kapecitabínom a intravenóznou oxaliplatinou (XELOX), alebo bevacizumab v dávke 5 mg/kg podávanej raz za 2 týždne v kombinácii s leukovorínom a bolusom 5-fluóruracilu a následnou infúziou 5- fluóruracilu a intravenóznou oxaliplatinou (FOLFOX-4). Skúšanie pozostávalo z dvoch častí: z úvodnej nezaslepenej časti s 2 skupinami (časť I), v ktorej boli pacienti randomizovaní do dvoch rôznych liečebných skupín (XELOX a FOLFOX-4) a z následnej časti s faktoriálnym dizajnom 2 x 2 so 4 skupinami (časť II), v ktorej boli pacienti náhodne zaradení do štyroch liečebných skupín (XELOX + placebo, FOLFOX-4 + placebo, XELOX + bevacizumab, FOLFOX-4 + bevacizumab). V časti II bola liečba pridelená dvojito zaslepeným spôsobom vzhľadom k bevacizumabu.</w:t>
      </w:r>
    </w:p>
    <w:p w14:paraId="6F8E08B9" w14:textId="77777777" w:rsidR="009C4600" w:rsidRPr="00F37D4D" w:rsidRDefault="009C4600" w:rsidP="00F64BF9">
      <w:pPr>
        <w:spacing w:line="240" w:lineRule="auto"/>
        <w:rPr>
          <w:szCs w:val="22"/>
        </w:rPr>
      </w:pPr>
    </w:p>
    <w:p w14:paraId="36F19F3D" w14:textId="77777777" w:rsidR="009C4600" w:rsidRPr="00F37D4D" w:rsidRDefault="00BE7CB1" w:rsidP="00755C59">
      <w:pPr>
        <w:widowControl w:val="0"/>
        <w:spacing w:line="240" w:lineRule="auto"/>
        <w:rPr>
          <w:szCs w:val="22"/>
        </w:rPr>
      </w:pPr>
      <w:r>
        <w:t>V II</w:t>
      </w:r>
      <w:r w:rsidR="00592ED2">
        <w:t>.</w:t>
      </w:r>
      <w:r>
        <w:t xml:space="preserve"> </w:t>
      </w:r>
      <w:r w:rsidR="00592ED2">
        <w:t xml:space="preserve">časti </w:t>
      </w:r>
      <w:r>
        <w:t>skúšania bolo do každej zo 4 liečebných skupín randomizovaných približne 350 pacientov.</w:t>
      </w:r>
    </w:p>
    <w:p w14:paraId="6E76AEB7" w14:textId="77777777" w:rsidR="009C4600" w:rsidRPr="00F37D4D" w:rsidRDefault="009C4600" w:rsidP="00755C59">
      <w:pPr>
        <w:widowControl w:val="0"/>
        <w:spacing w:line="240" w:lineRule="auto"/>
        <w:rPr>
          <w:szCs w:val="22"/>
        </w:rPr>
      </w:pPr>
    </w:p>
    <w:p w14:paraId="5A198E3A" w14:textId="77777777" w:rsidR="009C4600" w:rsidRPr="00F67844" w:rsidRDefault="00BE7CB1" w:rsidP="00755C59">
      <w:pPr>
        <w:widowControl w:val="0"/>
        <w:spacing w:line="240" w:lineRule="auto"/>
        <w:rPr>
          <w:b/>
          <w:bCs/>
        </w:rPr>
      </w:pPr>
      <w:r>
        <w:rPr>
          <w:b/>
        </w:rPr>
        <w:t>Tabuľka 6. Liečebné režimy v skúšaní NO16966 (mCRC)</w:t>
      </w:r>
    </w:p>
    <w:p w14:paraId="217228B4" w14:textId="77777777" w:rsidR="009C4600" w:rsidRPr="00F67844"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0"/>
        <w:gridCol w:w="1738"/>
        <w:gridCol w:w="2383"/>
        <w:gridCol w:w="3630"/>
      </w:tblGrid>
      <w:tr w:rsidR="00741586" w:rsidRPr="00DE7995" w14:paraId="1518B6FC"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33904EDE" w14:textId="77777777" w:rsidR="009C4600" w:rsidRPr="00DE7995" w:rsidRDefault="009C4600" w:rsidP="00755C59">
            <w:pPr>
              <w:pStyle w:val="TABLES"/>
              <w:ind w:left="57" w:right="57"/>
              <w:jc w:val="center"/>
              <w:rPr>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422E6D72" w14:textId="77777777" w:rsidR="009C4600" w:rsidRPr="00DE7995" w:rsidRDefault="00BE7CB1" w:rsidP="00755C59">
            <w:pPr>
              <w:pStyle w:val="TABLES"/>
              <w:ind w:left="57" w:right="57"/>
              <w:jc w:val="center"/>
              <w:rPr>
                <w:b/>
                <w:bCs/>
              </w:rPr>
            </w:pPr>
            <w:r>
              <w:rPr>
                <w:b/>
              </w:rPr>
              <w:t>Liečba</w:t>
            </w:r>
          </w:p>
        </w:tc>
        <w:tc>
          <w:tcPr>
            <w:tcW w:w="1315" w:type="pct"/>
            <w:tcBorders>
              <w:top w:val="single" w:sz="4" w:space="0" w:color="000000"/>
              <w:left w:val="single" w:sz="4" w:space="0" w:color="000000"/>
              <w:bottom w:val="single" w:sz="4" w:space="0" w:color="000000"/>
              <w:right w:val="single" w:sz="4" w:space="0" w:color="000000"/>
            </w:tcBorders>
            <w:hideMark/>
          </w:tcPr>
          <w:p w14:paraId="0A297D3E" w14:textId="77777777" w:rsidR="009C4600" w:rsidRPr="00DE7995" w:rsidRDefault="00BE7CB1" w:rsidP="00755C59">
            <w:pPr>
              <w:pStyle w:val="TABLES"/>
              <w:ind w:left="57" w:right="57"/>
              <w:jc w:val="center"/>
              <w:rPr>
                <w:b/>
                <w:bCs/>
              </w:rPr>
            </w:pPr>
            <w:r>
              <w:rPr>
                <w:b/>
              </w:rPr>
              <w:t>Začiatočná dávka</w:t>
            </w:r>
          </w:p>
        </w:tc>
        <w:tc>
          <w:tcPr>
            <w:tcW w:w="2003" w:type="pct"/>
            <w:tcBorders>
              <w:top w:val="single" w:sz="4" w:space="0" w:color="000000"/>
              <w:left w:val="single" w:sz="4" w:space="0" w:color="000000"/>
              <w:bottom w:val="single" w:sz="4" w:space="0" w:color="000000"/>
              <w:right w:val="single" w:sz="4" w:space="0" w:color="000000"/>
            </w:tcBorders>
            <w:hideMark/>
          </w:tcPr>
          <w:p w14:paraId="74B66A4B" w14:textId="77777777" w:rsidR="009C4600" w:rsidRPr="00DE7995" w:rsidRDefault="00BE7CB1" w:rsidP="00755C59">
            <w:pPr>
              <w:pStyle w:val="TABLES"/>
              <w:ind w:left="57" w:right="57"/>
              <w:jc w:val="center"/>
              <w:rPr>
                <w:b/>
                <w:bCs/>
              </w:rPr>
            </w:pPr>
            <w:r>
              <w:rPr>
                <w:b/>
              </w:rPr>
              <w:t>Dávkovacia schéma</w:t>
            </w:r>
          </w:p>
        </w:tc>
      </w:tr>
      <w:tr w:rsidR="00741586" w:rsidRPr="00F37D4D" w14:paraId="59B2A08F"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70309F36" w14:textId="77777777" w:rsidR="009C4600" w:rsidRPr="00F37D4D" w:rsidRDefault="00BE7CB1" w:rsidP="00755C59">
            <w:pPr>
              <w:pStyle w:val="TABLES"/>
              <w:ind w:left="57" w:right="57"/>
            </w:pPr>
            <w:r>
              <w:t xml:space="preserve">FOLFOX-4 alebo </w:t>
            </w:r>
            <w:r>
              <w:lastRenderedPageBreak/>
              <w:t>FOLFOX-4 + bevacizumab</w:t>
            </w:r>
          </w:p>
        </w:tc>
        <w:tc>
          <w:tcPr>
            <w:tcW w:w="959" w:type="pct"/>
            <w:tcBorders>
              <w:top w:val="single" w:sz="4" w:space="0" w:color="000000"/>
              <w:left w:val="single" w:sz="4" w:space="0" w:color="000000"/>
              <w:bottom w:val="nil"/>
              <w:right w:val="single" w:sz="4" w:space="0" w:color="000000"/>
            </w:tcBorders>
            <w:hideMark/>
          </w:tcPr>
          <w:p w14:paraId="1458C744" w14:textId="77777777" w:rsidR="009C4600" w:rsidRPr="00F37D4D" w:rsidRDefault="00BE7CB1" w:rsidP="00755C59">
            <w:pPr>
              <w:pStyle w:val="TABLES"/>
              <w:ind w:left="57" w:right="57"/>
            </w:pPr>
            <w:r>
              <w:lastRenderedPageBreak/>
              <w:t>Oxaliplatina</w:t>
            </w:r>
          </w:p>
        </w:tc>
        <w:tc>
          <w:tcPr>
            <w:tcW w:w="1315" w:type="pct"/>
            <w:tcBorders>
              <w:top w:val="single" w:sz="4" w:space="0" w:color="000000"/>
              <w:left w:val="single" w:sz="4" w:space="0" w:color="000000"/>
              <w:bottom w:val="nil"/>
              <w:right w:val="single" w:sz="4" w:space="0" w:color="000000"/>
            </w:tcBorders>
            <w:hideMark/>
          </w:tcPr>
          <w:p w14:paraId="2CE13DDE" w14:textId="77777777" w:rsidR="009C4600" w:rsidRPr="00F37D4D" w:rsidRDefault="00BE7CB1" w:rsidP="00755C59">
            <w:pPr>
              <w:pStyle w:val="TABLES"/>
              <w:ind w:left="57" w:right="57"/>
            </w:pPr>
            <w:r>
              <w:t>85 mg/m</w:t>
            </w:r>
            <w:r>
              <w:rPr>
                <w:vertAlign w:val="superscript"/>
              </w:rPr>
              <w:t xml:space="preserve">2 </w:t>
            </w:r>
            <w:r>
              <w:t>intravenózne 2 h</w:t>
            </w:r>
          </w:p>
        </w:tc>
        <w:tc>
          <w:tcPr>
            <w:tcW w:w="2003" w:type="pct"/>
            <w:tcBorders>
              <w:top w:val="single" w:sz="4" w:space="0" w:color="000000"/>
              <w:left w:val="single" w:sz="4" w:space="0" w:color="000000"/>
              <w:bottom w:val="nil"/>
              <w:right w:val="single" w:sz="4" w:space="0" w:color="000000"/>
            </w:tcBorders>
            <w:hideMark/>
          </w:tcPr>
          <w:p w14:paraId="580F3009" w14:textId="77777777" w:rsidR="009C4600" w:rsidRPr="00F37D4D" w:rsidRDefault="00BE7CB1" w:rsidP="00755C59">
            <w:pPr>
              <w:pStyle w:val="TABLES"/>
              <w:ind w:left="57" w:right="57"/>
            </w:pPr>
            <w:r>
              <w:t>Oxaliplatina v 1. deň</w:t>
            </w:r>
          </w:p>
        </w:tc>
      </w:tr>
      <w:tr w:rsidR="00741586" w:rsidRPr="00F37D4D" w14:paraId="72F8A32E"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34C67F3E" w14:textId="77777777" w:rsidR="009C4600" w:rsidRPr="00F37D4D" w:rsidRDefault="009C4600" w:rsidP="00755C59">
            <w:pPr>
              <w:pStyle w:val="TABLES"/>
              <w:ind w:left="57" w:right="57"/>
            </w:pPr>
          </w:p>
        </w:tc>
        <w:tc>
          <w:tcPr>
            <w:tcW w:w="959" w:type="pct"/>
            <w:tcBorders>
              <w:top w:val="nil"/>
              <w:left w:val="single" w:sz="4" w:space="0" w:color="000000"/>
              <w:bottom w:val="nil"/>
              <w:right w:val="single" w:sz="4" w:space="0" w:color="000000"/>
            </w:tcBorders>
            <w:hideMark/>
          </w:tcPr>
          <w:p w14:paraId="3E0C3993" w14:textId="77777777" w:rsidR="009C4600" w:rsidRPr="00F37D4D" w:rsidRDefault="00BE7CB1" w:rsidP="00755C59">
            <w:pPr>
              <w:pStyle w:val="TABLES"/>
              <w:ind w:left="57" w:right="57"/>
            </w:pPr>
            <w:r>
              <w:t>Leukovorín</w:t>
            </w:r>
          </w:p>
        </w:tc>
        <w:tc>
          <w:tcPr>
            <w:tcW w:w="1315" w:type="pct"/>
            <w:tcBorders>
              <w:top w:val="nil"/>
              <w:left w:val="single" w:sz="4" w:space="0" w:color="000000"/>
              <w:bottom w:val="nil"/>
              <w:right w:val="single" w:sz="4" w:space="0" w:color="000000"/>
            </w:tcBorders>
            <w:hideMark/>
          </w:tcPr>
          <w:p w14:paraId="7609A440" w14:textId="77777777" w:rsidR="009C4600" w:rsidRPr="00F37D4D" w:rsidRDefault="00BE7CB1" w:rsidP="00755C59">
            <w:pPr>
              <w:pStyle w:val="TABLES"/>
              <w:ind w:left="57" w:right="57"/>
            </w:pPr>
            <w:r>
              <w:t>200 mg/m</w:t>
            </w:r>
            <w:r>
              <w:rPr>
                <w:vertAlign w:val="superscript"/>
              </w:rPr>
              <w:t xml:space="preserve">2 </w:t>
            </w:r>
            <w:r>
              <w:t>intravenózne 2 h</w:t>
            </w:r>
          </w:p>
        </w:tc>
        <w:tc>
          <w:tcPr>
            <w:tcW w:w="2003" w:type="pct"/>
            <w:tcBorders>
              <w:top w:val="nil"/>
              <w:left w:val="single" w:sz="4" w:space="0" w:color="000000"/>
              <w:bottom w:val="nil"/>
              <w:right w:val="single" w:sz="4" w:space="0" w:color="000000"/>
            </w:tcBorders>
            <w:hideMark/>
          </w:tcPr>
          <w:p w14:paraId="6AEF2202" w14:textId="77777777" w:rsidR="009C4600" w:rsidRPr="00F37D4D" w:rsidRDefault="00BE7CB1" w:rsidP="00755C59">
            <w:pPr>
              <w:pStyle w:val="TABLES"/>
              <w:ind w:left="57" w:right="57"/>
            </w:pPr>
            <w:r>
              <w:t>Leukovorín v 1. a 2. deň</w:t>
            </w:r>
          </w:p>
        </w:tc>
      </w:tr>
      <w:tr w:rsidR="00741586" w:rsidRPr="00F37D4D" w14:paraId="31DD5D97"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79910AD" w14:textId="77777777" w:rsidR="009C4600" w:rsidRPr="00F37D4D" w:rsidRDefault="009C4600" w:rsidP="00755C5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56218527" w14:textId="77777777" w:rsidR="009C4600" w:rsidRPr="00F37D4D" w:rsidRDefault="00BE7CB1" w:rsidP="00755C59">
            <w:pPr>
              <w:pStyle w:val="TABLES"/>
              <w:ind w:left="57" w:right="57"/>
            </w:pPr>
            <w:r>
              <w:t>5-fluóruracil</w:t>
            </w:r>
          </w:p>
        </w:tc>
        <w:tc>
          <w:tcPr>
            <w:tcW w:w="1315" w:type="pct"/>
            <w:tcBorders>
              <w:top w:val="nil"/>
              <w:left w:val="single" w:sz="4" w:space="0" w:color="000000"/>
              <w:bottom w:val="single" w:sz="4" w:space="0" w:color="000000"/>
              <w:right w:val="single" w:sz="4" w:space="0" w:color="000000"/>
            </w:tcBorders>
            <w:hideMark/>
          </w:tcPr>
          <w:p w14:paraId="5EFE0DDF" w14:textId="77777777" w:rsidR="009C4600" w:rsidRPr="005973AB" w:rsidRDefault="00BE7CB1" w:rsidP="00755C59">
            <w:pPr>
              <w:pStyle w:val="TABLES"/>
              <w:ind w:left="57" w:right="57"/>
            </w:pPr>
            <w:r>
              <w:t>400 mg/m</w:t>
            </w:r>
            <w:r>
              <w:rPr>
                <w:vertAlign w:val="superscript"/>
              </w:rPr>
              <w:t>2</w:t>
            </w:r>
            <w:r>
              <w:t xml:space="preserve"> intravenózny bolus, 600 mg/m</w:t>
            </w:r>
            <w:r>
              <w:rPr>
                <w:vertAlign w:val="superscript"/>
              </w:rPr>
              <w:t>2</w:t>
            </w:r>
            <w:r>
              <w:t xml:space="preserve"> intravenózne 22 h</w:t>
            </w:r>
          </w:p>
        </w:tc>
        <w:tc>
          <w:tcPr>
            <w:tcW w:w="2003" w:type="pct"/>
            <w:tcBorders>
              <w:top w:val="nil"/>
              <w:left w:val="single" w:sz="4" w:space="0" w:color="000000"/>
              <w:bottom w:val="single" w:sz="4" w:space="0" w:color="000000"/>
              <w:right w:val="single" w:sz="4" w:space="0" w:color="000000"/>
            </w:tcBorders>
            <w:hideMark/>
          </w:tcPr>
          <w:p w14:paraId="536702A5" w14:textId="77777777" w:rsidR="009C4600" w:rsidRPr="00F37D4D" w:rsidRDefault="00BE7CB1" w:rsidP="00755C59">
            <w:pPr>
              <w:pStyle w:val="TABLES"/>
              <w:ind w:left="57" w:right="57"/>
            </w:pPr>
            <w:r>
              <w:t>5-fluóruracil intravenózny bolus/infúzia, vždy v 1. a 2. deň</w:t>
            </w:r>
          </w:p>
        </w:tc>
      </w:tr>
      <w:tr w:rsidR="00741586" w:rsidRPr="00F37D4D" w14:paraId="5E94FC6B"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5C480B" w14:textId="77777777" w:rsidR="009C4600" w:rsidRPr="00F37D4D" w:rsidRDefault="009C4600" w:rsidP="00755C59">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33448DD6" w14:textId="77777777" w:rsidR="009C4600" w:rsidRPr="00F37D4D" w:rsidRDefault="00BE7CB1" w:rsidP="00755C59">
            <w:pPr>
              <w:pStyle w:val="TABLES"/>
              <w:ind w:left="57" w:right="57"/>
            </w:pPr>
            <w:r>
              <w:t>Placebo alebo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68021B4A" w14:textId="77777777" w:rsidR="009C4600" w:rsidRPr="00F37D4D" w:rsidRDefault="00BE7CB1" w:rsidP="00755C59">
            <w:pPr>
              <w:pStyle w:val="TABLES"/>
              <w:ind w:left="57" w:right="57"/>
            </w:pPr>
            <w:r>
              <w:t>5 mg/kg intravenózne 30-90 min</w:t>
            </w:r>
          </w:p>
        </w:tc>
        <w:tc>
          <w:tcPr>
            <w:tcW w:w="2003" w:type="pct"/>
            <w:tcBorders>
              <w:top w:val="single" w:sz="4" w:space="0" w:color="000000"/>
              <w:left w:val="single" w:sz="4" w:space="0" w:color="000000"/>
              <w:bottom w:val="single" w:sz="4" w:space="0" w:color="000000"/>
              <w:right w:val="single" w:sz="4" w:space="0" w:color="000000"/>
            </w:tcBorders>
            <w:hideMark/>
          </w:tcPr>
          <w:p w14:paraId="33DDC9D7" w14:textId="77777777" w:rsidR="009C4600" w:rsidRPr="00F37D4D" w:rsidRDefault="00BE7CB1" w:rsidP="00755C59">
            <w:pPr>
              <w:pStyle w:val="TABLES"/>
              <w:ind w:left="57" w:right="57"/>
            </w:pPr>
            <w:r>
              <w:t>1. deň, pred FOLFOX-4, raz za 2 týždne</w:t>
            </w:r>
          </w:p>
        </w:tc>
      </w:tr>
      <w:tr w:rsidR="00741586" w:rsidRPr="00F37D4D" w14:paraId="574F662A"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14A4815F" w14:textId="77777777" w:rsidR="009C4600" w:rsidRPr="00F37D4D" w:rsidRDefault="00BE7CB1" w:rsidP="00755C59">
            <w:pPr>
              <w:pStyle w:val="TABLES"/>
              <w:ind w:left="57" w:right="57"/>
            </w:pPr>
            <w:r>
              <w:t>XELOX alebo XELOX + bevacizumab</w:t>
            </w:r>
          </w:p>
        </w:tc>
        <w:tc>
          <w:tcPr>
            <w:tcW w:w="959" w:type="pct"/>
            <w:tcBorders>
              <w:top w:val="single" w:sz="4" w:space="0" w:color="000000"/>
              <w:left w:val="single" w:sz="4" w:space="0" w:color="000000"/>
              <w:bottom w:val="nil"/>
              <w:right w:val="single" w:sz="4" w:space="0" w:color="000000"/>
            </w:tcBorders>
            <w:hideMark/>
          </w:tcPr>
          <w:p w14:paraId="0603CD97" w14:textId="77777777" w:rsidR="009C4600" w:rsidRPr="00F37D4D" w:rsidRDefault="00BE7CB1" w:rsidP="00755C59">
            <w:pPr>
              <w:pStyle w:val="TABLES"/>
              <w:ind w:left="57" w:right="57"/>
            </w:pPr>
            <w:r>
              <w:t>Oxaliplatina</w:t>
            </w:r>
          </w:p>
        </w:tc>
        <w:tc>
          <w:tcPr>
            <w:tcW w:w="1315" w:type="pct"/>
            <w:tcBorders>
              <w:top w:val="single" w:sz="4" w:space="0" w:color="000000"/>
              <w:left w:val="single" w:sz="4" w:space="0" w:color="000000"/>
              <w:bottom w:val="nil"/>
              <w:right w:val="single" w:sz="4" w:space="0" w:color="000000"/>
            </w:tcBorders>
            <w:hideMark/>
          </w:tcPr>
          <w:p w14:paraId="5AF2D68C" w14:textId="77777777" w:rsidR="009C4600" w:rsidRPr="00F37D4D" w:rsidRDefault="00BE7CB1" w:rsidP="00755C59">
            <w:pPr>
              <w:pStyle w:val="TABLES"/>
              <w:ind w:left="57" w:right="57"/>
            </w:pPr>
            <w:r>
              <w:t>130 mg/m</w:t>
            </w:r>
            <w:r>
              <w:rPr>
                <w:vertAlign w:val="superscript"/>
              </w:rPr>
              <w:t xml:space="preserve">2 </w:t>
            </w:r>
            <w:r>
              <w:t>intravenózne 2 h</w:t>
            </w:r>
          </w:p>
        </w:tc>
        <w:tc>
          <w:tcPr>
            <w:tcW w:w="2003" w:type="pct"/>
            <w:tcBorders>
              <w:top w:val="single" w:sz="4" w:space="0" w:color="000000"/>
              <w:left w:val="single" w:sz="4" w:space="0" w:color="000000"/>
              <w:bottom w:val="nil"/>
              <w:right w:val="single" w:sz="4" w:space="0" w:color="000000"/>
            </w:tcBorders>
            <w:hideMark/>
          </w:tcPr>
          <w:p w14:paraId="311D97A5" w14:textId="77777777" w:rsidR="009C4600" w:rsidRPr="00F37D4D" w:rsidRDefault="00BE7CB1" w:rsidP="00755C59">
            <w:pPr>
              <w:pStyle w:val="TABLES"/>
              <w:ind w:left="57" w:right="57"/>
            </w:pPr>
            <w:r>
              <w:t>Oxaliplatina v 1. deň</w:t>
            </w:r>
          </w:p>
        </w:tc>
      </w:tr>
      <w:tr w:rsidR="00741586" w:rsidRPr="00F37D4D" w14:paraId="154055EC"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C0F2F34" w14:textId="77777777" w:rsidR="009C4600" w:rsidRPr="00F37D4D" w:rsidRDefault="009C4600" w:rsidP="00755C5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0D929E7B" w14:textId="77777777" w:rsidR="009C4600" w:rsidRPr="00F37D4D" w:rsidRDefault="00592ED2" w:rsidP="00755C59">
            <w:pPr>
              <w:pStyle w:val="TABLES"/>
              <w:ind w:left="57" w:right="57"/>
            </w:pPr>
            <w:r>
              <w:t>K</w:t>
            </w:r>
            <w:r w:rsidR="00BE7CB1">
              <w:t>apecitabín</w:t>
            </w:r>
          </w:p>
        </w:tc>
        <w:tc>
          <w:tcPr>
            <w:tcW w:w="1315" w:type="pct"/>
            <w:tcBorders>
              <w:top w:val="nil"/>
              <w:left w:val="single" w:sz="4" w:space="0" w:color="000000"/>
              <w:bottom w:val="single" w:sz="4" w:space="0" w:color="000000"/>
              <w:right w:val="single" w:sz="4" w:space="0" w:color="000000"/>
            </w:tcBorders>
            <w:hideMark/>
          </w:tcPr>
          <w:p w14:paraId="4CD69E30" w14:textId="77777777" w:rsidR="009C4600" w:rsidRPr="00F37D4D" w:rsidRDefault="00BE7CB1" w:rsidP="00755C59">
            <w:pPr>
              <w:pStyle w:val="TABLES"/>
              <w:ind w:left="57" w:right="57"/>
            </w:pPr>
            <w:r>
              <w:t>1000 mg/m</w:t>
            </w:r>
            <w:r>
              <w:rPr>
                <w:vertAlign w:val="superscript"/>
              </w:rPr>
              <w:t>2</w:t>
            </w:r>
            <w:r>
              <w:t xml:space="preserve"> perorálne dvakrát denne</w:t>
            </w:r>
          </w:p>
        </w:tc>
        <w:tc>
          <w:tcPr>
            <w:tcW w:w="2003" w:type="pct"/>
            <w:tcBorders>
              <w:top w:val="nil"/>
              <w:left w:val="single" w:sz="4" w:space="0" w:color="000000"/>
              <w:bottom w:val="single" w:sz="4" w:space="0" w:color="000000"/>
              <w:right w:val="single" w:sz="4" w:space="0" w:color="000000"/>
            </w:tcBorders>
            <w:hideMark/>
          </w:tcPr>
          <w:p w14:paraId="607F788B" w14:textId="77777777" w:rsidR="009C4600" w:rsidRPr="00F37D4D" w:rsidRDefault="00592ED2" w:rsidP="00755C59">
            <w:pPr>
              <w:pStyle w:val="TABLES"/>
              <w:ind w:left="57" w:right="57"/>
            </w:pPr>
            <w:r>
              <w:t>K</w:t>
            </w:r>
            <w:r w:rsidR="00BE7CB1">
              <w:t>apecitabín perorálne dvakrát denne počas 2 týždňov (po ktorých nasleduje 1 týždeň bez liečby)</w:t>
            </w:r>
          </w:p>
        </w:tc>
      </w:tr>
      <w:tr w:rsidR="00741586" w:rsidRPr="00F37D4D" w14:paraId="350E972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02D0803" w14:textId="77777777" w:rsidR="009C4600" w:rsidRPr="00F37D4D" w:rsidRDefault="009C4600" w:rsidP="00755C59">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3A994DA8" w14:textId="77777777" w:rsidR="009C4600" w:rsidRPr="00F37D4D" w:rsidRDefault="00BE7CB1" w:rsidP="00755C59">
            <w:pPr>
              <w:pStyle w:val="TABLES"/>
              <w:ind w:left="57" w:right="57"/>
            </w:pPr>
            <w:r>
              <w:t>Placebo alebo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644F575" w14:textId="77777777" w:rsidR="009C4600" w:rsidRPr="00F37D4D" w:rsidRDefault="00BE7CB1" w:rsidP="00755C59">
            <w:pPr>
              <w:pStyle w:val="TABLES"/>
              <w:ind w:left="57" w:right="57"/>
            </w:pPr>
            <w:r>
              <w:t>7,5 mg/kg intravenózne 30-90 min</w:t>
            </w:r>
          </w:p>
        </w:tc>
        <w:tc>
          <w:tcPr>
            <w:tcW w:w="2003" w:type="pct"/>
            <w:tcBorders>
              <w:top w:val="single" w:sz="4" w:space="0" w:color="000000"/>
              <w:left w:val="single" w:sz="4" w:space="0" w:color="000000"/>
              <w:bottom w:val="single" w:sz="4" w:space="0" w:color="000000"/>
              <w:right w:val="single" w:sz="4" w:space="0" w:color="000000"/>
            </w:tcBorders>
            <w:hideMark/>
          </w:tcPr>
          <w:p w14:paraId="3E8951A9" w14:textId="77777777" w:rsidR="009C4600" w:rsidRPr="00F37D4D" w:rsidRDefault="00BE7CB1" w:rsidP="00755C59">
            <w:pPr>
              <w:pStyle w:val="TABLES"/>
              <w:ind w:left="57" w:right="57"/>
            </w:pPr>
            <w:r>
              <w:t>1. deň, pred XELOX, raz za 3 týždne</w:t>
            </w:r>
          </w:p>
        </w:tc>
      </w:tr>
      <w:tr w:rsidR="00741586" w:rsidRPr="00F37D4D" w14:paraId="5BA6FC77"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BC9E6C6" w14:textId="77777777" w:rsidR="009C4600" w:rsidRPr="00F37D4D" w:rsidRDefault="00BE7CB1" w:rsidP="00755C59">
            <w:pPr>
              <w:pStyle w:val="TABLES"/>
              <w:ind w:left="57" w:right="57"/>
            </w:pPr>
            <w:r>
              <w:t>5-fluóruracil: intravenózna bolusová injekcia podaná ihneď po leukovoríne</w:t>
            </w:r>
          </w:p>
        </w:tc>
      </w:tr>
    </w:tbl>
    <w:p w14:paraId="30304676" w14:textId="77777777" w:rsidR="009C4600" w:rsidRPr="00F37D4D" w:rsidRDefault="009C4600" w:rsidP="00755C59">
      <w:pPr>
        <w:widowControl w:val="0"/>
        <w:tabs>
          <w:tab w:val="clear" w:pos="567"/>
          <w:tab w:val="left" w:pos="720"/>
        </w:tabs>
        <w:autoSpaceDE w:val="0"/>
        <w:autoSpaceDN w:val="0"/>
        <w:adjustRightInd w:val="0"/>
        <w:spacing w:line="240" w:lineRule="auto"/>
        <w:rPr>
          <w:szCs w:val="22"/>
        </w:rPr>
      </w:pPr>
    </w:p>
    <w:p w14:paraId="470BDF8E" w14:textId="77777777" w:rsidR="009C4600" w:rsidRPr="00F37D4D" w:rsidRDefault="00BE7CB1" w:rsidP="00F64BF9">
      <w:pPr>
        <w:pStyle w:val="Default"/>
        <w:rPr>
          <w:sz w:val="22"/>
          <w:szCs w:val="22"/>
        </w:rPr>
      </w:pPr>
      <w:r>
        <w:rPr>
          <w:sz w:val="22"/>
        </w:rPr>
        <w:t>Primárnym parametrom účinnosti štúdie bolo trvanie prežívania bez progresie ochorenia. V tomto skúšaní boli dva primárne ciele: preukázať, že liečba s XELOX nie je menej účinná ako liečba</w:t>
      </w:r>
      <w:r w:rsidR="00592ED2">
        <w:rPr>
          <w:sz w:val="22"/>
        </w:rPr>
        <w:t xml:space="preserve"> </w:t>
      </w:r>
      <w:r>
        <w:rPr>
          <w:sz w:val="22"/>
        </w:rPr>
        <w:t>s FOLFOX-4 a preukázať, že liečba bevacizumabom v kombinácii s chemoterapiou obsahujúcou FOLFOX- 4 alebo XELOX je účinnejšia ako samotná chemoterapia. Oba primárne ciele boli splnené:</w:t>
      </w:r>
    </w:p>
    <w:p w14:paraId="2D8C1764" w14:textId="77777777" w:rsidR="009C4600" w:rsidRPr="00F37D4D" w:rsidRDefault="009C4600" w:rsidP="00F64BF9">
      <w:pPr>
        <w:pStyle w:val="Default"/>
        <w:rPr>
          <w:sz w:val="22"/>
          <w:szCs w:val="22"/>
        </w:rPr>
      </w:pPr>
    </w:p>
    <w:p w14:paraId="726A11C5" w14:textId="77777777" w:rsidR="009C4600" w:rsidRPr="00F67844" w:rsidRDefault="00BE7CB1" w:rsidP="0033150F">
      <w:pPr>
        <w:pStyle w:val="ListParagraph"/>
        <w:numPr>
          <w:ilvl w:val="0"/>
          <w:numId w:val="11"/>
        </w:numPr>
        <w:ind w:left="567" w:hanging="567"/>
      </w:pPr>
      <w:r>
        <w:t>Pri celkovom porovnaní sa preukázalo, že v skupinách, ktoré dostávali XELOX nebola liečba menej účinná oproti skupinám, ktoré dostávali FOLFOX-4, a to z hľadiska prežívania bez progresie ochorenia a celkového prežívania v populácii pacientov, ktorí boli podľa protokolu štúdie vhodní na</w:t>
      </w:r>
      <w:r w:rsidR="00592ED2">
        <w:t xml:space="preserve"> </w:t>
      </w:r>
      <w:r>
        <w:t>zaradenie do štúdie.</w:t>
      </w:r>
    </w:p>
    <w:p w14:paraId="6A38A67A" w14:textId="77777777" w:rsidR="009C4600" w:rsidRPr="00F67844" w:rsidRDefault="009C4600" w:rsidP="00F64BF9">
      <w:pPr>
        <w:spacing w:line="240" w:lineRule="auto"/>
      </w:pPr>
    </w:p>
    <w:p w14:paraId="1A579686" w14:textId="77777777" w:rsidR="009C4600" w:rsidRPr="00F67844" w:rsidRDefault="00BE7CB1" w:rsidP="0033150F">
      <w:pPr>
        <w:pStyle w:val="ListParagraph"/>
        <w:numPr>
          <w:ilvl w:val="0"/>
          <w:numId w:val="11"/>
        </w:numPr>
        <w:ind w:left="567" w:hanging="567"/>
      </w:pPr>
      <w:r>
        <w:t>Pri celkovom porovnaní sa preukázalo, že v skupinách, ktoré dostávali bevacizumab bola liečba účinnejšia ako v skupinách, ktoré dostávali samotnú chemoterapiu, a to z hľadiska prežívania bez progresie ochorenia v populácii všetkých randomizovaných (intent-to-treat, ITT) pacientov (tabuľka 7).</w:t>
      </w:r>
    </w:p>
    <w:p w14:paraId="2D36645A" w14:textId="77777777" w:rsidR="009C4600" w:rsidRPr="00F67844" w:rsidRDefault="009C4600" w:rsidP="00F64BF9">
      <w:pPr>
        <w:spacing w:line="240" w:lineRule="auto"/>
      </w:pPr>
    </w:p>
    <w:p w14:paraId="1AB4AA16" w14:textId="77777777" w:rsidR="009C4600" w:rsidRPr="00F37D4D" w:rsidRDefault="00BE7CB1" w:rsidP="00F64BF9">
      <w:pPr>
        <w:tabs>
          <w:tab w:val="clear" w:pos="567"/>
          <w:tab w:val="left" w:pos="720"/>
        </w:tabs>
        <w:autoSpaceDE w:val="0"/>
        <w:autoSpaceDN w:val="0"/>
        <w:adjustRightInd w:val="0"/>
        <w:spacing w:line="240" w:lineRule="auto"/>
        <w:rPr>
          <w:szCs w:val="22"/>
        </w:rPr>
      </w:pPr>
      <w:r>
        <w:t>Sekundárne analýzy PFS, ktoré vychádzali z odpovedí na liečbu potvrdili významne väčší klinický prínos u pacientov liečených bevacizumabom (analýzy sú uvedené v tabuľke 7), ktorý sa zhoduje so štatisticky významným prínosom zisteným v súhrnnej analýze.</w:t>
      </w:r>
    </w:p>
    <w:p w14:paraId="1FEDDC38" w14:textId="77777777" w:rsidR="009C4600" w:rsidRPr="00F37D4D" w:rsidRDefault="009C4600" w:rsidP="00755C59">
      <w:pPr>
        <w:widowControl w:val="0"/>
        <w:tabs>
          <w:tab w:val="clear" w:pos="567"/>
          <w:tab w:val="left" w:pos="720"/>
        </w:tabs>
        <w:autoSpaceDE w:val="0"/>
        <w:autoSpaceDN w:val="0"/>
        <w:adjustRightInd w:val="0"/>
        <w:spacing w:line="240" w:lineRule="auto"/>
        <w:rPr>
          <w:szCs w:val="22"/>
        </w:rPr>
      </w:pPr>
    </w:p>
    <w:p w14:paraId="03261C1A" w14:textId="77777777" w:rsidR="009C4600" w:rsidRPr="00F67844" w:rsidRDefault="00BE7CB1" w:rsidP="00755C59">
      <w:pPr>
        <w:widowControl w:val="0"/>
        <w:spacing w:line="240" w:lineRule="auto"/>
        <w:rPr>
          <w:b/>
          <w:bCs/>
        </w:rPr>
      </w:pPr>
      <w:r>
        <w:rPr>
          <w:b/>
        </w:rPr>
        <w:t>Tabuľka 7</w:t>
      </w:r>
      <w:r w:rsidRPr="00596761">
        <w:rPr>
          <w:b/>
        </w:rPr>
        <w:t>. Kľúčové výsledky</w:t>
      </w:r>
      <w:r>
        <w:rPr>
          <w:b/>
        </w:rPr>
        <w:t xml:space="preserve"> účinnosti z analýzy posudzujúcej vyššiu účinnosť liečby (ITT populácia, skúšanie NO16966)</w:t>
      </w:r>
    </w:p>
    <w:p w14:paraId="6810B70F" w14:textId="77777777" w:rsidR="009C4600" w:rsidRPr="00F67844"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6"/>
        <w:gridCol w:w="2246"/>
        <w:gridCol w:w="2634"/>
        <w:gridCol w:w="895"/>
      </w:tblGrid>
      <w:tr w:rsidR="00741586" w:rsidRPr="00DE7995" w14:paraId="54ACB81B"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644B9B55" w14:textId="77777777" w:rsidR="009C4600" w:rsidRPr="00DE7995" w:rsidRDefault="00BE7CB1" w:rsidP="00755C59">
            <w:pPr>
              <w:pStyle w:val="TABLES"/>
              <w:ind w:left="57" w:right="57"/>
              <w:jc w:val="center"/>
              <w:rPr>
                <w:b/>
                <w:bCs/>
              </w:rPr>
            </w:pPr>
            <w:r>
              <w:rPr>
                <w:b/>
              </w:rPr>
              <w:t>Koncový ukazovateľ (mesiace)</w:t>
            </w:r>
          </w:p>
        </w:tc>
        <w:tc>
          <w:tcPr>
            <w:tcW w:w="1254" w:type="pct"/>
            <w:tcBorders>
              <w:top w:val="single" w:sz="4" w:space="0" w:color="000000"/>
              <w:left w:val="single" w:sz="4" w:space="0" w:color="000000"/>
              <w:bottom w:val="single" w:sz="4" w:space="0" w:color="000000"/>
              <w:right w:val="single" w:sz="4" w:space="0" w:color="000000"/>
            </w:tcBorders>
            <w:hideMark/>
          </w:tcPr>
          <w:p w14:paraId="4392F767" w14:textId="77777777" w:rsidR="005F1C01" w:rsidRPr="00DE7995" w:rsidRDefault="00BE7CB1" w:rsidP="00755C59">
            <w:pPr>
              <w:pStyle w:val="TABLES"/>
              <w:ind w:left="57" w:right="57"/>
              <w:jc w:val="center"/>
              <w:rPr>
                <w:b/>
                <w:bCs/>
              </w:rPr>
            </w:pPr>
            <w:r>
              <w:rPr>
                <w:b/>
              </w:rPr>
              <w:t>FOLFOX-4 alebo XELOX + placebo</w:t>
            </w:r>
          </w:p>
          <w:p w14:paraId="7829F6FE" w14:textId="77777777" w:rsidR="009C4600" w:rsidRPr="00DE7995" w:rsidRDefault="00BE7CB1" w:rsidP="00755C59">
            <w:pPr>
              <w:pStyle w:val="TABLES"/>
              <w:ind w:left="57" w:right="57"/>
              <w:jc w:val="center"/>
              <w:rPr>
                <w:b/>
                <w:bCs/>
              </w:rPr>
            </w:pPr>
            <w:r>
              <w:rPr>
                <w:b/>
              </w:rPr>
              <w:t>(n = 701)</w:t>
            </w:r>
          </w:p>
        </w:tc>
        <w:tc>
          <w:tcPr>
            <w:tcW w:w="1468" w:type="pct"/>
            <w:tcBorders>
              <w:top w:val="single" w:sz="4" w:space="0" w:color="000000"/>
              <w:left w:val="single" w:sz="4" w:space="0" w:color="000000"/>
              <w:bottom w:val="single" w:sz="4" w:space="0" w:color="000000"/>
              <w:right w:val="single" w:sz="4" w:space="0" w:color="000000"/>
            </w:tcBorders>
            <w:hideMark/>
          </w:tcPr>
          <w:p w14:paraId="7CF56089" w14:textId="77777777" w:rsidR="005F1C01" w:rsidRPr="00DE7995" w:rsidRDefault="00BE7CB1" w:rsidP="00755C59">
            <w:pPr>
              <w:pStyle w:val="TABLES"/>
              <w:ind w:left="57" w:right="57"/>
              <w:jc w:val="center"/>
              <w:rPr>
                <w:b/>
                <w:bCs/>
              </w:rPr>
            </w:pPr>
            <w:r>
              <w:rPr>
                <w:b/>
              </w:rPr>
              <w:t>FOLFOX-4 alebo XELOX + bevacizumab</w:t>
            </w:r>
          </w:p>
          <w:p w14:paraId="6C85681F" w14:textId="77777777" w:rsidR="009C4600" w:rsidRPr="00DE7995" w:rsidRDefault="00BE7CB1" w:rsidP="00755C59">
            <w:pPr>
              <w:pStyle w:val="TABLES"/>
              <w:ind w:left="57" w:right="57"/>
              <w:jc w:val="center"/>
              <w:rPr>
                <w:b/>
                <w:bCs/>
              </w:rPr>
            </w:pPr>
            <w:r>
              <w:rPr>
                <w:b/>
              </w:rPr>
              <w:t>(n = 699)</w:t>
            </w:r>
          </w:p>
        </w:tc>
        <w:tc>
          <w:tcPr>
            <w:tcW w:w="450" w:type="pct"/>
            <w:tcBorders>
              <w:top w:val="single" w:sz="4" w:space="0" w:color="000000"/>
              <w:left w:val="single" w:sz="4" w:space="0" w:color="000000"/>
              <w:bottom w:val="single" w:sz="4" w:space="0" w:color="000000"/>
              <w:right w:val="single" w:sz="4" w:space="0" w:color="000000"/>
            </w:tcBorders>
            <w:hideMark/>
          </w:tcPr>
          <w:p w14:paraId="54F84CF2" w14:textId="77777777" w:rsidR="009C4600" w:rsidRPr="00DE7995" w:rsidRDefault="00FB5E6E" w:rsidP="00755C59">
            <w:pPr>
              <w:pStyle w:val="TABLES"/>
              <w:ind w:left="57" w:right="57"/>
              <w:jc w:val="center"/>
              <w:rPr>
                <w:b/>
                <w:bCs/>
              </w:rPr>
            </w:pPr>
            <w:r>
              <w:rPr>
                <w:b/>
              </w:rPr>
              <w:t>p-hodnota</w:t>
            </w:r>
          </w:p>
        </w:tc>
      </w:tr>
      <w:tr w:rsidR="00741586" w:rsidRPr="00F37D4D" w14:paraId="3887C8D1"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11FB5A2" w14:textId="77777777" w:rsidR="009C4600" w:rsidRPr="00F37D4D" w:rsidRDefault="00BE7CB1" w:rsidP="00755C59">
            <w:pPr>
              <w:pStyle w:val="TABLES"/>
              <w:ind w:left="57" w:right="57"/>
            </w:pPr>
            <w:r>
              <w:t>Primárny koncový ukazovateľ</w:t>
            </w:r>
          </w:p>
        </w:tc>
      </w:tr>
      <w:tr w:rsidR="00741586" w:rsidRPr="00F37D4D" w14:paraId="68310BF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C2FBFE9" w14:textId="77777777" w:rsidR="009C4600" w:rsidRPr="00F37D4D" w:rsidRDefault="00BE7CB1" w:rsidP="00755C59">
            <w:pPr>
              <w:pStyle w:val="TABLES"/>
              <w:ind w:left="567" w:right="57"/>
            </w:pPr>
            <w:r>
              <w:t>Medián PFS**</w:t>
            </w:r>
          </w:p>
        </w:tc>
        <w:tc>
          <w:tcPr>
            <w:tcW w:w="1254" w:type="pct"/>
            <w:tcBorders>
              <w:top w:val="single" w:sz="4" w:space="0" w:color="000000"/>
              <w:left w:val="single" w:sz="4" w:space="0" w:color="000000"/>
              <w:bottom w:val="single" w:sz="4" w:space="0" w:color="000000"/>
              <w:right w:val="single" w:sz="4" w:space="0" w:color="000000"/>
            </w:tcBorders>
            <w:hideMark/>
          </w:tcPr>
          <w:p w14:paraId="5EE2259C" w14:textId="77777777" w:rsidR="009C4600" w:rsidRPr="00F37D4D" w:rsidRDefault="00BE7CB1" w:rsidP="00755C59">
            <w:pPr>
              <w:pStyle w:val="TABLES"/>
              <w:jc w:val="center"/>
            </w:pPr>
            <w:r>
              <w:t>8,0</w:t>
            </w:r>
          </w:p>
        </w:tc>
        <w:tc>
          <w:tcPr>
            <w:tcW w:w="1468" w:type="pct"/>
            <w:tcBorders>
              <w:top w:val="single" w:sz="4" w:space="0" w:color="000000"/>
              <w:left w:val="single" w:sz="4" w:space="0" w:color="000000"/>
              <w:bottom w:val="single" w:sz="4" w:space="0" w:color="000000"/>
              <w:right w:val="single" w:sz="4" w:space="0" w:color="000000"/>
            </w:tcBorders>
            <w:hideMark/>
          </w:tcPr>
          <w:p w14:paraId="24C9B4F4" w14:textId="77777777" w:rsidR="009C4600" w:rsidRPr="00F37D4D" w:rsidRDefault="00BE7CB1" w:rsidP="00755C59">
            <w:pPr>
              <w:pStyle w:val="TABLES"/>
              <w:jc w:val="center"/>
            </w:pPr>
            <w:r>
              <w:t>9,4</w:t>
            </w:r>
          </w:p>
        </w:tc>
        <w:tc>
          <w:tcPr>
            <w:tcW w:w="450" w:type="pct"/>
            <w:tcBorders>
              <w:top w:val="single" w:sz="4" w:space="0" w:color="000000"/>
              <w:left w:val="single" w:sz="4" w:space="0" w:color="000000"/>
              <w:bottom w:val="single" w:sz="4" w:space="0" w:color="000000"/>
              <w:right w:val="single" w:sz="4" w:space="0" w:color="000000"/>
            </w:tcBorders>
            <w:hideMark/>
          </w:tcPr>
          <w:p w14:paraId="692FC1F7" w14:textId="77777777" w:rsidR="009C4600" w:rsidRPr="00F37D4D" w:rsidRDefault="00BE7CB1" w:rsidP="00755C59">
            <w:pPr>
              <w:pStyle w:val="TABLES"/>
              <w:jc w:val="center"/>
            </w:pPr>
            <w:r>
              <w:t>0,0023</w:t>
            </w:r>
          </w:p>
        </w:tc>
      </w:tr>
      <w:tr w:rsidR="00741586" w:rsidRPr="00F37D4D" w14:paraId="3224CB8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3CA466B5" w14:textId="77777777" w:rsidR="009C4600" w:rsidRPr="00F37D4D" w:rsidRDefault="00BE7CB1" w:rsidP="00755C59">
            <w:pPr>
              <w:pStyle w:val="TABLES"/>
              <w:ind w:left="1134" w:right="57"/>
            </w:pPr>
            <w:r>
              <w:t xml:space="preserve">Miera rizika (97,5 % </w:t>
            </w:r>
            <w:r w:rsidRPr="00596761">
              <w:t>IS)</w:t>
            </w:r>
            <w:r w:rsidR="00894E45" w:rsidRPr="00596761">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0A050A25" w14:textId="77777777" w:rsidR="009C4600" w:rsidRPr="00F37D4D" w:rsidRDefault="00BE7CB1" w:rsidP="00755C59">
            <w:pPr>
              <w:pStyle w:val="TABLES"/>
              <w:jc w:val="center"/>
            </w:pPr>
            <w:r>
              <w:t>0,83 (0,72 – 0,95)</w:t>
            </w:r>
          </w:p>
        </w:tc>
        <w:tc>
          <w:tcPr>
            <w:tcW w:w="450" w:type="pct"/>
            <w:tcBorders>
              <w:top w:val="single" w:sz="4" w:space="0" w:color="000000"/>
              <w:left w:val="single" w:sz="4" w:space="0" w:color="000000"/>
              <w:bottom w:val="single" w:sz="4" w:space="0" w:color="000000"/>
              <w:right w:val="single" w:sz="4" w:space="0" w:color="000000"/>
            </w:tcBorders>
          </w:tcPr>
          <w:p w14:paraId="7E62DF7D" w14:textId="77777777" w:rsidR="009C4600" w:rsidRPr="00F37D4D" w:rsidRDefault="009C4600" w:rsidP="00755C59">
            <w:pPr>
              <w:pStyle w:val="TABLES"/>
              <w:jc w:val="center"/>
            </w:pPr>
          </w:p>
        </w:tc>
      </w:tr>
      <w:tr w:rsidR="00741586" w:rsidRPr="00F37D4D" w14:paraId="34DD243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489FC88A" w14:textId="77777777" w:rsidR="009C4600" w:rsidRPr="00F37D4D" w:rsidRDefault="00BE7CB1" w:rsidP="00755C59">
            <w:pPr>
              <w:pStyle w:val="TABLES"/>
              <w:ind w:left="57" w:right="57"/>
            </w:pPr>
            <w:r>
              <w:t>Sekundárne koncové ukazovatele</w:t>
            </w:r>
          </w:p>
        </w:tc>
      </w:tr>
      <w:tr w:rsidR="00741586" w:rsidRPr="00F37D4D" w14:paraId="2AE33237"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2C2E96F" w14:textId="77777777" w:rsidR="009C4600" w:rsidRPr="00F37D4D" w:rsidRDefault="00BE7CB1" w:rsidP="00755C59">
            <w:pPr>
              <w:pStyle w:val="TABLES"/>
              <w:ind w:left="567" w:right="57"/>
            </w:pPr>
            <w:r>
              <w:t>Medián PFS (počas liečby)**</w:t>
            </w:r>
          </w:p>
        </w:tc>
        <w:tc>
          <w:tcPr>
            <w:tcW w:w="1254" w:type="pct"/>
            <w:tcBorders>
              <w:top w:val="single" w:sz="4" w:space="0" w:color="000000"/>
              <w:left w:val="single" w:sz="4" w:space="0" w:color="000000"/>
              <w:bottom w:val="single" w:sz="4" w:space="0" w:color="000000"/>
              <w:right w:val="single" w:sz="4" w:space="0" w:color="000000"/>
            </w:tcBorders>
            <w:hideMark/>
          </w:tcPr>
          <w:p w14:paraId="2A821B8C" w14:textId="77777777" w:rsidR="009C4600" w:rsidRPr="00F37D4D" w:rsidRDefault="00BE7CB1" w:rsidP="00755C59">
            <w:pPr>
              <w:pStyle w:val="TABLES"/>
              <w:jc w:val="center"/>
            </w:pPr>
            <w:r>
              <w:t>7,9</w:t>
            </w:r>
          </w:p>
        </w:tc>
        <w:tc>
          <w:tcPr>
            <w:tcW w:w="1468" w:type="pct"/>
            <w:tcBorders>
              <w:top w:val="single" w:sz="4" w:space="0" w:color="000000"/>
              <w:left w:val="single" w:sz="4" w:space="0" w:color="000000"/>
              <w:bottom w:val="single" w:sz="4" w:space="0" w:color="000000"/>
              <w:right w:val="single" w:sz="4" w:space="0" w:color="000000"/>
            </w:tcBorders>
            <w:hideMark/>
          </w:tcPr>
          <w:p w14:paraId="5C6783A1" w14:textId="77777777" w:rsidR="009C4600" w:rsidRPr="00F37D4D" w:rsidRDefault="00BE7CB1" w:rsidP="00755C59">
            <w:pPr>
              <w:pStyle w:val="TABLES"/>
              <w:jc w:val="center"/>
            </w:pPr>
            <w:r>
              <w:t>10,4</w:t>
            </w:r>
          </w:p>
        </w:tc>
        <w:tc>
          <w:tcPr>
            <w:tcW w:w="450" w:type="pct"/>
            <w:tcBorders>
              <w:top w:val="single" w:sz="4" w:space="0" w:color="000000"/>
              <w:left w:val="single" w:sz="4" w:space="0" w:color="000000"/>
              <w:bottom w:val="single" w:sz="4" w:space="0" w:color="000000"/>
              <w:right w:val="single" w:sz="4" w:space="0" w:color="000000"/>
            </w:tcBorders>
            <w:hideMark/>
          </w:tcPr>
          <w:p w14:paraId="0A31930E" w14:textId="77777777" w:rsidR="009C4600" w:rsidRPr="00F37D4D" w:rsidRDefault="00BE7CB1" w:rsidP="00755C59">
            <w:pPr>
              <w:pStyle w:val="TABLES"/>
              <w:jc w:val="center"/>
            </w:pPr>
            <w:r>
              <w:t>&lt; 0,0001</w:t>
            </w:r>
          </w:p>
        </w:tc>
      </w:tr>
      <w:tr w:rsidR="00741586" w:rsidRPr="00F37D4D" w14:paraId="5041329E"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90A2F4F" w14:textId="77777777" w:rsidR="009C4600" w:rsidRPr="00F37D4D" w:rsidRDefault="00BE7CB1" w:rsidP="00755C59">
            <w:pPr>
              <w:pStyle w:val="TABLES"/>
              <w:ind w:left="1134" w:right="57"/>
            </w:pPr>
            <w:r>
              <w:t>Miera rizika (97,5 % I</w:t>
            </w:r>
            <w:r w:rsidR="00592ED2">
              <w:t>S</w:t>
            </w:r>
            <w:r>
              <w:t>)</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46C5E6E8" w14:textId="77777777" w:rsidR="009C4600" w:rsidRPr="00F37D4D" w:rsidRDefault="00BE7CB1" w:rsidP="00755C59">
            <w:pPr>
              <w:pStyle w:val="TABLES"/>
              <w:jc w:val="center"/>
            </w:pPr>
            <w:r>
              <w:t>0,63 (0,52 – 0,75)</w:t>
            </w:r>
          </w:p>
        </w:tc>
        <w:tc>
          <w:tcPr>
            <w:tcW w:w="450" w:type="pct"/>
            <w:tcBorders>
              <w:top w:val="single" w:sz="4" w:space="0" w:color="000000"/>
              <w:left w:val="single" w:sz="4" w:space="0" w:color="000000"/>
              <w:bottom w:val="single" w:sz="4" w:space="0" w:color="000000"/>
              <w:right w:val="single" w:sz="4" w:space="0" w:color="000000"/>
            </w:tcBorders>
          </w:tcPr>
          <w:p w14:paraId="313819C4" w14:textId="77777777" w:rsidR="009C4600" w:rsidRPr="00F37D4D" w:rsidRDefault="009C4600" w:rsidP="00755C59">
            <w:pPr>
              <w:pStyle w:val="TABLES"/>
              <w:jc w:val="center"/>
            </w:pPr>
          </w:p>
        </w:tc>
      </w:tr>
      <w:tr w:rsidR="00741586" w:rsidRPr="00F37D4D" w14:paraId="61AE0B52"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703FBD00" w14:textId="77777777" w:rsidR="009C4600" w:rsidRPr="00F37D4D" w:rsidRDefault="00BE7CB1" w:rsidP="00755C59">
            <w:pPr>
              <w:pStyle w:val="TABLES"/>
              <w:ind w:left="567" w:right="57"/>
            </w:pPr>
            <w:r>
              <w:t xml:space="preserve">Celková miera odpovede (hodnotenie </w:t>
            </w:r>
            <w:r w:rsidR="00FC3A8B">
              <w:t>skúšajúcim lekárom</w:t>
            </w:r>
            <w:r>
              <w:t>)**</w:t>
            </w:r>
          </w:p>
        </w:tc>
        <w:tc>
          <w:tcPr>
            <w:tcW w:w="1254" w:type="pct"/>
            <w:tcBorders>
              <w:top w:val="single" w:sz="4" w:space="0" w:color="000000"/>
              <w:left w:val="single" w:sz="4" w:space="0" w:color="000000"/>
              <w:bottom w:val="single" w:sz="4" w:space="0" w:color="000000"/>
              <w:right w:val="single" w:sz="4" w:space="0" w:color="000000"/>
            </w:tcBorders>
            <w:hideMark/>
          </w:tcPr>
          <w:p w14:paraId="58428E87" w14:textId="77777777" w:rsidR="009C4600" w:rsidRPr="00F37D4D" w:rsidRDefault="00BE7CB1" w:rsidP="00755C59">
            <w:pPr>
              <w:pStyle w:val="TABLES"/>
              <w:jc w:val="center"/>
            </w:pPr>
            <w:r>
              <w:t>49,2 %</w:t>
            </w:r>
          </w:p>
        </w:tc>
        <w:tc>
          <w:tcPr>
            <w:tcW w:w="1468" w:type="pct"/>
            <w:tcBorders>
              <w:top w:val="single" w:sz="4" w:space="0" w:color="000000"/>
              <w:left w:val="single" w:sz="4" w:space="0" w:color="000000"/>
              <w:bottom w:val="single" w:sz="4" w:space="0" w:color="000000"/>
              <w:right w:val="single" w:sz="4" w:space="0" w:color="000000"/>
            </w:tcBorders>
            <w:hideMark/>
          </w:tcPr>
          <w:p w14:paraId="0C62AFAE" w14:textId="77777777" w:rsidR="009C4600" w:rsidRPr="00F37D4D" w:rsidRDefault="00BE7CB1" w:rsidP="00755C59">
            <w:pPr>
              <w:pStyle w:val="TABLES"/>
              <w:jc w:val="center"/>
            </w:pPr>
            <w:r>
              <w:t>46,5 %</w:t>
            </w:r>
          </w:p>
        </w:tc>
        <w:tc>
          <w:tcPr>
            <w:tcW w:w="450" w:type="pct"/>
            <w:tcBorders>
              <w:top w:val="single" w:sz="4" w:space="0" w:color="000000"/>
              <w:left w:val="single" w:sz="4" w:space="0" w:color="000000"/>
              <w:bottom w:val="single" w:sz="4" w:space="0" w:color="000000"/>
              <w:right w:val="single" w:sz="4" w:space="0" w:color="000000"/>
            </w:tcBorders>
          </w:tcPr>
          <w:p w14:paraId="40FA697F" w14:textId="77777777" w:rsidR="009C4600" w:rsidRPr="00F37D4D" w:rsidRDefault="009C4600" w:rsidP="00755C59">
            <w:pPr>
              <w:pStyle w:val="TABLES"/>
              <w:jc w:val="center"/>
            </w:pPr>
          </w:p>
        </w:tc>
      </w:tr>
      <w:tr w:rsidR="00741586" w:rsidRPr="00F37D4D" w14:paraId="25F59511"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CF52EFD" w14:textId="77777777" w:rsidR="009C4600" w:rsidRPr="00F37D4D" w:rsidRDefault="00BE7CB1" w:rsidP="00755C59">
            <w:pPr>
              <w:pStyle w:val="TABLES"/>
              <w:ind w:left="567" w:right="57"/>
            </w:pPr>
            <w:r>
              <w:t>Medián celkového prežívania*</w:t>
            </w:r>
          </w:p>
        </w:tc>
        <w:tc>
          <w:tcPr>
            <w:tcW w:w="1254" w:type="pct"/>
            <w:tcBorders>
              <w:top w:val="single" w:sz="4" w:space="0" w:color="000000"/>
              <w:left w:val="single" w:sz="4" w:space="0" w:color="000000"/>
              <w:bottom w:val="single" w:sz="4" w:space="0" w:color="000000"/>
              <w:right w:val="single" w:sz="4" w:space="0" w:color="000000"/>
            </w:tcBorders>
            <w:hideMark/>
          </w:tcPr>
          <w:p w14:paraId="151896D3" w14:textId="77777777" w:rsidR="009C4600" w:rsidRPr="00F37D4D" w:rsidRDefault="00BE7CB1" w:rsidP="00755C59">
            <w:pPr>
              <w:pStyle w:val="TABLES"/>
              <w:jc w:val="center"/>
            </w:pPr>
            <w:r>
              <w:t>19,9</w:t>
            </w:r>
          </w:p>
        </w:tc>
        <w:tc>
          <w:tcPr>
            <w:tcW w:w="1468" w:type="pct"/>
            <w:tcBorders>
              <w:top w:val="single" w:sz="4" w:space="0" w:color="000000"/>
              <w:left w:val="single" w:sz="4" w:space="0" w:color="000000"/>
              <w:bottom w:val="single" w:sz="4" w:space="0" w:color="000000"/>
              <w:right w:val="single" w:sz="4" w:space="0" w:color="000000"/>
            </w:tcBorders>
            <w:hideMark/>
          </w:tcPr>
          <w:p w14:paraId="6B5EDA51" w14:textId="77777777" w:rsidR="009C4600" w:rsidRPr="00F37D4D" w:rsidRDefault="00BE7CB1" w:rsidP="00755C59">
            <w:pPr>
              <w:pStyle w:val="TABLES"/>
              <w:jc w:val="center"/>
            </w:pPr>
            <w:r>
              <w:t>21,2</w:t>
            </w:r>
          </w:p>
        </w:tc>
        <w:tc>
          <w:tcPr>
            <w:tcW w:w="450" w:type="pct"/>
            <w:tcBorders>
              <w:top w:val="single" w:sz="4" w:space="0" w:color="000000"/>
              <w:left w:val="single" w:sz="4" w:space="0" w:color="000000"/>
              <w:bottom w:val="single" w:sz="4" w:space="0" w:color="000000"/>
              <w:right w:val="single" w:sz="4" w:space="0" w:color="000000"/>
            </w:tcBorders>
            <w:hideMark/>
          </w:tcPr>
          <w:p w14:paraId="30EA4213" w14:textId="77777777" w:rsidR="009C4600" w:rsidRPr="00F37D4D" w:rsidRDefault="00BE7CB1" w:rsidP="00755C59">
            <w:pPr>
              <w:pStyle w:val="TABLES"/>
              <w:jc w:val="center"/>
            </w:pPr>
            <w:r>
              <w:t>0,0769</w:t>
            </w:r>
          </w:p>
        </w:tc>
      </w:tr>
      <w:tr w:rsidR="00741586" w:rsidRPr="00F37D4D" w14:paraId="0E9CEF37"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9646F90" w14:textId="77777777" w:rsidR="009C4600" w:rsidRPr="00F37D4D" w:rsidRDefault="00BE7CB1" w:rsidP="00755C59">
            <w:pPr>
              <w:pStyle w:val="TABLES"/>
              <w:ind w:left="1134" w:right="57"/>
            </w:pPr>
            <w:r>
              <w:lastRenderedPageBreak/>
              <w:t>Miera rizika (97,5 % I</w:t>
            </w:r>
            <w:r w:rsidR="00592ED2">
              <w:t>S</w:t>
            </w:r>
            <w:r>
              <w:t>)</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7D18BE9A" w14:textId="77777777" w:rsidR="009C4600" w:rsidRPr="00F37D4D" w:rsidRDefault="00BE7CB1" w:rsidP="00755C59">
            <w:pPr>
              <w:pStyle w:val="TABLES"/>
              <w:jc w:val="center"/>
            </w:pPr>
            <w:r>
              <w:t>0,89 (0,76 – 1,03)</w:t>
            </w:r>
          </w:p>
        </w:tc>
        <w:tc>
          <w:tcPr>
            <w:tcW w:w="450" w:type="pct"/>
            <w:tcBorders>
              <w:top w:val="single" w:sz="4" w:space="0" w:color="000000"/>
              <w:left w:val="single" w:sz="4" w:space="0" w:color="000000"/>
              <w:bottom w:val="single" w:sz="4" w:space="0" w:color="000000"/>
              <w:right w:val="single" w:sz="4" w:space="0" w:color="000000"/>
            </w:tcBorders>
          </w:tcPr>
          <w:p w14:paraId="39550B3D" w14:textId="77777777" w:rsidR="009C4600" w:rsidRPr="00F37D4D" w:rsidRDefault="009C4600" w:rsidP="00755C59">
            <w:pPr>
              <w:pStyle w:val="TABLES"/>
              <w:jc w:val="center"/>
            </w:pPr>
          </w:p>
        </w:tc>
      </w:tr>
    </w:tbl>
    <w:p w14:paraId="3591D278" w14:textId="77777777" w:rsidR="009C4600" w:rsidRPr="00F67844" w:rsidRDefault="00BE7CB1" w:rsidP="00755C59">
      <w:pPr>
        <w:widowControl w:val="0"/>
        <w:tabs>
          <w:tab w:val="clear" w:pos="567"/>
          <w:tab w:val="left" w:pos="284"/>
        </w:tabs>
        <w:spacing w:line="240" w:lineRule="auto"/>
        <w:ind w:left="284" w:hanging="284"/>
        <w:rPr>
          <w:sz w:val="20"/>
        </w:rPr>
      </w:pPr>
      <w:r>
        <w:rPr>
          <w:spacing w:val="-1"/>
          <w:sz w:val="20"/>
        </w:rPr>
        <w:t>Analýza celkového prežívania v čase uzávierky klinických údajov k 31. januáru 2007</w:t>
      </w:r>
      <w:r w:rsidR="00592ED2">
        <w:rPr>
          <w:spacing w:val="-1"/>
          <w:sz w:val="20"/>
        </w:rPr>
        <w:t>.</w:t>
      </w:r>
    </w:p>
    <w:p w14:paraId="364415FE" w14:textId="77777777" w:rsidR="009C4600" w:rsidRPr="00F67844" w:rsidRDefault="00BE7CB1" w:rsidP="00755C59">
      <w:pPr>
        <w:widowControl w:val="0"/>
        <w:tabs>
          <w:tab w:val="clear" w:pos="567"/>
          <w:tab w:val="left" w:pos="284"/>
        </w:tabs>
        <w:spacing w:line="240" w:lineRule="auto"/>
        <w:ind w:left="284" w:hanging="284"/>
        <w:rPr>
          <w:sz w:val="20"/>
        </w:rPr>
      </w:pPr>
      <w:r>
        <w:rPr>
          <w:spacing w:val="-2"/>
          <w:sz w:val="20"/>
        </w:rPr>
        <w:t>**</w:t>
      </w:r>
      <w:r w:rsidR="00592ED2">
        <w:rPr>
          <w:spacing w:val="-2"/>
          <w:sz w:val="20"/>
        </w:rPr>
        <w:t xml:space="preserve"> </w:t>
      </w:r>
      <w:r>
        <w:rPr>
          <w:spacing w:val="-2"/>
          <w:sz w:val="20"/>
        </w:rPr>
        <w:t>Primárna analýza v čase uzávierky klinických údajov k 31. januáru 2006</w:t>
      </w:r>
      <w:r w:rsidR="00592ED2">
        <w:rPr>
          <w:spacing w:val="-2"/>
          <w:sz w:val="20"/>
        </w:rPr>
        <w:t>.</w:t>
      </w:r>
    </w:p>
    <w:p w14:paraId="6D0C874A" w14:textId="77777777" w:rsidR="009C4600" w:rsidRPr="00F67844" w:rsidRDefault="00BE7CB1" w:rsidP="00755C59">
      <w:pPr>
        <w:widowControl w:val="0"/>
        <w:tabs>
          <w:tab w:val="clear" w:pos="567"/>
          <w:tab w:val="left" w:pos="284"/>
        </w:tabs>
        <w:spacing w:line="240" w:lineRule="auto"/>
        <w:ind w:left="284" w:hanging="284"/>
        <w:rPr>
          <w:sz w:val="20"/>
        </w:rPr>
      </w:pPr>
      <w:r>
        <w:rPr>
          <w:sz w:val="20"/>
          <w:vertAlign w:val="superscript"/>
        </w:rPr>
        <w:t>a</w:t>
      </w:r>
      <w:r>
        <w:rPr>
          <w:sz w:val="20"/>
        </w:rPr>
        <w:t xml:space="preserve"> Vzhľadom na kontrolnú skupinu</w:t>
      </w:r>
      <w:r w:rsidR="00592ED2">
        <w:rPr>
          <w:sz w:val="20"/>
        </w:rPr>
        <w:t>.</w:t>
      </w:r>
    </w:p>
    <w:p w14:paraId="14AF0FCE" w14:textId="77777777" w:rsidR="009C4600" w:rsidRPr="00F37D4D" w:rsidRDefault="009C4600" w:rsidP="00F64BF9">
      <w:pPr>
        <w:tabs>
          <w:tab w:val="clear" w:pos="567"/>
          <w:tab w:val="left" w:pos="0"/>
        </w:tabs>
        <w:autoSpaceDE w:val="0"/>
        <w:autoSpaceDN w:val="0"/>
        <w:adjustRightInd w:val="0"/>
        <w:spacing w:line="240" w:lineRule="auto"/>
        <w:rPr>
          <w:szCs w:val="22"/>
        </w:rPr>
      </w:pPr>
    </w:p>
    <w:p w14:paraId="1AFE174C" w14:textId="77777777" w:rsidR="009C4600" w:rsidRPr="00F37D4D" w:rsidRDefault="00BE7CB1" w:rsidP="00F64BF9">
      <w:pPr>
        <w:pStyle w:val="Default"/>
        <w:rPr>
          <w:sz w:val="22"/>
          <w:szCs w:val="22"/>
        </w:rPr>
      </w:pPr>
      <w:r>
        <w:rPr>
          <w:sz w:val="22"/>
        </w:rPr>
        <w:t xml:space="preserve">V podskupine pacientov </w:t>
      </w:r>
      <w:r w:rsidR="00EB0B49">
        <w:rPr>
          <w:sz w:val="22"/>
        </w:rPr>
        <w:t xml:space="preserve">liečených </w:t>
      </w:r>
      <w:r>
        <w:rPr>
          <w:sz w:val="22"/>
        </w:rPr>
        <w:t xml:space="preserve">s FOLFOX-4 bol medián PFS 8,6 mesiacov u pacientov liečených placebom a 9,4 mesiacov u pacientov liečených bevacizumabom, HR = 0,89; 97,5 % IS = [0,73; 1,08], p-hodnota = 0,1871, zhodné výsledky boli v podskupine pacientov </w:t>
      </w:r>
      <w:r w:rsidR="00EB0B49">
        <w:rPr>
          <w:sz w:val="22"/>
        </w:rPr>
        <w:t xml:space="preserve">liečených </w:t>
      </w:r>
      <w:r>
        <w:rPr>
          <w:sz w:val="22"/>
        </w:rPr>
        <w:t>s XELOX, 7,4 mesiacov oproti 9,3 mesiacom, HR = 0,77; 97,5 % IS = [0,63; 0,94]; p-hodnota =0,0026.</w:t>
      </w:r>
    </w:p>
    <w:p w14:paraId="20D080B3" w14:textId="77777777" w:rsidR="009C4600" w:rsidRPr="00F37D4D" w:rsidRDefault="009C4600" w:rsidP="00F64BF9">
      <w:pPr>
        <w:pStyle w:val="Default"/>
        <w:rPr>
          <w:sz w:val="22"/>
          <w:szCs w:val="22"/>
        </w:rPr>
      </w:pPr>
    </w:p>
    <w:p w14:paraId="79E60E71" w14:textId="77777777" w:rsidR="009C4600" w:rsidRPr="00F37D4D" w:rsidRDefault="00BE7CB1" w:rsidP="00F64BF9">
      <w:pPr>
        <w:pStyle w:val="Default"/>
        <w:rPr>
          <w:sz w:val="22"/>
          <w:szCs w:val="22"/>
        </w:rPr>
      </w:pPr>
      <w:r>
        <w:rPr>
          <w:sz w:val="22"/>
        </w:rPr>
        <w:t xml:space="preserve">Medián celkového prežívania bol 20,3 mesiacov u pacientov liečených placebom a 21,2 mesiacov u pacientov liečených bevacizumabom v podskupine pacientov </w:t>
      </w:r>
      <w:r w:rsidR="00EB0B49">
        <w:rPr>
          <w:sz w:val="22"/>
        </w:rPr>
        <w:t xml:space="preserve">liečených </w:t>
      </w:r>
      <w:r>
        <w:rPr>
          <w:sz w:val="22"/>
        </w:rPr>
        <w:t xml:space="preserve">s FOLFOX-4, HR = 0,94; 97,5 % IS = [0,75; 1,16]; p-hodnota = 0,4937, zhodné výsledky boli v podskupine pacientov </w:t>
      </w:r>
      <w:r w:rsidR="00EB0B49">
        <w:rPr>
          <w:sz w:val="22"/>
        </w:rPr>
        <w:t xml:space="preserve">liečených </w:t>
      </w:r>
      <w:r>
        <w:rPr>
          <w:sz w:val="22"/>
        </w:rPr>
        <w:t>s XELOX, 19,2 mesiacov oproti 21,4 mesiacom, HR = 0,84; 97,5 % IS = [0,68; 1,04]; p-hodnota =0,0698.</w:t>
      </w:r>
    </w:p>
    <w:p w14:paraId="09C506D5" w14:textId="77777777" w:rsidR="009C4600" w:rsidRPr="00F37D4D" w:rsidRDefault="009C4600" w:rsidP="00F64BF9">
      <w:pPr>
        <w:pStyle w:val="Default"/>
        <w:rPr>
          <w:i/>
          <w:iCs/>
          <w:sz w:val="22"/>
          <w:szCs w:val="22"/>
        </w:rPr>
      </w:pPr>
    </w:p>
    <w:p w14:paraId="66A3BD91" w14:textId="77777777" w:rsidR="009C4600" w:rsidRDefault="00BE7CB1" w:rsidP="00F64BF9">
      <w:pPr>
        <w:keepNext/>
        <w:spacing w:line="240" w:lineRule="auto"/>
        <w:rPr>
          <w:i/>
          <w:iCs/>
          <w:szCs w:val="22"/>
        </w:rPr>
      </w:pPr>
      <w:r>
        <w:rPr>
          <w:i/>
        </w:rPr>
        <w:t>ECOG E3200</w:t>
      </w:r>
    </w:p>
    <w:p w14:paraId="32AC599D" w14:textId="77777777" w:rsidR="003E50F1" w:rsidRPr="00F67844" w:rsidRDefault="003E50F1" w:rsidP="00F64BF9">
      <w:pPr>
        <w:keepNext/>
        <w:spacing w:line="240" w:lineRule="auto"/>
        <w:rPr>
          <w:i/>
          <w:iCs/>
          <w:szCs w:val="22"/>
        </w:rPr>
      </w:pPr>
    </w:p>
    <w:p w14:paraId="18F6B221" w14:textId="77777777" w:rsidR="009C4600" w:rsidRPr="00F37D4D" w:rsidRDefault="00BE7CB1" w:rsidP="00F64BF9">
      <w:pPr>
        <w:spacing w:line="240" w:lineRule="auto"/>
        <w:rPr>
          <w:szCs w:val="22"/>
        </w:rPr>
      </w:pPr>
      <w:r>
        <w:t>Toto skúšanie bolo randomizované, aktívne kontrolované, otvorené skúšanie III. fázy skúmajúce bevacizumab v dávke 10 mg/kg podávanej raz za 2 týždne v kombinácii s leukovorínom a bolusom 5</w:t>
      </w:r>
      <w:r w:rsidR="00FB5E6E">
        <w:rPr>
          <w:b/>
          <w:bCs/>
          <w:szCs w:val="22"/>
        </w:rPr>
        <w:t>-</w:t>
      </w:r>
      <w:r>
        <w:t>fluóruracilu a následnou infúziou 5-fluóruracilu a intravenóznou oxaliplatinou (FOLFOX-4) u pacientov s pokročilým kolorektálnym karcinómom po predchádzajúcej liečbe (druhá línia liečby). V skupinách, ktoré dostávali chemoterapiu, sa v režime FOLFOX-4 používali rovnaké dávky a dávkovacia schéma ako je uvedené v tabuľke 6 pre skúšanie NO16966.</w:t>
      </w:r>
    </w:p>
    <w:p w14:paraId="4B1C6A83" w14:textId="77777777" w:rsidR="009C4600" w:rsidRPr="00F37D4D" w:rsidRDefault="009C4600" w:rsidP="00F64BF9">
      <w:pPr>
        <w:spacing w:line="240" w:lineRule="auto"/>
        <w:rPr>
          <w:szCs w:val="22"/>
        </w:rPr>
      </w:pPr>
    </w:p>
    <w:p w14:paraId="1C2F0B38" w14:textId="77777777" w:rsidR="009C4600" w:rsidRPr="00F37D4D" w:rsidRDefault="00BE7CB1" w:rsidP="00F64BF9">
      <w:pPr>
        <w:spacing w:line="240" w:lineRule="auto"/>
        <w:rPr>
          <w:szCs w:val="22"/>
        </w:rPr>
      </w:pPr>
      <w:r>
        <w:t>Primárnym ukazovateľom účinnosti v skúšaní bolo celkové prežívanie, definované ako čas trvajúci od randomizácie do úmrtia z akejkoľvek príčiny. Randomizovaných bolo osemstodvadsaťdeväť pacientov (292 do skupiny s FOLFOX-4, 293 do skupiny s bevacizumabom + FOLFOX-4 a 244 do skupiny s bevacizumabom v monoterapii). Pridanie bevacizumabu k FOLFOX-4 viedlo k štatisticky významnému predĺženiu prežívania. Zistili sa aj štatisticky významné zlepšenia v prežívaní bez progresie ochorenia a v objektívnej miere odpovede (pozri tabuľku 8).</w:t>
      </w:r>
    </w:p>
    <w:p w14:paraId="53CE1ED6" w14:textId="77777777" w:rsidR="009C4600" w:rsidRPr="00F37D4D" w:rsidRDefault="009C4600" w:rsidP="00F64BF9">
      <w:pPr>
        <w:spacing w:line="240" w:lineRule="auto"/>
      </w:pPr>
    </w:p>
    <w:p w14:paraId="2581DA20" w14:textId="77777777" w:rsidR="009C4600" w:rsidRPr="00F67844" w:rsidRDefault="00BE7CB1" w:rsidP="00F64BF9">
      <w:pPr>
        <w:keepNext/>
        <w:spacing w:line="240" w:lineRule="auto"/>
        <w:rPr>
          <w:b/>
          <w:bCs/>
        </w:rPr>
      </w:pPr>
      <w:r>
        <w:rPr>
          <w:b/>
        </w:rPr>
        <w:t>Tabuľka 8. Výsledky účinnosti zo skúšania E3200</w:t>
      </w:r>
    </w:p>
    <w:p w14:paraId="0199C410"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F37D4D" w14:paraId="63634FE8"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03034367" w14:textId="77777777" w:rsidR="009C4600" w:rsidRPr="00F37D4D"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F3D72A1" w14:textId="77777777" w:rsidR="009C4600" w:rsidRPr="00F37D4D" w:rsidRDefault="00BE7CB1" w:rsidP="00F64BF9">
            <w:pPr>
              <w:pStyle w:val="TABLES"/>
              <w:keepNext/>
              <w:ind w:left="57" w:right="57"/>
              <w:jc w:val="center"/>
              <w:rPr>
                <w:b/>
              </w:rPr>
            </w:pPr>
            <w:r>
              <w:rPr>
                <w:b/>
              </w:rPr>
              <w:t>E3200</w:t>
            </w:r>
          </w:p>
        </w:tc>
      </w:tr>
      <w:tr w:rsidR="00741586" w:rsidRPr="00F37D4D" w14:paraId="0AC689AA"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73FD586C" w14:textId="77777777" w:rsidR="009C4600" w:rsidRPr="00F37D4D"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5936275C" w14:textId="77777777" w:rsidR="009C4600" w:rsidRPr="00F37D4D" w:rsidRDefault="00BE7CB1" w:rsidP="00F64BF9">
            <w:pPr>
              <w:pStyle w:val="TABLES"/>
              <w:keepNext/>
              <w:ind w:left="57" w:right="57"/>
              <w:jc w:val="center"/>
              <w:rPr>
                <w:b/>
              </w:rPr>
            </w:pPr>
            <w:r>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0D90E5A4" w14:textId="77777777" w:rsidR="009C4600" w:rsidRPr="00F37D4D" w:rsidRDefault="00BE7CB1" w:rsidP="00F64BF9">
            <w:pPr>
              <w:pStyle w:val="TABLES"/>
              <w:keepNext/>
              <w:ind w:left="57" w:right="57"/>
              <w:jc w:val="center"/>
              <w:rPr>
                <w:b/>
              </w:rPr>
            </w:pPr>
            <w:r>
              <w:rPr>
                <w:b/>
              </w:rPr>
              <w:t>FOLFOX-4 + bevacizumab</w:t>
            </w:r>
            <w:r w:rsidR="00894E45" w:rsidRPr="00F37D4D">
              <w:rPr>
                <w:b/>
                <w:vertAlign w:val="superscript"/>
              </w:rPr>
              <w:t>a</w:t>
            </w:r>
          </w:p>
        </w:tc>
      </w:tr>
      <w:tr w:rsidR="00741586" w:rsidRPr="00F37D4D" w14:paraId="350FA7D8"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D9C045D" w14:textId="77777777" w:rsidR="009C4600" w:rsidRPr="00F37D4D" w:rsidRDefault="00BE7CB1" w:rsidP="00F64BF9">
            <w:pPr>
              <w:pStyle w:val="TABLES"/>
              <w:keepNext/>
              <w:ind w:left="57" w:right="57"/>
            </w:pPr>
            <w:r>
              <w:t>Počet pacientov</w:t>
            </w:r>
          </w:p>
        </w:tc>
        <w:tc>
          <w:tcPr>
            <w:tcW w:w="1044" w:type="pct"/>
            <w:tcBorders>
              <w:top w:val="single" w:sz="4" w:space="0" w:color="000000"/>
              <w:left w:val="single" w:sz="4" w:space="0" w:color="000000"/>
              <w:bottom w:val="single" w:sz="4" w:space="0" w:color="000000"/>
              <w:right w:val="single" w:sz="4" w:space="0" w:color="000000"/>
            </w:tcBorders>
            <w:hideMark/>
          </w:tcPr>
          <w:p w14:paraId="65605A2B" w14:textId="77777777" w:rsidR="009C4600" w:rsidRPr="00F37D4D" w:rsidRDefault="00BE7CB1" w:rsidP="00F64BF9">
            <w:pPr>
              <w:pStyle w:val="TABLES"/>
              <w:keepNext/>
              <w:jc w:val="center"/>
            </w:pPr>
            <w:r>
              <w:t>292</w:t>
            </w:r>
          </w:p>
        </w:tc>
        <w:tc>
          <w:tcPr>
            <w:tcW w:w="2223" w:type="pct"/>
            <w:tcBorders>
              <w:top w:val="single" w:sz="4" w:space="0" w:color="000000"/>
              <w:left w:val="single" w:sz="4" w:space="0" w:color="000000"/>
              <w:bottom w:val="single" w:sz="4" w:space="0" w:color="000000"/>
              <w:right w:val="single" w:sz="4" w:space="0" w:color="000000"/>
            </w:tcBorders>
            <w:hideMark/>
          </w:tcPr>
          <w:p w14:paraId="3C702386" w14:textId="77777777" w:rsidR="009C4600" w:rsidRPr="00F37D4D" w:rsidRDefault="00BE7CB1" w:rsidP="00F64BF9">
            <w:pPr>
              <w:pStyle w:val="TABLES"/>
              <w:keepNext/>
              <w:jc w:val="center"/>
            </w:pPr>
            <w:r>
              <w:t>293</w:t>
            </w:r>
          </w:p>
        </w:tc>
      </w:tr>
      <w:tr w:rsidR="00741586" w:rsidRPr="00F37D4D" w14:paraId="7E1285E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6CCFB" w14:textId="77777777" w:rsidR="009C4600" w:rsidRPr="00F37D4D" w:rsidRDefault="00BE7CB1" w:rsidP="00F64BF9">
            <w:pPr>
              <w:pStyle w:val="TABLES"/>
              <w:keepNext/>
              <w:ind w:left="57" w:right="57"/>
            </w:pPr>
            <w:r>
              <w:t>Celkové prežívanie</w:t>
            </w:r>
          </w:p>
        </w:tc>
      </w:tr>
      <w:tr w:rsidR="00741586" w:rsidRPr="00F37D4D" w14:paraId="60B8F110"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27A8157C" w14:textId="77777777" w:rsidR="009C4600" w:rsidRPr="00F37D4D" w:rsidRDefault="00BE7CB1" w:rsidP="00F64BF9">
            <w:pPr>
              <w:pStyle w:val="TABLES"/>
              <w:keepNext/>
              <w:ind w:left="567" w:right="57"/>
            </w:pPr>
            <w:r>
              <w:t>Medián času (mesiace)</w:t>
            </w:r>
          </w:p>
        </w:tc>
        <w:tc>
          <w:tcPr>
            <w:tcW w:w="1044" w:type="pct"/>
            <w:tcBorders>
              <w:top w:val="single" w:sz="4" w:space="0" w:color="000000"/>
              <w:left w:val="single" w:sz="4" w:space="0" w:color="000000"/>
              <w:bottom w:val="single" w:sz="4" w:space="0" w:color="000000"/>
              <w:right w:val="single" w:sz="4" w:space="0" w:color="000000"/>
            </w:tcBorders>
            <w:hideMark/>
          </w:tcPr>
          <w:p w14:paraId="764D07CA" w14:textId="77777777" w:rsidR="009C4600" w:rsidRPr="00F37D4D" w:rsidRDefault="00BE7CB1" w:rsidP="00F64BF9">
            <w:pPr>
              <w:pStyle w:val="TABLES"/>
              <w:keepNext/>
              <w:jc w:val="center"/>
            </w:pPr>
            <w:r>
              <w:t>10,8</w:t>
            </w:r>
          </w:p>
        </w:tc>
        <w:tc>
          <w:tcPr>
            <w:tcW w:w="2223" w:type="pct"/>
            <w:tcBorders>
              <w:top w:val="single" w:sz="4" w:space="0" w:color="000000"/>
              <w:left w:val="single" w:sz="4" w:space="0" w:color="000000"/>
              <w:bottom w:val="single" w:sz="4" w:space="0" w:color="000000"/>
              <w:right w:val="single" w:sz="4" w:space="0" w:color="000000"/>
            </w:tcBorders>
            <w:hideMark/>
          </w:tcPr>
          <w:p w14:paraId="0430D71C" w14:textId="77777777" w:rsidR="009C4600" w:rsidRPr="00F37D4D" w:rsidRDefault="00BE7CB1" w:rsidP="00F64BF9">
            <w:pPr>
              <w:pStyle w:val="TABLES"/>
              <w:keepNext/>
              <w:jc w:val="center"/>
            </w:pPr>
            <w:r>
              <w:t>13,0</w:t>
            </w:r>
          </w:p>
        </w:tc>
      </w:tr>
      <w:tr w:rsidR="00741586" w:rsidRPr="00F37D4D" w14:paraId="1BB1A37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3204CCE1" w14:textId="77777777" w:rsidR="009C4600" w:rsidRPr="00F37D4D" w:rsidRDefault="00BE7CB1" w:rsidP="00F64BF9">
            <w:pPr>
              <w:pStyle w:val="TABLES"/>
              <w:keepNext/>
              <w:ind w:left="567" w:right="57"/>
            </w:pPr>
            <w:r>
              <w:t>95 % I</w:t>
            </w:r>
            <w:r w:rsidR="00EB0B49">
              <w:t>S</w:t>
            </w:r>
          </w:p>
        </w:tc>
        <w:tc>
          <w:tcPr>
            <w:tcW w:w="1044" w:type="pct"/>
            <w:tcBorders>
              <w:top w:val="single" w:sz="4" w:space="0" w:color="000000"/>
              <w:left w:val="single" w:sz="4" w:space="0" w:color="000000"/>
              <w:bottom w:val="single" w:sz="4" w:space="0" w:color="000000"/>
              <w:right w:val="single" w:sz="4" w:space="0" w:color="000000"/>
            </w:tcBorders>
            <w:hideMark/>
          </w:tcPr>
          <w:p w14:paraId="7D3493F3" w14:textId="77777777" w:rsidR="009C4600" w:rsidRPr="00F37D4D" w:rsidRDefault="00BE7CB1" w:rsidP="00F64BF9">
            <w:pPr>
              <w:pStyle w:val="TABLES"/>
              <w:keepNext/>
              <w:jc w:val="center"/>
            </w:pPr>
            <w:r>
              <w:t>10,12 – 11,86</w:t>
            </w:r>
          </w:p>
        </w:tc>
        <w:tc>
          <w:tcPr>
            <w:tcW w:w="2223" w:type="pct"/>
            <w:tcBorders>
              <w:top w:val="single" w:sz="4" w:space="0" w:color="000000"/>
              <w:left w:val="single" w:sz="4" w:space="0" w:color="000000"/>
              <w:bottom w:val="single" w:sz="4" w:space="0" w:color="000000"/>
              <w:right w:val="single" w:sz="4" w:space="0" w:color="000000"/>
            </w:tcBorders>
            <w:hideMark/>
          </w:tcPr>
          <w:p w14:paraId="651CC4AA" w14:textId="77777777" w:rsidR="009C4600" w:rsidRPr="00F37D4D" w:rsidRDefault="00BE7CB1" w:rsidP="00F64BF9">
            <w:pPr>
              <w:pStyle w:val="TABLES"/>
              <w:keepNext/>
              <w:jc w:val="center"/>
            </w:pPr>
            <w:r>
              <w:t>12,09 – 14,03</w:t>
            </w:r>
          </w:p>
        </w:tc>
      </w:tr>
      <w:tr w:rsidR="00741586" w:rsidRPr="00F37D4D" w14:paraId="632B86D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08D91A26" w14:textId="77777777" w:rsidR="009C4600" w:rsidRPr="00F37D4D" w:rsidRDefault="00BE7CB1" w:rsidP="00F64BF9">
            <w:pPr>
              <w:pStyle w:val="TABLES"/>
              <w:keepNext/>
              <w:ind w:left="567" w:right="57"/>
            </w:pPr>
            <w:r>
              <w:t>Miera rizika</w:t>
            </w:r>
            <w:r w:rsidR="00894E45" w:rsidRPr="00F37D4D">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0BCCD855" w14:textId="77777777" w:rsidR="009C4600" w:rsidRPr="00F37D4D" w:rsidRDefault="00BE7CB1" w:rsidP="00F64BF9">
            <w:pPr>
              <w:pStyle w:val="TABLES"/>
              <w:keepNext/>
              <w:jc w:val="center"/>
            </w:pPr>
            <w:r>
              <w:t>0,751</w:t>
            </w:r>
          </w:p>
          <w:p w14:paraId="4C93F504" w14:textId="77777777" w:rsidR="009C4600" w:rsidRPr="00F37D4D" w:rsidRDefault="00BE7CB1" w:rsidP="00F64BF9">
            <w:pPr>
              <w:pStyle w:val="TABLES"/>
              <w:keepNext/>
              <w:jc w:val="center"/>
            </w:pPr>
            <w:r>
              <w:t>(p-hodnota = 0,0012)</w:t>
            </w:r>
          </w:p>
        </w:tc>
      </w:tr>
      <w:tr w:rsidR="00741586" w:rsidRPr="00F37D4D" w14:paraId="56F9CFA5"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7E212D9" w14:textId="77777777" w:rsidR="009C4600" w:rsidRPr="00F37D4D" w:rsidRDefault="00BE7CB1" w:rsidP="00F64BF9">
            <w:pPr>
              <w:pStyle w:val="TABLES"/>
              <w:keepNext/>
              <w:ind w:left="57" w:right="57"/>
            </w:pPr>
            <w:r>
              <w:t>Prežívanie bez progresie</w:t>
            </w:r>
          </w:p>
        </w:tc>
      </w:tr>
      <w:tr w:rsidR="00741586" w:rsidRPr="00F37D4D" w14:paraId="149F79E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9FCB5A" w14:textId="77777777" w:rsidR="009C4600" w:rsidRPr="00F37D4D" w:rsidRDefault="00BE7CB1" w:rsidP="00F64BF9">
            <w:pPr>
              <w:pStyle w:val="TABLES"/>
              <w:keepNext/>
              <w:ind w:left="567" w:right="57"/>
            </w:pPr>
            <w:r>
              <w:t>Medián času (mesiace)</w:t>
            </w:r>
          </w:p>
        </w:tc>
        <w:tc>
          <w:tcPr>
            <w:tcW w:w="1044" w:type="pct"/>
            <w:tcBorders>
              <w:top w:val="single" w:sz="4" w:space="0" w:color="000000"/>
              <w:left w:val="single" w:sz="4" w:space="0" w:color="000000"/>
              <w:bottom w:val="single" w:sz="4" w:space="0" w:color="000000"/>
              <w:right w:val="single" w:sz="4" w:space="0" w:color="000000"/>
            </w:tcBorders>
            <w:hideMark/>
          </w:tcPr>
          <w:p w14:paraId="35491071" w14:textId="77777777" w:rsidR="009C4600" w:rsidRPr="00F37D4D" w:rsidRDefault="00BE7CB1" w:rsidP="00F64BF9">
            <w:pPr>
              <w:pStyle w:val="TABLES"/>
              <w:keepNext/>
              <w:jc w:val="center"/>
            </w:pPr>
            <w:r>
              <w:t>4,5</w:t>
            </w:r>
          </w:p>
        </w:tc>
        <w:tc>
          <w:tcPr>
            <w:tcW w:w="2223" w:type="pct"/>
            <w:tcBorders>
              <w:top w:val="single" w:sz="4" w:space="0" w:color="000000"/>
              <w:left w:val="single" w:sz="4" w:space="0" w:color="000000"/>
              <w:bottom w:val="single" w:sz="4" w:space="0" w:color="000000"/>
              <w:right w:val="single" w:sz="4" w:space="0" w:color="000000"/>
            </w:tcBorders>
            <w:hideMark/>
          </w:tcPr>
          <w:p w14:paraId="4F08833C" w14:textId="77777777" w:rsidR="009C4600" w:rsidRPr="00F37D4D" w:rsidRDefault="00BE7CB1" w:rsidP="00F64BF9">
            <w:pPr>
              <w:pStyle w:val="TABLES"/>
              <w:keepNext/>
              <w:jc w:val="center"/>
            </w:pPr>
            <w:r>
              <w:t>7,5</w:t>
            </w:r>
          </w:p>
        </w:tc>
      </w:tr>
      <w:tr w:rsidR="00741586" w:rsidRPr="00F37D4D" w14:paraId="6C1F681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513617D" w14:textId="77777777" w:rsidR="009C4600" w:rsidRPr="00F37D4D" w:rsidRDefault="00BE7CB1" w:rsidP="00F64BF9">
            <w:pPr>
              <w:pStyle w:val="TABLES"/>
              <w:keepNext/>
              <w:ind w:left="567" w:right="57"/>
            </w:pPr>
            <w:r>
              <w:t>Miera rizika</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38FCD75" w14:textId="77777777" w:rsidR="009C4600" w:rsidRPr="00F37D4D" w:rsidRDefault="00BE7CB1" w:rsidP="00F64BF9">
            <w:pPr>
              <w:pStyle w:val="TABLES"/>
              <w:keepNext/>
              <w:jc w:val="center"/>
            </w:pPr>
            <w:r>
              <w:t>0,518</w:t>
            </w:r>
          </w:p>
          <w:p w14:paraId="0EC9BB34" w14:textId="77777777" w:rsidR="009C4600" w:rsidRPr="00F37D4D" w:rsidRDefault="00BE7CB1" w:rsidP="00F64BF9">
            <w:pPr>
              <w:pStyle w:val="TABLES"/>
              <w:keepNext/>
              <w:jc w:val="center"/>
            </w:pPr>
            <w:r>
              <w:t>(p-hodnota &lt; 0,0001)</w:t>
            </w:r>
          </w:p>
        </w:tc>
      </w:tr>
      <w:tr w:rsidR="00741586" w:rsidRPr="00F37D4D" w14:paraId="3620DD55"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BEA49E0" w14:textId="77777777" w:rsidR="009C4600" w:rsidRPr="00F37D4D" w:rsidRDefault="00BE7CB1" w:rsidP="00F64BF9">
            <w:pPr>
              <w:pStyle w:val="TABLES"/>
              <w:keepNext/>
              <w:ind w:left="57" w:right="57"/>
            </w:pPr>
            <w:r>
              <w:t>Miera objektívnej odpovede</w:t>
            </w:r>
          </w:p>
        </w:tc>
      </w:tr>
      <w:tr w:rsidR="00741586" w:rsidRPr="00F37D4D" w14:paraId="55EA8B9D"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25D7E03F" w14:textId="77777777" w:rsidR="009C4600" w:rsidRPr="00F37D4D" w:rsidRDefault="00BE7CB1" w:rsidP="00F64BF9">
            <w:pPr>
              <w:pStyle w:val="TABLES"/>
              <w:keepNext/>
              <w:ind w:left="567" w:right="57"/>
            </w:pPr>
            <w:r>
              <w:t>Miera</w:t>
            </w:r>
          </w:p>
        </w:tc>
        <w:tc>
          <w:tcPr>
            <w:tcW w:w="1044" w:type="pct"/>
            <w:tcBorders>
              <w:top w:val="single" w:sz="4" w:space="0" w:color="000000"/>
              <w:left w:val="single" w:sz="4" w:space="0" w:color="000000"/>
              <w:bottom w:val="single" w:sz="4" w:space="0" w:color="000000"/>
              <w:right w:val="single" w:sz="4" w:space="0" w:color="000000"/>
            </w:tcBorders>
            <w:hideMark/>
          </w:tcPr>
          <w:p w14:paraId="65C2869C" w14:textId="77777777" w:rsidR="009C4600" w:rsidRPr="00F37D4D" w:rsidRDefault="00BE7CB1" w:rsidP="00F64BF9">
            <w:pPr>
              <w:pStyle w:val="TABLES"/>
              <w:keepNext/>
              <w:jc w:val="center"/>
            </w:pPr>
            <w:r>
              <w:t>8,6 %</w:t>
            </w:r>
          </w:p>
        </w:tc>
        <w:tc>
          <w:tcPr>
            <w:tcW w:w="2223" w:type="pct"/>
            <w:tcBorders>
              <w:top w:val="single" w:sz="4" w:space="0" w:color="000000"/>
              <w:left w:val="single" w:sz="4" w:space="0" w:color="000000"/>
              <w:bottom w:val="single" w:sz="4" w:space="0" w:color="000000"/>
              <w:right w:val="single" w:sz="4" w:space="0" w:color="000000"/>
            </w:tcBorders>
            <w:hideMark/>
          </w:tcPr>
          <w:p w14:paraId="72B2F193" w14:textId="77777777" w:rsidR="009C4600" w:rsidRPr="00F37D4D" w:rsidRDefault="00BE7CB1" w:rsidP="00F64BF9">
            <w:pPr>
              <w:pStyle w:val="TABLES"/>
              <w:keepNext/>
              <w:jc w:val="center"/>
            </w:pPr>
            <w:r>
              <w:t>22,2 %</w:t>
            </w:r>
          </w:p>
        </w:tc>
      </w:tr>
      <w:tr w:rsidR="00741586" w:rsidRPr="00F37D4D" w14:paraId="6A1D0C2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1FADF94" w14:textId="77777777" w:rsidR="009C4600" w:rsidRPr="00F37D4D"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305FE691" w14:textId="77777777" w:rsidR="009C4600" w:rsidRPr="00F37D4D" w:rsidRDefault="00BE7CB1" w:rsidP="00F64BF9">
            <w:pPr>
              <w:pStyle w:val="TABLES"/>
              <w:keepNext/>
              <w:jc w:val="center"/>
            </w:pPr>
            <w:r>
              <w:t>(p-hodnota &lt; 0,0001)</w:t>
            </w:r>
          </w:p>
        </w:tc>
      </w:tr>
    </w:tbl>
    <w:p w14:paraId="77695A29" w14:textId="77777777" w:rsidR="009C4600" w:rsidRPr="00F67844" w:rsidRDefault="00BE7CB1" w:rsidP="00F64BF9">
      <w:pPr>
        <w:keepNext/>
        <w:tabs>
          <w:tab w:val="clear" w:pos="567"/>
          <w:tab w:val="left" w:pos="284"/>
        </w:tabs>
        <w:spacing w:line="240" w:lineRule="auto"/>
        <w:ind w:left="284" w:hanging="284"/>
        <w:rPr>
          <w:sz w:val="20"/>
        </w:rPr>
      </w:pPr>
      <w:r>
        <w:rPr>
          <w:sz w:val="20"/>
          <w:vertAlign w:val="superscript"/>
        </w:rPr>
        <w:t>a</w:t>
      </w:r>
      <w:r>
        <w:rPr>
          <w:sz w:val="20"/>
        </w:rPr>
        <w:t xml:space="preserve"> 10 mg/kg raz za 2 týždne.</w:t>
      </w:r>
    </w:p>
    <w:p w14:paraId="1FB4D719" w14:textId="77777777" w:rsidR="009C4600" w:rsidRPr="00F67844" w:rsidRDefault="00BE7CB1" w:rsidP="00F64BF9">
      <w:pPr>
        <w:keepNext/>
        <w:tabs>
          <w:tab w:val="clear" w:pos="567"/>
          <w:tab w:val="left" w:pos="284"/>
        </w:tabs>
        <w:spacing w:line="240" w:lineRule="auto"/>
        <w:ind w:left="284" w:hanging="284"/>
        <w:rPr>
          <w:sz w:val="20"/>
        </w:rPr>
      </w:pPr>
      <w:r>
        <w:rPr>
          <w:sz w:val="20"/>
          <w:vertAlign w:val="superscript"/>
        </w:rPr>
        <w:t>b</w:t>
      </w:r>
      <w:r w:rsidR="00EB0B49">
        <w:rPr>
          <w:sz w:val="20"/>
          <w:vertAlign w:val="superscript"/>
        </w:rPr>
        <w:t xml:space="preserve"> </w:t>
      </w:r>
      <w:r>
        <w:rPr>
          <w:sz w:val="20"/>
        </w:rPr>
        <w:t>Vzhľadom na kontrolnú skupinu.</w:t>
      </w:r>
    </w:p>
    <w:p w14:paraId="77ACABD3" w14:textId="77777777" w:rsidR="009C4600" w:rsidRPr="00F37D4D" w:rsidRDefault="009C4600" w:rsidP="00F64BF9">
      <w:pPr>
        <w:spacing w:line="240" w:lineRule="auto"/>
        <w:rPr>
          <w:szCs w:val="22"/>
        </w:rPr>
      </w:pPr>
    </w:p>
    <w:p w14:paraId="3648C460" w14:textId="77777777" w:rsidR="009C4600" w:rsidRPr="00F37D4D" w:rsidRDefault="00BE7CB1" w:rsidP="00F64BF9">
      <w:pPr>
        <w:spacing w:line="240" w:lineRule="auto"/>
        <w:rPr>
          <w:szCs w:val="22"/>
        </w:rPr>
      </w:pPr>
      <w:r>
        <w:lastRenderedPageBreak/>
        <w:t>Nezistil sa žiadny významný rozdiel v dĺžke celkového prežívania medzi pacientmi, ktorí dostávali bevacizumab v monoterapii a pacientmi liečenými s FOLFOX-4. Prežívanie bez progresie ochorenia a miera objektívnej odpovede boli horšie v skupine pacientov liečených bevacizumabom v monoterapii v porovnaní so skupinou pacientov liečených s FOLFOX-4.</w:t>
      </w:r>
    </w:p>
    <w:p w14:paraId="20A26122" w14:textId="77777777" w:rsidR="009C4600" w:rsidRPr="00F37D4D" w:rsidRDefault="009C4600" w:rsidP="00F64BF9">
      <w:pPr>
        <w:spacing w:line="240" w:lineRule="auto"/>
        <w:rPr>
          <w:i/>
          <w:iCs/>
          <w:szCs w:val="22"/>
        </w:rPr>
      </w:pPr>
    </w:p>
    <w:p w14:paraId="1075090E" w14:textId="77777777" w:rsidR="009C4600" w:rsidRDefault="00BE7CB1" w:rsidP="00F64BF9">
      <w:pPr>
        <w:keepNext/>
        <w:spacing w:line="240" w:lineRule="auto"/>
        <w:rPr>
          <w:i/>
          <w:iCs/>
          <w:szCs w:val="22"/>
        </w:rPr>
      </w:pPr>
      <w:r>
        <w:rPr>
          <w:i/>
        </w:rPr>
        <w:t>ML18147</w:t>
      </w:r>
    </w:p>
    <w:p w14:paraId="74E91E4C" w14:textId="77777777" w:rsidR="005F0159" w:rsidRPr="00F67844" w:rsidRDefault="005F0159" w:rsidP="00F64BF9">
      <w:pPr>
        <w:keepNext/>
        <w:spacing w:line="240" w:lineRule="auto"/>
        <w:rPr>
          <w:i/>
          <w:iCs/>
          <w:szCs w:val="22"/>
        </w:rPr>
      </w:pPr>
    </w:p>
    <w:p w14:paraId="2E3C3D00" w14:textId="77777777" w:rsidR="009C4600" w:rsidRPr="00F37D4D" w:rsidRDefault="00BE7CB1" w:rsidP="00F64BF9">
      <w:pPr>
        <w:spacing w:line="240" w:lineRule="auto"/>
        <w:rPr>
          <w:szCs w:val="22"/>
        </w:rPr>
      </w:pPr>
      <w:r>
        <w:t>Toto skúšanie bolo randomizované, kontrolované, otvorené skúšanie III. fázy skúmajúce bevacizumab v dávke 5,0 mg/kg podávanej raz za 2 týždne alebo v dávke 7,5 mg/kg podávanej raz za 3 týždne v kombinácii s chemoterapiou obsahujúcou fluórpyrimidín oproti samotnej chemoterapii obsahujúcej fluórpyrimidín u pacientov s mCRC, ktorí progredovali po chemoterapii obsahujúcej bevacizumab v prvej línii.</w:t>
      </w:r>
    </w:p>
    <w:p w14:paraId="57FCF859" w14:textId="77777777" w:rsidR="009C4600" w:rsidRPr="00F37D4D" w:rsidRDefault="009C4600" w:rsidP="00F64BF9">
      <w:pPr>
        <w:spacing w:line="240" w:lineRule="auto"/>
        <w:rPr>
          <w:szCs w:val="22"/>
        </w:rPr>
      </w:pPr>
    </w:p>
    <w:p w14:paraId="1ED055E3" w14:textId="77777777" w:rsidR="009C4600" w:rsidRPr="00F37D4D" w:rsidRDefault="00BE7CB1" w:rsidP="00F64BF9">
      <w:pPr>
        <w:spacing w:line="240" w:lineRule="auto"/>
        <w:rPr>
          <w:szCs w:val="22"/>
        </w:rPr>
      </w:pPr>
      <w:r>
        <w:t>Pacienti s histologicky potvrdeným mCRC a s progresiou ochorenia boli randomizovaní v pomere 1:1 v priebehu 3 mesiacov po ukončení liečby bevacizumabom v prvej línii, aby dostávali chemoterapiu obsahujúcu fluórpyrimidín/oxaliplatinu alebo fluórpyrimidín/irinotekán (chemoterapia bola zmenená v závislosti od chemoterapie v prvej línii) s bevacizumabom alebo bez neho. Liečba sa podávala až do progresie ochorenia alebo do neprijateľnej toxicity. Primárnym meradlom výsledkov bolo celkové prežívanie definované ako čas trvajúci od randomizácie do úmrtia z akejkoľvek príčiny.</w:t>
      </w:r>
    </w:p>
    <w:p w14:paraId="397B99FE" w14:textId="77777777" w:rsidR="009C4600" w:rsidRPr="00F37D4D" w:rsidRDefault="009C4600" w:rsidP="00F64BF9">
      <w:pPr>
        <w:spacing w:line="240" w:lineRule="auto"/>
        <w:rPr>
          <w:szCs w:val="22"/>
        </w:rPr>
      </w:pPr>
    </w:p>
    <w:p w14:paraId="55CF6569" w14:textId="77777777" w:rsidR="009C4600" w:rsidRPr="00F37D4D" w:rsidRDefault="00BE7CB1" w:rsidP="00F64BF9">
      <w:pPr>
        <w:spacing w:line="240" w:lineRule="auto"/>
        <w:rPr>
          <w:szCs w:val="22"/>
        </w:rPr>
      </w:pPr>
      <w:r>
        <w:t>Randomizovaných bolo celkovo 820 pacientov. Pridanie bevacizumabu k chemoterapii obsahujúcej fluórpyrimidín viedlo k štatisticky významnému predĺženiu prežívania u pacientov s mCRC, ktorí progredovali po liečbe prvej línie obsahujúcej bevacizumab (ITT = 819) (pozri tabuľku 9).</w:t>
      </w:r>
    </w:p>
    <w:p w14:paraId="10725992" w14:textId="77777777" w:rsidR="009C4600" w:rsidRPr="00F37D4D" w:rsidRDefault="009C4600" w:rsidP="00F64BF9">
      <w:pPr>
        <w:spacing w:line="240" w:lineRule="auto"/>
        <w:rPr>
          <w:szCs w:val="22"/>
        </w:rPr>
      </w:pPr>
    </w:p>
    <w:p w14:paraId="0DE2E326" w14:textId="77777777" w:rsidR="009C4600" w:rsidRPr="00F67844" w:rsidRDefault="00BE7CB1" w:rsidP="00F64BF9">
      <w:pPr>
        <w:keepNext/>
        <w:spacing w:line="240" w:lineRule="auto"/>
        <w:rPr>
          <w:b/>
          <w:bCs/>
        </w:rPr>
      </w:pPr>
      <w:r>
        <w:rPr>
          <w:b/>
        </w:rPr>
        <w:t>Tabuľka 9. Výsledky účinnosti zo skúšania ML18147 (ITT populácia)</w:t>
      </w:r>
    </w:p>
    <w:p w14:paraId="5430E99E"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DE7995" w14:paraId="61A18D2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37F30CE" w14:textId="77777777" w:rsidR="009C4600" w:rsidRPr="00DE7995" w:rsidRDefault="009C4600" w:rsidP="00F64BF9">
            <w:pPr>
              <w:pStyle w:val="TABLES"/>
              <w:keepNext/>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718049F1" w14:textId="77777777" w:rsidR="009C4600" w:rsidRPr="00DE7995" w:rsidRDefault="00BE7CB1" w:rsidP="00F64BF9">
            <w:pPr>
              <w:pStyle w:val="TABLES"/>
              <w:keepNext/>
              <w:ind w:left="57" w:right="57"/>
              <w:jc w:val="center"/>
              <w:rPr>
                <w:b/>
                <w:bCs/>
              </w:rPr>
            </w:pPr>
            <w:r>
              <w:rPr>
                <w:b/>
              </w:rPr>
              <w:t>ML18147</w:t>
            </w:r>
          </w:p>
        </w:tc>
      </w:tr>
      <w:tr w:rsidR="00741586" w:rsidRPr="00DE7995" w14:paraId="3CBFDB46"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DB1BD1C" w14:textId="77777777" w:rsidR="009C4600" w:rsidRPr="00DE7995" w:rsidRDefault="009C4600" w:rsidP="00F64BF9">
            <w:pPr>
              <w:pStyle w:val="TABLES"/>
              <w:keepNext/>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6B092C4" w14:textId="77777777" w:rsidR="009C4600" w:rsidRPr="00DE7995" w:rsidRDefault="00BE7CB1" w:rsidP="00F64BF9">
            <w:pPr>
              <w:pStyle w:val="TABLES"/>
              <w:keepNext/>
              <w:ind w:left="57" w:right="57"/>
              <w:jc w:val="center"/>
              <w:rPr>
                <w:b/>
                <w:bCs/>
              </w:rPr>
            </w:pPr>
            <w:r>
              <w:rPr>
                <w:b/>
              </w:rPr>
              <w:t>chemoterapia obsahujúca fluórpyrimidín/irinotekán alebo fluórpyrimidín/oxaliplatinu</w:t>
            </w:r>
          </w:p>
        </w:tc>
        <w:tc>
          <w:tcPr>
            <w:tcW w:w="1875" w:type="pct"/>
            <w:tcBorders>
              <w:top w:val="single" w:sz="4" w:space="0" w:color="000000"/>
              <w:left w:val="single" w:sz="4" w:space="0" w:color="000000"/>
              <w:bottom w:val="single" w:sz="4" w:space="0" w:color="000000"/>
              <w:right w:val="single" w:sz="4" w:space="0" w:color="000000"/>
            </w:tcBorders>
            <w:hideMark/>
          </w:tcPr>
          <w:p w14:paraId="6EFB60DC" w14:textId="77777777" w:rsidR="009C4600" w:rsidRPr="00DE7995" w:rsidRDefault="00BE7CB1" w:rsidP="00F64BF9">
            <w:pPr>
              <w:pStyle w:val="TABLES"/>
              <w:keepNext/>
              <w:ind w:left="57" w:right="57"/>
              <w:jc w:val="center"/>
              <w:rPr>
                <w:b/>
                <w:bCs/>
              </w:rPr>
            </w:pPr>
            <w:r>
              <w:rPr>
                <w:b/>
              </w:rPr>
              <w:t>chemoterapia obsahujúca fluórpyrimidín/irinotekán alebo fluórpyrimidín/oxaliplatinu + bevacizumab</w:t>
            </w:r>
            <w:r w:rsidR="00894E45" w:rsidRPr="00DE7995">
              <w:rPr>
                <w:b/>
                <w:bCs/>
                <w:vertAlign w:val="superscript"/>
              </w:rPr>
              <w:t>a</w:t>
            </w:r>
          </w:p>
        </w:tc>
      </w:tr>
      <w:tr w:rsidR="00741586" w:rsidRPr="00F37D4D" w14:paraId="1698468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74BCFF1" w14:textId="77777777" w:rsidR="009C4600" w:rsidRPr="00F37D4D" w:rsidRDefault="00BE7CB1" w:rsidP="00F64BF9">
            <w:pPr>
              <w:pStyle w:val="TABLES"/>
              <w:keepNext/>
              <w:ind w:left="57" w:right="57"/>
            </w:pPr>
            <w:r>
              <w:t>Počet pacientov</w:t>
            </w:r>
          </w:p>
        </w:tc>
        <w:tc>
          <w:tcPr>
            <w:tcW w:w="1875" w:type="pct"/>
            <w:tcBorders>
              <w:top w:val="single" w:sz="4" w:space="0" w:color="000000"/>
              <w:left w:val="single" w:sz="4" w:space="0" w:color="000000"/>
              <w:bottom w:val="single" w:sz="4" w:space="0" w:color="000000"/>
              <w:right w:val="single" w:sz="4" w:space="0" w:color="000000"/>
            </w:tcBorders>
            <w:hideMark/>
          </w:tcPr>
          <w:p w14:paraId="22751D48" w14:textId="77777777" w:rsidR="009C4600" w:rsidRPr="00F37D4D" w:rsidRDefault="00BE7CB1" w:rsidP="00F64BF9">
            <w:pPr>
              <w:pStyle w:val="TABLES"/>
              <w:keepNext/>
              <w:jc w:val="center"/>
            </w:pPr>
            <w:r>
              <w:t>410</w:t>
            </w:r>
          </w:p>
        </w:tc>
        <w:tc>
          <w:tcPr>
            <w:tcW w:w="1875" w:type="pct"/>
            <w:tcBorders>
              <w:top w:val="single" w:sz="4" w:space="0" w:color="000000"/>
              <w:left w:val="single" w:sz="4" w:space="0" w:color="000000"/>
              <w:bottom w:val="single" w:sz="4" w:space="0" w:color="000000"/>
              <w:right w:val="single" w:sz="4" w:space="0" w:color="000000"/>
            </w:tcBorders>
            <w:hideMark/>
          </w:tcPr>
          <w:p w14:paraId="01F106A3" w14:textId="77777777" w:rsidR="009C4600" w:rsidRPr="00F37D4D" w:rsidRDefault="00BE7CB1" w:rsidP="00F64BF9">
            <w:pPr>
              <w:pStyle w:val="TABLES"/>
              <w:keepNext/>
              <w:jc w:val="center"/>
            </w:pPr>
            <w:r>
              <w:t>409</w:t>
            </w:r>
          </w:p>
        </w:tc>
      </w:tr>
      <w:tr w:rsidR="00741586" w:rsidRPr="00F37D4D" w14:paraId="08785F5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AD65C12" w14:textId="77777777" w:rsidR="009C4600" w:rsidRPr="00F37D4D" w:rsidRDefault="00BE7CB1" w:rsidP="00F64BF9">
            <w:pPr>
              <w:pStyle w:val="TABLES"/>
              <w:keepNext/>
              <w:ind w:left="57" w:right="57"/>
            </w:pPr>
            <w:r>
              <w:t>Celkové prežívanie</w:t>
            </w:r>
          </w:p>
        </w:tc>
        <w:tc>
          <w:tcPr>
            <w:tcW w:w="3750" w:type="pct"/>
            <w:gridSpan w:val="2"/>
            <w:tcBorders>
              <w:top w:val="single" w:sz="4" w:space="0" w:color="000000"/>
              <w:left w:val="single" w:sz="4" w:space="0" w:color="000000"/>
              <w:bottom w:val="single" w:sz="4" w:space="0" w:color="000000"/>
              <w:right w:val="single" w:sz="4" w:space="0" w:color="000000"/>
            </w:tcBorders>
          </w:tcPr>
          <w:p w14:paraId="3C9703C5" w14:textId="77777777" w:rsidR="009C4600" w:rsidRPr="00F37D4D" w:rsidRDefault="009C4600" w:rsidP="00F64BF9">
            <w:pPr>
              <w:pStyle w:val="TABLES"/>
              <w:keepNext/>
              <w:jc w:val="center"/>
            </w:pPr>
          </w:p>
        </w:tc>
      </w:tr>
      <w:tr w:rsidR="00741586" w:rsidRPr="00F37D4D" w14:paraId="49CDB3F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CEDED4A" w14:textId="77777777" w:rsidR="009C4600" w:rsidRPr="00F37D4D" w:rsidRDefault="00BE7CB1" w:rsidP="00F64BF9">
            <w:pPr>
              <w:pStyle w:val="TABLES"/>
              <w:keepNext/>
              <w:ind w:left="567" w:right="57"/>
            </w:pPr>
            <w:r>
              <w:t>Medián času (mesiace)</w:t>
            </w:r>
          </w:p>
        </w:tc>
        <w:tc>
          <w:tcPr>
            <w:tcW w:w="1875" w:type="pct"/>
            <w:tcBorders>
              <w:top w:val="single" w:sz="4" w:space="0" w:color="000000"/>
              <w:left w:val="single" w:sz="4" w:space="0" w:color="000000"/>
              <w:bottom w:val="single" w:sz="4" w:space="0" w:color="000000"/>
              <w:right w:val="single" w:sz="4" w:space="0" w:color="000000"/>
            </w:tcBorders>
            <w:hideMark/>
          </w:tcPr>
          <w:p w14:paraId="1EB4E635" w14:textId="77777777" w:rsidR="009C4600" w:rsidRPr="00F37D4D" w:rsidRDefault="00BE7CB1" w:rsidP="00F64BF9">
            <w:pPr>
              <w:pStyle w:val="TABLES"/>
              <w:keepNext/>
              <w:jc w:val="center"/>
            </w:pPr>
            <w:r>
              <w:t>9,8</w:t>
            </w:r>
          </w:p>
        </w:tc>
        <w:tc>
          <w:tcPr>
            <w:tcW w:w="1875" w:type="pct"/>
            <w:tcBorders>
              <w:top w:val="single" w:sz="4" w:space="0" w:color="000000"/>
              <w:left w:val="single" w:sz="4" w:space="0" w:color="000000"/>
              <w:bottom w:val="single" w:sz="4" w:space="0" w:color="000000"/>
              <w:right w:val="single" w:sz="4" w:space="0" w:color="000000"/>
            </w:tcBorders>
            <w:hideMark/>
          </w:tcPr>
          <w:p w14:paraId="1CF04D2F" w14:textId="77777777" w:rsidR="009C4600" w:rsidRPr="00F37D4D" w:rsidRDefault="00BE7CB1" w:rsidP="00F64BF9">
            <w:pPr>
              <w:pStyle w:val="TABLES"/>
              <w:keepNext/>
              <w:jc w:val="center"/>
            </w:pPr>
            <w:r>
              <w:t>11,2</w:t>
            </w:r>
          </w:p>
        </w:tc>
      </w:tr>
      <w:tr w:rsidR="00741586" w:rsidRPr="00F37D4D" w14:paraId="581B61F8"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737D7419" w14:textId="77777777" w:rsidR="009C4600" w:rsidRPr="00F37D4D" w:rsidRDefault="00BE7CB1" w:rsidP="00F64BF9">
            <w:pPr>
              <w:pStyle w:val="TABLES"/>
              <w:keepNext/>
              <w:ind w:left="567" w:right="57"/>
            </w:pPr>
            <w:r>
              <w:t>Miera rizika (95 </w:t>
            </w:r>
            <w:r w:rsidRPr="00596761">
              <w:t>% interval spoľahlivosti</w:t>
            </w:r>
            <w:r>
              <w:t>)</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EDBE8D5" w14:textId="77777777" w:rsidR="009C4600" w:rsidRPr="00F37D4D" w:rsidRDefault="00BE7CB1" w:rsidP="00F64BF9">
            <w:pPr>
              <w:pStyle w:val="TABLES"/>
              <w:keepNext/>
              <w:jc w:val="center"/>
            </w:pPr>
            <w:r>
              <w:t>0,81 (0,69, 0,94)</w:t>
            </w:r>
          </w:p>
          <w:p w14:paraId="457FEFB2" w14:textId="77777777" w:rsidR="009C4600" w:rsidRPr="00F37D4D" w:rsidRDefault="00BE7CB1" w:rsidP="00F64BF9">
            <w:pPr>
              <w:pStyle w:val="TABLES"/>
              <w:keepNext/>
              <w:jc w:val="center"/>
            </w:pPr>
            <w:r>
              <w:t>(p-hodnota = 0,0062)</w:t>
            </w:r>
          </w:p>
        </w:tc>
      </w:tr>
      <w:tr w:rsidR="00741586" w:rsidRPr="00F37D4D" w14:paraId="32A52A0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D8A4CEC" w14:textId="77777777" w:rsidR="009C4600" w:rsidRPr="00F37D4D" w:rsidRDefault="00BE7CB1" w:rsidP="00F64BF9">
            <w:pPr>
              <w:pStyle w:val="TABLES"/>
              <w:keepNext/>
              <w:ind w:left="57" w:right="57"/>
            </w:pPr>
            <w:r>
              <w:t>Prežívanie bez progresie</w:t>
            </w:r>
          </w:p>
        </w:tc>
        <w:tc>
          <w:tcPr>
            <w:tcW w:w="3750" w:type="pct"/>
            <w:gridSpan w:val="2"/>
            <w:tcBorders>
              <w:top w:val="single" w:sz="4" w:space="0" w:color="000000"/>
              <w:left w:val="single" w:sz="4" w:space="0" w:color="000000"/>
              <w:bottom w:val="single" w:sz="4" w:space="0" w:color="000000"/>
              <w:right w:val="single" w:sz="4" w:space="0" w:color="000000"/>
            </w:tcBorders>
          </w:tcPr>
          <w:p w14:paraId="2DB5CDCE" w14:textId="77777777" w:rsidR="009C4600" w:rsidRPr="00F37D4D" w:rsidRDefault="009C4600" w:rsidP="00F64BF9">
            <w:pPr>
              <w:pStyle w:val="TABLES"/>
              <w:keepNext/>
              <w:jc w:val="center"/>
            </w:pPr>
          </w:p>
        </w:tc>
      </w:tr>
      <w:tr w:rsidR="00741586" w:rsidRPr="00F37D4D" w14:paraId="1038A84D"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54A58B7" w14:textId="77777777" w:rsidR="009C4600" w:rsidRPr="00F37D4D" w:rsidRDefault="00BE7CB1" w:rsidP="00F64BF9">
            <w:pPr>
              <w:pStyle w:val="TABLES"/>
              <w:keepNext/>
              <w:ind w:left="567" w:right="57"/>
            </w:pPr>
            <w:r>
              <w:t>Medián času (mesiace)</w:t>
            </w:r>
          </w:p>
        </w:tc>
        <w:tc>
          <w:tcPr>
            <w:tcW w:w="1875" w:type="pct"/>
            <w:tcBorders>
              <w:top w:val="single" w:sz="4" w:space="0" w:color="000000"/>
              <w:left w:val="single" w:sz="4" w:space="0" w:color="000000"/>
              <w:bottom w:val="single" w:sz="4" w:space="0" w:color="000000"/>
              <w:right w:val="single" w:sz="4" w:space="0" w:color="000000"/>
            </w:tcBorders>
            <w:hideMark/>
          </w:tcPr>
          <w:p w14:paraId="103A15DD" w14:textId="77777777" w:rsidR="009C4600" w:rsidRPr="00F37D4D" w:rsidRDefault="00BE7CB1" w:rsidP="00F64BF9">
            <w:pPr>
              <w:pStyle w:val="TABLES"/>
              <w:keepNext/>
              <w:jc w:val="center"/>
            </w:pPr>
            <w:r>
              <w:t>4,1</w:t>
            </w:r>
          </w:p>
        </w:tc>
        <w:tc>
          <w:tcPr>
            <w:tcW w:w="1875" w:type="pct"/>
            <w:tcBorders>
              <w:top w:val="single" w:sz="4" w:space="0" w:color="000000"/>
              <w:left w:val="single" w:sz="4" w:space="0" w:color="000000"/>
              <w:bottom w:val="single" w:sz="4" w:space="0" w:color="000000"/>
              <w:right w:val="single" w:sz="4" w:space="0" w:color="000000"/>
            </w:tcBorders>
            <w:hideMark/>
          </w:tcPr>
          <w:p w14:paraId="1F65674D" w14:textId="77777777" w:rsidR="009C4600" w:rsidRPr="00F37D4D" w:rsidRDefault="00BE7CB1" w:rsidP="00F64BF9">
            <w:pPr>
              <w:pStyle w:val="TABLES"/>
              <w:keepNext/>
              <w:jc w:val="center"/>
            </w:pPr>
            <w:r>
              <w:t>5,7</w:t>
            </w:r>
          </w:p>
        </w:tc>
      </w:tr>
      <w:tr w:rsidR="00741586" w:rsidRPr="00F37D4D" w14:paraId="2CFA6AFF"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89D55B5" w14:textId="77777777" w:rsidR="009C4600" w:rsidRPr="00F37D4D" w:rsidRDefault="00BE7CB1" w:rsidP="00F64BF9">
            <w:pPr>
              <w:pStyle w:val="TABLES"/>
              <w:keepNext/>
              <w:ind w:left="567" w:right="57"/>
            </w:pPr>
            <w:r>
              <w:t>Miera rizika (95 % interval spoľahlivosti)</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76EDE262" w14:textId="77777777" w:rsidR="009C4600" w:rsidRPr="00F37D4D" w:rsidRDefault="00BE7CB1" w:rsidP="00F64BF9">
            <w:pPr>
              <w:pStyle w:val="TABLES"/>
              <w:keepNext/>
              <w:jc w:val="center"/>
            </w:pPr>
            <w:r>
              <w:t>0,68 (0,59, 0,78)</w:t>
            </w:r>
          </w:p>
          <w:p w14:paraId="1F12BD71" w14:textId="77777777" w:rsidR="009C4600" w:rsidRPr="00F37D4D" w:rsidRDefault="00BE7CB1" w:rsidP="00F64BF9">
            <w:pPr>
              <w:pStyle w:val="TABLES"/>
              <w:keepNext/>
              <w:jc w:val="center"/>
            </w:pPr>
            <w:r>
              <w:t>(p-hodnota &lt; 0,0001)</w:t>
            </w:r>
          </w:p>
        </w:tc>
      </w:tr>
      <w:tr w:rsidR="00741586" w:rsidRPr="00F37D4D" w14:paraId="3F8AC266"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1DE79566" w14:textId="77777777" w:rsidR="009C4600" w:rsidRPr="00F37D4D" w:rsidRDefault="00BE7CB1" w:rsidP="00F64BF9">
            <w:pPr>
              <w:pStyle w:val="TABLES"/>
              <w:keepNext/>
              <w:ind w:left="57" w:right="57"/>
            </w:pPr>
            <w:r>
              <w:t>Miera objektívnej odpovede</w:t>
            </w:r>
          </w:p>
        </w:tc>
        <w:tc>
          <w:tcPr>
            <w:tcW w:w="3750" w:type="pct"/>
            <w:gridSpan w:val="2"/>
            <w:tcBorders>
              <w:top w:val="single" w:sz="4" w:space="0" w:color="000000"/>
              <w:left w:val="single" w:sz="4" w:space="0" w:color="000000"/>
              <w:bottom w:val="single" w:sz="4" w:space="0" w:color="000000"/>
              <w:right w:val="single" w:sz="4" w:space="0" w:color="000000"/>
            </w:tcBorders>
          </w:tcPr>
          <w:p w14:paraId="585B3EF3" w14:textId="77777777" w:rsidR="009C4600" w:rsidRPr="00F37D4D" w:rsidRDefault="009C4600" w:rsidP="00F64BF9">
            <w:pPr>
              <w:pStyle w:val="TABLES"/>
              <w:keepNext/>
              <w:jc w:val="center"/>
            </w:pPr>
          </w:p>
        </w:tc>
      </w:tr>
      <w:tr w:rsidR="00741586" w:rsidRPr="00F37D4D" w14:paraId="4FFEBC2F"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9509FE4" w14:textId="77777777" w:rsidR="009C4600" w:rsidRPr="00F37D4D" w:rsidRDefault="00BE7CB1" w:rsidP="00F64BF9">
            <w:pPr>
              <w:pStyle w:val="TABLES"/>
              <w:keepNext/>
              <w:ind w:left="567" w:right="57"/>
            </w:pPr>
            <w:r>
              <w:t>Pacienti zahrnutí do analýzy</w:t>
            </w:r>
          </w:p>
        </w:tc>
        <w:tc>
          <w:tcPr>
            <w:tcW w:w="1875" w:type="pct"/>
            <w:tcBorders>
              <w:top w:val="single" w:sz="4" w:space="0" w:color="000000"/>
              <w:left w:val="single" w:sz="4" w:space="0" w:color="000000"/>
              <w:bottom w:val="single" w:sz="4" w:space="0" w:color="000000"/>
              <w:right w:val="single" w:sz="4" w:space="0" w:color="000000"/>
            </w:tcBorders>
            <w:hideMark/>
          </w:tcPr>
          <w:p w14:paraId="3512C9B1" w14:textId="77777777" w:rsidR="009C4600" w:rsidRPr="00F37D4D" w:rsidRDefault="00BE7CB1" w:rsidP="00F64BF9">
            <w:pPr>
              <w:pStyle w:val="TABLES"/>
              <w:keepNext/>
              <w:jc w:val="center"/>
            </w:pPr>
            <w:r>
              <w:t>406</w:t>
            </w:r>
          </w:p>
        </w:tc>
        <w:tc>
          <w:tcPr>
            <w:tcW w:w="1875" w:type="pct"/>
            <w:tcBorders>
              <w:top w:val="single" w:sz="4" w:space="0" w:color="000000"/>
              <w:left w:val="single" w:sz="4" w:space="0" w:color="000000"/>
              <w:bottom w:val="single" w:sz="4" w:space="0" w:color="000000"/>
              <w:right w:val="single" w:sz="4" w:space="0" w:color="000000"/>
            </w:tcBorders>
            <w:hideMark/>
          </w:tcPr>
          <w:p w14:paraId="2CD0594D" w14:textId="77777777" w:rsidR="009C4600" w:rsidRPr="00F37D4D" w:rsidRDefault="00BE7CB1" w:rsidP="00F64BF9">
            <w:pPr>
              <w:pStyle w:val="TABLES"/>
              <w:keepNext/>
              <w:jc w:val="center"/>
            </w:pPr>
            <w:r>
              <w:t>404</w:t>
            </w:r>
          </w:p>
        </w:tc>
      </w:tr>
      <w:tr w:rsidR="00741586" w:rsidRPr="00F37D4D" w14:paraId="17F07BD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7A862F69" w14:textId="77777777" w:rsidR="009C4600" w:rsidRPr="00F37D4D" w:rsidRDefault="00BE7CB1" w:rsidP="00F64BF9">
            <w:pPr>
              <w:pStyle w:val="TABLES"/>
              <w:keepNext/>
              <w:ind w:left="567" w:right="57"/>
            </w:pPr>
            <w:r>
              <w:t>Miera</w:t>
            </w:r>
          </w:p>
        </w:tc>
        <w:tc>
          <w:tcPr>
            <w:tcW w:w="1875" w:type="pct"/>
            <w:tcBorders>
              <w:top w:val="single" w:sz="4" w:space="0" w:color="000000"/>
              <w:left w:val="single" w:sz="4" w:space="0" w:color="000000"/>
              <w:bottom w:val="single" w:sz="4" w:space="0" w:color="000000"/>
              <w:right w:val="single" w:sz="4" w:space="0" w:color="000000"/>
            </w:tcBorders>
            <w:hideMark/>
          </w:tcPr>
          <w:p w14:paraId="08D5D545" w14:textId="77777777" w:rsidR="009C4600" w:rsidRPr="00F37D4D" w:rsidRDefault="00BE7CB1" w:rsidP="00F64BF9">
            <w:pPr>
              <w:pStyle w:val="TABLES"/>
              <w:keepNext/>
              <w:jc w:val="center"/>
            </w:pPr>
            <w:r>
              <w:t>3,9 %</w:t>
            </w:r>
          </w:p>
        </w:tc>
        <w:tc>
          <w:tcPr>
            <w:tcW w:w="1875" w:type="pct"/>
            <w:tcBorders>
              <w:top w:val="single" w:sz="4" w:space="0" w:color="000000"/>
              <w:left w:val="single" w:sz="4" w:space="0" w:color="000000"/>
              <w:bottom w:val="single" w:sz="4" w:space="0" w:color="000000"/>
              <w:right w:val="single" w:sz="4" w:space="0" w:color="000000"/>
            </w:tcBorders>
            <w:hideMark/>
          </w:tcPr>
          <w:p w14:paraId="0E6370F1" w14:textId="77777777" w:rsidR="009C4600" w:rsidRPr="00F37D4D" w:rsidRDefault="00BE7CB1" w:rsidP="00F64BF9">
            <w:pPr>
              <w:pStyle w:val="TABLES"/>
              <w:keepNext/>
              <w:jc w:val="center"/>
            </w:pPr>
            <w:r>
              <w:t>5,4 %</w:t>
            </w:r>
          </w:p>
        </w:tc>
      </w:tr>
      <w:tr w:rsidR="00741586" w:rsidRPr="00F37D4D" w14:paraId="7BE09AB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FCC6422" w14:textId="77777777" w:rsidR="009C4600" w:rsidRPr="00F37D4D" w:rsidRDefault="009C4600" w:rsidP="00F64BF9">
            <w:pPr>
              <w:pStyle w:val="TABLES"/>
              <w:keepNext/>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F2A7BEA" w14:textId="77777777" w:rsidR="009C4600" w:rsidRPr="00F37D4D" w:rsidRDefault="00BE7CB1" w:rsidP="00F64BF9">
            <w:pPr>
              <w:pStyle w:val="TABLES"/>
              <w:keepNext/>
              <w:jc w:val="center"/>
            </w:pPr>
            <w:r>
              <w:t>(p-hodnota &lt; 0,3113)</w:t>
            </w:r>
          </w:p>
        </w:tc>
      </w:tr>
    </w:tbl>
    <w:p w14:paraId="729D69F3" w14:textId="77777777" w:rsidR="009C4600" w:rsidRPr="00F67844" w:rsidRDefault="00BE7CB1" w:rsidP="00F64BF9">
      <w:pPr>
        <w:keepNext/>
        <w:tabs>
          <w:tab w:val="clear" w:pos="567"/>
          <w:tab w:val="left" w:pos="284"/>
        </w:tabs>
        <w:spacing w:line="240" w:lineRule="auto"/>
        <w:ind w:left="284" w:hanging="284"/>
        <w:rPr>
          <w:sz w:val="20"/>
        </w:rPr>
      </w:pPr>
      <w:r>
        <w:rPr>
          <w:sz w:val="20"/>
          <w:vertAlign w:val="superscript"/>
        </w:rPr>
        <w:t>a</w:t>
      </w:r>
      <w:r>
        <w:rPr>
          <w:sz w:val="20"/>
        </w:rPr>
        <w:t xml:space="preserve"> 5,0 mg/kg raz za 2 týždne alebo 7,5 mg/kg raz za 3 týždne.</w:t>
      </w:r>
    </w:p>
    <w:p w14:paraId="1BF68418" w14:textId="77777777" w:rsidR="009C4600" w:rsidRPr="00F37D4D" w:rsidRDefault="009C4600" w:rsidP="00F64BF9">
      <w:pPr>
        <w:autoSpaceDE w:val="0"/>
        <w:autoSpaceDN w:val="0"/>
        <w:adjustRightInd w:val="0"/>
        <w:spacing w:line="240" w:lineRule="auto"/>
        <w:rPr>
          <w:szCs w:val="22"/>
        </w:rPr>
      </w:pPr>
    </w:p>
    <w:p w14:paraId="5B364716" w14:textId="77777777" w:rsidR="009C4600" w:rsidRPr="00F933B6" w:rsidRDefault="0011215F" w:rsidP="00F64BF9">
      <w:pPr>
        <w:tabs>
          <w:tab w:val="clear" w:pos="567"/>
          <w:tab w:val="left" w:pos="720"/>
        </w:tabs>
        <w:autoSpaceDE w:val="0"/>
        <w:autoSpaceDN w:val="0"/>
        <w:adjustRightInd w:val="0"/>
        <w:spacing w:line="240" w:lineRule="auto"/>
        <w:rPr>
          <w:rFonts w:eastAsia="SimSun"/>
          <w:szCs w:val="22"/>
        </w:rPr>
      </w:pPr>
      <w:r w:rsidRPr="00F933B6">
        <w:t>Pozorovali sa aj štatisticky významné zlepšenia prežívania bez progresie. Miera objektívnej odpovede bola nízka v obidvoch terapeutických skupinách a rozdiel nebol významný.</w:t>
      </w:r>
    </w:p>
    <w:p w14:paraId="4C5203F0" w14:textId="77777777" w:rsidR="009C4600" w:rsidRPr="00F933B6" w:rsidRDefault="009C4600" w:rsidP="00F64BF9">
      <w:pPr>
        <w:tabs>
          <w:tab w:val="clear" w:pos="567"/>
          <w:tab w:val="left" w:pos="720"/>
        </w:tabs>
        <w:autoSpaceDE w:val="0"/>
        <w:autoSpaceDN w:val="0"/>
        <w:adjustRightInd w:val="0"/>
        <w:spacing w:line="240" w:lineRule="auto"/>
        <w:rPr>
          <w:rFonts w:eastAsia="SimSun"/>
          <w:szCs w:val="22"/>
        </w:rPr>
      </w:pPr>
    </w:p>
    <w:p w14:paraId="016DEC14" w14:textId="77777777" w:rsidR="009C4600" w:rsidRPr="00F933B6" w:rsidRDefault="0011215F" w:rsidP="00F64BF9">
      <w:pPr>
        <w:tabs>
          <w:tab w:val="clear" w:pos="567"/>
          <w:tab w:val="left" w:pos="720"/>
        </w:tabs>
        <w:autoSpaceDE w:val="0"/>
        <w:autoSpaceDN w:val="0"/>
        <w:adjustRightInd w:val="0"/>
        <w:spacing w:line="240" w:lineRule="auto"/>
        <w:rPr>
          <w:rFonts w:eastAsia="SimSun"/>
          <w:szCs w:val="22"/>
        </w:rPr>
      </w:pPr>
      <w:r w:rsidRPr="00F933B6">
        <w:lastRenderedPageBreak/>
        <w:t>V štúdii E3200 sa podávala dávka bevacizumabu ekvivalentná týždennej dávke 5 mg/kg u pacientov, ktorí nedostávali predtým bevacizumab, zatia</w:t>
      </w:r>
      <w:r w:rsidRPr="00F933B6">
        <w:rPr>
          <w:rFonts w:hint="eastAsia"/>
        </w:rPr>
        <w:t>ľ</w:t>
      </w:r>
      <w:r w:rsidRPr="00F933B6">
        <w:t xml:space="preserve"> </w:t>
      </w:r>
      <w:r w:rsidRPr="00F933B6">
        <w:rPr>
          <w:rFonts w:hint="eastAsia"/>
        </w:rPr>
        <w:t>č</w:t>
      </w:r>
      <w:r w:rsidRPr="00F933B6">
        <w:t>o v štúdii ML 18147 sa podávala dávka ekvivalentná týždennej dávke 2,5 mg/kg bevacizumabu u pacientov, ktorí boli prelie</w:t>
      </w:r>
      <w:r w:rsidRPr="00F933B6">
        <w:rPr>
          <w:rFonts w:hint="eastAsia"/>
        </w:rPr>
        <w:t>č</w:t>
      </w:r>
      <w:r w:rsidRPr="00F933B6">
        <w:t>ení bevacizumabom. Porovnanie údajov o ú</w:t>
      </w:r>
      <w:r w:rsidRPr="00F933B6">
        <w:rPr>
          <w:rFonts w:hint="eastAsia"/>
        </w:rPr>
        <w:t>č</w:t>
      </w:r>
      <w:r w:rsidRPr="00F933B6">
        <w:t>innosti a bezpe</w:t>
      </w:r>
      <w:r w:rsidRPr="00F933B6">
        <w:rPr>
          <w:rFonts w:hint="eastAsia"/>
        </w:rPr>
        <w:t>č</w:t>
      </w:r>
      <w:r w:rsidRPr="00F933B6">
        <w:t xml:space="preserve">nosti z týchto skúšaní je limitované rozdielmi v oboch štúdiách, hlavne v populáciách pacientov, predchádzajúcom </w:t>
      </w:r>
      <w:r w:rsidR="00BE7CB1" w:rsidRPr="009D2307">
        <w:rPr>
          <w:rFonts w:ascii="TimesNewRoman" w:hAnsi="TimesNewRoman"/>
        </w:rPr>
        <w:t>podávan</w:t>
      </w:r>
      <w:r w:rsidR="009D2307">
        <w:rPr>
          <w:rFonts w:ascii="TimesNewRoman" w:hAnsi="TimesNewRoman"/>
        </w:rPr>
        <w:t>iu</w:t>
      </w:r>
      <w:r w:rsidR="00BE7CB1" w:rsidRPr="009D2307">
        <w:rPr>
          <w:rFonts w:ascii="TimesNewRoman" w:hAnsi="TimesNewRoman"/>
        </w:rPr>
        <w:t xml:space="preserve"> </w:t>
      </w:r>
      <w:r w:rsidRPr="00F933B6">
        <w:t>bevacizumabu a režimoch chemoterapie. Dávka ekvivalentná týždennej dávke bevacizumabu 5 mg/kg aj 2,5 mg/kg preukázala štatisticky významný prínos na OS (HR 0,751 v štúdii E3200, HR 0,81 v štúdii ML18147) a PFS (HR 0,518 v štúdii E3200; HR 0,68 v štúdii ML18147). Z h</w:t>
      </w:r>
      <w:r w:rsidRPr="00F933B6">
        <w:rPr>
          <w:rFonts w:hint="eastAsia"/>
        </w:rPr>
        <w:t>ľ</w:t>
      </w:r>
      <w:r w:rsidRPr="00F933B6">
        <w:t>adiska bezpe</w:t>
      </w:r>
      <w:r w:rsidRPr="00F933B6">
        <w:rPr>
          <w:rFonts w:hint="eastAsia"/>
        </w:rPr>
        <w:t>č</w:t>
      </w:r>
      <w:r w:rsidRPr="00F933B6">
        <w:t>nosti bol vyšší celkový výskyt nežiaducich ú</w:t>
      </w:r>
      <w:r w:rsidRPr="00F933B6">
        <w:rPr>
          <w:rFonts w:hint="eastAsia"/>
        </w:rPr>
        <w:t>č</w:t>
      </w:r>
      <w:r w:rsidRPr="00F933B6">
        <w:t>inkov 3.-5. stup</w:t>
      </w:r>
      <w:r w:rsidRPr="00F933B6">
        <w:rPr>
          <w:rFonts w:hint="eastAsia"/>
        </w:rPr>
        <w:t>ň</w:t>
      </w:r>
      <w:r w:rsidRPr="00F933B6">
        <w:t>a v štúdii E3200 v porovnaní so štúdiou ML18147.</w:t>
      </w:r>
    </w:p>
    <w:p w14:paraId="71065F3B" w14:textId="77777777" w:rsidR="009C4600" w:rsidRPr="00F37D4D"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1C803B78" w14:textId="77777777" w:rsidR="009C4600" w:rsidRPr="00F67844" w:rsidRDefault="00BE7CB1" w:rsidP="00F64BF9">
      <w:pPr>
        <w:keepNext/>
        <w:spacing w:line="240" w:lineRule="auto"/>
        <w:rPr>
          <w:rFonts w:ascii="TimesNewRoman,Italic" w:eastAsia="SimSun" w:hAnsi="TimesNewRoman,Italic" w:cs="TimesNewRoman,Italic"/>
          <w:i/>
          <w:iCs/>
          <w:szCs w:val="22"/>
          <w:u w:val="single"/>
        </w:rPr>
      </w:pPr>
      <w:r>
        <w:rPr>
          <w:rFonts w:ascii="TimesNewRoman,Italic" w:hAnsi="TimesNewRoman,Italic"/>
          <w:i/>
          <w:u w:val="single"/>
        </w:rPr>
        <w:t>Metastatický karcinóm prsníka (mBC)</w:t>
      </w:r>
    </w:p>
    <w:p w14:paraId="7E76324C" w14:textId="77777777" w:rsidR="009C4600" w:rsidRPr="00F67844" w:rsidRDefault="009C4600" w:rsidP="00F64BF9">
      <w:pPr>
        <w:keepNext/>
        <w:spacing w:line="240" w:lineRule="auto"/>
        <w:rPr>
          <w:rFonts w:eastAsia="SimSun"/>
        </w:rPr>
      </w:pPr>
    </w:p>
    <w:p w14:paraId="1774874C" w14:textId="77777777" w:rsidR="009C4600" w:rsidRPr="00F67844" w:rsidRDefault="00BE7CB1" w:rsidP="00F64BF9">
      <w:pPr>
        <w:spacing w:line="240" w:lineRule="auto"/>
        <w:rPr>
          <w:rFonts w:eastAsia="SimSun"/>
        </w:rPr>
      </w:pPr>
      <w:r>
        <w:t>Na preskúmanie liečebného účinku bevacizumabu podľa merania primárneho koncového ukazovateľa PFS v kombinácii s dvoma jednotlivými chemoterapeutikami boli dizajnované dve rozsiahle klinické skúšania III. fázy. Klinicky významné a štatisticky signifikantné zlepšenie PFS sa pozorovalo v obidvoch klinických skúšaniach.</w:t>
      </w:r>
    </w:p>
    <w:p w14:paraId="6C77217C" w14:textId="77777777" w:rsidR="009C4600" w:rsidRPr="00F67844" w:rsidRDefault="009C4600" w:rsidP="00F64BF9">
      <w:pPr>
        <w:spacing w:line="240" w:lineRule="auto"/>
        <w:rPr>
          <w:rFonts w:eastAsia="SimSun"/>
        </w:rPr>
      </w:pPr>
    </w:p>
    <w:p w14:paraId="314C78B3" w14:textId="77777777" w:rsidR="009C4600" w:rsidRPr="00F67844" w:rsidRDefault="00BE7CB1" w:rsidP="00F64BF9">
      <w:pPr>
        <w:spacing w:line="240" w:lineRule="auto"/>
        <w:rPr>
          <w:rFonts w:eastAsia="SimSun"/>
        </w:rPr>
      </w:pPr>
      <w:r>
        <w:t>Nižšie sú uvedené súhrnné výsledky PFS pri jednotlivých chemoterapeutikách zaradených do indikácie:</w:t>
      </w:r>
    </w:p>
    <w:p w14:paraId="5DBF3F2C" w14:textId="77777777" w:rsidR="009C4600" w:rsidRPr="00F67844" w:rsidRDefault="009C4600" w:rsidP="00F64BF9">
      <w:pPr>
        <w:spacing w:line="240" w:lineRule="auto"/>
        <w:rPr>
          <w:rFonts w:eastAsia="SimSun"/>
        </w:rPr>
      </w:pPr>
    </w:p>
    <w:p w14:paraId="0CE75427" w14:textId="77777777" w:rsidR="009C4600" w:rsidRPr="00F37D4D" w:rsidRDefault="00BE7CB1" w:rsidP="0033150F">
      <w:pPr>
        <w:numPr>
          <w:ilvl w:val="1"/>
          <w:numId w:val="30"/>
        </w:numPr>
        <w:autoSpaceDE w:val="0"/>
        <w:autoSpaceDN w:val="0"/>
        <w:adjustRightInd w:val="0"/>
        <w:spacing w:line="240" w:lineRule="auto"/>
        <w:ind w:left="567" w:hanging="567"/>
        <w:rPr>
          <w:rFonts w:eastAsia="SimSun"/>
          <w:szCs w:val="22"/>
        </w:rPr>
      </w:pPr>
      <w:r>
        <w:t>Štúdia E2100 (paklitaxel)</w:t>
      </w:r>
    </w:p>
    <w:p w14:paraId="2194157E" w14:textId="77777777" w:rsidR="009C4600" w:rsidRPr="00F37D4D"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t>Predĺženie mediánu PFS o 5,6 mesiaca, HR 0,421 (p &lt; 0,0001, 95 % I</w:t>
      </w:r>
      <w:r w:rsidR="005946AC">
        <w:t>S</w:t>
      </w:r>
      <w:r>
        <w:t xml:space="preserve"> 0,343; 0,516)</w:t>
      </w:r>
    </w:p>
    <w:p w14:paraId="49093487" w14:textId="77777777" w:rsidR="009C4600" w:rsidRPr="00F37D4D" w:rsidRDefault="00BE7CB1" w:rsidP="0033150F">
      <w:pPr>
        <w:numPr>
          <w:ilvl w:val="1"/>
          <w:numId w:val="30"/>
        </w:numPr>
        <w:autoSpaceDE w:val="0"/>
        <w:autoSpaceDN w:val="0"/>
        <w:adjustRightInd w:val="0"/>
        <w:spacing w:line="240" w:lineRule="auto"/>
        <w:ind w:left="567" w:hanging="567"/>
        <w:rPr>
          <w:rFonts w:eastAsia="SimSun"/>
          <w:szCs w:val="22"/>
        </w:rPr>
      </w:pPr>
      <w:r>
        <w:t>Štúdia AVF3694 g (kapecitabín)</w:t>
      </w:r>
    </w:p>
    <w:p w14:paraId="0130E9E7" w14:textId="77777777" w:rsidR="009C4600" w:rsidRPr="00F37D4D"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t>Predĺženie mediánu PFS o 2,9 mesiaca, HR 0,69 (p = 0,0002, 95 % I</w:t>
      </w:r>
      <w:r w:rsidR="005946AC">
        <w:t>S</w:t>
      </w:r>
      <w:r>
        <w:t xml:space="preserve"> 0,56; 0,84).</w:t>
      </w:r>
    </w:p>
    <w:p w14:paraId="4C89E1A3"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60A21630" w14:textId="77777777" w:rsidR="009C4600" w:rsidRPr="00F37D4D" w:rsidRDefault="00BE7CB1" w:rsidP="00F64BF9">
      <w:pPr>
        <w:tabs>
          <w:tab w:val="clear" w:pos="567"/>
          <w:tab w:val="left" w:pos="720"/>
        </w:tabs>
        <w:autoSpaceDE w:val="0"/>
        <w:autoSpaceDN w:val="0"/>
        <w:adjustRightInd w:val="0"/>
        <w:spacing w:line="240" w:lineRule="auto"/>
        <w:rPr>
          <w:rFonts w:eastAsia="SimSun"/>
          <w:i/>
          <w:iCs/>
          <w:szCs w:val="22"/>
        </w:rPr>
      </w:pPr>
      <w:r>
        <w:t>Ďalšie podrobnosti o jednotlivých klinických štúdiách a výsledkoch sú uvedené nižšie.</w:t>
      </w:r>
    </w:p>
    <w:p w14:paraId="453A0AED" w14:textId="77777777" w:rsidR="009C4600" w:rsidRPr="00F37D4D"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5EC1F79E" w14:textId="77777777" w:rsidR="009C4600" w:rsidRDefault="00BE7CB1" w:rsidP="00F64BF9">
      <w:pPr>
        <w:keepNext/>
        <w:spacing w:line="240" w:lineRule="auto"/>
        <w:rPr>
          <w:rFonts w:eastAsia="SimSun"/>
          <w:i/>
          <w:iCs/>
        </w:rPr>
      </w:pPr>
      <w:r w:rsidRPr="00FB0AB9">
        <w:rPr>
          <w:i/>
        </w:rPr>
        <w:t>ECOG E2100</w:t>
      </w:r>
    </w:p>
    <w:p w14:paraId="52455A37" w14:textId="77777777" w:rsidR="00A90D89" w:rsidRPr="00F67844" w:rsidRDefault="00A90D89" w:rsidP="00F64BF9">
      <w:pPr>
        <w:keepNext/>
        <w:spacing w:line="240" w:lineRule="auto"/>
        <w:rPr>
          <w:rFonts w:eastAsia="SimSun"/>
          <w:i/>
          <w:iCs/>
        </w:rPr>
      </w:pPr>
    </w:p>
    <w:p w14:paraId="49A2C673" w14:textId="77777777" w:rsidR="009C4600" w:rsidRPr="00F67844" w:rsidRDefault="00BE7CB1" w:rsidP="00F64BF9">
      <w:pPr>
        <w:spacing w:line="240" w:lineRule="auto"/>
        <w:rPr>
          <w:rFonts w:eastAsia="SimSun"/>
        </w:rPr>
      </w:pPr>
      <w:r>
        <w:t>Skúšanie E2100 bolo otvorené, randomizované, aktívne kontrolované, multicentrické klinické skúšanie, ktoré hodnotilo bevacizumab v kombinácii s paklitaxelom, ako liečbu lokálne recidivujúceho alebo metastatického karcinómu prsníka u pacientok, ktoré predtým nedostávali chemoterapiu na lokálne recidivujúce alebo metastatické ochorenie. Pacientky boli randomizované buď na liečbu samotným paklitaxelom (90 mg/m</w:t>
      </w:r>
      <w:r>
        <w:rPr>
          <w:vertAlign w:val="superscript"/>
        </w:rPr>
        <w:t>2</w:t>
      </w:r>
      <w:r>
        <w:t xml:space="preserve"> podávaných 1 hodinu vo forme i.v. infúzie raz za týždeň </w:t>
      </w:r>
      <w:r w:rsidRPr="00596761">
        <w:t>počas troch zo štyroch týždňov), alebo</w:t>
      </w:r>
      <w:r>
        <w:t xml:space="preserve"> v kombinácii s bevacizumabom (10 mg/kg podávaných formou intravenóznej infúzie raz za dva týždne). Povolená bola predošlá hormonálna terapia na liečbu metastatického ochorenia. Adjuvantná terapia taxánmi bola povolená len vtedy, ak sa skončila najmenej 12 mesiacov pred zaradením do skúšania. Zo 722 pacientok v skúšaní mala väčšina pacientok HER2-negatívne ochorenie (90 %), pričom malý počet pacientok mal neznámy (8 %) alebo potvrdený HER2-pozitívny stav (2 %), a pacientky boli predtým liečené trastuzumabom, alebo sa u nich liečba trastuzumabom nepokladala za vhodnú. Okrem toho 65 % pacientok predtým dostávalo adjuvantnú chemoterapiu zahŕňajúcu u 19 % predošlú liečbu taxánmi a u 49 % predošlú liečbu antracyklínmi. Pacientky s metastázami v centrálnom nervovom systéme vrátane predtým liečených alebo resekovaných lézií mozgu boli vylúčené.</w:t>
      </w:r>
    </w:p>
    <w:p w14:paraId="04A3F4C9" w14:textId="77777777" w:rsidR="009C4600" w:rsidRPr="00F67844" w:rsidRDefault="009C4600" w:rsidP="00F64BF9">
      <w:pPr>
        <w:spacing w:line="240" w:lineRule="auto"/>
        <w:rPr>
          <w:rFonts w:eastAsia="SimSun"/>
        </w:rPr>
      </w:pPr>
    </w:p>
    <w:p w14:paraId="20F26FAE" w14:textId="77777777" w:rsidR="009C4600" w:rsidRPr="00F67844" w:rsidRDefault="00BE7CB1" w:rsidP="00F64BF9">
      <w:pPr>
        <w:spacing w:line="240" w:lineRule="auto"/>
        <w:rPr>
          <w:rFonts w:eastAsia="SimSun"/>
        </w:rPr>
      </w:pPr>
      <w:r>
        <w:t>V skúšaní E2100 boli pacientky liečené až do progresie ochorenia. V situáciách, v ktorých bolo potrebné predčasné prerušenie chemoterapie, sa v liečbe bevacizumabom ako jediným liekom pokračovalo až do progresie ochorenia. Charakteristiky pacientok boli podobné vo všetkých skupinách v rámci skúšania. Primárnym koncovým ukazovateľom v tomto skúšaní bolo prežívanie bez progresie ochorenia (PFS) na základe vyhodnotenia progresie ochorenia skúšajúcim. Uskutočnilo sa aj nezávislé hodnotenie primárneho koncového ukazovateľa. Výsledky skúšania sú uvedené v tabuľke 10.</w:t>
      </w:r>
    </w:p>
    <w:p w14:paraId="0FB32395" w14:textId="77777777" w:rsidR="009C4600" w:rsidRPr="00F67844" w:rsidRDefault="009C4600" w:rsidP="00F64BF9">
      <w:pPr>
        <w:spacing w:line="240" w:lineRule="auto"/>
        <w:rPr>
          <w:rFonts w:eastAsia="SimSun"/>
        </w:rPr>
      </w:pPr>
    </w:p>
    <w:p w14:paraId="6668B589" w14:textId="77777777" w:rsidR="009C4600" w:rsidRPr="00F67844" w:rsidRDefault="00BE7CB1" w:rsidP="00F64BF9">
      <w:pPr>
        <w:keepNext/>
        <w:spacing w:line="240" w:lineRule="auto"/>
        <w:rPr>
          <w:b/>
          <w:bCs/>
        </w:rPr>
      </w:pPr>
      <w:r>
        <w:rPr>
          <w:b/>
        </w:rPr>
        <w:lastRenderedPageBreak/>
        <w:t>Tabuľka 10. Výsledky účinnosti zo skúšania E2100</w:t>
      </w:r>
    </w:p>
    <w:p w14:paraId="5A0941A1"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01"/>
        <w:gridCol w:w="1004"/>
        <w:gridCol w:w="2226"/>
        <w:gridCol w:w="1004"/>
        <w:gridCol w:w="2226"/>
      </w:tblGrid>
      <w:tr w:rsidR="00741586" w:rsidRPr="00F37D4D" w14:paraId="79D12417"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302796CE" w14:textId="77777777" w:rsidR="009C4600" w:rsidRPr="00F37D4D" w:rsidRDefault="00BE7CB1" w:rsidP="00F64BF9">
            <w:pPr>
              <w:pStyle w:val="TABLES"/>
              <w:keepNext/>
              <w:ind w:left="57" w:right="57"/>
            </w:pPr>
            <w:r>
              <w:t>Prežívanie bez progresie</w:t>
            </w:r>
          </w:p>
        </w:tc>
      </w:tr>
      <w:tr w:rsidR="00741586" w:rsidRPr="00F37D4D" w14:paraId="15FDBD36"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67627C97" w14:textId="77777777" w:rsidR="009C4600" w:rsidRPr="00F37D4D" w:rsidRDefault="009C4600" w:rsidP="00F64BF9">
            <w:pPr>
              <w:pStyle w:val="TABLES"/>
              <w:keepNext/>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8529EF9" w14:textId="77777777" w:rsidR="009C4600" w:rsidRPr="00F37D4D" w:rsidRDefault="00BE7CB1" w:rsidP="00F64BF9">
            <w:pPr>
              <w:pStyle w:val="TABLES"/>
              <w:ind w:left="57" w:right="57"/>
              <w:jc w:val="center"/>
            </w:pPr>
            <w:r>
              <w:t>Hodnotenie skúšajúcim*</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4A98270" w14:textId="77777777" w:rsidR="009C4600" w:rsidRPr="00F37D4D" w:rsidRDefault="00BE7CB1" w:rsidP="00F64BF9">
            <w:pPr>
              <w:pStyle w:val="TABLES"/>
              <w:ind w:left="57" w:right="57"/>
              <w:jc w:val="center"/>
            </w:pPr>
            <w:r>
              <w:t>Nezávislé hodnotenie</w:t>
            </w:r>
          </w:p>
        </w:tc>
      </w:tr>
      <w:tr w:rsidR="00D67BEF" w:rsidRPr="00F37D4D" w14:paraId="430C80DE"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2506EC6" w14:textId="77777777" w:rsidR="00D67BEF" w:rsidRPr="00F37D4D" w:rsidRDefault="00D67BEF" w:rsidP="00F64BF9">
            <w:pPr>
              <w:pStyle w:val="TABLES"/>
              <w:keepNext/>
              <w:ind w:left="57" w:right="57"/>
              <w:jc w:val="center"/>
            </w:pPr>
          </w:p>
        </w:tc>
        <w:tc>
          <w:tcPr>
            <w:tcW w:w="547" w:type="pct"/>
            <w:tcBorders>
              <w:top w:val="single" w:sz="4" w:space="0" w:color="000000"/>
              <w:left w:val="single" w:sz="4" w:space="0" w:color="000000"/>
              <w:bottom w:val="nil"/>
              <w:right w:val="single" w:sz="4" w:space="0" w:color="000000"/>
            </w:tcBorders>
          </w:tcPr>
          <w:p w14:paraId="22B67793" w14:textId="77777777" w:rsidR="00D67BEF" w:rsidRPr="00F37D4D" w:rsidRDefault="00D67BEF" w:rsidP="00F64BF9">
            <w:pPr>
              <w:pStyle w:val="TABLES"/>
              <w:ind w:left="57" w:right="57"/>
              <w:jc w:val="center"/>
            </w:pPr>
            <w:r>
              <w:t>Paklitaxel</w:t>
            </w:r>
          </w:p>
        </w:tc>
        <w:tc>
          <w:tcPr>
            <w:tcW w:w="1218" w:type="pct"/>
            <w:tcBorders>
              <w:top w:val="single" w:sz="4" w:space="0" w:color="000000"/>
              <w:left w:val="single" w:sz="4" w:space="0" w:color="000000"/>
              <w:bottom w:val="nil"/>
              <w:right w:val="single" w:sz="4" w:space="0" w:color="000000"/>
            </w:tcBorders>
            <w:hideMark/>
          </w:tcPr>
          <w:p w14:paraId="4D160D7B" w14:textId="77777777" w:rsidR="00D67BEF" w:rsidRPr="00F37D4D" w:rsidRDefault="00D67BEF" w:rsidP="00F64BF9">
            <w:pPr>
              <w:pStyle w:val="TABLES"/>
              <w:ind w:left="57" w:right="57"/>
              <w:jc w:val="center"/>
            </w:pPr>
            <w:r>
              <w:t>Paklitaxel/bevacizumab</w:t>
            </w:r>
          </w:p>
        </w:tc>
        <w:tc>
          <w:tcPr>
            <w:tcW w:w="547" w:type="pct"/>
            <w:tcBorders>
              <w:top w:val="single" w:sz="4" w:space="0" w:color="000000"/>
              <w:left w:val="single" w:sz="4" w:space="0" w:color="000000"/>
              <w:bottom w:val="nil"/>
              <w:right w:val="single" w:sz="4" w:space="0" w:color="000000"/>
            </w:tcBorders>
          </w:tcPr>
          <w:p w14:paraId="621001AC" w14:textId="77777777" w:rsidR="00D67BEF" w:rsidRPr="00F37D4D" w:rsidRDefault="00D67BEF" w:rsidP="00F64BF9">
            <w:pPr>
              <w:pStyle w:val="TABLES"/>
              <w:ind w:left="57" w:right="57"/>
              <w:jc w:val="center"/>
            </w:pPr>
            <w:r>
              <w:t>Paklitaxel</w:t>
            </w:r>
          </w:p>
        </w:tc>
        <w:tc>
          <w:tcPr>
            <w:tcW w:w="1221" w:type="pct"/>
            <w:tcBorders>
              <w:top w:val="single" w:sz="4" w:space="0" w:color="000000"/>
              <w:left w:val="single" w:sz="4" w:space="0" w:color="000000"/>
              <w:bottom w:val="nil"/>
              <w:right w:val="single" w:sz="4" w:space="0" w:color="000000"/>
            </w:tcBorders>
            <w:hideMark/>
          </w:tcPr>
          <w:p w14:paraId="1B1D0318" w14:textId="77777777" w:rsidR="00D67BEF" w:rsidRPr="00F37D4D" w:rsidRDefault="00D67BEF" w:rsidP="00F64BF9">
            <w:pPr>
              <w:pStyle w:val="TABLES"/>
              <w:ind w:left="57" w:right="57"/>
              <w:jc w:val="center"/>
            </w:pPr>
            <w:r>
              <w:t>Paklitaxel/bevacizumab</w:t>
            </w:r>
          </w:p>
        </w:tc>
      </w:tr>
      <w:tr w:rsidR="00D67BEF" w:rsidRPr="00F37D4D" w14:paraId="0DB4954C"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51B8939F" w14:textId="77777777" w:rsidR="00D67BEF" w:rsidRPr="00F37D4D"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310425D6" w14:textId="77777777" w:rsidR="00D67BEF" w:rsidRPr="00F37D4D" w:rsidRDefault="00D67BEF" w:rsidP="00F64BF9">
            <w:pPr>
              <w:pStyle w:val="TABLES"/>
              <w:ind w:left="57" w:right="57"/>
              <w:jc w:val="center"/>
            </w:pPr>
            <w:r>
              <w:t>(n = 354)</w:t>
            </w:r>
          </w:p>
        </w:tc>
        <w:tc>
          <w:tcPr>
            <w:tcW w:w="1218" w:type="pct"/>
            <w:tcBorders>
              <w:top w:val="nil"/>
              <w:left w:val="single" w:sz="4" w:space="0" w:color="000000"/>
              <w:bottom w:val="single" w:sz="4" w:space="0" w:color="000000"/>
              <w:right w:val="single" w:sz="4" w:space="0" w:color="000000"/>
            </w:tcBorders>
          </w:tcPr>
          <w:p w14:paraId="072C4BE0" w14:textId="77777777" w:rsidR="00D67BEF" w:rsidRPr="00F37D4D" w:rsidRDefault="00D67BEF" w:rsidP="00F64BF9">
            <w:pPr>
              <w:pStyle w:val="TABLES"/>
              <w:ind w:left="57" w:right="57"/>
              <w:jc w:val="center"/>
            </w:pPr>
            <w:r>
              <w:t>(n = 368)</w:t>
            </w:r>
          </w:p>
        </w:tc>
        <w:tc>
          <w:tcPr>
            <w:tcW w:w="547" w:type="pct"/>
            <w:tcBorders>
              <w:top w:val="nil"/>
              <w:left w:val="single" w:sz="4" w:space="0" w:color="000000"/>
              <w:bottom w:val="single" w:sz="4" w:space="0" w:color="000000"/>
              <w:right w:val="single" w:sz="4" w:space="0" w:color="000000"/>
            </w:tcBorders>
          </w:tcPr>
          <w:p w14:paraId="49678EA4" w14:textId="77777777" w:rsidR="00D67BEF" w:rsidRPr="00F37D4D" w:rsidRDefault="00D67BEF" w:rsidP="00F64BF9">
            <w:pPr>
              <w:pStyle w:val="TABLES"/>
              <w:ind w:left="57" w:right="57"/>
              <w:jc w:val="center"/>
            </w:pPr>
            <w:r>
              <w:t>(n = 354)</w:t>
            </w:r>
          </w:p>
        </w:tc>
        <w:tc>
          <w:tcPr>
            <w:tcW w:w="1221" w:type="pct"/>
            <w:tcBorders>
              <w:top w:val="nil"/>
              <w:left w:val="single" w:sz="4" w:space="0" w:color="000000"/>
              <w:bottom w:val="single" w:sz="4" w:space="0" w:color="000000"/>
              <w:right w:val="single" w:sz="4" w:space="0" w:color="000000"/>
            </w:tcBorders>
          </w:tcPr>
          <w:p w14:paraId="24D8013F" w14:textId="77777777" w:rsidR="00D67BEF" w:rsidRPr="00F37D4D" w:rsidRDefault="00D67BEF" w:rsidP="00F64BF9">
            <w:pPr>
              <w:pStyle w:val="TABLES"/>
              <w:ind w:left="57" w:right="57"/>
              <w:jc w:val="center"/>
            </w:pPr>
            <w:r>
              <w:t>(n = 368)</w:t>
            </w:r>
          </w:p>
        </w:tc>
      </w:tr>
      <w:tr w:rsidR="00741586" w:rsidRPr="00F37D4D" w14:paraId="606FE36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63D03C0E" w14:textId="77777777" w:rsidR="009C4600" w:rsidRPr="00F37D4D" w:rsidRDefault="00BE7CB1" w:rsidP="00F64BF9">
            <w:pPr>
              <w:pStyle w:val="TABLES"/>
              <w:ind w:left="57" w:right="57"/>
            </w:pPr>
            <w:r>
              <w:t>Medián PFS (mesiace)</w:t>
            </w:r>
          </w:p>
        </w:tc>
        <w:tc>
          <w:tcPr>
            <w:tcW w:w="547" w:type="pct"/>
            <w:tcBorders>
              <w:top w:val="single" w:sz="4" w:space="0" w:color="000000"/>
              <w:left w:val="single" w:sz="4" w:space="0" w:color="000000"/>
              <w:bottom w:val="single" w:sz="4" w:space="0" w:color="000000"/>
              <w:right w:val="single" w:sz="4" w:space="0" w:color="000000"/>
            </w:tcBorders>
            <w:hideMark/>
          </w:tcPr>
          <w:p w14:paraId="469CCECF" w14:textId="77777777" w:rsidR="009C4600" w:rsidRPr="00F37D4D" w:rsidRDefault="00BE7CB1" w:rsidP="00F64BF9">
            <w:pPr>
              <w:pStyle w:val="TABLES"/>
              <w:ind w:left="39" w:right="57"/>
              <w:jc w:val="center"/>
            </w:pPr>
            <w:r>
              <w:t>5,8</w:t>
            </w:r>
          </w:p>
        </w:tc>
        <w:tc>
          <w:tcPr>
            <w:tcW w:w="1218" w:type="pct"/>
            <w:tcBorders>
              <w:top w:val="single" w:sz="4" w:space="0" w:color="000000"/>
              <w:left w:val="single" w:sz="4" w:space="0" w:color="000000"/>
              <w:bottom w:val="single" w:sz="4" w:space="0" w:color="000000"/>
              <w:right w:val="single" w:sz="4" w:space="0" w:color="000000"/>
            </w:tcBorders>
            <w:hideMark/>
          </w:tcPr>
          <w:p w14:paraId="08B6C05B" w14:textId="77777777" w:rsidR="009C4600" w:rsidRPr="00F37D4D" w:rsidRDefault="00BE7CB1" w:rsidP="00F64BF9">
            <w:pPr>
              <w:pStyle w:val="TABLES"/>
              <w:ind w:left="39" w:right="57"/>
              <w:jc w:val="center"/>
            </w:pPr>
            <w:r>
              <w:t>11,4</w:t>
            </w:r>
          </w:p>
        </w:tc>
        <w:tc>
          <w:tcPr>
            <w:tcW w:w="547" w:type="pct"/>
            <w:tcBorders>
              <w:top w:val="single" w:sz="4" w:space="0" w:color="000000"/>
              <w:left w:val="single" w:sz="4" w:space="0" w:color="000000"/>
              <w:bottom w:val="single" w:sz="4" w:space="0" w:color="000000"/>
              <w:right w:val="single" w:sz="4" w:space="0" w:color="000000"/>
            </w:tcBorders>
            <w:hideMark/>
          </w:tcPr>
          <w:p w14:paraId="65FE1EC6" w14:textId="77777777" w:rsidR="009C4600" w:rsidRPr="00F37D4D" w:rsidRDefault="00BE7CB1" w:rsidP="00F64BF9">
            <w:pPr>
              <w:pStyle w:val="TABLES"/>
              <w:ind w:left="57" w:right="57" w:hanging="18"/>
              <w:jc w:val="center"/>
            </w:pPr>
            <w:r>
              <w:t>5,8</w:t>
            </w:r>
          </w:p>
        </w:tc>
        <w:tc>
          <w:tcPr>
            <w:tcW w:w="1221" w:type="pct"/>
            <w:tcBorders>
              <w:top w:val="single" w:sz="4" w:space="0" w:color="000000"/>
              <w:left w:val="single" w:sz="4" w:space="0" w:color="000000"/>
              <w:bottom w:val="single" w:sz="4" w:space="0" w:color="000000"/>
              <w:right w:val="single" w:sz="4" w:space="0" w:color="000000"/>
            </w:tcBorders>
            <w:hideMark/>
          </w:tcPr>
          <w:p w14:paraId="60EF8937" w14:textId="77777777" w:rsidR="009C4600" w:rsidRPr="00F37D4D" w:rsidRDefault="00BE7CB1" w:rsidP="00F64BF9">
            <w:pPr>
              <w:pStyle w:val="TABLES"/>
              <w:ind w:left="57" w:right="57" w:hanging="18"/>
              <w:jc w:val="center"/>
            </w:pPr>
            <w:r>
              <w:t>11,3</w:t>
            </w:r>
          </w:p>
        </w:tc>
      </w:tr>
      <w:tr w:rsidR="00741586" w:rsidRPr="00F37D4D" w14:paraId="5A66465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F742A95" w14:textId="77777777" w:rsidR="009C4600" w:rsidRPr="00F37D4D" w:rsidRDefault="00BE7CB1" w:rsidP="00F64BF9">
            <w:pPr>
              <w:pStyle w:val="TABLES"/>
              <w:ind w:left="567" w:right="57"/>
            </w:pPr>
            <w:r>
              <w:rPr>
                <w:spacing w:val="-2"/>
              </w:rPr>
              <w:t>HR (95 % I</w:t>
            </w:r>
            <w:r w:rsidR="00FB0AB9">
              <w:rPr>
                <w:spacing w:val="-2"/>
              </w:rPr>
              <w:t>S</w:t>
            </w:r>
            <w:r>
              <w:rPr>
                <w:spacing w:val="-2"/>
              </w:rPr>
              <w:t>)</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66925E22" w14:textId="77777777" w:rsidR="009C4600" w:rsidRPr="00F37D4D" w:rsidRDefault="00BE7CB1" w:rsidP="00F64BF9">
            <w:pPr>
              <w:pStyle w:val="TABLES"/>
              <w:ind w:left="39" w:right="57"/>
              <w:jc w:val="center"/>
            </w:pPr>
            <w:r>
              <w:t>0,421</w:t>
            </w:r>
          </w:p>
          <w:p w14:paraId="18322D8C" w14:textId="77777777" w:rsidR="009C4600" w:rsidRPr="00F37D4D" w:rsidRDefault="00BE7CB1" w:rsidP="00F64BF9">
            <w:pPr>
              <w:pStyle w:val="TABLES"/>
              <w:ind w:left="39" w:right="57"/>
              <w:jc w:val="center"/>
            </w:pPr>
            <w:r>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80A1C9D" w14:textId="77777777" w:rsidR="009C4600" w:rsidRPr="00F37D4D" w:rsidRDefault="00BE7CB1" w:rsidP="00F64BF9">
            <w:pPr>
              <w:pStyle w:val="TABLES"/>
              <w:ind w:left="57" w:right="57" w:hanging="18"/>
              <w:jc w:val="center"/>
            </w:pPr>
            <w:r>
              <w:t>0,483</w:t>
            </w:r>
          </w:p>
          <w:p w14:paraId="16F89B30" w14:textId="77777777" w:rsidR="009C4600" w:rsidRPr="00F37D4D" w:rsidRDefault="00BE7CB1" w:rsidP="00F64BF9">
            <w:pPr>
              <w:pStyle w:val="TABLES"/>
              <w:ind w:left="57" w:right="57" w:hanging="18"/>
              <w:jc w:val="center"/>
            </w:pPr>
            <w:r>
              <w:t>(0,385; 0,607)</w:t>
            </w:r>
          </w:p>
        </w:tc>
      </w:tr>
      <w:tr w:rsidR="00741586" w:rsidRPr="00F37D4D" w14:paraId="4D76CB82"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0A589DE" w14:textId="77777777" w:rsidR="009C4600" w:rsidRPr="00F37D4D" w:rsidRDefault="00BE7CB1" w:rsidP="00F64BF9">
            <w:pPr>
              <w:pStyle w:val="TABLES"/>
              <w:ind w:left="567" w:right="57"/>
            </w:pPr>
            <w:r>
              <w:t>p-hodnota</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09A6D2B5" w14:textId="77777777" w:rsidR="009C4600" w:rsidRPr="00F37D4D" w:rsidRDefault="00BE7CB1" w:rsidP="00F64BF9">
            <w:pPr>
              <w:pStyle w:val="TABLES"/>
              <w:ind w:left="39" w:right="57"/>
              <w:jc w:val="center"/>
            </w:pPr>
            <w:r>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FEE210D" w14:textId="77777777" w:rsidR="009C4600" w:rsidRPr="00F37D4D" w:rsidRDefault="00BE7CB1" w:rsidP="00F64BF9">
            <w:pPr>
              <w:pStyle w:val="TABLES"/>
              <w:ind w:left="57" w:right="57" w:hanging="18"/>
              <w:jc w:val="center"/>
            </w:pPr>
            <w:r>
              <w:t>&lt; 0,0001</w:t>
            </w:r>
          </w:p>
        </w:tc>
      </w:tr>
      <w:tr w:rsidR="00741586" w:rsidRPr="00F37D4D" w14:paraId="407EE018"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16A279F" w14:textId="77777777" w:rsidR="009C4600" w:rsidRPr="00F37D4D" w:rsidRDefault="00BE7CB1" w:rsidP="00F64BF9">
            <w:pPr>
              <w:pStyle w:val="TABLES"/>
              <w:ind w:left="57" w:right="57"/>
            </w:pPr>
            <w:r>
              <w:t>Miera odpovede (u pacient</w:t>
            </w:r>
            <w:r w:rsidR="009D2307">
              <w:t>ov</w:t>
            </w:r>
            <w:r>
              <w:t xml:space="preserve"> s merateľným ochorením)</w:t>
            </w:r>
          </w:p>
        </w:tc>
      </w:tr>
      <w:tr w:rsidR="00741586" w:rsidRPr="00F37D4D" w14:paraId="381D3B5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E67D0AF" w14:textId="77777777" w:rsidR="009C4600" w:rsidRPr="00F37D4D" w:rsidRDefault="009C4600" w:rsidP="00F64BF9">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FBDACDB" w14:textId="77777777" w:rsidR="009C4600" w:rsidRPr="00F37D4D" w:rsidRDefault="00BE7CB1" w:rsidP="00F64BF9">
            <w:pPr>
              <w:pStyle w:val="TABLES"/>
              <w:ind w:left="57" w:right="57"/>
              <w:jc w:val="center"/>
            </w:pPr>
            <w:r>
              <w:t>Hodnotenie skúšajúcim</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3A9D1AE3" w14:textId="77777777" w:rsidR="009C4600" w:rsidRPr="00F37D4D" w:rsidRDefault="00BE7CB1" w:rsidP="00F64BF9">
            <w:pPr>
              <w:pStyle w:val="TABLES"/>
              <w:ind w:left="57" w:right="57"/>
              <w:jc w:val="center"/>
            </w:pPr>
            <w:r>
              <w:t>Nezávislé hodnotenie</w:t>
            </w:r>
          </w:p>
        </w:tc>
      </w:tr>
      <w:tr w:rsidR="00D67BEF" w:rsidRPr="00F37D4D" w14:paraId="39C314C4"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5479B638" w14:textId="77777777" w:rsidR="00D67BEF" w:rsidRPr="00F37D4D" w:rsidRDefault="00D67BEF" w:rsidP="00F64BF9">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5C505EBB" w14:textId="77777777" w:rsidR="00D67BEF" w:rsidRPr="00F37D4D" w:rsidRDefault="00D67BEF" w:rsidP="00F64BF9">
            <w:pPr>
              <w:pStyle w:val="TABLES"/>
              <w:ind w:left="57" w:right="57"/>
              <w:jc w:val="center"/>
            </w:pPr>
            <w:r>
              <w:t>Paklitaxel</w:t>
            </w:r>
          </w:p>
        </w:tc>
        <w:tc>
          <w:tcPr>
            <w:tcW w:w="1218" w:type="pct"/>
            <w:tcBorders>
              <w:top w:val="single" w:sz="4" w:space="0" w:color="000000"/>
              <w:left w:val="single" w:sz="4" w:space="0" w:color="000000"/>
              <w:bottom w:val="nil"/>
              <w:right w:val="single" w:sz="4" w:space="0" w:color="000000"/>
            </w:tcBorders>
            <w:hideMark/>
          </w:tcPr>
          <w:p w14:paraId="124F045A" w14:textId="77777777" w:rsidR="00D67BEF" w:rsidRPr="00F37D4D" w:rsidRDefault="00D67BEF" w:rsidP="00F64BF9">
            <w:pPr>
              <w:pStyle w:val="TABLES"/>
              <w:ind w:left="57" w:right="57"/>
              <w:jc w:val="center"/>
            </w:pPr>
            <w:r>
              <w:t>Paklitaxel/bevacizumab</w:t>
            </w:r>
          </w:p>
        </w:tc>
        <w:tc>
          <w:tcPr>
            <w:tcW w:w="547" w:type="pct"/>
            <w:tcBorders>
              <w:top w:val="single" w:sz="4" w:space="0" w:color="000000"/>
              <w:left w:val="single" w:sz="4" w:space="0" w:color="000000"/>
              <w:bottom w:val="nil"/>
              <w:right w:val="single" w:sz="4" w:space="0" w:color="000000"/>
            </w:tcBorders>
          </w:tcPr>
          <w:p w14:paraId="7C66B10E" w14:textId="77777777" w:rsidR="00D67BEF" w:rsidRPr="00F37D4D" w:rsidRDefault="00D67BEF" w:rsidP="00F64BF9">
            <w:pPr>
              <w:pStyle w:val="TABLES"/>
              <w:ind w:left="57" w:right="57"/>
              <w:jc w:val="center"/>
            </w:pPr>
            <w:r>
              <w:t>Paklitaxel</w:t>
            </w:r>
          </w:p>
        </w:tc>
        <w:tc>
          <w:tcPr>
            <w:tcW w:w="1221" w:type="pct"/>
            <w:tcBorders>
              <w:top w:val="single" w:sz="4" w:space="0" w:color="000000"/>
              <w:left w:val="single" w:sz="4" w:space="0" w:color="000000"/>
              <w:bottom w:val="nil"/>
              <w:right w:val="single" w:sz="4" w:space="0" w:color="000000"/>
            </w:tcBorders>
            <w:hideMark/>
          </w:tcPr>
          <w:p w14:paraId="0AA3676A" w14:textId="77777777" w:rsidR="00D67BEF" w:rsidRPr="00F37D4D" w:rsidRDefault="00D67BEF" w:rsidP="00F64BF9">
            <w:pPr>
              <w:pStyle w:val="TABLES"/>
              <w:ind w:left="57" w:right="57"/>
              <w:jc w:val="center"/>
            </w:pPr>
            <w:r>
              <w:t>Paklitaxel/bevacizumab</w:t>
            </w:r>
          </w:p>
        </w:tc>
      </w:tr>
      <w:tr w:rsidR="00D67BEF" w:rsidRPr="00F37D4D" w14:paraId="00FD09A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0C007315" w14:textId="77777777" w:rsidR="00D67BEF" w:rsidRPr="00F37D4D"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084B91DF" w14:textId="77777777" w:rsidR="00D67BEF" w:rsidRPr="00F37D4D" w:rsidRDefault="00D67BEF" w:rsidP="00F64BF9">
            <w:pPr>
              <w:pStyle w:val="TABLES"/>
              <w:ind w:left="57" w:right="57"/>
              <w:jc w:val="center"/>
            </w:pPr>
            <w:r>
              <w:t>(n = 273)</w:t>
            </w:r>
          </w:p>
        </w:tc>
        <w:tc>
          <w:tcPr>
            <w:tcW w:w="1218" w:type="pct"/>
            <w:tcBorders>
              <w:top w:val="nil"/>
              <w:left w:val="single" w:sz="4" w:space="0" w:color="000000"/>
              <w:bottom w:val="single" w:sz="4" w:space="0" w:color="000000"/>
              <w:right w:val="single" w:sz="4" w:space="0" w:color="000000"/>
            </w:tcBorders>
          </w:tcPr>
          <w:p w14:paraId="5627D60D" w14:textId="77777777" w:rsidR="00D67BEF" w:rsidRPr="00F37D4D" w:rsidRDefault="00D67BEF" w:rsidP="00F64BF9">
            <w:pPr>
              <w:pStyle w:val="TABLES"/>
              <w:ind w:left="57" w:right="57"/>
              <w:jc w:val="center"/>
            </w:pPr>
            <w:r>
              <w:t>(n = 252)</w:t>
            </w:r>
          </w:p>
        </w:tc>
        <w:tc>
          <w:tcPr>
            <w:tcW w:w="547" w:type="pct"/>
            <w:tcBorders>
              <w:top w:val="nil"/>
              <w:left w:val="single" w:sz="4" w:space="0" w:color="000000"/>
              <w:bottom w:val="single" w:sz="4" w:space="0" w:color="000000"/>
              <w:right w:val="single" w:sz="4" w:space="0" w:color="000000"/>
            </w:tcBorders>
          </w:tcPr>
          <w:p w14:paraId="514B99D9" w14:textId="77777777" w:rsidR="00D67BEF" w:rsidRPr="00F37D4D" w:rsidRDefault="00D67BEF" w:rsidP="00F64BF9">
            <w:pPr>
              <w:pStyle w:val="TABLES"/>
              <w:ind w:left="57" w:right="57"/>
              <w:jc w:val="center"/>
            </w:pPr>
            <w:r>
              <w:t>(n = 243)</w:t>
            </w:r>
          </w:p>
        </w:tc>
        <w:tc>
          <w:tcPr>
            <w:tcW w:w="1221" w:type="pct"/>
            <w:tcBorders>
              <w:top w:val="nil"/>
              <w:left w:val="single" w:sz="4" w:space="0" w:color="000000"/>
              <w:bottom w:val="single" w:sz="4" w:space="0" w:color="000000"/>
              <w:right w:val="single" w:sz="4" w:space="0" w:color="000000"/>
            </w:tcBorders>
          </w:tcPr>
          <w:p w14:paraId="5C59ED9A" w14:textId="77777777" w:rsidR="00D67BEF" w:rsidRPr="00F37D4D" w:rsidRDefault="00D67BEF" w:rsidP="00F64BF9">
            <w:pPr>
              <w:pStyle w:val="TABLES"/>
              <w:ind w:left="57" w:right="57"/>
              <w:jc w:val="center"/>
            </w:pPr>
            <w:r>
              <w:t>(n = 229)</w:t>
            </w:r>
          </w:p>
        </w:tc>
      </w:tr>
      <w:tr w:rsidR="00741586" w:rsidRPr="00F37D4D" w14:paraId="4610DAF2"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66759C8" w14:textId="77777777" w:rsidR="009C4600" w:rsidRPr="00F37D4D" w:rsidRDefault="00BE7CB1" w:rsidP="00F64BF9">
            <w:pPr>
              <w:pStyle w:val="TABLES"/>
              <w:ind w:left="57" w:right="57"/>
            </w:pPr>
            <w:r>
              <w:t>% pacient</w:t>
            </w:r>
            <w:r w:rsidR="009D2307">
              <w:t>ov</w:t>
            </w:r>
            <w:r>
              <w:t xml:space="preserve"> s objektívnou odpoveďou</w:t>
            </w:r>
          </w:p>
        </w:tc>
        <w:tc>
          <w:tcPr>
            <w:tcW w:w="547" w:type="pct"/>
            <w:tcBorders>
              <w:top w:val="single" w:sz="4" w:space="0" w:color="000000"/>
              <w:left w:val="single" w:sz="4" w:space="0" w:color="000000"/>
              <w:bottom w:val="single" w:sz="4" w:space="0" w:color="000000"/>
              <w:right w:val="single" w:sz="4" w:space="0" w:color="000000"/>
            </w:tcBorders>
            <w:hideMark/>
          </w:tcPr>
          <w:p w14:paraId="45EBFD89" w14:textId="77777777" w:rsidR="009C4600" w:rsidRPr="00F37D4D" w:rsidRDefault="00BE7CB1" w:rsidP="00F64BF9">
            <w:pPr>
              <w:pStyle w:val="TABLES"/>
              <w:ind w:left="57" w:right="57"/>
              <w:jc w:val="center"/>
            </w:pPr>
            <w:r>
              <w:t>23,4</w:t>
            </w:r>
          </w:p>
        </w:tc>
        <w:tc>
          <w:tcPr>
            <w:tcW w:w="1218" w:type="pct"/>
            <w:tcBorders>
              <w:top w:val="single" w:sz="4" w:space="0" w:color="000000"/>
              <w:left w:val="single" w:sz="4" w:space="0" w:color="000000"/>
              <w:bottom w:val="single" w:sz="4" w:space="0" w:color="000000"/>
              <w:right w:val="single" w:sz="4" w:space="0" w:color="000000"/>
            </w:tcBorders>
            <w:hideMark/>
          </w:tcPr>
          <w:p w14:paraId="096A58BB" w14:textId="77777777" w:rsidR="009C4600" w:rsidRPr="00F37D4D" w:rsidRDefault="00BE7CB1" w:rsidP="00F64BF9">
            <w:pPr>
              <w:pStyle w:val="TABLES"/>
              <w:ind w:left="57" w:right="57"/>
              <w:jc w:val="center"/>
            </w:pPr>
            <w:r>
              <w:t>48,0</w:t>
            </w:r>
          </w:p>
        </w:tc>
        <w:tc>
          <w:tcPr>
            <w:tcW w:w="547" w:type="pct"/>
            <w:tcBorders>
              <w:top w:val="single" w:sz="4" w:space="0" w:color="000000"/>
              <w:left w:val="single" w:sz="4" w:space="0" w:color="000000"/>
              <w:bottom w:val="single" w:sz="4" w:space="0" w:color="000000"/>
              <w:right w:val="single" w:sz="4" w:space="0" w:color="000000"/>
            </w:tcBorders>
            <w:hideMark/>
          </w:tcPr>
          <w:p w14:paraId="4FDABDFF" w14:textId="77777777" w:rsidR="009C4600" w:rsidRPr="00F37D4D" w:rsidRDefault="00BE7CB1" w:rsidP="00F64BF9">
            <w:pPr>
              <w:pStyle w:val="TABLES"/>
              <w:ind w:left="57" w:right="57"/>
              <w:jc w:val="center"/>
            </w:pPr>
            <w:r>
              <w:t>22,2</w:t>
            </w:r>
          </w:p>
        </w:tc>
        <w:tc>
          <w:tcPr>
            <w:tcW w:w="1221" w:type="pct"/>
            <w:tcBorders>
              <w:top w:val="single" w:sz="4" w:space="0" w:color="000000"/>
              <w:left w:val="single" w:sz="4" w:space="0" w:color="000000"/>
              <w:bottom w:val="single" w:sz="4" w:space="0" w:color="000000"/>
              <w:right w:val="single" w:sz="4" w:space="0" w:color="000000"/>
            </w:tcBorders>
            <w:hideMark/>
          </w:tcPr>
          <w:p w14:paraId="15B7C518" w14:textId="77777777" w:rsidR="009C4600" w:rsidRPr="00F37D4D" w:rsidRDefault="00BE7CB1" w:rsidP="00F64BF9">
            <w:pPr>
              <w:pStyle w:val="TABLES"/>
              <w:ind w:left="57" w:right="57"/>
              <w:jc w:val="center"/>
            </w:pPr>
            <w:r>
              <w:t>49,8</w:t>
            </w:r>
          </w:p>
        </w:tc>
      </w:tr>
      <w:tr w:rsidR="00741586" w:rsidRPr="00F37D4D" w14:paraId="457EC57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FAC5CB8" w14:textId="77777777" w:rsidR="009C4600" w:rsidRPr="00F37D4D" w:rsidRDefault="00BE7CB1" w:rsidP="00F64BF9">
            <w:pPr>
              <w:pStyle w:val="TABLES"/>
              <w:ind w:left="567" w:right="57"/>
            </w:pPr>
            <w:r>
              <w:t>p-hodnota</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626DBA69" w14:textId="77777777" w:rsidR="009C4600" w:rsidRPr="00F37D4D" w:rsidRDefault="00BE7CB1" w:rsidP="00F64BF9">
            <w:pPr>
              <w:pStyle w:val="TABLES"/>
              <w:ind w:left="57" w:right="57"/>
              <w:jc w:val="center"/>
            </w:pPr>
            <w:r>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695377F" w14:textId="77777777" w:rsidR="009C4600" w:rsidRPr="00F37D4D" w:rsidRDefault="00BE7CB1" w:rsidP="00F64BF9">
            <w:pPr>
              <w:pStyle w:val="TABLES"/>
              <w:ind w:left="57" w:right="57"/>
              <w:jc w:val="center"/>
            </w:pPr>
            <w:r>
              <w:t>&lt; 0,0001</w:t>
            </w:r>
          </w:p>
        </w:tc>
      </w:tr>
    </w:tbl>
    <w:p w14:paraId="2B699D1A" w14:textId="77777777" w:rsidR="009C4600" w:rsidRPr="00F37D4D" w:rsidRDefault="00BE7CB1" w:rsidP="00F64BF9">
      <w:pPr>
        <w:tabs>
          <w:tab w:val="clear" w:pos="567"/>
          <w:tab w:val="left" w:pos="284"/>
        </w:tabs>
        <w:spacing w:line="240" w:lineRule="auto"/>
        <w:ind w:left="284" w:hanging="284"/>
        <w:rPr>
          <w:sz w:val="20"/>
        </w:rPr>
      </w:pPr>
      <w:r>
        <w:rPr>
          <w:sz w:val="20"/>
        </w:rPr>
        <w:t>*</w:t>
      </w:r>
      <w:r w:rsidRPr="00F37D4D">
        <w:rPr>
          <w:sz w:val="20"/>
        </w:rPr>
        <w:tab/>
      </w:r>
      <w:r>
        <w:rPr>
          <w:spacing w:val="-2"/>
          <w:sz w:val="20"/>
        </w:rPr>
        <w:t>Primárna analýza</w:t>
      </w:r>
    </w:p>
    <w:p w14:paraId="0DBCBD80" w14:textId="77777777" w:rsidR="009C4600" w:rsidRPr="0035578E"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F37D4D" w14:paraId="52C722E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E7CD1" w14:textId="77777777" w:rsidR="009C4600" w:rsidRPr="00F37D4D" w:rsidRDefault="00BE7CB1" w:rsidP="00F64BF9">
            <w:pPr>
              <w:pStyle w:val="TABLES"/>
              <w:keepNext/>
              <w:ind w:left="57" w:right="57"/>
            </w:pPr>
            <w:r>
              <w:t>Celkové prežívanie</w:t>
            </w:r>
          </w:p>
        </w:tc>
      </w:tr>
      <w:tr w:rsidR="00426A6D" w:rsidRPr="00F37D4D" w14:paraId="643ED121"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3C940FD4" w14:textId="77777777" w:rsidR="00426A6D" w:rsidRPr="00F37D4D" w:rsidRDefault="00426A6D" w:rsidP="00F64BF9">
            <w:pPr>
              <w:pStyle w:val="TABLES"/>
              <w:keepNext/>
              <w:ind w:left="57" w:right="57"/>
              <w:jc w:val="center"/>
            </w:pPr>
          </w:p>
        </w:tc>
        <w:tc>
          <w:tcPr>
            <w:tcW w:w="946" w:type="pct"/>
            <w:tcBorders>
              <w:top w:val="single" w:sz="4" w:space="0" w:color="000000"/>
              <w:left w:val="single" w:sz="4" w:space="0" w:color="000000"/>
              <w:bottom w:val="nil"/>
              <w:right w:val="single" w:sz="4" w:space="0" w:color="000000"/>
            </w:tcBorders>
          </w:tcPr>
          <w:p w14:paraId="17300C2A" w14:textId="77777777" w:rsidR="00426A6D" w:rsidRPr="00F37D4D" w:rsidRDefault="00426A6D" w:rsidP="00F64BF9">
            <w:pPr>
              <w:pStyle w:val="TABLES"/>
              <w:ind w:left="57" w:right="57"/>
              <w:jc w:val="center"/>
            </w:pPr>
            <w:r>
              <w:t>Paklitaxel</w:t>
            </w:r>
          </w:p>
        </w:tc>
        <w:tc>
          <w:tcPr>
            <w:tcW w:w="2164" w:type="pct"/>
            <w:tcBorders>
              <w:top w:val="single" w:sz="4" w:space="0" w:color="000000"/>
              <w:left w:val="single" w:sz="4" w:space="0" w:color="000000"/>
              <w:bottom w:val="nil"/>
              <w:right w:val="single" w:sz="4" w:space="0" w:color="000000"/>
            </w:tcBorders>
            <w:hideMark/>
          </w:tcPr>
          <w:p w14:paraId="294F5A10" w14:textId="77777777" w:rsidR="00426A6D" w:rsidRPr="00F37D4D" w:rsidRDefault="00426A6D" w:rsidP="00F64BF9">
            <w:pPr>
              <w:pStyle w:val="TABLES"/>
              <w:ind w:left="57" w:right="57"/>
              <w:jc w:val="center"/>
            </w:pPr>
            <w:r>
              <w:t>Paklitaxel/bevacizumab</w:t>
            </w:r>
          </w:p>
        </w:tc>
      </w:tr>
      <w:tr w:rsidR="00426A6D" w:rsidRPr="00F37D4D" w14:paraId="3EA4AAE5"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58E9DD77" w14:textId="77777777" w:rsidR="00426A6D" w:rsidRPr="00F37D4D" w:rsidRDefault="00426A6D" w:rsidP="00F64BF9">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1EE20F73" w14:textId="77777777" w:rsidR="00426A6D" w:rsidRPr="00F37D4D" w:rsidRDefault="00426A6D" w:rsidP="00F64BF9">
            <w:pPr>
              <w:pStyle w:val="TABLES"/>
              <w:ind w:left="57" w:right="57"/>
              <w:jc w:val="center"/>
            </w:pPr>
            <w:r>
              <w:t>(n = 354)</w:t>
            </w:r>
          </w:p>
        </w:tc>
        <w:tc>
          <w:tcPr>
            <w:tcW w:w="2164" w:type="pct"/>
            <w:tcBorders>
              <w:top w:val="nil"/>
              <w:left w:val="single" w:sz="4" w:space="0" w:color="000000"/>
              <w:bottom w:val="single" w:sz="4" w:space="0" w:color="000000"/>
              <w:right w:val="single" w:sz="4" w:space="0" w:color="000000"/>
            </w:tcBorders>
          </w:tcPr>
          <w:p w14:paraId="617773DC" w14:textId="77777777" w:rsidR="00426A6D" w:rsidRPr="00F37D4D" w:rsidRDefault="00426A6D" w:rsidP="00F64BF9">
            <w:pPr>
              <w:pStyle w:val="TABLES"/>
              <w:ind w:left="57" w:right="57"/>
              <w:jc w:val="center"/>
            </w:pPr>
            <w:r>
              <w:t>(n = 368)</w:t>
            </w:r>
          </w:p>
        </w:tc>
      </w:tr>
      <w:tr w:rsidR="00741586" w:rsidRPr="00F37D4D" w14:paraId="04171233"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4E3CE337" w14:textId="77777777" w:rsidR="009C4600" w:rsidRPr="00F37D4D" w:rsidRDefault="00BE7CB1" w:rsidP="00F64BF9">
            <w:pPr>
              <w:pStyle w:val="TABLES"/>
              <w:ind w:left="567" w:right="57"/>
            </w:pPr>
            <w:r>
              <w:t>Medián OS (mesiace)</w:t>
            </w:r>
          </w:p>
        </w:tc>
        <w:tc>
          <w:tcPr>
            <w:tcW w:w="946" w:type="pct"/>
            <w:tcBorders>
              <w:top w:val="single" w:sz="4" w:space="0" w:color="000000"/>
              <w:left w:val="single" w:sz="4" w:space="0" w:color="000000"/>
              <w:bottom w:val="single" w:sz="4" w:space="0" w:color="000000"/>
              <w:right w:val="single" w:sz="4" w:space="0" w:color="000000"/>
            </w:tcBorders>
            <w:hideMark/>
          </w:tcPr>
          <w:p w14:paraId="10E58E86" w14:textId="77777777" w:rsidR="009C4600" w:rsidRPr="00F37D4D" w:rsidRDefault="00BE7CB1" w:rsidP="00F64BF9">
            <w:pPr>
              <w:pStyle w:val="TABLES"/>
              <w:ind w:left="57" w:right="57"/>
              <w:jc w:val="center"/>
            </w:pPr>
            <w:r>
              <w:t>24,8</w:t>
            </w:r>
          </w:p>
        </w:tc>
        <w:tc>
          <w:tcPr>
            <w:tcW w:w="2164" w:type="pct"/>
            <w:tcBorders>
              <w:top w:val="single" w:sz="4" w:space="0" w:color="000000"/>
              <w:left w:val="single" w:sz="4" w:space="0" w:color="000000"/>
              <w:bottom w:val="single" w:sz="4" w:space="0" w:color="000000"/>
              <w:right w:val="single" w:sz="4" w:space="0" w:color="000000"/>
            </w:tcBorders>
            <w:hideMark/>
          </w:tcPr>
          <w:p w14:paraId="5199607A" w14:textId="77777777" w:rsidR="009C4600" w:rsidRPr="00F37D4D" w:rsidRDefault="00BE7CB1" w:rsidP="00F64BF9">
            <w:pPr>
              <w:pStyle w:val="TABLES"/>
              <w:ind w:left="57" w:right="57"/>
              <w:jc w:val="center"/>
            </w:pPr>
            <w:r>
              <w:t>26,5</w:t>
            </w:r>
          </w:p>
        </w:tc>
      </w:tr>
      <w:tr w:rsidR="00741586" w:rsidRPr="00F37D4D" w14:paraId="750F9A22"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421D4E5" w14:textId="77777777" w:rsidR="009C4600" w:rsidRPr="00F37D4D" w:rsidRDefault="00BE7CB1" w:rsidP="00F64BF9">
            <w:pPr>
              <w:pStyle w:val="TABLES"/>
              <w:ind w:left="567" w:right="57"/>
            </w:pPr>
            <w:r>
              <w:rPr>
                <w:spacing w:val="-2"/>
              </w:rPr>
              <w:t>HR (95 % I</w:t>
            </w:r>
            <w:r w:rsidR="00FB0AB9">
              <w:rPr>
                <w:spacing w:val="-2"/>
              </w:rPr>
              <w:t>S</w:t>
            </w:r>
            <w:r>
              <w:rPr>
                <w:spacing w:val="-2"/>
              </w:rPr>
              <w:t>)</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0F108AB" w14:textId="77777777" w:rsidR="009C4600" w:rsidRPr="00F37D4D" w:rsidRDefault="00BE7CB1" w:rsidP="00F64BF9">
            <w:pPr>
              <w:pStyle w:val="TABLES"/>
              <w:ind w:left="57" w:right="57"/>
              <w:jc w:val="center"/>
            </w:pPr>
            <w:r>
              <w:t>0,869</w:t>
            </w:r>
          </w:p>
          <w:p w14:paraId="59E659CB" w14:textId="77777777" w:rsidR="009C4600" w:rsidRPr="00F37D4D" w:rsidRDefault="00BE7CB1" w:rsidP="00F64BF9">
            <w:pPr>
              <w:pStyle w:val="TABLES"/>
              <w:ind w:left="57" w:right="57"/>
              <w:jc w:val="center"/>
            </w:pPr>
            <w:r>
              <w:t>(0,722; 1,046)</w:t>
            </w:r>
          </w:p>
        </w:tc>
      </w:tr>
      <w:tr w:rsidR="00741586" w:rsidRPr="00F37D4D" w14:paraId="2E188F64"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7298FEF0" w14:textId="77777777" w:rsidR="009C4600" w:rsidRPr="00F37D4D" w:rsidRDefault="00BE7CB1" w:rsidP="00F64BF9">
            <w:pPr>
              <w:pStyle w:val="TABLES"/>
              <w:ind w:left="567" w:right="57"/>
            </w:pPr>
            <w:r>
              <w:t>p-hodnota</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72792F4D" w14:textId="77777777" w:rsidR="009C4600" w:rsidRPr="00F37D4D" w:rsidRDefault="00BE7CB1" w:rsidP="00F64BF9">
            <w:pPr>
              <w:pStyle w:val="TABLES"/>
              <w:ind w:left="57" w:right="57"/>
              <w:jc w:val="center"/>
            </w:pPr>
            <w:r>
              <w:t>0,1374</w:t>
            </w:r>
          </w:p>
        </w:tc>
      </w:tr>
    </w:tbl>
    <w:p w14:paraId="7F41B0E3" w14:textId="77777777" w:rsidR="009C4600" w:rsidRPr="00F67844" w:rsidRDefault="009C4600" w:rsidP="00F64BF9">
      <w:pPr>
        <w:spacing w:line="240" w:lineRule="auto"/>
      </w:pPr>
    </w:p>
    <w:p w14:paraId="162BF233" w14:textId="77777777" w:rsidR="009C4600" w:rsidRPr="00F67844" w:rsidRDefault="00BE7CB1" w:rsidP="00F64BF9">
      <w:pPr>
        <w:spacing w:line="240" w:lineRule="auto"/>
        <w:rPr>
          <w:rFonts w:eastAsia="SimSun"/>
        </w:rPr>
      </w:pPr>
      <w:r>
        <w:t>Klinický prínos bevacizumabu meraný pomocou PFS sa pozoroval vo všetkých skúšaných vopred špecifikovaných podskupinách (zahŕňajúcich interval bez prejavov ochorenia, počet metastatických ložísk, predošlú adjuvantnú chemoterapiu a stav estrogénových receptorov (ER)).</w:t>
      </w:r>
    </w:p>
    <w:p w14:paraId="2EF73A36" w14:textId="77777777" w:rsidR="009C4600" w:rsidRPr="00F67844" w:rsidRDefault="009C4600" w:rsidP="00F64BF9">
      <w:pPr>
        <w:spacing w:line="240" w:lineRule="auto"/>
        <w:rPr>
          <w:rFonts w:eastAsia="SimSun"/>
        </w:rPr>
      </w:pPr>
    </w:p>
    <w:p w14:paraId="5D80FF7C" w14:textId="77777777" w:rsidR="009C4600"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AVF3694g</w:t>
      </w:r>
    </w:p>
    <w:p w14:paraId="38D61808" w14:textId="77777777" w:rsidR="005B6C83" w:rsidRPr="00F37D4D" w:rsidRDefault="005B6C83" w:rsidP="00F64BF9">
      <w:pPr>
        <w:keepNext/>
        <w:tabs>
          <w:tab w:val="clear" w:pos="567"/>
          <w:tab w:val="left" w:pos="720"/>
        </w:tabs>
        <w:autoSpaceDE w:val="0"/>
        <w:autoSpaceDN w:val="0"/>
        <w:adjustRightInd w:val="0"/>
        <w:spacing w:line="240" w:lineRule="auto"/>
        <w:rPr>
          <w:rFonts w:eastAsia="SimSun"/>
          <w:i/>
          <w:iCs/>
          <w:szCs w:val="22"/>
        </w:rPr>
      </w:pPr>
    </w:p>
    <w:p w14:paraId="0864B889" w14:textId="77777777"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Štúdia AVF3694g bolo multicentrické, randomizované, placebom kontrolované klinické skúšanie fázy III dizajnované na zhodnotenie účinnosti a bezpečnosti bevacizumabu v kombinácii s chemoterapiou v porovnaní s chemoterapiou plus placebo ako prvej línie liečby u pacientok s HER2-negatívnym metastatickým alebo lokálne recidivujúcim karcinómom prsníka.</w:t>
      </w:r>
    </w:p>
    <w:p w14:paraId="1B081A24"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20DF9DAA" w14:textId="77777777"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Chemoterapia bola zvolená podľa zváženia skúšajúceho lekára pred randomizáciou v pomere 2:1, aby pacientky dostávali buď chemoterapiu plus bevacizumab alebo chemoterapiu plus placebo. Výber chemoterapie zahŕňal kapecitabín, taxán (paklitaxel viazaný na proteíny, docetaxel), liečivá na báze antracyklínu (doxorubicín/cyklofosfamid, epirubicín/cyklofosfamid, 5-fluóruracil/doxorubicín/cyklofosfamid, 5-fluóruracil/epirubicín/cyklofosfamid), ktoré sa podávali každé tri týždne. Bevacizumab alebo placebo sa podávali v dávke 15 mg/kg každé tri týždne.</w:t>
      </w:r>
    </w:p>
    <w:p w14:paraId="3DB03A48"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2CB8A67D" w14:textId="77777777"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Do tohto klinického skúšania bola začlenená aj zaslepená liečebná fáza, voliteľná otvorená fáza po progresii ochorenia a fáza následného sledovania prežívania. Počas zaslepenej liečebnej fázy dostávali pacienti chemoterapiu a liek (bevacizumab alebo placebo) každé 3 týždne až do progresie ochorenia, neakceptovateľnej toxicity alebo do úmrtia pacienta. Pri zdokumentovanej progresii ochorenia tí pacienti, ktorí prešli do voliteľnej otvorenej fázy, mohli dostávať v otvorenom podávaní bevacizumab spolu so širokým spektrom liekov druhej línie.</w:t>
      </w:r>
    </w:p>
    <w:p w14:paraId="42D7C414"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6A8A15B8" w14:textId="77777777"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 xml:space="preserve">Štatistické analýzy boli vyhodnotené nezávisle 1) u pacientok, ktoré dostávali kapecitabín v kombinácii s bevacizumabom alebo placebom; 2) u pacientok, ktoré dostávali chemoterapiu na báze taxánov alebo antracyklínov, ktorí dostávali kapecitabín v kombinácii s bevacizumabom alebo placebom. Primárnym koncovým ukazovateľom štúdie bolo PFS hodnotené skúšajúcim lekárom. </w:t>
      </w:r>
      <w:r>
        <w:lastRenderedPageBreak/>
        <w:t>Zároveň, primárny koncový ukazovateľ bol hodnotený nezávislou revíznou komisiou (IRC, independent review committee).</w:t>
      </w:r>
    </w:p>
    <w:p w14:paraId="4E70279B"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3FAC5780" w14:textId="77777777" w:rsidR="009C4600" w:rsidRPr="00F37D4D" w:rsidRDefault="00BE7CB1" w:rsidP="00F64BF9">
      <w:pPr>
        <w:tabs>
          <w:tab w:val="clear" w:pos="567"/>
          <w:tab w:val="left" w:pos="720"/>
        </w:tabs>
        <w:autoSpaceDE w:val="0"/>
        <w:autoSpaceDN w:val="0"/>
        <w:adjustRightInd w:val="0"/>
        <w:spacing w:line="240" w:lineRule="auto"/>
        <w:rPr>
          <w:szCs w:val="22"/>
        </w:rPr>
      </w:pPr>
      <w:r>
        <w:t>Výsledky štúdie AVF3694g z analýz stanovených záverečným protokolom z hľadiska času prežívania bez progresie ochorenia a miery odpovede pre skupiny kapecitabínu s placebom alebo bevacizumabom sú uvedené v tabuľke 11. Uvádzajú sa aj výsledky prieskumnej analýzy celkového prežitia, ktoré zahŕňajú ďalších 7 mesiacov sledovania (približne 46 % pacientov zomrelo). Percento pacientov, ktorí dostávali bevacizumab v otvorenej fáze, bolo 62,1 % v skupine kapecitabín + placebo a 49,9 % v skupine kapecitabín + bevacizumab.</w:t>
      </w:r>
    </w:p>
    <w:p w14:paraId="51A59C72" w14:textId="77777777" w:rsidR="009C4600" w:rsidRPr="00755C59" w:rsidRDefault="009C4600" w:rsidP="00755C59"/>
    <w:p w14:paraId="596F9E2D" w14:textId="2B4CC55B" w:rsidR="009C4600" w:rsidRPr="00F67844" w:rsidRDefault="00BE7CB1" w:rsidP="002C316C">
      <w:pPr>
        <w:keepNext/>
        <w:keepLines/>
        <w:spacing w:line="240" w:lineRule="auto"/>
        <w:rPr>
          <w:b/>
          <w:bCs/>
        </w:rPr>
      </w:pPr>
      <w:r>
        <w:rPr>
          <w:b/>
        </w:rPr>
        <w:t>Tabuľka 11</w:t>
      </w:r>
      <w:r w:rsidR="0029583E">
        <w:rPr>
          <w:b/>
        </w:rPr>
        <w:t>.</w:t>
      </w:r>
      <w:r>
        <w:rPr>
          <w:b/>
        </w:rPr>
        <w:t xml:space="preserve"> Výsledky účinnosti v štúdii AVF3694g: kapecitabín </w:t>
      </w:r>
      <w:r w:rsidRPr="00F67844">
        <w:rPr>
          <w:b/>
          <w:bCs/>
          <w:vertAlign w:val="superscript"/>
        </w:rPr>
        <w:t>a</w:t>
      </w:r>
      <w:r w:rsidR="006F7E8B">
        <w:rPr>
          <w:b/>
        </w:rPr>
        <w:t> a bevacizumab</w:t>
      </w:r>
      <w:r>
        <w:rPr>
          <w:b/>
        </w:rPr>
        <w:t xml:space="preserve">/placebo (kap + </w:t>
      </w:r>
      <w:r w:rsidR="006F7E8B">
        <w:rPr>
          <w:b/>
        </w:rPr>
        <w:t>bevacizumab</w:t>
      </w:r>
      <w:r>
        <w:rPr>
          <w:b/>
        </w:rPr>
        <w:t>/P</w:t>
      </w:r>
      <w:r w:rsidR="00A06518">
        <w:rPr>
          <w:b/>
        </w:rPr>
        <w:t>l</w:t>
      </w:r>
      <w:r>
        <w:rPr>
          <w:b/>
        </w:rPr>
        <w:t>)</w:t>
      </w:r>
    </w:p>
    <w:p w14:paraId="2A13F93E" w14:textId="77777777" w:rsidR="009C4600" w:rsidRPr="00F67844" w:rsidRDefault="009C4600" w:rsidP="002C316C">
      <w:pPr>
        <w:keepNext/>
        <w:keepLines/>
        <w:spacing w:line="240" w:lineRule="auto"/>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F37D4D" w14:paraId="49D943C7"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5B4D91A5" w14:textId="77777777" w:rsidR="009C4600" w:rsidRPr="00F37D4D" w:rsidRDefault="00BE7CB1" w:rsidP="002C316C">
            <w:pPr>
              <w:pStyle w:val="TABLES"/>
              <w:keepNext/>
              <w:keepLines/>
              <w:ind w:left="57" w:right="57"/>
            </w:pPr>
            <w:r>
              <w:t>Prežívani</w:t>
            </w:r>
            <w:r w:rsidR="009B652A">
              <w:t>e</w:t>
            </w:r>
            <w:r>
              <w:t xml:space="preserve"> bez progresie </w:t>
            </w:r>
            <w:r w:rsidRPr="00F37D4D">
              <w:rPr>
                <w:vertAlign w:val="superscript"/>
              </w:rPr>
              <w:t>b</w:t>
            </w:r>
          </w:p>
        </w:tc>
      </w:tr>
      <w:tr w:rsidR="00741586" w:rsidRPr="0035578E" w14:paraId="19E450B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2F0A0528" w14:textId="77777777" w:rsidR="009C4600" w:rsidRPr="0035578E" w:rsidRDefault="009C4600" w:rsidP="002C316C">
            <w:pPr>
              <w:pStyle w:val="TABLES"/>
              <w:keepNext/>
              <w:keepLines/>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E749D88" w14:textId="77777777" w:rsidR="009C4600" w:rsidRPr="0035578E" w:rsidRDefault="00BE7CB1" w:rsidP="002C316C">
            <w:pPr>
              <w:pStyle w:val="TABLES"/>
              <w:keepNext/>
              <w:keepLines/>
              <w:ind w:left="57" w:right="57"/>
              <w:jc w:val="center"/>
            </w:pPr>
            <w:r>
              <w:t>Hodnotenie skúšajúcim</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ACC479E" w14:textId="77777777" w:rsidR="009C4600" w:rsidRPr="0035578E" w:rsidRDefault="00BE7CB1" w:rsidP="002C316C">
            <w:pPr>
              <w:pStyle w:val="TABLES"/>
              <w:keepNext/>
              <w:keepLines/>
              <w:ind w:left="57" w:right="57"/>
              <w:jc w:val="center"/>
            </w:pPr>
            <w:r>
              <w:t xml:space="preserve">Posúdenie </w:t>
            </w:r>
            <w:r w:rsidRPr="00596761">
              <w:t>IRC</w:t>
            </w:r>
          </w:p>
        </w:tc>
      </w:tr>
      <w:tr w:rsidR="00426A6D" w:rsidRPr="0035578E" w14:paraId="6E029D1C"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66FA426B" w14:textId="77777777" w:rsidR="00426A6D" w:rsidRPr="0035578E" w:rsidRDefault="00426A6D" w:rsidP="002C316C">
            <w:pPr>
              <w:pStyle w:val="TABLES"/>
              <w:keepNext/>
              <w:keepLines/>
              <w:ind w:left="57" w:right="57"/>
              <w:jc w:val="center"/>
            </w:pPr>
          </w:p>
        </w:tc>
        <w:tc>
          <w:tcPr>
            <w:tcW w:w="528" w:type="pct"/>
            <w:tcBorders>
              <w:top w:val="single" w:sz="8" w:space="0" w:color="000000"/>
              <w:left w:val="single" w:sz="8" w:space="0" w:color="000000"/>
              <w:bottom w:val="nil"/>
              <w:right w:val="single" w:sz="8" w:space="0" w:color="000000"/>
            </w:tcBorders>
            <w:hideMark/>
          </w:tcPr>
          <w:p w14:paraId="29D2E1F5" w14:textId="77777777" w:rsidR="00426A6D" w:rsidRPr="0035578E" w:rsidRDefault="00426A6D" w:rsidP="002C316C">
            <w:pPr>
              <w:pStyle w:val="TABLES"/>
              <w:keepNext/>
              <w:keepLines/>
              <w:ind w:left="57" w:right="57"/>
              <w:jc w:val="center"/>
            </w:pPr>
            <w:r>
              <w:t>Kap + Pl</w:t>
            </w:r>
          </w:p>
        </w:tc>
        <w:tc>
          <w:tcPr>
            <w:tcW w:w="1029" w:type="pct"/>
            <w:tcBorders>
              <w:top w:val="single" w:sz="8" w:space="0" w:color="000000"/>
              <w:left w:val="single" w:sz="8" w:space="0" w:color="000000"/>
              <w:bottom w:val="nil"/>
              <w:right w:val="single" w:sz="8" w:space="0" w:color="000000"/>
            </w:tcBorders>
            <w:hideMark/>
          </w:tcPr>
          <w:p w14:paraId="1A333ABD" w14:textId="77777777" w:rsidR="00426A6D" w:rsidRPr="0035578E" w:rsidRDefault="00426A6D" w:rsidP="002C316C">
            <w:pPr>
              <w:pStyle w:val="TABLES"/>
              <w:keepNext/>
              <w:keepLines/>
              <w:ind w:left="57" w:right="57"/>
              <w:jc w:val="center"/>
            </w:pPr>
            <w:r>
              <w:t>Kap + bevacizumab</w:t>
            </w:r>
          </w:p>
        </w:tc>
        <w:tc>
          <w:tcPr>
            <w:tcW w:w="528" w:type="pct"/>
            <w:tcBorders>
              <w:top w:val="single" w:sz="8" w:space="0" w:color="000000"/>
              <w:left w:val="single" w:sz="8" w:space="0" w:color="000000"/>
              <w:bottom w:val="nil"/>
              <w:right w:val="single" w:sz="8" w:space="0" w:color="000000"/>
            </w:tcBorders>
            <w:hideMark/>
          </w:tcPr>
          <w:p w14:paraId="3A612A1F" w14:textId="77777777" w:rsidR="00426A6D" w:rsidRPr="0035578E" w:rsidRDefault="00426A6D" w:rsidP="002C316C">
            <w:pPr>
              <w:pStyle w:val="TABLES"/>
              <w:keepNext/>
              <w:keepLines/>
              <w:ind w:left="57" w:right="57"/>
              <w:jc w:val="center"/>
            </w:pPr>
            <w:r>
              <w:t>Kap + Pl</w:t>
            </w:r>
          </w:p>
        </w:tc>
        <w:tc>
          <w:tcPr>
            <w:tcW w:w="1029" w:type="pct"/>
            <w:tcBorders>
              <w:top w:val="single" w:sz="8" w:space="0" w:color="000000"/>
              <w:left w:val="single" w:sz="8" w:space="0" w:color="000000"/>
              <w:bottom w:val="nil"/>
              <w:right w:val="single" w:sz="8" w:space="0" w:color="000000"/>
            </w:tcBorders>
            <w:hideMark/>
          </w:tcPr>
          <w:p w14:paraId="3C99A959" w14:textId="77777777" w:rsidR="00426A6D" w:rsidRPr="0035578E" w:rsidRDefault="00426A6D" w:rsidP="002C316C">
            <w:pPr>
              <w:pStyle w:val="TABLES"/>
              <w:keepNext/>
              <w:keepLines/>
              <w:ind w:left="57" w:right="57"/>
              <w:jc w:val="center"/>
            </w:pPr>
            <w:r>
              <w:t>Kap + bevacizumab</w:t>
            </w:r>
          </w:p>
        </w:tc>
      </w:tr>
      <w:tr w:rsidR="00426A6D" w:rsidRPr="0035578E" w14:paraId="7B4DA401"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75523CF2" w14:textId="77777777" w:rsidR="00426A6D" w:rsidRPr="0035578E" w:rsidRDefault="00426A6D" w:rsidP="002C316C">
            <w:pPr>
              <w:pStyle w:val="TABLES"/>
              <w:keepNext/>
              <w:keepLines/>
              <w:ind w:left="57" w:right="57"/>
              <w:jc w:val="center"/>
            </w:pPr>
          </w:p>
        </w:tc>
        <w:tc>
          <w:tcPr>
            <w:tcW w:w="528" w:type="pct"/>
            <w:tcBorders>
              <w:top w:val="nil"/>
              <w:left w:val="single" w:sz="8" w:space="0" w:color="000000"/>
              <w:bottom w:val="single" w:sz="8" w:space="0" w:color="000000"/>
              <w:right w:val="single" w:sz="8" w:space="0" w:color="000000"/>
            </w:tcBorders>
          </w:tcPr>
          <w:p w14:paraId="6EF900D4" w14:textId="77777777" w:rsidR="00426A6D" w:rsidRPr="0035578E" w:rsidRDefault="00426A6D" w:rsidP="002C316C">
            <w:pPr>
              <w:pStyle w:val="TABLES"/>
              <w:keepNext/>
              <w:keepLines/>
              <w:ind w:left="57" w:right="57"/>
              <w:jc w:val="center"/>
            </w:pPr>
            <w:r>
              <w:t>(n = 206)</w:t>
            </w:r>
          </w:p>
        </w:tc>
        <w:tc>
          <w:tcPr>
            <w:tcW w:w="1029" w:type="pct"/>
            <w:tcBorders>
              <w:top w:val="nil"/>
              <w:left w:val="single" w:sz="8" w:space="0" w:color="000000"/>
              <w:bottom w:val="single" w:sz="8" w:space="0" w:color="000000"/>
              <w:right w:val="single" w:sz="8" w:space="0" w:color="000000"/>
            </w:tcBorders>
          </w:tcPr>
          <w:p w14:paraId="61A1BB07" w14:textId="77777777" w:rsidR="00426A6D" w:rsidRPr="0035578E" w:rsidRDefault="00426A6D" w:rsidP="002C316C">
            <w:pPr>
              <w:pStyle w:val="TABLES"/>
              <w:keepNext/>
              <w:keepLines/>
              <w:ind w:left="57" w:right="57"/>
              <w:jc w:val="center"/>
            </w:pPr>
            <w:r>
              <w:t>(n = 409)</w:t>
            </w:r>
          </w:p>
        </w:tc>
        <w:tc>
          <w:tcPr>
            <w:tcW w:w="528" w:type="pct"/>
            <w:tcBorders>
              <w:top w:val="nil"/>
              <w:left w:val="single" w:sz="8" w:space="0" w:color="000000"/>
              <w:bottom w:val="single" w:sz="8" w:space="0" w:color="000000"/>
              <w:right w:val="single" w:sz="8" w:space="0" w:color="000000"/>
            </w:tcBorders>
          </w:tcPr>
          <w:p w14:paraId="1490D8AF" w14:textId="77777777" w:rsidR="00426A6D" w:rsidRPr="0035578E" w:rsidRDefault="00426A6D" w:rsidP="002C316C">
            <w:pPr>
              <w:pStyle w:val="TABLES"/>
              <w:keepNext/>
              <w:keepLines/>
              <w:ind w:left="57" w:right="57"/>
              <w:jc w:val="center"/>
            </w:pPr>
            <w:r>
              <w:t>(n = 206)</w:t>
            </w:r>
          </w:p>
        </w:tc>
        <w:tc>
          <w:tcPr>
            <w:tcW w:w="1029" w:type="pct"/>
            <w:tcBorders>
              <w:top w:val="nil"/>
              <w:left w:val="single" w:sz="8" w:space="0" w:color="000000"/>
              <w:bottom w:val="single" w:sz="8" w:space="0" w:color="000000"/>
              <w:right w:val="single" w:sz="8" w:space="0" w:color="000000"/>
            </w:tcBorders>
          </w:tcPr>
          <w:p w14:paraId="13D55C96" w14:textId="77777777" w:rsidR="00426A6D" w:rsidRPr="0035578E" w:rsidRDefault="00426A6D" w:rsidP="002C316C">
            <w:pPr>
              <w:pStyle w:val="TABLES"/>
              <w:keepNext/>
              <w:keepLines/>
              <w:ind w:left="57" w:right="57"/>
              <w:jc w:val="center"/>
            </w:pPr>
            <w:r>
              <w:t>(n = 409)</w:t>
            </w:r>
          </w:p>
        </w:tc>
      </w:tr>
      <w:tr w:rsidR="00741586" w:rsidRPr="00F37D4D" w14:paraId="51817670"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C99BF6F" w14:textId="77777777" w:rsidR="009C4600" w:rsidRPr="00F37D4D" w:rsidRDefault="00BE7CB1" w:rsidP="002C316C">
            <w:pPr>
              <w:pStyle w:val="TABLES"/>
              <w:keepNext/>
              <w:keepLines/>
              <w:ind w:left="57" w:right="57"/>
            </w:pPr>
            <w:r>
              <w:t>Medián PFS (mesiace)</w:t>
            </w:r>
          </w:p>
        </w:tc>
        <w:tc>
          <w:tcPr>
            <w:tcW w:w="528" w:type="pct"/>
            <w:tcBorders>
              <w:top w:val="single" w:sz="8" w:space="0" w:color="000000"/>
              <w:left w:val="single" w:sz="8" w:space="0" w:color="000000"/>
              <w:bottom w:val="single" w:sz="8" w:space="0" w:color="000000"/>
              <w:right w:val="single" w:sz="8" w:space="0" w:color="000000"/>
            </w:tcBorders>
            <w:hideMark/>
          </w:tcPr>
          <w:p w14:paraId="6151F5F1" w14:textId="77777777" w:rsidR="009C4600" w:rsidRPr="00F37D4D" w:rsidRDefault="00BE7CB1" w:rsidP="002C316C">
            <w:pPr>
              <w:pStyle w:val="TABLES"/>
              <w:keepNext/>
              <w:keepLines/>
              <w:ind w:left="57" w:right="57"/>
              <w:jc w:val="center"/>
            </w:pPr>
            <w:r>
              <w:t>5,7</w:t>
            </w:r>
          </w:p>
        </w:tc>
        <w:tc>
          <w:tcPr>
            <w:tcW w:w="1029" w:type="pct"/>
            <w:tcBorders>
              <w:top w:val="single" w:sz="8" w:space="0" w:color="000000"/>
              <w:left w:val="single" w:sz="8" w:space="0" w:color="000000"/>
              <w:bottom w:val="single" w:sz="8" w:space="0" w:color="000000"/>
              <w:right w:val="single" w:sz="8" w:space="0" w:color="000000"/>
            </w:tcBorders>
            <w:hideMark/>
          </w:tcPr>
          <w:p w14:paraId="2054F8B1" w14:textId="77777777" w:rsidR="009C4600" w:rsidRPr="00F37D4D" w:rsidRDefault="00BE7CB1" w:rsidP="002C316C">
            <w:pPr>
              <w:pStyle w:val="TABLES"/>
              <w:keepNext/>
              <w:keepLines/>
              <w:ind w:left="57" w:right="57"/>
              <w:jc w:val="center"/>
            </w:pPr>
            <w:r>
              <w:t>8,6</w:t>
            </w:r>
          </w:p>
        </w:tc>
        <w:tc>
          <w:tcPr>
            <w:tcW w:w="528" w:type="pct"/>
            <w:tcBorders>
              <w:top w:val="single" w:sz="8" w:space="0" w:color="000000"/>
              <w:left w:val="single" w:sz="8" w:space="0" w:color="000000"/>
              <w:bottom w:val="single" w:sz="8" w:space="0" w:color="000000"/>
              <w:right w:val="single" w:sz="8" w:space="0" w:color="000000"/>
            </w:tcBorders>
            <w:hideMark/>
          </w:tcPr>
          <w:p w14:paraId="76D5657B" w14:textId="77777777" w:rsidR="009C4600" w:rsidRPr="00F37D4D" w:rsidRDefault="00BE7CB1" w:rsidP="002C316C">
            <w:pPr>
              <w:pStyle w:val="TABLES"/>
              <w:keepNext/>
              <w:keepLines/>
              <w:ind w:left="57" w:right="57"/>
              <w:jc w:val="center"/>
            </w:pPr>
            <w:r>
              <w:t>6,2</w:t>
            </w:r>
          </w:p>
        </w:tc>
        <w:tc>
          <w:tcPr>
            <w:tcW w:w="1029" w:type="pct"/>
            <w:tcBorders>
              <w:top w:val="single" w:sz="8" w:space="0" w:color="000000"/>
              <w:left w:val="single" w:sz="8" w:space="0" w:color="000000"/>
              <w:bottom w:val="single" w:sz="8" w:space="0" w:color="000000"/>
              <w:right w:val="single" w:sz="8" w:space="0" w:color="000000"/>
            </w:tcBorders>
            <w:hideMark/>
          </w:tcPr>
          <w:p w14:paraId="73A30EF3" w14:textId="77777777" w:rsidR="009C4600" w:rsidRPr="00F37D4D" w:rsidRDefault="00BE7CB1" w:rsidP="002C316C">
            <w:pPr>
              <w:pStyle w:val="TABLES"/>
              <w:keepNext/>
              <w:keepLines/>
              <w:ind w:left="57" w:right="57"/>
              <w:jc w:val="center"/>
            </w:pPr>
            <w:r>
              <w:t>9,8</w:t>
            </w:r>
          </w:p>
        </w:tc>
      </w:tr>
      <w:tr w:rsidR="00741586" w:rsidRPr="00F37D4D" w14:paraId="25BB44F3"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EA991C2" w14:textId="77777777" w:rsidR="009C4600" w:rsidRPr="00F37D4D" w:rsidRDefault="00BE7CB1" w:rsidP="002C316C">
            <w:pPr>
              <w:pStyle w:val="TABLES"/>
              <w:keepNext/>
              <w:keepLines/>
              <w:ind w:left="57" w:right="57"/>
            </w:pPr>
            <w:r>
              <w:t>Miera rizika oproti skupine s placebom (95 % I</w:t>
            </w:r>
            <w:r w:rsidR="0029583E">
              <w:t>S</w:t>
            </w:r>
            <w:r>
              <w:t>)</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A49AEF7" w14:textId="77777777" w:rsidR="009C4600" w:rsidRPr="00F37D4D" w:rsidRDefault="00BE7CB1" w:rsidP="002C316C">
            <w:pPr>
              <w:pStyle w:val="TABLES"/>
              <w:keepNext/>
              <w:keepLines/>
              <w:ind w:left="57" w:right="57"/>
              <w:jc w:val="center"/>
            </w:pPr>
            <w:r>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7CA44B8" w14:textId="77777777" w:rsidR="009C4600" w:rsidRPr="00F37D4D" w:rsidRDefault="00BE7CB1" w:rsidP="002C316C">
            <w:pPr>
              <w:pStyle w:val="TABLES"/>
              <w:keepNext/>
              <w:keepLines/>
              <w:ind w:left="57" w:right="57"/>
              <w:jc w:val="center"/>
            </w:pPr>
            <w:r>
              <w:t>0,68 (0,54; 0,86)</w:t>
            </w:r>
          </w:p>
        </w:tc>
      </w:tr>
      <w:tr w:rsidR="00741586" w:rsidRPr="00F37D4D" w14:paraId="1903E5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C50ECBB" w14:textId="77777777" w:rsidR="009C4600" w:rsidRPr="00F37D4D" w:rsidRDefault="00BE7CB1" w:rsidP="002C316C">
            <w:pPr>
              <w:pStyle w:val="TABLES"/>
              <w:keepNext/>
              <w:keepLines/>
              <w:ind w:left="57" w:right="57"/>
            </w:pPr>
            <w:r>
              <w:t>p-hodnota</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7967C3A" w14:textId="77777777" w:rsidR="009C4600" w:rsidRPr="00F37D4D" w:rsidRDefault="00BE7CB1" w:rsidP="002C316C">
            <w:pPr>
              <w:pStyle w:val="TABLES"/>
              <w:keepNext/>
              <w:keepLines/>
              <w:ind w:left="57" w:right="57"/>
              <w:jc w:val="center"/>
            </w:pPr>
            <w:r>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1328A30D" w14:textId="77777777" w:rsidR="009C4600" w:rsidRPr="00F37D4D" w:rsidRDefault="00BE7CB1" w:rsidP="002C316C">
            <w:pPr>
              <w:pStyle w:val="TABLES"/>
              <w:keepNext/>
              <w:keepLines/>
              <w:ind w:left="57" w:right="57"/>
              <w:jc w:val="center"/>
            </w:pPr>
            <w:r>
              <w:t>0,0011</w:t>
            </w:r>
          </w:p>
        </w:tc>
      </w:tr>
      <w:tr w:rsidR="00741586" w:rsidRPr="00F37D4D" w14:paraId="5033F70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4583111A" w14:textId="77777777" w:rsidR="009C4600" w:rsidRPr="00F37D4D" w:rsidRDefault="00BE7CB1" w:rsidP="002C316C">
            <w:pPr>
              <w:pStyle w:val="TABLES"/>
              <w:keepNext/>
              <w:keepLines/>
              <w:ind w:left="57" w:right="57"/>
            </w:pPr>
            <w:r>
              <w:t>Miera odpovede (u paciento</w:t>
            </w:r>
            <w:r w:rsidR="009D2307">
              <w:t>v</w:t>
            </w:r>
            <w:r>
              <w:t xml:space="preserve"> s merateľným ochorením)</w:t>
            </w:r>
            <w:r w:rsidRPr="00F37D4D">
              <w:rPr>
                <w:vertAlign w:val="superscript"/>
              </w:rPr>
              <w:t>b</w:t>
            </w:r>
          </w:p>
        </w:tc>
      </w:tr>
      <w:tr w:rsidR="00426A6D" w:rsidRPr="0035578E" w14:paraId="3841E323"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74978BB2" w14:textId="77777777" w:rsidR="00426A6D" w:rsidRPr="0035578E" w:rsidRDefault="00426A6D" w:rsidP="002C316C">
            <w:pPr>
              <w:pStyle w:val="TABLES"/>
              <w:keepNext/>
              <w:keepLin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74D71D8D" w14:textId="77777777" w:rsidR="00426A6D" w:rsidRPr="0035578E" w:rsidRDefault="00426A6D" w:rsidP="002C316C">
            <w:pPr>
              <w:pStyle w:val="TABLES"/>
              <w:keepNext/>
              <w:keepLines/>
              <w:ind w:left="57" w:right="57"/>
              <w:jc w:val="center"/>
            </w:pPr>
            <w:r>
              <w:t>Kap + Pl</w:t>
            </w:r>
          </w:p>
        </w:tc>
        <w:tc>
          <w:tcPr>
            <w:tcW w:w="1556" w:type="pct"/>
            <w:gridSpan w:val="2"/>
            <w:tcBorders>
              <w:top w:val="single" w:sz="8" w:space="0" w:color="000000"/>
              <w:left w:val="single" w:sz="8" w:space="0" w:color="000000"/>
              <w:bottom w:val="nil"/>
              <w:right w:val="single" w:sz="8" w:space="0" w:color="000000"/>
            </w:tcBorders>
            <w:hideMark/>
          </w:tcPr>
          <w:p w14:paraId="7B95AE05" w14:textId="77777777" w:rsidR="00426A6D" w:rsidRPr="0035578E" w:rsidRDefault="00426A6D" w:rsidP="002C316C">
            <w:pPr>
              <w:pStyle w:val="TABLES"/>
              <w:keepNext/>
              <w:keepLines/>
              <w:ind w:left="57" w:right="57"/>
              <w:jc w:val="center"/>
            </w:pPr>
            <w:r>
              <w:t xml:space="preserve">Kap + </w:t>
            </w:r>
            <w:r w:rsidR="006F7E8B">
              <w:t>bevacizumab</w:t>
            </w:r>
          </w:p>
        </w:tc>
      </w:tr>
      <w:tr w:rsidR="00426A6D" w:rsidRPr="0035578E" w14:paraId="50427AFF"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52B39027" w14:textId="77777777" w:rsidR="00426A6D" w:rsidRPr="0035578E" w:rsidRDefault="00426A6D" w:rsidP="002C316C">
            <w:pPr>
              <w:pStyle w:val="TABLES"/>
              <w:keepNext/>
              <w:keepLin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4DAE0B39" w14:textId="77777777" w:rsidR="00426A6D" w:rsidRPr="0035578E" w:rsidRDefault="00426A6D" w:rsidP="002C316C">
            <w:pPr>
              <w:pStyle w:val="TABLES"/>
              <w:keepNext/>
              <w:keepLines/>
              <w:ind w:left="57" w:right="57"/>
              <w:jc w:val="center"/>
            </w:pPr>
            <w:r>
              <w:t>(n = 161)</w:t>
            </w:r>
          </w:p>
        </w:tc>
        <w:tc>
          <w:tcPr>
            <w:tcW w:w="1556" w:type="pct"/>
            <w:gridSpan w:val="2"/>
            <w:tcBorders>
              <w:top w:val="nil"/>
              <w:left w:val="single" w:sz="8" w:space="0" w:color="000000"/>
              <w:bottom w:val="single" w:sz="8" w:space="0" w:color="000000"/>
              <w:right w:val="single" w:sz="8" w:space="0" w:color="000000"/>
            </w:tcBorders>
          </w:tcPr>
          <w:p w14:paraId="28F1687E" w14:textId="77777777" w:rsidR="00426A6D" w:rsidRPr="0035578E" w:rsidRDefault="00426A6D" w:rsidP="002C316C">
            <w:pPr>
              <w:pStyle w:val="TABLES"/>
              <w:keepNext/>
              <w:keepLines/>
              <w:ind w:left="57" w:right="57"/>
              <w:jc w:val="center"/>
            </w:pPr>
            <w:r>
              <w:t>(n = 325)</w:t>
            </w:r>
          </w:p>
        </w:tc>
      </w:tr>
      <w:tr w:rsidR="00741586" w:rsidRPr="00F37D4D" w14:paraId="69752D70"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21755E95" w14:textId="77777777" w:rsidR="009C4600" w:rsidRPr="00F37D4D" w:rsidRDefault="00BE7CB1" w:rsidP="002C316C">
            <w:pPr>
              <w:pStyle w:val="TABLES"/>
              <w:keepNext/>
              <w:keepLines/>
              <w:ind w:left="57" w:right="57"/>
            </w:pPr>
            <w:r>
              <w:t>% paciento</w:t>
            </w:r>
            <w:r w:rsidR="009D2307">
              <w:t>v</w:t>
            </w:r>
            <w:r>
              <w:t xml:space="preserve"> s objektívnou odpoveďou</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EBA3AB8" w14:textId="77777777" w:rsidR="009C4600" w:rsidRPr="00F37D4D" w:rsidRDefault="00BE7CB1" w:rsidP="002C316C">
            <w:pPr>
              <w:pStyle w:val="TABLES"/>
              <w:keepNext/>
              <w:keepLines/>
              <w:ind w:left="57" w:right="57"/>
              <w:jc w:val="center"/>
            </w:pPr>
            <w:r>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96B6E59" w14:textId="77777777" w:rsidR="009C4600" w:rsidRPr="00F37D4D" w:rsidRDefault="00BE7CB1" w:rsidP="002C316C">
            <w:pPr>
              <w:pStyle w:val="TABLES"/>
              <w:keepNext/>
              <w:keepLines/>
              <w:ind w:left="57" w:right="57"/>
              <w:jc w:val="center"/>
            </w:pPr>
            <w:r>
              <w:t>35,4</w:t>
            </w:r>
          </w:p>
        </w:tc>
      </w:tr>
      <w:tr w:rsidR="00741586" w:rsidRPr="00F37D4D" w14:paraId="3177BE21"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F5D0B1C" w14:textId="77777777" w:rsidR="009C4600" w:rsidRPr="00F37D4D" w:rsidRDefault="00BE7CB1" w:rsidP="002C316C">
            <w:pPr>
              <w:pStyle w:val="TABLES"/>
              <w:keepNext/>
              <w:keepLines/>
              <w:ind w:left="57" w:right="57"/>
            </w:pPr>
            <w:r>
              <w:t>p-hodnota</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3F8020D1" w14:textId="77777777" w:rsidR="009C4600" w:rsidRPr="00F37D4D" w:rsidRDefault="00BE7CB1" w:rsidP="002C316C">
            <w:pPr>
              <w:pStyle w:val="TABLES"/>
              <w:keepNext/>
              <w:keepLines/>
              <w:ind w:left="57" w:right="57"/>
              <w:jc w:val="center"/>
            </w:pPr>
            <w:r>
              <w:t>0,0097</w:t>
            </w:r>
          </w:p>
        </w:tc>
      </w:tr>
      <w:tr w:rsidR="00741586" w:rsidRPr="00F37D4D" w14:paraId="137FF5AB"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59C5C769" w14:textId="77777777" w:rsidR="009C4600" w:rsidRPr="00F37D4D" w:rsidRDefault="00BE7CB1" w:rsidP="002C316C">
            <w:pPr>
              <w:pStyle w:val="TABLES"/>
              <w:keepNext/>
              <w:keepLines/>
              <w:ind w:left="57" w:right="57"/>
            </w:pPr>
            <w:r>
              <w:t>Celkové prežívanie</w:t>
            </w:r>
            <w:r w:rsidRPr="00F37D4D">
              <w:rPr>
                <w:vertAlign w:val="superscript"/>
              </w:rPr>
              <w:t>b</w:t>
            </w:r>
          </w:p>
        </w:tc>
      </w:tr>
      <w:tr w:rsidR="00741586" w:rsidRPr="00F37D4D" w14:paraId="6D6BF87C"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2F005187" w14:textId="77777777" w:rsidR="009C4600" w:rsidRPr="00F37D4D" w:rsidRDefault="00BE7CB1" w:rsidP="002C316C">
            <w:pPr>
              <w:pStyle w:val="TABLES"/>
              <w:keepNext/>
              <w:keepLines/>
              <w:tabs>
                <w:tab w:val="left" w:pos="980"/>
              </w:tabs>
              <w:ind w:left="57" w:right="57"/>
            </w:pPr>
            <w:r>
              <w:rPr>
                <w:spacing w:val="-1"/>
              </w:rPr>
              <w:t>HR (95 % I</w:t>
            </w:r>
            <w:r w:rsidR="0029583E">
              <w:rPr>
                <w:spacing w:val="-1"/>
              </w:rPr>
              <w:t>S</w:t>
            </w:r>
            <w:r>
              <w:rPr>
                <w:spacing w:val="-1"/>
              </w:rPr>
              <w:t>)</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3A44688F" w14:textId="77777777" w:rsidR="009C4600" w:rsidRPr="00F37D4D" w:rsidRDefault="00BE7CB1" w:rsidP="002C316C">
            <w:pPr>
              <w:pStyle w:val="TABLES"/>
              <w:keepNext/>
              <w:keepLines/>
              <w:ind w:left="57" w:right="57"/>
              <w:jc w:val="center"/>
            </w:pPr>
            <w:r>
              <w:t>0,88 (0,69; 1,13)</w:t>
            </w:r>
          </w:p>
        </w:tc>
      </w:tr>
      <w:tr w:rsidR="00741586" w:rsidRPr="00F37D4D" w14:paraId="5F6ACB5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2289246" w14:textId="77777777" w:rsidR="009C4600" w:rsidRPr="00F37D4D" w:rsidRDefault="00BE7CB1" w:rsidP="002C316C">
            <w:pPr>
              <w:pStyle w:val="TABLES"/>
              <w:keepNext/>
              <w:keepLines/>
              <w:ind w:left="57" w:right="57"/>
            </w:pPr>
            <w:r>
              <w:t>p-hodnota (exploračná)</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4980708E" w14:textId="77777777" w:rsidR="009C4600" w:rsidRPr="00F37D4D" w:rsidRDefault="00BE7CB1" w:rsidP="002C316C">
            <w:pPr>
              <w:pStyle w:val="TABLES"/>
              <w:keepNext/>
              <w:keepLines/>
              <w:ind w:left="57" w:right="57"/>
              <w:jc w:val="center"/>
            </w:pPr>
            <w:r>
              <w:t>0,33</w:t>
            </w:r>
          </w:p>
        </w:tc>
      </w:tr>
    </w:tbl>
    <w:p w14:paraId="1F083EBF" w14:textId="77777777" w:rsidR="009C4600" w:rsidRPr="00F67844" w:rsidRDefault="00BE7CB1" w:rsidP="002C316C">
      <w:pPr>
        <w:keepNext/>
        <w:keepLines/>
        <w:tabs>
          <w:tab w:val="clear" w:pos="567"/>
          <w:tab w:val="left" w:pos="851"/>
        </w:tabs>
        <w:spacing w:line="240" w:lineRule="auto"/>
        <w:rPr>
          <w:sz w:val="20"/>
        </w:rPr>
      </w:pPr>
      <w:r>
        <w:rPr>
          <w:sz w:val="20"/>
          <w:vertAlign w:val="superscript"/>
        </w:rPr>
        <w:t>a</w:t>
      </w:r>
      <w:r w:rsidR="0029583E">
        <w:rPr>
          <w:sz w:val="20"/>
          <w:vertAlign w:val="superscript"/>
        </w:rPr>
        <w:t xml:space="preserve"> </w:t>
      </w:r>
      <w:r>
        <w:rPr>
          <w:sz w:val="20"/>
        </w:rPr>
        <w:t>1 000 g/m</w:t>
      </w:r>
      <w:r>
        <w:rPr>
          <w:sz w:val="20"/>
          <w:vertAlign w:val="superscript"/>
        </w:rPr>
        <w:t>2</w:t>
      </w:r>
      <w:r>
        <w:rPr>
          <w:sz w:val="20"/>
        </w:rPr>
        <w:t xml:space="preserve"> perorálne dvakrát denne počas 14 dní podávané každé 3 týždne</w:t>
      </w:r>
    </w:p>
    <w:p w14:paraId="1A5BF351" w14:textId="77777777" w:rsidR="009C4600" w:rsidRPr="00F67844" w:rsidRDefault="00BE7CB1" w:rsidP="002C316C">
      <w:pPr>
        <w:keepNext/>
        <w:keepLines/>
        <w:tabs>
          <w:tab w:val="clear" w:pos="567"/>
          <w:tab w:val="left" w:pos="851"/>
        </w:tabs>
        <w:spacing w:line="240" w:lineRule="auto"/>
        <w:rPr>
          <w:sz w:val="20"/>
        </w:rPr>
      </w:pPr>
      <w:r>
        <w:rPr>
          <w:sz w:val="20"/>
          <w:vertAlign w:val="superscript"/>
        </w:rPr>
        <w:t>b</w:t>
      </w:r>
      <w:r>
        <w:rPr>
          <w:sz w:val="20"/>
        </w:rPr>
        <w:t xml:space="preserve"> Stratifikovaná analýza, ktorá zahŕňala všetky prípady progresie ochorenia a úmrtia, okrem tých, pri ktorých sa liečba nešpecifikovaná v protokole (non-protocol therapy – NPT) začala pred zdokumentovaním progresie ochorenia – údaje o týchto pacient</w:t>
      </w:r>
      <w:r w:rsidR="009D2307">
        <w:rPr>
          <w:sz w:val="20"/>
        </w:rPr>
        <w:t>o</w:t>
      </w:r>
      <w:r>
        <w:rPr>
          <w:sz w:val="20"/>
        </w:rPr>
        <w:t>ch boli cenzurované pri poslednom hodnotení nádoru pred začiatkom NPT.</w:t>
      </w:r>
    </w:p>
    <w:p w14:paraId="54921A4E" w14:textId="77777777" w:rsidR="009C4600" w:rsidRPr="00F37D4D" w:rsidRDefault="009C4600" w:rsidP="00F64BF9">
      <w:pPr>
        <w:spacing w:line="240" w:lineRule="auto"/>
        <w:rPr>
          <w:szCs w:val="22"/>
        </w:rPr>
      </w:pPr>
    </w:p>
    <w:p w14:paraId="0407FECD" w14:textId="77777777" w:rsidR="009C4600" w:rsidRPr="00F37D4D" w:rsidRDefault="00BE7CB1" w:rsidP="00F64BF9">
      <w:pPr>
        <w:spacing w:line="240" w:lineRule="auto"/>
        <w:rPr>
          <w:szCs w:val="22"/>
        </w:rPr>
      </w:pPr>
      <w:r>
        <w:t>V nestratifikovanej analýze PFS (hodnotená skúšajúcim lekárom) neboli cenzurované údaje na liečbu nešpecifikovanú v protokole začatú pred zdokumentovaním progresie ochorenia. Výsledky tejto analýzy boli takmer zhodné s výsledkami primárneho PFS.</w:t>
      </w:r>
    </w:p>
    <w:p w14:paraId="41C6B77E" w14:textId="77777777" w:rsidR="009C4600" w:rsidRPr="00F37D4D" w:rsidRDefault="009C4600" w:rsidP="00F64BF9">
      <w:pPr>
        <w:spacing w:line="240" w:lineRule="auto"/>
        <w:rPr>
          <w:szCs w:val="22"/>
        </w:rPr>
      </w:pPr>
    </w:p>
    <w:p w14:paraId="7F7A3F60" w14:textId="77777777" w:rsidR="009C4600" w:rsidRPr="00F67844" w:rsidRDefault="00BE7CB1" w:rsidP="00F64BF9">
      <w:pPr>
        <w:keepNext/>
        <w:spacing w:line="240" w:lineRule="auto"/>
        <w:rPr>
          <w:i/>
          <w:iCs/>
          <w:szCs w:val="22"/>
          <w:u w:val="single"/>
        </w:rPr>
      </w:pPr>
      <w:r>
        <w:rPr>
          <w:i/>
          <w:u w:val="single"/>
        </w:rPr>
        <w:t>Nemalobunkový karcinóm pľúc (NSCLC, Non-small cell lung cancer)</w:t>
      </w:r>
    </w:p>
    <w:p w14:paraId="0FDE4794" w14:textId="77777777" w:rsidR="009C4600" w:rsidRPr="00F67844" w:rsidRDefault="009C4600" w:rsidP="00F64BF9">
      <w:pPr>
        <w:keepNext/>
        <w:spacing w:line="240" w:lineRule="auto"/>
      </w:pPr>
    </w:p>
    <w:p w14:paraId="5D6CBC6D" w14:textId="77777777" w:rsidR="009C4600" w:rsidRPr="00F67844" w:rsidRDefault="00BE7CB1" w:rsidP="00F64BF9">
      <w:pPr>
        <w:keepNext/>
        <w:spacing w:line="240" w:lineRule="auto"/>
        <w:rPr>
          <w:i/>
          <w:iCs/>
          <w:szCs w:val="22"/>
        </w:rPr>
      </w:pPr>
      <w:r>
        <w:rPr>
          <w:i/>
        </w:rPr>
        <w:t>Liečba prvej línie neskvamózneho NSCLC v kombinácii s chemoterapiou na báze platiny.</w:t>
      </w:r>
    </w:p>
    <w:p w14:paraId="2F857C43" w14:textId="77777777" w:rsidR="009C4600" w:rsidRPr="00F67844" w:rsidRDefault="009C4600" w:rsidP="00F64BF9">
      <w:pPr>
        <w:keepNext/>
        <w:spacing w:line="240" w:lineRule="auto"/>
      </w:pPr>
    </w:p>
    <w:p w14:paraId="2EFCE7F0" w14:textId="77777777" w:rsidR="009C4600" w:rsidRPr="00F67844" w:rsidRDefault="00BE7CB1" w:rsidP="00F64BF9">
      <w:pPr>
        <w:spacing w:line="240" w:lineRule="auto"/>
      </w:pPr>
      <w:r>
        <w:t xml:space="preserve">Bezpečnosť a účinnosť bevacizumabu pridaného k chemoterapii na báze platiny ako liečby prvej línie u pacientov s neskvamóznym nemalobunkovým karcinómom pľúc (NSCLC) sa sledovala v skúšaniach E4599 a BO17704. Prínos celkového prežívania bol preukázaný v skúšaní E4599 s dávkou bevacizumabu 15 mg/kg telesnej hmotnosti raz za 3 týždne. Skúšanie BO17704 preukázalo, že obidve dávky bevacizumabu, 7,5 mg/kg telesnej hmotnosti raz za 3 týždne aj 15 mg/kg telesnej hmotnosti raz za 3 týždne, predĺžili prežívanie bez progresie ochorenia a mieru celkovej odpovede. </w:t>
      </w:r>
    </w:p>
    <w:p w14:paraId="375AB49C" w14:textId="77777777" w:rsidR="009C4600" w:rsidRPr="00F67844" w:rsidRDefault="009C4600" w:rsidP="00F64BF9">
      <w:pPr>
        <w:spacing w:line="240" w:lineRule="auto"/>
      </w:pPr>
    </w:p>
    <w:p w14:paraId="2DCF9705" w14:textId="77777777" w:rsidR="009C4600" w:rsidRDefault="00BE7CB1" w:rsidP="00F64BF9">
      <w:pPr>
        <w:keepNext/>
        <w:spacing w:line="240" w:lineRule="auto"/>
        <w:rPr>
          <w:i/>
          <w:iCs/>
          <w:szCs w:val="22"/>
        </w:rPr>
      </w:pPr>
      <w:r>
        <w:rPr>
          <w:i/>
        </w:rPr>
        <w:t>E4599</w:t>
      </w:r>
    </w:p>
    <w:p w14:paraId="0FE16633" w14:textId="77777777" w:rsidR="007336F5" w:rsidRPr="00F67844" w:rsidRDefault="007336F5" w:rsidP="00F64BF9">
      <w:pPr>
        <w:keepNext/>
        <w:spacing w:line="240" w:lineRule="auto"/>
        <w:rPr>
          <w:i/>
          <w:iCs/>
          <w:szCs w:val="22"/>
        </w:rPr>
      </w:pPr>
    </w:p>
    <w:p w14:paraId="551A5BA9" w14:textId="77777777" w:rsidR="009C4600" w:rsidRPr="00F67844" w:rsidRDefault="00BE7CB1" w:rsidP="00F64BF9">
      <w:pPr>
        <w:spacing w:line="240" w:lineRule="auto"/>
      </w:pPr>
      <w:r>
        <w:t xml:space="preserve">Skúšanie E4599 bolo otvorené, randomizované, aktívne kontrolované, multicentrické klinické skúšanie, ktoré sledovalo bevacizumab ako liečbu prvej línie u pacientov s lokálne pokročilým </w:t>
      </w:r>
      <w:r>
        <w:lastRenderedPageBreak/>
        <w:t>(štádium IIIB s malígnym pleurálnym výpotkom), metastatickým alebo recidivujúcim NSCLC s iným histologickým nálezom ako nálezom prevažne skvamóznych buniek.</w:t>
      </w:r>
    </w:p>
    <w:p w14:paraId="6F3B57E1" w14:textId="77777777" w:rsidR="009C4600" w:rsidRPr="00F67844" w:rsidRDefault="009C4600" w:rsidP="00F64BF9">
      <w:pPr>
        <w:spacing w:line="240" w:lineRule="auto"/>
      </w:pPr>
    </w:p>
    <w:p w14:paraId="52A74BBF" w14:textId="77777777" w:rsidR="009C4600" w:rsidRPr="00F67844" w:rsidRDefault="00BE7CB1" w:rsidP="00F64BF9">
      <w:pPr>
        <w:spacing w:line="240" w:lineRule="auto"/>
      </w:pPr>
      <w:r>
        <w:t>Pacienti boli randomizovaní do skupiny, ktorá dostávala bevacizumab pridaný k chemoterapii na báze platiny (paklitaxel 200 mg/m</w:t>
      </w:r>
      <w:r w:rsidRPr="00BA32BF">
        <w:rPr>
          <w:vertAlign w:val="superscript"/>
        </w:rPr>
        <w:t>2</w:t>
      </w:r>
      <w:r w:rsidR="0011215F" w:rsidRPr="00F933B6">
        <w:t>)</w:t>
      </w:r>
      <w:r>
        <w:t xml:space="preserve"> a karboplatinu AUC = 6,0; oba intravenóznou infúziou (PC) v 1. deň každého 3-týždňového cyklu až do 6 cyklov alebo PC v kombinácii s bevacizumabom v dávke 15 mg/kg telesnej hmotnosti, intravenóznou infúziou 1. deň každého 3-týždňového cyklu. Po ukončení šiestich cyklov chemoterapie karboplatinou-paklitaxelom alebo po predčasnom ukončení chemoterapie, pacienti liečení bevacizumabom + karboplatinou + paklitaxelom pokračovali v liečbe bevacizumabom v monoterapii každé 3 týždne až do progresie ochorenia. 878 pacientov bolo randomizovaných v dvoch skupinách. </w:t>
      </w:r>
    </w:p>
    <w:p w14:paraId="7711C5B6" w14:textId="77777777" w:rsidR="009C4600" w:rsidRPr="00755C59" w:rsidRDefault="009C4600" w:rsidP="00755C59"/>
    <w:p w14:paraId="7FDAC376" w14:textId="77777777" w:rsidR="009C4600" w:rsidRPr="00F67844" w:rsidRDefault="00BE7CB1" w:rsidP="00F64BF9">
      <w:pPr>
        <w:spacing w:line="240" w:lineRule="auto"/>
      </w:pPr>
      <w:r>
        <w:t>Z pacientov, ktorí dostávali liečbu počas skúšania, 32,2 % (136/422) pacientov dostalo 7-12 dávok bevacizumabu a 21,1 % (89/422) pacientov dostalo 13 alebo viac dávok bevacizumabu.</w:t>
      </w:r>
    </w:p>
    <w:p w14:paraId="068978E3" w14:textId="77777777" w:rsidR="009C4600" w:rsidRPr="00F67844" w:rsidRDefault="009C4600" w:rsidP="00F64BF9">
      <w:pPr>
        <w:spacing w:line="240" w:lineRule="auto"/>
      </w:pPr>
    </w:p>
    <w:p w14:paraId="62EF490C" w14:textId="77777777" w:rsidR="009C4600" w:rsidRPr="00F67844" w:rsidRDefault="00BE7CB1" w:rsidP="00F64BF9">
      <w:pPr>
        <w:spacing w:line="240" w:lineRule="auto"/>
      </w:pPr>
      <w:r>
        <w:t>Primárny koncový ukazovateľ bola dĺžka prežívania. Výsledky sú uvedené v tabuľke 12.</w:t>
      </w:r>
    </w:p>
    <w:p w14:paraId="10D22E20" w14:textId="77777777" w:rsidR="009C4600" w:rsidRPr="00F67844" w:rsidRDefault="009C4600" w:rsidP="00F64BF9">
      <w:pPr>
        <w:spacing w:line="240" w:lineRule="auto"/>
      </w:pPr>
    </w:p>
    <w:p w14:paraId="6A403027" w14:textId="77777777" w:rsidR="009C4600" w:rsidRPr="00F67844" w:rsidRDefault="00BE7CB1" w:rsidP="00F64BF9">
      <w:pPr>
        <w:keepNext/>
        <w:spacing w:line="240" w:lineRule="auto"/>
        <w:rPr>
          <w:b/>
          <w:bCs/>
        </w:rPr>
      </w:pPr>
      <w:r>
        <w:rPr>
          <w:b/>
        </w:rPr>
        <w:t>Tabuľka 12. Výsledky účinnosti zo skúšania E4599</w:t>
      </w:r>
    </w:p>
    <w:p w14:paraId="3B8440A7" w14:textId="77777777" w:rsidR="009C4600" w:rsidRPr="00F67844" w:rsidRDefault="009C4600" w:rsidP="00F64BF9">
      <w:pPr>
        <w:keepNext/>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35578E" w14:paraId="4150DB1F"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5BB12381" w14:textId="77777777" w:rsidR="009C4600" w:rsidRPr="0035578E"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35ABE7BA" w14:textId="77777777" w:rsidR="009C4600" w:rsidRPr="0035578E" w:rsidRDefault="00BE7CB1" w:rsidP="00F64BF9">
            <w:pPr>
              <w:pStyle w:val="TABLES"/>
              <w:ind w:left="57" w:right="57"/>
              <w:jc w:val="center"/>
              <w:rPr>
                <w:b/>
                <w:bCs/>
              </w:rPr>
            </w:pPr>
            <w:r>
              <w:rPr>
                <w:b/>
              </w:rPr>
              <w:t>Skupina 1</w:t>
            </w:r>
          </w:p>
          <w:p w14:paraId="1EE59893" w14:textId="77777777" w:rsidR="009C4600" w:rsidRPr="0035578E" w:rsidRDefault="00BE7CB1" w:rsidP="00F64BF9">
            <w:pPr>
              <w:pStyle w:val="TABLES"/>
              <w:ind w:left="57" w:right="57"/>
              <w:jc w:val="center"/>
              <w:rPr>
                <w:b/>
                <w:bCs/>
              </w:rPr>
            </w:pPr>
            <w:r>
              <w:rPr>
                <w:b/>
              </w:rPr>
              <w:t>karboplatina/paklitaxel</w:t>
            </w:r>
          </w:p>
        </w:tc>
        <w:tc>
          <w:tcPr>
            <w:tcW w:w="2292" w:type="pct"/>
            <w:tcBorders>
              <w:top w:val="single" w:sz="4" w:space="0" w:color="000000"/>
              <w:left w:val="single" w:sz="4" w:space="0" w:color="000000"/>
              <w:bottom w:val="single" w:sz="4" w:space="0" w:color="000000"/>
              <w:right w:val="single" w:sz="4" w:space="0" w:color="000000"/>
            </w:tcBorders>
          </w:tcPr>
          <w:p w14:paraId="691AF63F" w14:textId="77777777" w:rsidR="009C4600" w:rsidRPr="0035578E" w:rsidRDefault="00BE7CB1" w:rsidP="00F64BF9">
            <w:pPr>
              <w:pStyle w:val="TABLES"/>
              <w:ind w:left="57" w:right="57"/>
              <w:jc w:val="center"/>
              <w:rPr>
                <w:b/>
                <w:bCs/>
              </w:rPr>
            </w:pPr>
            <w:r>
              <w:rPr>
                <w:b/>
              </w:rPr>
              <w:t>Skupina 2</w:t>
            </w:r>
          </w:p>
          <w:p w14:paraId="4A65CD97" w14:textId="77777777" w:rsidR="009C4600" w:rsidRPr="0035578E" w:rsidRDefault="00BE7CB1" w:rsidP="00F64BF9">
            <w:pPr>
              <w:pStyle w:val="TABLES"/>
              <w:ind w:left="57" w:right="57"/>
              <w:jc w:val="center"/>
              <w:rPr>
                <w:b/>
                <w:bCs/>
              </w:rPr>
            </w:pPr>
            <w:r>
              <w:rPr>
                <w:b/>
              </w:rPr>
              <w:t>karboplatina/paklitaxel + bevazicumab</w:t>
            </w:r>
          </w:p>
          <w:p w14:paraId="3E8CF99D" w14:textId="77777777" w:rsidR="009C4600" w:rsidRPr="0035578E" w:rsidRDefault="00BE7CB1" w:rsidP="00F64BF9">
            <w:pPr>
              <w:pStyle w:val="TABLES"/>
              <w:ind w:left="57" w:right="57"/>
              <w:jc w:val="center"/>
              <w:rPr>
                <w:b/>
                <w:bCs/>
              </w:rPr>
            </w:pPr>
            <w:r>
              <w:rPr>
                <w:b/>
              </w:rPr>
              <w:t>15 mg/kg každé 3 týždne</w:t>
            </w:r>
          </w:p>
        </w:tc>
      </w:tr>
      <w:tr w:rsidR="00741586" w:rsidRPr="00F37D4D" w14:paraId="755AEE6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55F2FAFE" w14:textId="77777777" w:rsidR="009C4600" w:rsidRPr="00F37D4D" w:rsidRDefault="00BE7CB1" w:rsidP="00F64BF9">
            <w:pPr>
              <w:pStyle w:val="TABLES"/>
              <w:ind w:left="57" w:right="57"/>
            </w:pPr>
            <w:r>
              <w:t>Počet pacientov</w:t>
            </w:r>
          </w:p>
        </w:tc>
        <w:tc>
          <w:tcPr>
            <w:tcW w:w="1400" w:type="pct"/>
            <w:tcBorders>
              <w:top w:val="single" w:sz="4" w:space="0" w:color="000000"/>
              <w:left w:val="single" w:sz="4" w:space="0" w:color="000000"/>
              <w:bottom w:val="single" w:sz="4" w:space="0" w:color="000000"/>
              <w:right w:val="single" w:sz="4" w:space="0" w:color="000000"/>
            </w:tcBorders>
            <w:hideMark/>
          </w:tcPr>
          <w:p w14:paraId="6593CE18" w14:textId="77777777" w:rsidR="009C4600" w:rsidRPr="00F37D4D" w:rsidRDefault="00BE7CB1" w:rsidP="00F64BF9">
            <w:pPr>
              <w:pStyle w:val="TABLES"/>
              <w:ind w:left="57" w:right="57"/>
              <w:jc w:val="center"/>
            </w:pPr>
            <w:r>
              <w:t>444</w:t>
            </w:r>
          </w:p>
        </w:tc>
        <w:tc>
          <w:tcPr>
            <w:tcW w:w="2292" w:type="pct"/>
            <w:tcBorders>
              <w:top w:val="single" w:sz="4" w:space="0" w:color="000000"/>
              <w:left w:val="single" w:sz="4" w:space="0" w:color="000000"/>
              <w:bottom w:val="single" w:sz="4" w:space="0" w:color="000000"/>
              <w:right w:val="single" w:sz="4" w:space="0" w:color="000000"/>
            </w:tcBorders>
            <w:hideMark/>
          </w:tcPr>
          <w:p w14:paraId="7256572B" w14:textId="77777777" w:rsidR="009C4600" w:rsidRPr="00F37D4D" w:rsidRDefault="00BE7CB1" w:rsidP="00F64BF9">
            <w:pPr>
              <w:pStyle w:val="TABLES"/>
              <w:ind w:left="57" w:right="57"/>
              <w:jc w:val="center"/>
            </w:pPr>
            <w:r>
              <w:t>434</w:t>
            </w:r>
          </w:p>
        </w:tc>
      </w:tr>
      <w:tr w:rsidR="00741586" w:rsidRPr="00F37D4D" w14:paraId="7F8D55E0"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3C78C0E8" w14:textId="77777777" w:rsidR="009C4600" w:rsidRPr="00F37D4D" w:rsidRDefault="00BE7CB1" w:rsidP="00F64BF9">
            <w:pPr>
              <w:pStyle w:val="TABLES"/>
              <w:ind w:left="567" w:right="57"/>
            </w:pPr>
            <w:r>
              <w:t>Celkové prežívanie</w:t>
            </w:r>
          </w:p>
        </w:tc>
      </w:tr>
      <w:tr w:rsidR="00741586" w:rsidRPr="00F37D4D" w14:paraId="05E2F44B"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6C246B28" w14:textId="77777777" w:rsidR="009C4600" w:rsidRPr="00F37D4D" w:rsidRDefault="00BE7CB1" w:rsidP="00F64BF9">
            <w:pPr>
              <w:pStyle w:val="TABLES"/>
              <w:ind w:left="567" w:right="57"/>
            </w:pPr>
            <w:r>
              <w:t>Medián času (mesiace)</w:t>
            </w:r>
          </w:p>
        </w:tc>
        <w:tc>
          <w:tcPr>
            <w:tcW w:w="1400" w:type="pct"/>
            <w:tcBorders>
              <w:top w:val="single" w:sz="4" w:space="0" w:color="000000"/>
              <w:left w:val="single" w:sz="4" w:space="0" w:color="000000"/>
              <w:bottom w:val="single" w:sz="4" w:space="0" w:color="000000"/>
              <w:right w:val="single" w:sz="4" w:space="0" w:color="000000"/>
            </w:tcBorders>
            <w:hideMark/>
          </w:tcPr>
          <w:p w14:paraId="4C2FD63E" w14:textId="77777777" w:rsidR="009C4600" w:rsidRPr="00F37D4D" w:rsidRDefault="00BE7CB1" w:rsidP="00F64BF9">
            <w:pPr>
              <w:pStyle w:val="TABLES"/>
              <w:ind w:left="57" w:right="57"/>
              <w:jc w:val="center"/>
            </w:pPr>
            <w:r>
              <w:t>10,3</w:t>
            </w:r>
          </w:p>
        </w:tc>
        <w:tc>
          <w:tcPr>
            <w:tcW w:w="2292" w:type="pct"/>
            <w:tcBorders>
              <w:top w:val="single" w:sz="4" w:space="0" w:color="000000"/>
              <w:left w:val="single" w:sz="4" w:space="0" w:color="000000"/>
              <w:bottom w:val="single" w:sz="4" w:space="0" w:color="000000"/>
              <w:right w:val="single" w:sz="4" w:space="0" w:color="000000"/>
            </w:tcBorders>
            <w:hideMark/>
          </w:tcPr>
          <w:p w14:paraId="623AD3F9" w14:textId="77777777" w:rsidR="009C4600" w:rsidRPr="00F37D4D" w:rsidRDefault="00BE7CB1" w:rsidP="00F64BF9">
            <w:pPr>
              <w:pStyle w:val="TABLES"/>
              <w:ind w:left="57" w:right="57"/>
              <w:jc w:val="center"/>
            </w:pPr>
            <w:r>
              <w:t>12,3</w:t>
            </w:r>
          </w:p>
        </w:tc>
      </w:tr>
      <w:tr w:rsidR="00741586" w:rsidRPr="00F37D4D" w14:paraId="379FA311"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6EC285E2" w14:textId="77777777" w:rsidR="009C4600" w:rsidRPr="00F37D4D" w:rsidRDefault="00BE7CB1" w:rsidP="00F64BF9">
            <w:pPr>
              <w:pStyle w:val="TABLES"/>
              <w:ind w:left="567" w:right="57"/>
            </w:pPr>
            <w:r>
              <w:t>Miera rizika</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797287C" w14:textId="77777777" w:rsidR="009C4600" w:rsidRPr="00F37D4D" w:rsidRDefault="00BE7CB1" w:rsidP="00F64BF9">
            <w:pPr>
              <w:pStyle w:val="TABLES"/>
              <w:ind w:left="57" w:right="57"/>
              <w:jc w:val="center"/>
            </w:pPr>
            <w:r>
              <w:t>0,80 (p = 0,003)</w:t>
            </w:r>
          </w:p>
          <w:p w14:paraId="3CF900C7" w14:textId="77777777" w:rsidR="009C4600" w:rsidRPr="00F37D4D" w:rsidRDefault="00BE7CB1" w:rsidP="00F64BF9">
            <w:pPr>
              <w:pStyle w:val="TABLES"/>
              <w:ind w:left="57" w:right="57"/>
              <w:jc w:val="center"/>
            </w:pPr>
            <w:r>
              <w:t>95 % I</w:t>
            </w:r>
            <w:r w:rsidR="009B652A">
              <w:t>S</w:t>
            </w:r>
            <w:r>
              <w:t xml:space="preserve"> (0,69; 0,93)</w:t>
            </w:r>
          </w:p>
        </w:tc>
      </w:tr>
      <w:tr w:rsidR="00741586" w:rsidRPr="00F37D4D" w14:paraId="5C5DC0C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3F95AD" w14:textId="77777777" w:rsidR="009C4600" w:rsidRPr="00F37D4D" w:rsidRDefault="00BE7CB1" w:rsidP="00F64BF9">
            <w:pPr>
              <w:pStyle w:val="TABLES"/>
              <w:ind w:left="57" w:right="57"/>
            </w:pPr>
            <w:r>
              <w:t>Prežívanie bez progresie</w:t>
            </w:r>
          </w:p>
        </w:tc>
      </w:tr>
      <w:tr w:rsidR="00741586" w:rsidRPr="00F37D4D" w14:paraId="6D92A14F"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13BA3FBC" w14:textId="77777777" w:rsidR="009C4600" w:rsidRPr="00F37D4D" w:rsidRDefault="00BE7CB1" w:rsidP="00F64BF9">
            <w:pPr>
              <w:pStyle w:val="TABLES"/>
              <w:ind w:left="567" w:right="57"/>
            </w:pPr>
            <w:r>
              <w:t>Medián času (mesiace)</w:t>
            </w:r>
          </w:p>
        </w:tc>
        <w:tc>
          <w:tcPr>
            <w:tcW w:w="1400" w:type="pct"/>
            <w:tcBorders>
              <w:top w:val="single" w:sz="4" w:space="0" w:color="000000"/>
              <w:left w:val="single" w:sz="4" w:space="0" w:color="000000"/>
              <w:bottom w:val="single" w:sz="6" w:space="0" w:color="000000"/>
              <w:right w:val="single" w:sz="4" w:space="0" w:color="000000"/>
            </w:tcBorders>
            <w:hideMark/>
          </w:tcPr>
          <w:p w14:paraId="6B2BCFCF" w14:textId="77777777" w:rsidR="009C4600" w:rsidRPr="00F37D4D" w:rsidRDefault="00BE7CB1" w:rsidP="00F64BF9">
            <w:pPr>
              <w:pStyle w:val="TABLES"/>
              <w:ind w:left="57" w:right="57"/>
              <w:jc w:val="center"/>
            </w:pPr>
            <w:r>
              <w:t>4,8</w:t>
            </w:r>
          </w:p>
        </w:tc>
        <w:tc>
          <w:tcPr>
            <w:tcW w:w="2292" w:type="pct"/>
            <w:tcBorders>
              <w:top w:val="single" w:sz="4" w:space="0" w:color="000000"/>
              <w:left w:val="single" w:sz="4" w:space="0" w:color="000000"/>
              <w:bottom w:val="single" w:sz="6" w:space="0" w:color="000000"/>
              <w:right w:val="single" w:sz="4" w:space="0" w:color="000000"/>
            </w:tcBorders>
            <w:hideMark/>
          </w:tcPr>
          <w:p w14:paraId="0AD0211A" w14:textId="77777777" w:rsidR="009C4600" w:rsidRPr="00F37D4D" w:rsidRDefault="00BE7CB1" w:rsidP="00F64BF9">
            <w:pPr>
              <w:pStyle w:val="TABLES"/>
              <w:ind w:left="57" w:right="57"/>
              <w:jc w:val="center"/>
            </w:pPr>
            <w:r>
              <w:t>6,4</w:t>
            </w:r>
          </w:p>
        </w:tc>
      </w:tr>
      <w:tr w:rsidR="00741586" w:rsidRPr="00F37D4D" w14:paraId="2EDF5C3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2D433CC0" w14:textId="77777777" w:rsidR="009C4600" w:rsidRPr="00F37D4D" w:rsidRDefault="00BE7CB1" w:rsidP="00F64BF9">
            <w:pPr>
              <w:pStyle w:val="TABLES"/>
              <w:ind w:left="567" w:right="57"/>
            </w:pPr>
            <w:r>
              <w:t>Miera rizika</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077E5EB5" w14:textId="77777777" w:rsidR="009C4600" w:rsidRPr="00F37D4D" w:rsidRDefault="00BE7CB1" w:rsidP="00F64BF9">
            <w:pPr>
              <w:pStyle w:val="TABLES"/>
              <w:ind w:left="57" w:right="57"/>
              <w:jc w:val="center"/>
            </w:pPr>
            <w:r>
              <w:t>0,65 (p &lt; 0,0001)</w:t>
            </w:r>
          </w:p>
          <w:p w14:paraId="1603E7C6" w14:textId="77777777" w:rsidR="009C4600" w:rsidRPr="00F37D4D" w:rsidRDefault="00BE7CB1" w:rsidP="00F64BF9">
            <w:pPr>
              <w:pStyle w:val="TABLES"/>
              <w:ind w:left="57" w:right="57"/>
              <w:jc w:val="center"/>
            </w:pPr>
            <w:r>
              <w:t>95 % I</w:t>
            </w:r>
            <w:r w:rsidR="009D2307">
              <w:t>S</w:t>
            </w:r>
            <w:r>
              <w:t xml:space="preserve"> (0,56; 0,76)</w:t>
            </w:r>
          </w:p>
        </w:tc>
      </w:tr>
      <w:tr w:rsidR="00741586" w:rsidRPr="00F37D4D" w14:paraId="0E233283"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49E26AAC" w14:textId="77777777" w:rsidR="009C4600" w:rsidRPr="00F37D4D" w:rsidRDefault="00BE7CB1" w:rsidP="00F64BF9">
            <w:pPr>
              <w:pStyle w:val="TABLES"/>
              <w:ind w:left="57" w:right="57"/>
            </w:pPr>
            <w:r>
              <w:t>Celková miera odpovede</w:t>
            </w:r>
          </w:p>
        </w:tc>
      </w:tr>
      <w:tr w:rsidR="00741586" w:rsidRPr="00F37D4D" w14:paraId="216B510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7557FE3" w14:textId="77777777" w:rsidR="009C4600" w:rsidRPr="00F37D4D" w:rsidRDefault="00BE7CB1" w:rsidP="00F64BF9">
            <w:pPr>
              <w:pStyle w:val="TABLES"/>
              <w:ind w:left="567" w:right="57"/>
            </w:pPr>
            <w:r>
              <w:t>Miera (percentá)</w:t>
            </w:r>
          </w:p>
        </w:tc>
        <w:tc>
          <w:tcPr>
            <w:tcW w:w="1400" w:type="pct"/>
            <w:tcBorders>
              <w:top w:val="single" w:sz="4" w:space="0" w:color="000000"/>
              <w:left w:val="single" w:sz="4" w:space="0" w:color="000000"/>
              <w:bottom w:val="single" w:sz="4" w:space="0" w:color="000000"/>
              <w:right w:val="single" w:sz="4" w:space="0" w:color="000000"/>
            </w:tcBorders>
            <w:hideMark/>
          </w:tcPr>
          <w:p w14:paraId="26181F6D" w14:textId="77777777" w:rsidR="009C4600" w:rsidRPr="00F37D4D" w:rsidRDefault="00BE7CB1" w:rsidP="00F64BF9">
            <w:pPr>
              <w:pStyle w:val="TABLES"/>
              <w:ind w:left="57" w:right="57"/>
              <w:jc w:val="center"/>
            </w:pPr>
            <w:r>
              <w:t>12,9</w:t>
            </w:r>
          </w:p>
        </w:tc>
        <w:tc>
          <w:tcPr>
            <w:tcW w:w="2292" w:type="pct"/>
            <w:tcBorders>
              <w:top w:val="single" w:sz="4" w:space="0" w:color="000000"/>
              <w:left w:val="single" w:sz="4" w:space="0" w:color="000000"/>
              <w:bottom w:val="single" w:sz="4" w:space="0" w:color="000000"/>
              <w:right w:val="single" w:sz="4" w:space="0" w:color="000000"/>
            </w:tcBorders>
            <w:hideMark/>
          </w:tcPr>
          <w:p w14:paraId="067A6B19" w14:textId="77777777" w:rsidR="009C4600" w:rsidRPr="00F37D4D" w:rsidRDefault="00BE7CB1" w:rsidP="00F64BF9">
            <w:pPr>
              <w:pStyle w:val="TABLES"/>
              <w:ind w:left="57" w:right="57"/>
              <w:jc w:val="center"/>
            </w:pPr>
            <w:r>
              <w:t>29,0 (p &lt; 0,0001)</w:t>
            </w:r>
          </w:p>
        </w:tc>
      </w:tr>
    </w:tbl>
    <w:p w14:paraId="2D108D87" w14:textId="77777777" w:rsidR="009C4600" w:rsidRPr="00F37D4D" w:rsidRDefault="009C4600" w:rsidP="00F64BF9">
      <w:pPr>
        <w:autoSpaceDE w:val="0"/>
        <w:autoSpaceDN w:val="0"/>
        <w:adjustRightInd w:val="0"/>
        <w:spacing w:line="240" w:lineRule="auto"/>
        <w:rPr>
          <w:szCs w:val="22"/>
        </w:rPr>
      </w:pPr>
    </w:p>
    <w:p w14:paraId="6F1243EA" w14:textId="77777777" w:rsidR="009C4600" w:rsidRPr="00F37D4D" w:rsidRDefault="00BE7CB1" w:rsidP="00F64BF9">
      <w:pPr>
        <w:pStyle w:val="Default"/>
        <w:rPr>
          <w:sz w:val="22"/>
          <w:szCs w:val="22"/>
        </w:rPr>
      </w:pPr>
      <w:r>
        <w:rPr>
          <w:sz w:val="22"/>
        </w:rPr>
        <w:t>V exploratívnej analýze bola miera prínosu bevacizumabu na celkové prežívanie menej výrazná v podskupine pacientov, ktorí nemali adenokarcinóm v histologickom náleze.</w:t>
      </w:r>
    </w:p>
    <w:p w14:paraId="2AC459FA" w14:textId="77777777" w:rsidR="009C4600" w:rsidRPr="00F37D4D" w:rsidRDefault="009C4600" w:rsidP="00F64BF9">
      <w:pPr>
        <w:pStyle w:val="Default"/>
        <w:rPr>
          <w:i/>
          <w:iCs/>
          <w:sz w:val="22"/>
          <w:szCs w:val="22"/>
        </w:rPr>
      </w:pPr>
    </w:p>
    <w:p w14:paraId="49BC89F0" w14:textId="77777777" w:rsidR="009C4600" w:rsidRDefault="00BE7CB1" w:rsidP="00F64BF9">
      <w:pPr>
        <w:keepNext/>
        <w:spacing w:line="240" w:lineRule="auto"/>
        <w:rPr>
          <w:i/>
          <w:iCs/>
          <w:szCs w:val="22"/>
        </w:rPr>
      </w:pPr>
      <w:r>
        <w:rPr>
          <w:i/>
        </w:rPr>
        <w:t>BO17704</w:t>
      </w:r>
    </w:p>
    <w:p w14:paraId="610485EA" w14:textId="77777777" w:rsidR="00142639" w:rsidRPr="00F67844" w:rsidRDefault="00142639" w:rsidP="00F64BF9">
      <w:pPr>
        <w:keepNext/>
        <w:spacing w:line="240" w:lineRule="auto"/>
        <w:rPr>
          <w:i/>
          <w:iCs/>
          <w:szCs w:val="22"/>
        </w:rPr>
      </w:pPr>
    </w:p>
    <w:p w14:paraId="05925806" w14:textId="3B3C0DAC" w:rsidR="009C4600" w:rsidRPr="00F37D4D" w:rsidRDefault="00BE7CB1" w:rsidP="00F64BF9">
      <w:pPr>
        <w:spacing w:line="240" w:lineRule="auto"/>
        <w:rPr>
          <w:szCs w:val="22"/>
        </w:rPr>
      </w:pPr>
      <w:r>
        <w:t>Skúšanie BO17704 bolo randomizované, dvojito zaslepé skúšanie s bevacizumabom III. fázy, kde sa bevacizumab pridával k cisplatine a gemcitabínu versus placebo, cisplatina a gemcitabín u pacientov s lokálne pokročilým (štádium III</w:t>
      </w:r>
      <w:r w:rsidR="00C2043F">
        <w:t>B</w:t>
      </w:r>
      <w:r>
        <w:t xml:space="preserve"> s metastázami v supraklavikulárnych lymfatických uzlinách alebo s malígnym pleurálnym alebo perikardiálnym výpotkom), metastatickým alebo recidivujúcim neskvamóznym NSCLC, ktorí predtým nedostávali chemoterapiu. Primárnym koncovým ukazovateľom bolo prežívanie bez progresie ochorenia, sekundárnym cieľovým ukazovateľom v skúšaní bola dĺžka celkového prežívania.</w:t>
      </w:r>
    </w:p>
    <w:p w14:paraId="5A4794E0" w14:textId="77777777" w:rsidR="009C4600" w:rsidRPr="00F37D4D" w:rsidRDefault="009C4600" w:rsidP="00F64BF9">
      <w:pPr>
        <w:spacing w:line="240" w:lineRule="auto"/>
        <w:rPr>
          <w:szCs w:val="22"/>
        </w:rPr>
      </w:pPr>
    </w:p>
    <w:p w14:paraId="07274625" w14:textId="77777777" w:rsidR="009C4600" w:rsidRPr="00F37D4D" w:rsidRDefault="00BE7CB1" w:rsidP="00F64BF9">
      <w:pPr>
        <w:spacing w:line="240" w:lineRule="auto"/>
        <w:rPr>
          <w:szCs w:val="22"/>
        </w:rPr>
      </w:pPr>
      <w:r>
        <w:t>Pacienti boli randomizovaní do skupiny, ktorá dostávala chemoterapiu na báze platiny, cisplatinu 80 mg/m</w:t>
      </w:r>
      <w:r w:rsidRPr="00F37D4D">
        <w:rPr>
          <w:szCs w:val="22"/>
          <w:vertAlign w:val="superscript"/>
        </w:rPr>
        <w:t>2</w:t>
      </w:r>
      <w:r w:rsidRPr="00F37D4D">
        <w:rPr>
          <w:sz w:val="14"/>
          <w:szCs w:val="14"/>
        </w:rPr>
        <w:t xml:space="preserve"> </w:t>
      </w:r>
      <w:r>
        <w:t>intravenóznou infúziou v 1. deň a gemcitabín 1 250 mg/m</w:t>
      </w:r>
      <w:r w:rsidRPr="00F37D4D">
        <w:rPr>
          <w:szCs w:val="22"/>
          <w:vertAlign w:val="superscript"/>
        </w:rPr>
        <w:t>2</w:t>
      </w:r>
      <w:r w:rsidRPr="00F37D4D">
        <w:rPr>
          <w:sz w:val="14"/>
          <w:szCs w:val="14"/>
        </w:rPr>
        <w:t xml:space="preserve"> </w:t>
      </w:r>
      <w:r>
        <w:t xml:space="preserve">intravenóznou infúziou v 1. a 8. deň každého 3-týždňového cyklu až do 6 cyklov (CG) s placebom alebo CG s bevacizumabom v dávke 7,5 alebo 15 mg/kg telesnej hmotnosti i.v. infúziou v 1. deň každého 3-týždňového cyklu. Pacienti v skupinách s bevacizumabom mohli dostať bevacizumab v monoterapii každé 3 týždne až do progresie ochorenia alebo do neakceptovateľnej toxicity. Výsledky skúšania ukazujú, že 94 % (277/296) vhodných pacientov dostávalo bevacizumab v monoterapii v 7. cykle. Vysoký podiel </w:t>
      </w:r>
      <w:r>
        <w:lastRenderedPageBreak/>
        <w:t>pacientov (približne 62 %) následne prešiel na liečbu rôznymi protinádorovými liekmi nešpecifikovanými v protokole, ktoré mohli mať vplyv na výsledok analýzy celkového prežívania.</w:t>
      </w:r>
    </w:p>
    <w:p w14:paraId="08BABB15" w14:textId="77777777" w:rsidR="009C4600" w:rsidRPr="00F37D4D" w:rsidRDefault="009C4600" w:rsidP="00F64BF9">
      <w:pPr>
        <w:spacing w:line="240" w:lineRule="auto"/>
        <w:rPr>
          <w:szCs w:val="22"/>
        </w:rPr>
      </w:pPr>
    </w:p>
    <w:p w14:paraId="7EA7CC99" w14:textId="77777777" w:rsidR="009C4600" w:rsidRPr="00F37D4D" w:rsidRDefault="00BE7CB1" w:rsidP="00F64BF9">
      <w:pPr>
        <w:spacing w:line="240" w:lineRule="auto"/>
        <w:rPr>
          <w:szCs w:val="22"/>
        </w:rPr>
      </w:pPr>
      <w:r>
        <w:t>Výsledky účinnosti sú uvedené v tabuľke 13.</w:t>
      </w:r>
    </w:p>
    <w:p w14:paraId="0660FDBA" w14:textId="77777777" w:rsidR="009C4600" w:rsidRPr="00F37D4D" w:rsidRDefault="009C4600" w:rsidP="00F64BF9">
      <w:pPr>
        <w:spacing w:line="240" w:lineRule="auto"/>
        <w:rPr>
          <w:szCs w:val="22"/>
        </w:rPr>
      </w:pPr>
    </w:p>
    <w:p w14:paraId="51F26AA9" w14:textId="77777777" w:rsidR="009C4600" w:rsidRPr="00F67844" w:rsidRDefault="00BE7CB1" w:rsidP="00F64BF9">
      <w:pPr>
        <w:keepNext/>
        <w:spacing w:line="240" w:lineRule="auto"/>
        <w:rPr>
          <w:b/>
          <w:bCs/>
        </w:rPr>
      </w:pPr>
      <w:r>
        <w:rPr>
          <w:b/>
        </w:rPr>
        <w:t>Tabuľka 13</w:t>
      </w:r>
      <w:r w:rsidR="00EB3025">
        <w:rPr>
          <w:b/>
        </w:rPr>
        <w:t>.</w:t>
      </w:r>
      <w:r>
        <w:rPr>
          <w:b/>
        </w:rPr>
        <w:t xml:space="preserve"> Výsledky účinnosti v skúšaní BO17704</w:t>
      </w:r>
    </w:p>
    <w:p w14:paraId="5BF2C809"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0"/>
        <w:gridCol w:w="2234"/>
        <w:gridCol w:w="2234"/>
        <w:gridCol w:w="2233"/>
      </w:tblGrid>
      <w:tr w:rsidR="00741586" w:rsidRPr="00F37D4D" w14:paraId="0E87337B" w14:textId="77777777" w:rsidTr="00755C59">
        <w:trPr>
          <w:cantSplit/>
          <w:trHeight w:val="20"/>
          <w:tblHeader/>
          <w:jc w:val="center"/>
        </w:trPr>
        <w:tc>
          <w:tcPr>
            <w:tcW w:w="1302" w:type="pct"/>
            <w:tcBorders>
              <w:top w:val="single" w:sz="4" w:space="0" w:color="000000"/>
              <w:left w:val="single" w:sz="4" w:space="0" w:color="000000"/>
              <w:bottom w:val="single" w:sz="4" w:space="0" w:color="000000"/>
              <w:right w:val="single" w:sz="4" w:space="0" w:color="000000"/>
            </w:tcBorders>
          </w:tcPr>
          <w:p w14:paraId="0BF0D7AA" w14:textId="77777777" w:rsidR="009C4600" w:rsidRPr="00F37D4D"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318E58CB" w14:textId="77777777" w:rsidR="009C4600" w:rsidRPr="00F37D4D" w:rsidRDefault="00BE7CB1" w:rsidP="00F64BF9">
            <w:pPr>
              <w:pStyle w:val="TABLES"/>
              <w:ind w:left="57" w:right="57"/>
              <w:jc w:val="center"/>
              <w:rPr>
                <w:b/>
              </w:rPr>
            </w:pPr>
            <w:r>
              <w:rPr>
                <w:b/>
              </w:rPr>
              <w:t>cisplatina/gemcitabín</w:t>
            </w:r>
          </w:p>
          <w:p w14:paraId="3CF13AE3" w14:textId="77777777" w:rsidR="009C4600" w:rsidRPr="00F37D4D" w:rsidRDefault="00BE7CB1" w:rsidP="00F64BF9">
            <w:pPr>
              <w:pStyle w:val="TABLES"/>
              <w:ind w:left="57" w:right="57"/>
              <w:jc w:val="center"/>
              <w:rPr>
                <w:b/>
              </w:rPr>
            </w:pPr>
            <w:r>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0D6CF9D3" w14:textId="77777777" w:rsidR="009C4600" w:rsidRPr="00F37D4D" w:rsidRDefault="00BE7CB1" w:rsidP="00F64BF9">
            <w:pPr>
              <w:pStyle w:val="TABLES"/>
              <w:ind w:left="57" w:right="57"/>
              <w:jc w:val="center"/>
              <w:rPr>
                <w:b/>
              </w:rPr>
            </w:pPr>
            <w:r>
              <w:rPr>
                <w:b/>
              </w:rPr>
              <w:t>cisplatina/gemcitabín</w:t>
            </w:r>
          </w:p>
          <w:p w14:paraId="28B8C196" w14:textId="77777777" w:rsidR="009C4600" w:rsidRPr="00F37D4D" w:rsidRDefault="00BE7CB1" w:rsidP="00F64BF9">
            <w:pPr>
              <w:pStyle w:val="TABLES"/>
              <w:ind w:left="57" w:right="57"/>
              <w:jc w:val="center"/>
              <w:rPr>
                <w:b/>
              </w:rPr>
            </w:pPr>
            <w:r>
              <w:rPr>
                <w:b/>
              </w:rPr>
              <w:t>+ bevacizumab</w:t>
            </w:r>
          </w:p>
          <w:p w14:paraId="52E7583B" w14:textId="77777777" w:rsidR="009C4600" w:rsidRPr="00F37D4D" w:rsidRDefault="00BE7CB1" w:rsidP="00F64BF9">
            <w:pPr>
              <w:pStyle w:val="TABLES"/>
              <w:ind w:left="57" w:right="57"/>
              <w:jc w:val="center"/>
              <w:rPr>
                <w:b/>
              </w:rPr>
            </w:pPr>
            <w:r>
              <w:rPr>
                <w:b/>
              </w:rPr>
              <w:t>7,5 mg/kg každé 3 týždne</w:t>
            </w:r>
          </w:p>
        </w:tc>
        <w:tc>
          <w:tcPr>
            <w:tcW w:w="1233" w:type="pct"/>
            <w:tcBorders>
              <w:top w:val="single" w:sz="4" w:space="0" w:color="000000"/>
              <w:left w:val="single" w:sz="4" w:space="0" w:color="000000"/>
              <w:bottom w:val="single" w:sz="4" w:space="0" w:color="000000"/>
              <w:right w:val="single" w:sz="4" w:space="0" w:color="000000"/>
            </w:tcBorders>
            <w:hideMark/>
          </w:tcPr>
          <w:p w14:paraId="1030A6E1" w14:textId="77777777" w:rsidR="009C4600" w:rsidRPr="00F37D4D" w:rsidRDefault="00BE7CB1" w:rsidP="00F64BF9">
            <w:pPr>
              <w:pStyle w:val="TABLES"/>
              <w:ind w:left="57" w:right="57"/>
              <w:jc w:val="center"/>
              <w:rPr>
                <w:b/>
              </w:rPr>
            </w:pPr>
            <w:r>
              <w:rPr>
                <w:b/>
              </w:rPr>
              <w:t>cisplatina/gemcitabín</w:t>
            </w:r>
          </w:p>
          <w:p w14:paraId="357EB83E" w14:textId="77777777" w:rsidR="009C4600" w:rsidRPr="00F37D4D" w:rsidRDefault="00BE7CB1" w:rsidP="00F64BF9">
            <w:pPr>
              <w:pStyle w:val="TABLES"/>
              <w:ind w:left="57" w:right="57"/>
              <w:jc w:val="center"/>
              <w:rPr>
                <w:b/>
              </w:rPr>
            </w:pPr>
            <w:r>
              <w:rPr>
                <w:b/>
              </w:rPr>
              <w:t>+ bevacizumab</w:t>
            </w:r>
          </w:p>
          <w:p w14:paraId="596EE655" w14:textId="77777777" w:rsidR="009C4600" w:rsidRPr="00F37D4D" w:rsidRDefault="00BE7CB1" w:rsidP="00F64BF9">
            <w:pPr>
              <w:pStyle w:val="TABLES"/>
              <w:ind w:left="57" w:right="57"/>
              <w:jc w:val="center"/>
              <w:rPr>
                <w:b/>
              </w:rPr>
            </w:pPr>
            <w:r>
              <w:rPr>
                <w:b/>
              </w:rPr>
              <w:t>15 mg/kg každé 3 týždne</w:t>
            </w:r>
          </w:p>
        </w:tc>
      </w:tr>
      <w:tr w:rsidR="00741586" w:rsidRPr="00F37D4D" w14:paraId="4FBE63B3"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3CEBF09" w14:textId="77777777" w:rsidR="009C4600" w:rsidRPr="00F37D4D" w:rsidRDefault="00BE7CB1" w:rsidP="00F64BF9">
            <w:pPr>
              <w:pStyle w:val="TABLES"/>
              <w:ind w:left="57" w:right="57"/>
            </w:pPr>
            <w:r>
              <w:t>Počet pacientov</w:t>
            </w:r>
          </w:p>
        </w:tc>
        <w:tc>
          <w:tcPr>
            <w:tcW w:w="1233" w:type="pct"/>
            <w:tcBorders>
              <w:top w:val="single" w:sz="4" w:space="0" w:color="000000"/>
              <w:left w:val="single" w:sz="4" w:space="0" w:color="000000"/>
              <w:bottom w:val="single" w:sz="4" w:space="0" w:color="000000"/>
              <w:right w:val="single" w:sz="4" w:space="0" w:color="000000"/>
            </w:tcBorders>
            <w:hideMark/>
          </w:tcPr>
          <w:p w14:paraId="5D83B5CD" w14:textId="77777777" w:rsidR="009C4600" w:rsidRPr="00F37D4D" w:rsidRDefault="00BE7CB1" w:rsidP="00F64BF9">
            <w:pPr>
              <w:pStyle w:val="TABLES"/>
              <w:ind w:left="57" w:right="57"/>
              <w:jc w:val="center"/>
            </w:pPr>
            <w:r>
              <w:t>347</w:t>
            </w:r>
          </w:p>
        </w:tc>
        <w:tc>
          <w:tcPr>
            <w:tcW w:w="1233" w:type="pct"/>
            <w:tcBorders>
              <w:top w:val="single" w:sz="4" w:space="0" w:color="000000"/>
              <w:left w:val="single" w:sz="4" w:space="0" w:color="000000"/>
              <w:bottom w:val="single" w:sz="4" w:space="0" w:color="000000"/>
              <w:right w:val="single" w:sz="4" w:space="0" w:color="000000"/>
            </w:tcBorders>
            <w:hideMark/>
          </w:tcPr>
          <w:p w14:paraId="20E26B4A" w14:textId="77777777" w:rsidR="009C4600" w:rsidRPr="00F37D4D" w:rsidRDefault="00BE7CB1" w:rsidP="00F64BF9">
            <w:pPr>
              <w:pStyle w:val="TABLES"/>
              <w:ind w:left="57" w:right="57"/>
              <w:jc w:val="center"/>
            </w:pPr>
            <w:r>
              <w:t>345</w:t>
            </w:r>
          </w:p>
        </w:tc>
        <w:tc>
          <w:tcPr>
            <w:tcW w:w="1233" w:type="pct"/>
            <w:tcBorders>
              <w:top w:val="single" w:sz="4" w:space="0" w:color="000000"/>
              <w:left w:val="single" w:sz="4" w:space="0" w:color="000000"/>
              <w:bottom w:val="single" w:sz="4" w:space="0" w:color="000000"/>
              <w:right w:val="single" w:sz="4" w:space="0" w:color="000000"/>
            </w:tcBorders>
            <w:hideMark/>
          </w:tcPr>
          <w:p w14:paraId="293ACC5A" w14:textId="77777777" w:rsidR="009C4600" w:rsidRPr="00F37D4D" w:rsidRDefault="00BE7CB1" w:rsidP="00F64BF9">
            <w:pPr>
              <w:pStyle w:val="TABLES"/>
              <w:ind w:left="57" w:right="57"/>
              <w:jc w:val="center"/>
            </w:pPr>
            <w:r>
              <w:t>351</w:t>
            </w:r>
          </w:p>
        </w:tc>
      </w:tr>
      <w:tr w:rsidR="00741586" w:rsidRPr="00F37D4D" w14:paraId="2FCEDA7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56039D0C" w14:textId="77777777" w:rsidR="009C4600" w:rsidRPr="00F37D4D" w:rsidRDefault="00BE7CB1" w:rsidP="00F64BF9">
            <w:pPr>
              <w:pStyle w:val="TABLES"/>
              <w:ind w:left="57" w:right="57"/>
            </w:pPr>
            <w:r>
              <w:t>Prežívanie bez progresie</w:t>
            </w:r>
          </w:p>
        </w:tc>
        <w:tc>
          <w:tcPr>
            <w:tcW w:w="1233" w:type="pct"/>
            <w:tcBorders>
              <w:top w:val="single" w:sz="4" w:space="0" w:color="000000"/>
              <w:left w:val="single" w:sz="4" w:space="0" w:color="000000"/>
              <w:bottom w:val="single" w:sz="4" w:space="0" w:color="000000"/>
              <w:right w:val="single" w:sz="4" w:space="0" w:color="000000"/>
            </w:tcBorders>
          </w:tcPr>
          <w:p w14:paraId="63ACB916"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74457820"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281E5C7C" w14:textId="77777777" w:rsidR="009C4600" w:rsidRPr="00F37D4D" w:rsidRDefault="009C4600" w:rsidP="00F64BF9">
            <w:pPr>
              <w:pStyle w:val="TABLES"/>
              <w:ind w:left="57" w:right="57"/>
              <w:jc w:val="center"/>
            </w:pPr>
          </w:p>
        </w:tc>
      </w:tr>
      <w:tr w:rsidR="00741586" w:rsidRPr="00F37D4D" w14:paraId="2596217E"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2D9EC8EA" w14:textId="77777777" w:rsidR="009C4600" w:rsidRPr="00F37D4D" w:rsidRDefault="00BE7CB1" w:rsidP="00F64BF9">
            <w:pPr>
              <w:pStyle w:val="TABLES"/>
              <w:ind w:left="567" w:right="57"/>
            </w:pPr>
            <w:r>
              <w:t>Medián času (mesiace)</w:t>
            </w:r>
          </w:p>
        </w:tc>
        <w:tc>
          <w:tcPr>
            <w:tcW w:w="1233" w:type="pct"/>
            <w:tcBorders>
              <w:top w:val="single" w:sz="4" w:space="0" w:color="000000"/>
              <w:left w:val="single" w:sz="4" w:space="0" w:color="000000"/>
              <w:bottom w:val="single" w:sz="4" w:space="0" w:color="000000"/>
              <w:right w:val="single" w:sz="4" w:space="0" w:color="000000"/>
            </w:tcBorders>
            <w:hideMark/>
          </w:tcPr>
          <w:p w14:paraId="3F8E84C3" w14:textId="77777777" w:rsidR="009C4600" w:rsidRPr="00F37D4D" w:rsidRDefault="00BE7CB1" w:rsidP="00F64BF9">
            <w:pPr>
              <w:pStyle w:val="TABLES"/>
              <w:ind w:left="57" w:right="57"/>
              <w:jc w:val="center"/>
            </w:pPr>
            <w:r>
              <w:t>6,1</w:t>
            </w:r>
          </w:p>
        </w:tc>
        <w:tc>
          <w:tcPr>
            <w:tcW w:w="1233" w:type="pct"/>
            <w:tcBorders>
              <w:top w:val="single" w:sz="4" w:space="0" w:color="000000"/>
              <w:left w:val="single" w:sz="4" w:space="0" w:color="000000"/>
              <w:bottom w:val="single" w:sz="4" w:space="0" w:color="000000"/>
              <w:right w:val="single" w:sz="4" w:space="0" w:color="000000"/>
            </w:tcBorders>
            <w:hideMark/>
          </w:tcPr>
          <w:p w14:paraId="5987F8D1" w14:textId="77777777" w:rsidR="009C4600" w:rsidRPr="00F37D4D" w:rsidRDefault="00BE7CB1" w:rsidP="00F64BF9">
            <w:pPr>
              <w:pStyle w:val="TABLES"/>
              <w:ind w:left="57" w:right="57"/>
              <w:jc w:val="center"/>
            </w:pPr>
            <w:r>
              <w:t>6,7</w:t>
            </w:r>
          </w:p>
          <w:p w14:paraId="50614ACF" w14:textId="77777777" w:rsidR="009C4600" w:rsidRPr="00F37D4D" w:rsidRDefault="00BE7CB1" w:rsidP="00F64BF9">
            <w:pPr>
              <w:pStyle w:val="TABLES"/>
              <w:ind w:left="57" w:right="57"/>
              <w:jc w:val="center"/>
            </w:pPr>
            <w:r>
              <w:t>(p = 0,0026)</w:t>
            </w:r>
          </w:p>
        </w:tc>
        <w:tc>
          <w:tcPr>
            <w:tcW w:w="1233" w:type="pct"/>
            <w:tcBorders>
              <w:top w:val="single" w:sz="4" w:space="0" w:color="000000"/>
              <w:left w:val="single" w:sz="4" w:space="0" w:color="000000"/>
              <w:bottom w:val="single" w:sz="4" w:space="0" w:color="000000"/>
              <w:right w:val="single" w:sz="4" w:space="0" w:color="000000"/>
            </w:tcBorders>
            <w:hideMark/>
          </w:tcPr>
          <w:p w14:paraId="3F7FBBB8" w14:textId="77777777" w:rsidR="009C4600" w:rsidRPr="00F37D4D" w:rsidRDefault="00BE7CB1" w:rsidP="00F64BF9">
            <w:pPr>
              <w:pStyle w:val="TABLES"/>
              <w:ind w:left="57" w:right="57"/>
              <w:jc w:val="center"/>
            </w:pPr>
            <w:r>
              <w:t>6,5</w:t>
            </w:r>
          </w:p>
          <w:p w14:paraId="2251577D" w14:textId="77777777" w:rsidR="009C4600" w:rsidRPr="00F37D4D" w:rsidRDefault="00BE7CB1" w:rsidP="00F64BF9">
            <w:pPr>
              <w:pStyle w:val="TABLES"/>
              <w:ind w:left="57" w:right="57"/>
              <w:jc w:val="center"/>
            </w:pPr>
            <w:r>
              <w:t>(p = 0,0301)</w:t>
            </w:r>
          </w:p>
        </w:tc>
      </w:tr>
      <w:tr w:rsidR="00741586" w:rsidRPr="00F37D4D" w14:paraId="6515D0C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B8F9267" w14:textId="77777777" w:rsidR="009C4600" w:rsidRPr="00F37D4D" w:rsidRDefault="00BE7CB1" w:rsidP="00F64BF9">
            <w:pPr>
              <w:pStyle w:val="TABLES"/>
              <w:ind w:left="1134" w:right="57"/>
            </w:pPr>
            <w:r>
              <w:t>Miera rizika</w:t>
            </w:r>
          </w:p>
        </w:tc>
        <w:tc>
          <w:tcPr>
            <w:tcW w:w="1233" w:type="pct"/>
            <w:tcBorders>
              <w:top w:val="single" w:sz="4" w:space="0" w:color="000000"/>
              <w:left w:val="single" w:sz="4" w:space="0" w:color="000000"/>
              <w:bottom w:val="single" w:sz="4" w:space="0" w:color="000000"/>
              <w:right w:val="single" w:sz="4" w:space="0" w:color="000000"/>
            </w:tcBorders>
          </w:tcPr>
          <w:p w14:paraId="1DF032AA"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22D474E8" w14:textId="77777777" w:rsidR="009C4600" w:rsidRPr="00F37D4D" w:rsidRDefault="00BE7CB1" w:rsidP="00F64BF9">
            <w:pPr>
              <w:pStyle w:val="TABLES"/>
              <w:ind w:left="57" w:right="57"/>
              <w:jc w:val="center"/>
            </w:pPr>
            <w:r>
              <w:t>0,75</w:t>
            </w:r>
          </w:p>
          <w:p w14:paraId="4B95B741" w14:textId="77777777" w:rsidR="009C4600" w:rsidRPr="00F37D4D" w:rsidRDefault="00BE7CB1" w:rsidP="00F64BF9">
            <w:pPr>
              <w:pStyle w:val="TABLES"/>
              <w:ind w:left="57" w:right="57"/>
              <w:jc w:val="center"/>
            </w:pPr>
            <w:r>
              <w:t>[0,62; 0,91]</w:t>
            </w:r>
          </w:p>
        </w:tc>
        <w:tc>
          <w:tcPr>
            <w:tcW w:w="1233" w:type="pct"/>
            <w:tcBorders>
              <w:top w:val="single" w:sz="4" w:space="0" w:color="000000"/>
              <w:left w:val="single" w:sz="4" w:space="0" w:color="000000"/>
              <w:bottom w:val="single" w:sz="4" w:space="0" w:color="000000"/>
              <w:right w:val="single" w:sz="4" w:space="0" w:color="000000"/>
            </w:tcBorders>
            <w:hideMark/>
          </w:tcPr>
          <w:p w14:paraId="49A423AF" w14:textId="77777777" w:rsidR="009C4600" w:rsidRPr="00F37D4D" w:rsidRDefault="00BE7CB1" w:rsidP="00F64BF9">
            <w:pPr>
              <w:pStyle w:val="TABLES"/>
              <w:ind w:left="57" w:right="57"/>
              <w:jc w:val="center"/>
            </w:pPr>
            <w:r>
              <w:t>0,82</w:t>
            </w:r>
          </w:p>
          <w:p w14:paraId="38F9E011" w14:textId="77777777" w:rsidR="009C4600" w:rsidRPr="00F37D4D" w:rsidRDefault="00BE7CB1" w:rsidP="00F64BF9">
            <w:pPr>
              <w:pStyle w:val="TABLES"/>
              <w:ind w:left="57" w:right="57"/>
              <w:jc w:val="center"/>
            </w:pPr>
            <w:r>
              <w:t>[0,68; 0,98]</w:t>
            </w:r>
          </w:p>
        </w:tc>
      </w:tr>
      <w:tr w:rsidR="00741586" w:rsidRPr="00F37D4D" w14:paraId="3BA5ECA9"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0F84681" w14:textId="77777777" w:rsidR="009C4600" w:rsidRPr="00F37D4D" w:rsidRDefault="00BE7CB1" w:rsidP="00F64BF9">
            <w:pPr>
              <w:pStyle w:val="TABLES"/>
              <w:ind w:left="57" w:right="57"/>
            </w:pPr>
            <w:r>
              <w:t>Najlepšia celková miera odpovede</w:t>
            </w:r>
            <w:r w:rsidR="00893695" w:rsidRPr="00F37D4D">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1FB58A46" w14:textId="77777777" w:rsidR="009C4600" w:rsidRPr="00F37D4D" w:rsidRDefault="00BE7CB1" w:rsidP="00F64BF9">
            <w:pPr>
              <w:pStyle w:val="TABLES"/>
              <w:ind w:left="57" w:right="57"/>
              <w:jc w:val="center"/>
            </w:pPr>
            <w:r>
              <w:t>20,1 %</w:t>
            </w:r>
          </w:p>
        </w:tc>
        <w:tc>
          <w:tcPr>
            <w:tcW w:w="1233" w:type="pct"/>
            <w:tcBorders>
              <w:top w:val="single" w:sz="4" w:space="0" w:color="000000"/>
              <w:left w:val="single" w:sz="4" w:space="0" w:color="000000"/>
              <w:bottom w:val="single" w:sz="4" w:space="0" w:color="000000"/>
              <w:right w:val="single" w:sz="4" w:space="0" w:color="000000"/>
            </w:tcBorders>
            <w:hideMark/>
          </w:tcPr>
          <w:p w14:paraId="128656E1" w14:textId="77777777" w:rsidR="009C4600" w:rsidRPr="00F37D4D" w:rsidRDefault="00BE7CB1" w:rsidP="00F64BF9">
            <w:pPr>
              <w:pStyle w:val="TABLES"/>
              <w:ind w:left="57" w:right="57"/>
              <w:jc w:val="center"/>
            </w:pPr>
            <w:r>
              <w:t>34,1 %</w:t>
            </w:r>
          </w:p>
          <w:p w14:paraId="46BFB919" w14:textId="77777777" w:rsidR="009C4600" w:rsidRPr="00F37D4D" w:rsidRDefault="00BE7CB1" w:rsidP="00F64BF9">
            <w:pPr>
              <w:pStyle w:val="TABLES"/>
              <w:ind w:left="57" w:right="57"/>
              <w:jc w:val="center"/>
            </w:pPr>
            <w:r>
              <w:t>(p &lt; 0,0001)</w:t>
            </w:r>
          </w:p>
        </w:tc>
        <w:tc>
          <w:tcPr>
            <w:tcW w:w="1233" w:type="pct"/>
            <w:tcBorders>
              <w:top w:val="single" w:sz="4" w:space="0" w:color="000000"/>
              <w:left w:val="single" w:sz="4" w:space="0" w:color="000000"/>
              <w:bottom w:val="single" w:sz="4" w:space="0" w:color="000000"/>
              <w:right w:val="single" w:sz="4" w:space="0" w:color="000000"/>
            </w:tcBorders>
            <w:hideMark/>
          </w:tcPr>
          <w:p w14:paraId="442CD93C" w14:textId="77777777" w:rsidR="009C4600" w:rsidRPr="00F37D4D" w:rsidRDefault="00BE7CB1" w:rsidP="00F64BF9">
            <w:pPr>
              <w:pStyle w:val="TABLES"/>
              <w:ind w:left="57" w:right="57"/>
              <w:jc w:val="center"/>
            </w:pPr>
            <w:r>
              <w:t>30,4 %</w:t>
            </w:r>
          </w:p>
          <w:p w14:paraId="0796B4E2" w14:textId="77777777" w:rsidR="009C4600" w:rsidRPr="00F37D4D" w:rsidRDefault="00BE7CB1" w:rsidP="00F64BF9">
            <w:pPr>
              <w:pStyle w:val="TABLES"/>
              <w:tabs>
                <w:tab w:val="left" w:pos="1332"/>
              </w:tabs>
              <w:ind w:left="57" w:right="57"/>
              <w:jc w:val="center"/>
            </w:pPr>
            <w:r>
              <w:t>(p = 0,0023)</w:t>
            </w:r>
          </w:p>
        </w:tc>
      </w:tr>
    </w:tbl>
    <w:p w14:paraId="6774EFD3" w14:textId="77777777" w:rsidR="009C4600" w:rsidRPr="00F67844" w:rsidRDefault="00BE7CB1" w:rsidP="00F64BF9">
      <w:pPr>
        <w:tabs>
          <w:tab w:val="clear" w:pos="567"/>
          <w:tab w:val="left" w:pos="284"/>
        </w:tabs>
        <w:spacing w:line="240" w:lineRule="auto"/>
        <w:ind w:left="284" w:hanging="284"/>
        <w:rPr>
          <w:sz w:val="20"/>
        </w:rPr>
      </w:pPr>
      <w:r>
        <w:rPr>
          <w:sz w:val="20"/>
          <w:vertAlign w:val="superscript"/>
        </w:rPr>
        <w:t>a</w:t>
      </w:r>
      <w:r>
        <w:rPr>
          <w:sz w:val="20"/>
        </w:rPr>
        <w:t xml:space="preserve"> pacienti s merateľným ochorením na začiatku štúdie</w:t>
      </w:r>
    </w:p>
    <w:p w14:paraId="0C216917" w14:textId="77777777" w:rsidR="009C4600" w:rsidRPr="00F67844"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F37D4D" w14:paraId="605C3B9D"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8C95F5C" w14:textId="77777777" w:rsidR="009C4600" w:rsidRPr="00F37D4D" w:rsidRDefault="00BE7CB1" w:rsidP="00F64BF9">
            <w:pPr>
              <w:pStyle w:val="TABLES"/>
              <w:keepNext/>
              <w:ind w:left="57" w:right="57"/>
            </w:pPr>
            <w:r>
              <w:t>Celkové prežívanie</w:t>
            </w:r>
          </w:p>
        </w:tc>
      </w:tr>
      <w:tr w:rsidR="00741586" w:rsidRPr="00F37D4D" w14:paraId="1E4460DC"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4D67E527" w14:textId="77777777" w:rsidR="009C4600" w:rsidRPr="00F37D4D" w:rsidRDefault="00BE7CB1" w:rsidP="00F64BF9">
            <w:pPr>
              <w:pStyle w:val="TABLES"/>
              <w:ind w:left="57" w:right="57"/>
            </w:pPr>
            <w:r>
              <w:t>Medián času (mesiace)</w:t>
            </w:r>
          </w:p>
        </w:tc>
        <w:tc>
          <w:tcPr>
            <w:tcW w:w="554" w:type="pct"/>
            <w:tcBorders>
              <w:top w:val="single" w:sz="4" w:space="0" w:color="000000"/>
              <w:left w:val="single" w:sz="4" w:space="0" w:color="000000"/>
              <w:bottom w:val="single" w:sz="4" w:space="0" w:color="000000"/>
              <w:right w:val="single" w:sz="4" w:space="0" w:color="000000"/>
            </w:tcBorders>
            <w:hideMark/>
          </w:tcPr>
          <w:p w14:paraId="25CEF152" w14:textId="77777777" w:rsidR="009C4600" w:rsidRPr="00F37D4D" w:rsidRDefault="00BE7CB1" w:rsidP="00F64BF9">
            <w:pPr>
              <w:pStyle w:val="TABLES"/>
              <w:ind w:left="57" w:right="57"/>
              <w:jc w:val="center"/>
            </w:pPr>
            <w:r>
              <w:t>13,1</w:t>
            </w:r>
          </w:p>
        </w:tc>
        <w:tc>
          <w:tcPr>
            <w:tcW w:w="1328" w:type="pct"/>
            <w:tcBorders>
              <w:top w:val="single" w:sz="4" w:space="0" w:color="000000"/>
              <w:left w:val="single" w:sz="4" w:space="0" w:color="000000"/>
              <w:bottom w:val="single" w:sz="4" w:space="0" w:color="000000"/>
              <w:right w:val="single" w:sz="4" w:space="0" w:color="000000"/>
            </w:tcBorders>
            <w:hideMark/>
          </w:tcPr>
          <w:p w14:paraId="0F0C9CB3" w14:textId="77777777" w:rsidR="009C4600" w:rsidRPr="00F37D4D" w:rsidRDefault="00BE7CB1" w:rsidP="00F64BF9">
            <w:pPr>
              <w:pStyle w:val="TABLES"/>
              <w:ind w:left="57" w:right="57"/>
              <w:jc w:val="center"/>
            </w:pPr>
            <w:r>
              <w:t>13,6</w:t>
            </w:r>
          </w:p>
          <w:p w14:paraId="71E4448F" w14:textId="77777777" w:rsidR="009C4600" w:rsidRPr="00F37D4D" w:rsidRDefault="00BE7CB1" w:rsidP="00F64BF9">
            <w:pPr>
              <w:pStyle w:val="TABLES"/>
              <w:ind w:left="57" w:right="57"/>
              <w:jc w:val="center"/>
            </w:pPr>
            <w:r>
              <w:t>(p = 0,4203)</w:t>
            </w:r>
          </w:p>
        </w:tc>
        <w:tc>
          <w:tcPr>
            <w:tcW w:w="1328" w:type="pct"/>
            <w:tcBorders>
              <w:top w:val="single" w:sz="4" w:space="0" w:color="000000"/>
              <w:left w:val="single" w:sz="4" w:space="0" w:color="000000"/>
              <w:bottom w:val="single" w:sz="4" w:space="0" w:color="000000"/>
              <w:right w:val="single" w:sz="4" w:space="0" w:color="000000"/>
            </w:tcBorders>
            <w:hideMark/>
          </w:tcPr>
          <w:p w14:paraId="5D27115E" w14:textId="77777777" w:rsidR="009C4600" w:rsidRPr="00F37D4D" w:rsidRDefault="00BE7CB1" w:rsidP="00F64BF9">
            <w:pPr>
              <w:pStyle w:val="TABLES"/>
              <w:ind w:left="57" w:right="57"/>
              <w:jc w:val="center"/>
            </w:pPr>
            <w:r>
              <w:t>13,4</w:t>
            </w:r>
          </w:p>
          <w:p w14:paraId="3ED220E2" w14:textId="77777777" w:rsidR="009C4600" w:rsidRPr="00F37D4D" w:rsidRDefault="00BE7CB1" w:rsidP="00F64BF9">
            <w:pPr>
              <w:pStyle w:val="TABLES"/>
              <w:ind w:left="57" w:right="57"/>
              <w:jc w:val="center"/>
            </w:pPr>
            <w:r>
              <w:t>(p = 0,7613)</w:t>
            </w:r>
          </w:p>
        </w:tc>
      </w:tr>
      <w:tr w:rsidR="00741586" w:rsidRPr="00F37D4D" w14:paraId="627B04E5"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40449AD5" w14:textId="77777777" w:rsidR="009C4600" w:rsidRPr="00F37D4D" w:rsidRDefault="00BE7CB1" w:rsidP="00F64BF9">
            <w:pPr>
              <w:pStyle w:val="TABLES"/>
              <w:ind w:left="567" w:right="57"/>
            </w:pPr>
            <w:r>
              <w:t>Miera rizika</w:t>
            </w:r>
          </w:p>
        </w:tc>
        <w:tc>
          <w:tcPr>
            <w:tcW w:w="554" w:type="pct"/>
            <w:tcBorders>
              <w:top w:val="single" w:sz="4" w:space="0" w:color="000000"/>
              <w:left w:val="single" w:sz="4" w:space="0" w:color="000000"/>
              <w:bottom w:val="single" w:sz="4" w:space="0" w:color="000000"/>
              <w:right w:val="single" w:sz="4" w:space="0" w:color="000000"/>
            </w:tcBorders>
          </w:tcPr>
          <w:p w14:paraId="22F4BF16" w14:textId="77777777" w:rsidR="009C4600" w:rsidRPr="00F37D4D"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22538370" w14:textId="77777777" w:rsidR="009C4600" w:rsidRPr="00F37D4D" w:rsidRDefault="00BE7CB1" w:rsidP="00F64BF9">
            <w:pPr>
              <w:pStyle w:val="TABLES"/>
              <w:ind w:left="57" w:right="57"/>
              <w:jc w:val="center"/>
            </w:pPr>
            <w:r>
              <w:t>0,93</w:t>
            </w:r>
          </w:p>
          <w:p w14:paraId="78E62E5C" w14:textId="77777777" w:rsidR="009C4600" w:rsidRPr="00F37D4D" w:rsidRDefault="00BE7CB1" w:rsidP="00F64BF9">
            <w:pPr>
              <w:pStyle w:val="TABLES"/>
              <w:ind w:left="57" w:right="57"/>
              <w:jc w:val="center"/>
            </w:pPr>
            <w:r>
              <w:t>[0,78; 1,11]</w:t>
            </w:r>
          </w:p>
        </w:tc>
        <w:tc>
          <w:tcPr>
            <w:tcW w:w="1328" w:type="pct"/>
            <w:tcBorders>
              <w:top w:val="single" w:sz="4" w:space="0" w:color="000000"/>
              <w:left w:val="single" w:sz="4" w:space="0" w:color="000000"/>
              <w:bottom w:val="single" w:sz="4" w:space="0" w:color="000000"/>
              <w:right w:val="single" w:sz="4" w:space="0" w:color="000000"/>
            </w:tcBorders>
            <w:hideMark/>
          </w:tcPr>
          <w:p w14:paraId="318D74FC" w14:textId="77777777" w:rsidR="009C4600" w:rsidRPr="00F37D4D" w:rsidRDefault="00BE7CB1" w:rsidP="00F64BF9">
            <w:pPr>
              <w:pStyle w:val="TABLES"/>
              <w:ind w:left="57" w:right="57"/>
              <w:jc w:val="center"/>
            </w:pPr>
            <w:r>
              <w:t>1,03</w:t>
            </w:r>
          </w:p>
          <w:p w14:paraId="1ACDC13D" w14:textId="77777777" w:rsidR="009C4600" w:rsidRPr="00F37D4D" w:rsidRDefault="00BE7CB1" w:rsidP="00F64BF9">
            <w:pPr>
              <w:pStyle w:val="TABLES"/>
              <w:ind w:left="57" w:right="57"/>
              <w:jc w:val="center"/>
            </w:pPr>
            <w:r>
              <w:t>[0,86, 1,23]</w:t>
            </w:r>
          </w:p>
        </w:tc>
      </w:tr>
    </w:tbl>
    <w:p w14:paraId="2477A6D3" w14:textId="77777777" w:rsidR="009C4600" w:rsidRPr="00F37D4D" w:rsidRDefault="009C4600" w:rsidP="00F64BF9">
      <w:pPr>
        <w:autoSpaceDE w:val="0"/>
        <w:autoSpaceDN w:val="0"/>
        <w:adjustRightInd w:val="0"/>
        <w:spacing w:line="240" w:lineRule="auto"/>
        <w:rPr>
          <w:szCs w:val="22"/>
        </w:rPr>
      </w:pPr>
    </w:p>
    <w:p w14:paraId="1D47BA21" w14:textId="77777777" w:rsidR="009C4600" w:rsidRPr="00F67844" w:rsidRDefault="00BE7CB1" w:rsidP="00F64BF9">
      <w:pPr>
        <w:keepNext/>
        <w:spacing w:line="240" w:lineRule="auto"/>
        <w:rPr>
          <w:i/>
          <w:iCs/>
          <w:szCs w:val="22"/>
        </w:rPr>
      </w:pPr>
      <w:r>
        <w:rPr>
          <w:i/>
        </w:rPr>
        <w:t>Liečba prvej línie neskvamózneho NSCLC s aktivujúcimi mutáciami EGFR v kombinácii s erlotinibom</w:t>
      </w:r>
    </w:p>
    <w:p w14:paraId="63BC56C8" w14:textId="77777777" w:rsidR="009C4600" w:rsidRPr="00F67844" w:rsidRDefault="009C4600" w:rsidP="00F64BF9">
      <w:pPr>
        <w:keepNext/>
        <w:spacing w:line="240" w:lineRule="auto"/>
      </w:pPr>
    </w:p>
    <w:p w14:paraId="4B5A2BD8" w14:textId="77777777" w:rsidR="009C4600" w:rsidRDefault="00BE7CB1" w:rsidP="00F64BF9">
      <w:pPr>
        <w:keepNext/>
        <w:spacing w:line="240" w:lineRule="auto"/>
        <w:rPr>
          <w:i/>
          <w:iCs/>
          <w:szCs w:val="22"/>
        </w:rPr>
      </w:pPr>
      <w:r>
        <w:rPr>
          <w:i/>
        </w:rPr>
        <w:t>JO25567</w:t>
      </w:r>
    </w:p>
    <w:p w14:paraId="5D50DA9A" w14:textId="77777777" w:rsidR="004766C5" w:rsidRPr="00F67844" w:rsidRDefault="004766C5" w:rsidP="00F64BF9">
      <w:pPr>
        <w:keepNext/>
        <w:spacing w:line="240" w:lineRule="auto"/>
        <w:rPr>
          <w:i/>
          <w:iCs/>
          <w:szCs w:val="22"/>
        </w:rPr>
      </w:pPr>
    </w:p>
    <w:p w14:paraId="01DF3DAF" w14:textId="77777777" w:rsidR="009C4600" w:rsidRPr="00F37D4D" w:rsidRDefault="00BE7CB1" w:rsidP="00F64BF9">
      <w:pPr>
        <w:spacing w:line="240" w:lineRule="auto"/>
        <w:rPr>
          <w:szCs w:val="22"/>
        </w:rPr>
      </w:pPr>
      <w:r>
        <w:t>Štúdia JO25567 bola randomizovaná, otvorená, multicentrická štúdia fázy II, uskutočnená v Japonsku s cieľom posúdiť účinnosť a bezpečnosť bevacizumabu pridaného k erlotinibu u pacientov s neskvamóznym NSCLC s aktivujúcimi mutáciami EGFR (delécia v exóne 19 alebo mutácia L858R</w:t>
      </w:r>
      <w:r w:rsidR="00EB3025">
        <w:t xml:space="preserve"> </w:t>
      </w:r>
      <w:r>
        <w:t>v exóne 21), ktorí nedostali predtým systémovú liečbu na toto ochorenie, ak bolo v štádiu IIIB/IV alebo pri jeho recidíve.</w:t>
      </w:r>
    </w:p>
    <w:p w14:paraId="6C4E2017" w14:textId="77777777" w:rsidR="009C4600" w:rsidRPr="00F37D4D" w:rsidRDefault="009C4600" w:rsidP="00F64BF9">
      <w:pPr>
        <w:spacing w:line="240" w:lineRule="auto"/>
        <w:rPr>
          <w:szCs w:val="22"/>
        </w:rPr>
      </w:pPr>
    </w:p>
    <w:p w14:paraId="0C31F112" w14:textId="77777777" w:rsidR="009C4600" w:rsidRPr="00F37D4D" w:rsidRDefault="00BE7CB1" w:rsidP="00F64BF9">
      <w:pPr>
        <w:spacing w:line="240" w:lineRule="auto"/>
        <w:rPr>
          <w:szCs w:val="22"/>
        </w:rPr>
      </w:pPr>
      <w:r>
        <w:t>Primárnym koncovým ukazovateľom bolo prežívanie bez progresie (PFS), ktoré sa hodnotilo nezávislým posúdením. Medzi sekundárne koncové ukazovatele boli zahrnuté celkové prežívanie, miera odpovede, miera kontroly ochorenia, trvanie odpovede a bezpečnosť.</w:t>
      </w:r>
    </w:p>
    <w:p w14:paraId="72F9FA81" w14:textId="77777777" w:rsidR="009C4600" w:rsidRPr="00F37D4D" w:rsidRDefault="009C4600" w:rsidP="00F64BF9">
      <w:pPr>
        <w:spacing w:line="240" w:lineRule="auto"/>
        <w:rPr>
          <w:szCs w:val="22"/>
        </w:rPr>
      </w:pPr>
    </w:p>
    <w:p w14:paraId="7B0C2530" w14:textId="77777777" w:rsidR="009C4600" w:rsidRPr="00F37D4D" w:rsidRDefault="00BE7CB1" w:rsidP="00F64BF9">
      <w:pPr>
        <w:spacing w:line="240" w:lineRule="auto"/>
        <w:rPr>
          <w:szCs w:val="22"/>
        </w:rPr>
      </w:pPr>
      <w:r>
        <w:t>Hodnotenie stavu mutácie EGFR bolo stanovené u každého pacienta pred jeho skríningovým vyšetrením, 154 pacientov bolo randomizovaných do skupín, ktoré dostávali buď erlotinib + bevacizumab (erlotinib 150 mg perorálne denne + bevacizumab 15 mg/kg intravenózne každé 3 týždne) alebo erlotinib v monoterapii (150 mg perorálne denne) až do progresie ochorenia (PD) alebo neakceptovateľnej toxicity. V prípade, že neprišlo k progresii ochorenia, prerušenie podávania jednej zložky študovanej liečby v skupine s erlotinibom + bevacizumabom neviedlo k prerušeniu podávania ďalšej zložky študovanej liečby, ako bolo uvedené v protokole štúdie.</w:t>
      </w:r>
    </w:p>
    <w:p w14:paraId="1BFBAC3C" w14:textId="77777777" w:rsidR="009C4600" w:rsidRPr="00F37D4D" w:rsidRDefault="009C4600" w:rsidP="00F64BF9">
      <w:pPr>
        <w:spacing w:line="240" w:lineRule="auto"/>
        <w:rPr>
          <w:szCs w:val="22"/>
        </w:rPr>
      </w:pPr>
    </w:p>
    <w:p w14:paraId="210B2EC6" w14:textId="77777777" w:rsidR="009C4600" w:rsidRPr="00F37D4D" w:rsidRDefault="00BE7CB1" w:rsidP="00F64BF9">
      <w:pPr>
        <w:spacing w:line="240" w:lineRule="auto"/>
        <w:rPr>
          <w:szCs w:val="22"/>
        </w:rPr>
      </w:pPr>
      <w:r>
        <w:t>Výsledky účinnosti v štúdii sú uvedené v tabuľke 14.</w:t>
      </w:r>
    </w:p>
    <w:p w14:paraId="450E2584" w14:textId="77777777" w:rsidR="009C4600" w:rsidRPr="00F37D4D" w:rsidRDefault="009C4600" w:rsidP="00755C59">
      <w:pPr>
        <w:widowControl w:val="0"/>
        <w:spacing w:line="240" w:lineRule="auto"/>
        <w:rPr>
          <w:szCs w:val="22"/>
        </w:rPr>
      </w:pPr>
    </w:p>
    <w:p w14:paraId="4AC20CA6" w14:textId="77777777" w:rsidR="009C4600" w:rsidRPr="00F67844" w:rsidRDefault="00BE7CB1" w:rsidP="00755C59">
      <w:pPr>
        <w:widowControl w:val="0"/>
        <w:spacing w:line="240" w:lineRule="auto"/>
        <w:rPr>
          <w:b/>
          <w:bCs/>
        </w:rPr>
      </w:pPr>
      <w:r>
        <w:rPr>
          <w:b/>
        </w:rPr>
        <w:t>Tabuľka 14</w:t>
      </w:r>
      <w:r w:rsidR="00EB3025">
        <w:rPr>
          <w:b/>
        </w:rPr>
        <w:t>.</w:t>
      </w:r>
      <w:r>
        <w:rPr>
          <w:b/>
        </w:rPr>
        <w:t xml:space="preserve"> Výsledky účinnosti v štúdii JO25567</w:t>
      </w:r>
    </w:p>
    <w:p w14:paraId="116C1207" w14:textId="77777777" w:rsidR="009C4600" w:rsidRPr="00F37D4D"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35578E" w14:paraId="43BB99C5" w14:textId="77777777" w:rsidTr="00755C59">
        <w:trPr>
          <w:cantSplit/>
          <w:trHeight w:val="20"/>
          <w:tblHeader/>
          <w:jc w:val="center"/>
        </w:trPr>
        <w:tc>
          <w:tcPr>
            <w:tcW w:w="1672" w:type="pct"/>
            <w:tcBorders>
              <w:top w:val="single" w:sz="4" w:space="0" w:color="000000"/>
              <w:left w:val="single" w:sz="4" w:space="0" w:color="000000"/>
              <w:bottom w:val="single" w:sz="4" w:space="0" w:color="000000"/>
              <w:right w:val="single" w:sz="4" w:space="0" w:color="000000"/>
            </w:tcBorders>
          </w:tcPr>
          <w:p w14:paraId="79FC4239" w14:textId="77777777" w:rsidR="009C4600" w:rsidRPr="0035578E" w:rsidRDefault="009C4600" w:rsidP="00755C59">
            <w:pPr>
              <w:pStyle w:val="TABLES"/>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5D8580F0" w14:textId="77777777" w:rsidR="005F1C01" w:rsidRPr="0035578E" w:rsidRDefault="00BE7CB1" w:rsidP="00755C59">
            <w:pPr>
              <w:pStyle w:val="TABLES"/>
              <w:ind w:left="57" w:right="57"/>
              <w:jc w:val="center"/>
              <w:rPr>
                <w:b/>
                <w:bCs/>
              </w:rPr>
            </w:pPr>
            <w:r>
              <w:rPr>
                <w:b/>
              </w:rPr>
              <w:t>Erlotinib</w:t>
            </w:r>
          </w:p>
          <w:p w14:paraId="65B05752" w14:textId="77777777" w:rsidR="009C4600" w:rsidRPr="0035578E" w:rsidRDefault="00BE7CB1" w:rsidP="00755C59">
            <w:pPr>
              <w:pStyle w:val="TABLES"/>
              <w:ind w:left="57" w:right="57"/>
              <w:jc w:val="center"/>
              <w:rPr>
                <w:b/>
                <w:bCs/>
              </w:rPr>
            </w:pPr>
            <w:r>
              <w:rPr>
                <w:b/>
              </w:rPr>
              <w:t>N = 77</w:t>
            </w:r>
            <w:r w:rsidR="00EB17A8" w:rsidRPr="005973AB">
              <w:rPr>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3912C05A" w14:textId="77777777" w:rsidR="005F1C01" w:rsidRPr="0035578E" w:rsidRDefault="00BE7CB1" w:rsidP="00755C59">
            <w:pPr>
              <w:pStyle w:val="TABLES"/>
              <w:ind w:left="57" w:right="57"/>
              <w:jc w:val="center"/>
              <w:rPr>
                <w:b/>
                <w:bCs/>
              </w:rPr>
            </w:pPr>
            <w:r>
              <w:rPr>
                <w:b/>
              </w:rPr>
              <w:t>Erlotinib + bevacizumab</w:t>
            </w:r>
          </w:p>
          <w:p w14:paraId="1F6A1530" w14:textId="77777777" w:rsidR="009C4600" w:rsidRPr="0035578E" w:rsidRDefault="00BE7CB1" w:rsidP="00755C59">
            <w:pPr>
              <w:pStyle w:val="TABLES"/>
              <w:ind w:left="57" w:right="57"/>
              <w:jc w:val="center"/>
              <w:rPr>
                <w:b/>
                <w:bCs/>
              </w:rPr>
            </w:pPr>
            <w:r>
              <w:rPr>
                <w:b/>
              </w:rPr>
              <w:t>N = 75</w:t>
            </w:r>
            <w:r w:rsidR="00EB17A8" w:rsidRPr="005973AB">
              <w:rPr>
                <w:b/>
                <w:bCs/>
                <w:vertAlign w:val="superscript"/>
              </w:rPr>
              <w:t>#</w:t>
            </w:r>
          </w:p>
        </w:tc>
      </w:tr>
      <w:tr w:rsidR="00741586" w:rsidRPr="00F37D4D" w14:paraId="5E0CB98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F06F169" w14:textId="77777777" w:rsidR="009C4600" w:rsidRPr="00F37D4D" w:rsidRDefault="00BE7CB1" w:rsidP="00755C59">
            <w:pPr>
              <w:pStyle w:val="TABLES"/>
              <w:ind w:left="57" w:right="57"/>
            </w:pPr>
            <w:r>
              <w:t>PFS^ (mesiace)</w:t>
            </w:r>
          </w:p>
        </w:tc>
        <w:tc>
          <w:tcPr>
            <w:tcW w:w="1173" w:type="pct"/>
            <w:tcBorders>
              <w:top w:val="single" w:sz="4" w:space="0" w:color="000000"/>
              <w:left w:val="single" w:sz="4" w:space="0" w:color="000000"/>
              <w:bottom w:val="single" w:sz="4" w:space="0" w:color="000000"/>
              <w:right w:val="single" w:sz="4" w:space="0" w:color="000000"/>
            </w:tcBorders>
          </w:tcPr>
          <w:p w14:paraId="186810A1" w14:textId="77777777" w:rsidR="009C4600" w:rsidRPr="00F37D4D" w:rsidRDefault="009C4600" w:rsidP="00755C5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6B52AEE7" w14:textId="77777777" w:rsidR="009C4600" w:rsidRPr="00F37D4D" w:rsidRDefault="009C4600" w:rsidP="00755C59">
            <w:pPr>
              <w:pStyle w:val="TABLES"/>
              <w:jc w:val="center"/>
            </w:pPr>
          </w:p>
        </w:tc>
      </w:tr>
      <w:tr w:rsidR="00741586" w:rsidRPr="00F37D4D" w14:paraId="5C7B4D03"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93608D9" w14:textId="77777777" w:rsidR="009C4600" w:rsidRPr="00F37D4D" w:rsidRDefault="00BE7CB1" w:rsidP="00755C59">
            <w:pPr>
              <w:pStyle w:val="TABLES"/>
              <w:ind w:left="567" w:right="57"/>
            </w:pPr>
            <w:r>
              <w:t>Medián</w:t>
            </w:r>
          </w:p>
        </w:tc>
        <w:tc>
          <w:tcPr>
            <w:tcW w:w="1173" w:type="pct"/>
            <w:tcBorders>
              <w:top w:val="single" w:sz="4" w:space="0" w:color="000000"/>
              <w:left w:val="single" w:sz="4" w:space="0" w:color="000000"/>
              <w:bottom w:val="single" w:sz="4" w:space="0" w:color="000000"/>
              <w:right w:val="single" w:sz="4" w:space="0" w:color="000000"/>
            </w:tcBorders>
            <w:hideMark/>
          </w:tcPr>
          <w:p w14:paraId="18FE2508" w14:textId="77777777" w:rsidR="009C4600" w:rsidRPr="00F37D4D" w:rsidRDefault="00BE7CB1" w:rsidP="00755C59">
            <w:pPr>
              <w:pStyle w:val="TABLES"/>
              <w:jc w:val="center"/>
            </w:pPr>
            <w:r>
              <w:t>9,7</w:t>
            </w:r>
          </w:p>
        </w:tc>
        <w:tc>
          <w:tcPr>
            <w:tcW w:w="2154" w:type="pct"/>
            <w:tcBorders>
              <w:top w:val="single" w:sz="4" w:space="0" w:color="000000"/>
              <w:left w:val="single" w:sz="4" w:space="0" w:color="000000"/>
              <w:bottom w:val="single" w:sz="4" w:space="0" w:color="000000"/>
              <w:right w:val="single" w:sz="4" w:space="0" w:color="000000"/>
            </w:tcBorders>
            <w:hideMark/>
          </w:tcPr>
          <w:p w14:paraId="68DF6039" w14:textId="77777777" w:rsidR="009C4600" w:rsidRPr="00F37D4D" w:rsidRDefault="00BE7CB1" w:rsidP="00755C59">
            <w:pPr>
              <w:pStyle w:val="TABLES"/>
              <w:jc w:val="center"/>
            </w:pPr>
            <w:r>
              <w:t>16,0</w:t>
            </w:r>
          </w:p>
        </w:tc>
      </w:tr>
      <w:tr w:rsidR="00741586" w:rsidRPr="00F37D4D" w14:paraId="7636593F"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14651EC" w14:textId="77777777" w:rsidR="009C4600" w:rsidRPr="00F37D4D" w:rsidRDefault="00BE7CB1" w:rsidP="00755C59">
            <w:pPr>
              <w:pStyle w:val="TABLES"/>
              <w:ind w:left="567" w:right="57"/>
            </w:pPr>
            <w:r>
              <w:lastRenderedPageBreak/>
              <w:t>HR (95 % I</w:t>
            </w:r>
            <w:r w:rsidR="00EB3025">
              <w:t>S</w:t>
            </w:r>
            <w:r>
              <w:t>)</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1C17872" w14:textId="77777777" w:rsidR="009C4600" w:rsidRPr="00F37D4D" w:rsidRDefault="00BE7CB1" w:rsidP="00755C59">
            <w:pPr>
              <w:pStyle w:val="TABLES"/>
              <w:jc w:val="center"/>
            </w:pPr>
            <w:r>
              <w:t>0,54 (0,36; 0,79)</w:t>
            </w:r>
          </w:p>
        </w:tc>
      </w:tr>
      <w:tr w:rsidR="00741586" w:rsidRPr="00F37D4D" w14:paraId="783DA11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E0AB531" w14:textId="77777777" w:rsidR="009C4600" w:rsidRPr="00F37D4D" w:rsidRDefault="00BE7CB1" w:rsidP="00755C59">
            <w:pPr>
              <w:pStyle w:val="TABLES"/>
              <w:ind w:left="567" w:right="57"/>
            </w:pPr>
            <w:r>
              <w:t>p-hodnota</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1BD5E84D" w14:textId="77777777" w:rsidR="009C4600" w:rsidRPr="00F37D4D" w:rsidRDefault="00BE7CB1" w:rsidP="00755C59">
            <w:pPr>
              <w:pStyle w:val="TABLES"/>
              <w:jc w:val="center"/>
            </w:pPr>
            <w:r>
              <w:t>0,0015</w:t>
            </w:r>
          </w:p>
        </w:tc>
      </w:tr>
      <w:tr w:rsidR="00741586" w:rsidRPr="00F37D4D" w14:paraId="373F3F9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F5A0EBA" w14:textId="77777777" w:rsidR="009C4600" w:rsidRPr="00F37D4D" w:rsidRDefault="00BE7CB1" w:rsidP="00755C59">
            <w:pPr>
              <w:pStyle w:val="TABLES"/>
              <w:ind w:left="57" w:right="57"/>
            </w:pPr>
            <w:r>
              <w:t>Celková miera odpovede</w:t>
            </w:r>
          </w:p>
        </w:tc>
        <w:tc>
          <w:tcPr>
            <w:tcW w:w="1173" w:type="pct"/>
            <w:tcBorders>
              <w:top w:val="single" w:sz="4" w:space="0" w:color="000000"/>
              <w:left w:val="single" w:sz="4" w:space="0" w:color="000000"/>
              <w:bottom w:val="single" w:sz="4" w:space="0" w:color="000000"/>
              <w:right w:val="single" w:sz="4" w:space="0" w:color="000000"/>
            </w:tcBorders>
          </w:tcPr>
          <w:p w14:paraId="6CF3DCE5" w14:textId="77777777" w:rsidR="009C4600" w:rsidRPr="00F37D4D" w:rsidRDefault="009C4600" w:rsidP="00755C5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626E299C" w14:textId="77777777" w:rsidR="009C4600" w:rsidRPr="00F37D4D" w:rsidRDefault="009C4600" w:rsidP="00755C59">
            <w:pPr>
              <w:pStyle w:val="TABLES"/>
              <w:jc w:val="center"/>
            </w:pPr>
          </w:p>
        </w:tc>
      </w:tr>
      <w:tr w:rsidR="00741586" w:rsidRPr="00F37D4D" w14:paraId="2F52CF9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076FEEA" w14:textId="77777777" w:rsidR="009C4600" w:rsidRPr="00F37D4D" w:rsidRDefault="00BE7CB1" w:rsidP="00755C59">
            <w:pPr>
              <w:pStyle w:val="TABLES"/>
              <w:ind w:left="567" w:right="57"/>
            </w:pPr>
            <w:r>
              <w:t>Podiel (n)</w:t>
            </w:r>
          </w:p>
        </w:tc>
        <w:tc>
          <w:tcPr>
            <w:tcW w:w="1173" w:type="pct"/>
            <w:tcBorders>
              <w:top w:val="single" w:sz="4" w:space="0" w:color="000000"/>
              <w:left w:val="single" w:sz="4" w:space="0" w:color="000000"/>
              <w:bottom w:val="single" w:sz="4" w:space="0" w:color="000000"/>
              <w:right w:val="single" w:sz="4" w:space="0" w:color="000000"/>
            </w:tcBorders>
            <w:hideMark/>
          </w:tcPr>
          <w:p w14:paraId="401E0AEF" w14:textId="77777777" w:rsidR="009C4600" w:rsidRPr="00F37D4D" w:rsidRDefault="00BE7CB1" w:rsidP="00755C59">
            <w:pPr>
              <w:pStyle w:val="TABLES"/>
              <w:jc w:val="center"/>
            </w:pPr>
            <w:r>
              <w:t>63,6 % (49)</w:t>
            </w:r>
          </w:p>
        </w:tc>
        <w:tc>
          <w:tcPr>
            <w:tcW w:w="2154" w:type="pct"/>
            <w:tcBorders>
              <w:top w:val="single" w:sz="4" w:space="0" w:color="000000"/>
              <w:left w:val="single" w:sz="4" w:space="0" w:color="000000"/>
              <w:bottom w:val="single" w:sz="4" w:space="0" w:color="000000"/>
              <w:right w:val="single" w:sz="4" w:space="0" w:color="000000"/>
            </w:tcBorders>
            <w:hideMark/>
          </w:tcPr>
          <w:p w14:paraId="5B9647F1" w14:textId="77777777" w:rsidR="009C4600" w:rsidRPr="00F37D4D" w:rsidRDefault="00BE7CB1" w:rsidP="00755C59">
            <w:pPr>
              <w:pStyle w:val="TABLES"/>
              <w:jc w:val="center"/>
            </w:pPr>
            <w:r>
              <w:t>69,3 % (52)</w:t>
            </w:r>
          </w:p>
        </w:tc>
      </w:tr>
      <w:tr w:rsidR="00741586" w:rsidRPr="00F37D4D" w14:paraId="178C4B3E"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6F2313E" w14:textId="77777777" w:rsidR="009C4600" w:rsidRPr="00F37D4D" w:rsidRDefault="00BE7CB1" w:rsidP="00755C59">
            <w:pPr>
              <w:pStyle w:val="TABLES"/>
              <w:ind w:left="567" w:right="57"/>
            </w:pPr>
            <w:r>
              <w:t>p-hodnota</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457CE25" w14:textId="77777777" w:rsidR="009C4600" w:rsidRPr="00F37D4D" w:rsidRDefault="00BE7CB1" w:rsidP="00755C59">
            <w:pPr>
              <w:pStyle w:val="TABLES"/>
              <w:jc w:val="center"/>
            </w:pPr>
            <w:r>
              <w:t>0,4951</w:t>
            </w:r>
          </w:p>
        </w:tc>
      </w:tr>
      <w:tr w:rsidR="00741586" w:rsidRPr="00F37D4D" w14:paraId="16839DD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C2F4F47" w14:textId="77777777" w:rsidR="009C4600" w:rsidRPr="00F37D4D" w:rsidRDefault="00BE7CB1" w:rsidP="00755C59">
            <w:pPr>
              <w:pStyle w:val="TABLES"/>
              <w:ind w:left="57" w:right="57"/>
            </w:pPr>
            <w:r>
              <w:t>Celkové prežívanie* (mesiace)</w:t>
            </w:r>
          </w:p>
        </w:tc>
        <w:tc>
          <w:tcPr>
            <w:tcW w:w="1173" w:type="pct"/>
            <w:tcBorders>
              <w:top w:val="single" w:sz="4" w:space="0" w:color="000000"/>
              <w:left w:val="single" w:sz="4" w:space="0" w:color="000000"/>
              <w:bottom w:val="single" w:sz="4" w:space="0" w:color="000000"/>
              <w:right w:val="single" w:sz="4" w:space="0" w:color="000000"/>
            </w:tcBorders>
          </w:tcPr>
          <w:p w14:paraId="3E015B1E" w14:textId="77777777" w:rsidR="009C4600" w:rsidRPr="00F37D4D" w:rsidRDefault="009C4600" w:rsidP="00755C5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55115F58" w14:textId="77777777" w:rsidR="009C4600" w:rsidRPr="00F37D4D" w:rsidRDefault="009C4600" w:rsidP="00755C59">
            <w:pPr>
              <w:pStyle w:val="TABLES"/>
              <w:jc w:val="center"/>
            </w:pPr>
          </w:p>
        </w:tc>
      </w:tr>
      <w:tr w:rsidR="00741586" w:rsidRPr="00F37D4D" w14:paraId="3960857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24A3583" w14:textId="77777777" w:rsidR="009C4600" w:rsidRPr="00F37D4D" w:rsidRDefault="00BE7CB1" w:rsidP="00755C59">
            <w:pPr>
              <w:pStyle w:val="TABLES"/>
              <w:ind w:left="567" w:right="57"/>
            </w:pPr>
            <w:r>
              <w:t>Medián</w:t>
            </w:r>
          </w:p>
        </w:tc>
        <w:tc>
          <w:tcPr>
            <w:tcW w:w="1173" w:type="pct"/>
            <w:tcBorders>
              <w:top w:val="single" w:sz="4" w:space="0" w:color="000000"/>
              <w:left w:val="single" w:sz="4" w:space="0" w:color="000000"/>
              <w:bottom w:val="single" w:sz="4" w:space="0" w:color="000000"/>
              <w:right w:val="single" w:sz="4" w:space="0" w:color="000000"/>
            </w:tcBorders>
            <w:hideMark/>
          </w:tcPr>
          <w:p w14:paraId="03F3D396" w14:textId="77777777" w:rsidR="009C4600" w:rsidRPr="00F37D4D" w:rsidRDefault="00BE7CB1" w:rsidP="00755C59">
            <w:pPr>
              <w:pStyle w:val="TABLES"/>
              <w:jc w:val="center"/>
            </w:pPr>
            <w:r>
              <w:t>47,4</w:t>
            </w:r>
          </w:p>
        </w:tc>
        <w:tc>
          <w:tcPr>
            <w:tcW w:w="2154" w:type="pct"/>
            <w:tcBorders>
              <w:top w:val="single" w:sz="4" w:space="0" w:color="000000"/>
              <w:left w:val="single" w:sz="4" w:space="0" w:color="000000"/>
              <w:bottom w:val="single" w:sz="4" w:space="0" w:color="000000"/>
              <w:right w:val="single" w:sz="4" w:space="0" w:color="000000"/>
            </w:tcBorders>
            <w:hideMark/>
          </w:tcPr>
          <w:p w14:paraId="3C08D1AC" w14:textId="77777777" w:rsidR="009C4600" w:rsidRPr="00F37D4D" w:rsidRDefault="00BE7CB1" w:rsidP="00755C59">
            <w:pPr>
              <w:pStyle w:val="TABLES"/>
              <w:jc w:val="center"/>
            </w:pPr>
            <w:r>
              <w:t>47,0</w:t>
            </w:r>
          </w:p>
        </w:tc>
      </w:tr>
      <w:tr w:rsidR="00741586" w:rsidRPr="00F37D4D" w14:paraId="6894F0EE"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6ECA867" w14:textId="77777777" w:rsidR="009C4600" w:rsidRPr="00F37D4D" w:rsidRDefault="00BE7CB1" w:rsidP="00755C59">
            <w:pPr>
              <w:pStyle w:val="TABLES"/>
              <w:ind w:left="567" w:right="57"/>
            </w:pPr>
            <w:r>
              <w:t>HR (95 % I</w:t>
            </w:r>
            <w:r w:rsidR="00EB3025">
              <w:t>S</w:t>
            </w:r>
            <w:r>
              <w:t>)</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0055B87" w14:textId="77777777" w:rsidR="009C4600" w:rsidRPr="00F37D4D" w:rsidRDefault="00BE7CB1" w:rsidP="00755C59">
            <w:pPr>
              <w:pStyle w:val="TABLES"/>
              <w:jc w:val="center"/>
            </w:pPr>
            <w:r>
              <w:t>0,81 (0,53; 1,23)</w:t>
            </w:r>
          </w:p>
        </w:tc>
      </w:tr>
      <w:tr w:rsidR="00741586" w:rsidRPr="00F37D4D" w14:paraId="4FC43D3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34EBBEB8" w14:textId="77777777" w:rsidR="009C4600" w:rsidRPr="00F37D4D" w:rsidRDefault="00BE7CB1" w:rsidP="00755C59">
            <w:pPr>
              <w:pStyle w:val="TABLES"/>
              <w:ind w:left="567" w:right="57"/>
            </w:pPr>
            <w:r>
              <w:t>p-hodnota</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3005B87" w14:textId="77777777" w:rsidR="009C4600" w:rsidRPr="00F37D4D" w:rsidRDefault="00BE7CB1" w:rsidP="00755C59">
            <w:pPr>
              <w:pStyle w:val="TABLES"/>
              <w:jc w:val="center"/>
            </w:pPr>
            <w:r>
              <w:t>0,3267</w:t>
            </w:r>
          </w:p>
        </w:tc>
      </w:tr>
    </w:tbl>
    <w:p w14:paraId="366CFB10" w14:textId="77777777" w:rsidR="009C4600" w:rsidRPr="00F67844" w:rsidRDefault="009B3447" w:rsidP="00755C59">
      <w:pPr>
        <w:widowControl w:val="0"/>
        <w:spacing w:line="240" w:lineRule="auto"/>
        <w:ind w:left="284" w:hanging="284"/>
        <w:rPr>
          <w:sz w:val="20"/>
        </w:rPr>
      </w:pPr>
      <w:r>
        <w:rPr>
          <w:sz w:val="20"/>
          <w:vertAlign w:val="superscript"/>
        </w:rPr>
        <w:t>#</w:t>
      </w:r>
      <w:r w:rsidR="0084187A">
        <w:rPr>
          <w:sz w:val="20"/>
          <w:vertAlign w:val="superscript"/>
        </w:rPr>
        <w:tab/>
      </w:r>
      <w:r w:rsidR="0084187A">
        <w:rPr>
          <w:spacing w:val="-3"/>
          <w:sz w:val="20"/>
        </w:rPr>
        <w:t>C</w:t>
      </w:r>
      <w:r>
        <w:rPr>
          <w:spacing w:val="-3"/>
          <w:sz w:val="20"/>
        </w:rPr>
        <w:t>elkovo bolo randomizovaných 154 pacientov (výkonnostný stav 0 alebo 1 hodnotený podľa škály ECOG). Napriek tomu dvaja z randomizovaných pacientov ukončili účasť v štúdii pred užitím ktorejkoľvek študijnej liečby.</w:t>
      </w:r>
    </w:p>
    <w:p w14:paraId="0DE8625E" w14:textId="77777777" w:rsidR="009C4600" w:rsidRPr="00F67844" w:rsidRDefault="00BE7CB1" w:rsidP="00755C59">
      <w:pPr>
        <w:widowControl w:val="0"/>
        <w:spacing w:line="240" w:lineRule="auto"/>
        <w:ind w:left="284" w:hanging="284"/>
        <w:rPr>
          <w:sz w:val="20"/>
        </w:rPr>
      </w:pPr>
      <w:r>
        <w:rPr>
          <w:spacing w:val="-1"/>
          <w:sz w:val="20"/>
        </w:rPr>
        <w:t>^</w:t>
      </w:r>
      <w:r w:rsidR="0084187A">
        <w:rPr>
          <w:spacing w:val="-1"/>
          <w:sz w:val="20"/>
        </w:rPr>
        <w:tab/>
      </w:r>
      <w:r>
        <w:rPr>
          <w:spacing w:val="-1"/>
          <w:sz w:val="20"/>
        </w:rPr>
        <w:t>Zaslepené nezávislé hodnotenie (primárna analýza stanovená protokolom).</w:t>
      </w:r>
    </w:p>
    <w:p w14:paraId="2712638D" w14:textId="77777777" w:rsidR="009C4600" w:rsidRPr="00F67844" w:rsidRDefault="0084187A" w:rsidP="00755C59">
      <w:pPr>
        <w:widowControl w:val="0"/>
        <w:spacing w:line="240" w:lineRule="auto"/>
        <w:ind w:left="284" w:hanging="284"/>
        <w:rPr>
          <w:sz w:val="20"/>
        </w:rPr>
      </w:pPr>
      <w:r>
        <w:rPr>
          <w:sz w:val="20"/>
        </w:rPr>
        <w:t>*</w:t>
      </w:r>
      <w:r>
        <w:rPr>
          <w:sz w:val="20"/>
        </w:rPr>
        <w:tab/>
      </w:r>
      <w:r w:rsidR="00BE7CB1">
        <w:rPr>
          <w:sz w:val="20"/>
        </w:rPr>
        <w:t>Exploračná analýza; finálna analýza OS pri zbere údajov k 31. októbru 2017, približne 59 % pacientov zomrelo.</w:t>
      </w:r>
    </w:p>
    <w:p w14:paraId="0781E2EE" w14:textId="77777777" w:rsidR="009C4600" w:rsidRPr="00F67844" w:rsidRDefault="00BE7CB1" w:rsidP="00755C59">
      <w:pPr>
        <w:widowControl w:val="0"/>
        <w:spacing w:line="240" w:lineRule="auto"/>
        <w:rPr>
          <w:sz w:val="20"/>
        </w:rPr>
      </w:pPr>
      <w:r>
        <w:rPr>
          <w:sz w:val="20"/>
        </w:rPr>
        <w:t>I</w:t>
      </w:r>
      <w:r w:rsidR="00EB3025">
        <w:rPr>
          <w:sz w:val="20"/>
        </w:rPr>
        <w:t>S</w:t>
      </w:r>
      <w:r>
        <w:rPr>
          <w:sz w:val="20"/>
        </w:rPr>
        <w:t xml:space="preserve"> = interval spoľahlivosti; HR = Miera rizika z nestratifikovanej Coxovej regresnej analýzy; NR = nedosiahnuté</w:t>
      </w:r>
    </w:p>
    <w:p w14:paraId="1CEB7B9C" w14:textId="77777777" w:rsidR="009C4600" w:rsidRPr="006C53C7" w:rsidRDefault="009C4600" w:rsidP="00755C59">
      <w:pPr>
        <w:widowControl w:val="0"/>
        <w:spacing w:line="240" w:lineRule="auto"/>
      </w:pPr>
    </w:p>
    <w:p w14:paraId="10F1DD87" w14:textId="77777777" w:rsidR="009C4600" w:rsidRPr="006C53C7" w:rsidRDefault="00BE7CB1" w:rsidP="00F64BF9">
      <w:pPr>
        <w:keepNext/>
        <w:spacing w:line="240" w:lineRule="auto"/>
        <w:rPr>
          <w:i/>
          <w:iCs/>
          <w:szCs w:val="22"/>
          <w:u w:val="single"/>
        </w:rPr>
      </w:pPr>
      <w:r>
        <w:rPr>
          <w:i/>
          <w:u w:val="single"/>
        </w:rPr>
        <w:t>Pokročilý a/alebo metastatický karcinóm z obličkových buniek (mRCC, metastatic renal cell cancer)</w:t>
      </w:r>
    </w:p>
    <w:p w14:paraId="29CC2CF5" w14:textId="77777777" w:rsidR="009C4600" w:rsidRPr="006C53C7" w:rsidRDefault="009C4600" w:rsidP="00F64BF9">
      <w:pPr>
        <w:keepNext/>
        <w:spacing w:line="240" w:lineRule="auto"/>
      </w:pPr>
    </w:p>
    <w:p w14:paraId="18E56D3A" w14:textId="77777777" w:rsidR="009C4600" w:rsidRPr="006C53C7" w:rsidRDefault="00BE7CB1" w:rsidP="00F64BF9">
      <w:pPr>
        <w:keepNext/>
        <w:spacing w:line="240" w:lineRule="auto"/>
        <w:rPr>
          <w:i/>
          <w:iCs/>
          <w:szCs w:val="22"/>
        </w:rPr>
      </w:pPr>
      <w:r>
        <w:rPr>
          <w:i/>
        </w:rPr>
        <w:t>Bevacizumab v kombinácii s interferónom alfa-2a v prvej línii liečby pokročilého a/alebo metastatického karcinómu z obličkových buniek (BO17705)</w:t>
      </w:r>
    </w:p>
    <w:p w14:paraId="349C02B8" w14:textId="77777777" w:rsidR="009C4600" w:rsidRPr="00F37D4D" w:rsidRDefault="009C4600" w:rsidP="00F64BF9">
      <w:pPr>
        <w:keepNext/>
        <w:spacing w:line="240" w:lineRule="auto"/>
        <w:rPr>
          <w:szCs w:val="22"/>
        </w:rPr>
      </w:pPr>
    </w:p>
    <w:p w14:paraId="60210C9B" w14:textId="51D0AB5D" w:rsidR="009C4600" w:rsidRPr="00F37D4D" w:rsidRDefault="00BE7CB1" w:rsidP="00F64BF9">
      <w:pPr>
        <w:spacing w:line="240" w:lineRule="auto"/>
        <w:rPr>
          <w:szCs w:val="22"/>
        </w:rPr>
      </w:pPr>
      <w:r>
        <w:t xml:space="preserve">Toto skúšanie bolo randomizované, dvojito zaslepené skúšanie III. fázy, zamerané na hodnotenie účinnosti a bezpečnosti bevacizumabu v kombinácii s interferónom (IFN) alfa-2a oproti samotnému IFN alfa-2a v prvej línii liečby mRCC. 649 randomizovaných pacientov (641 z nich bolo liečených) malo výkonnostný stav podľa Karnofského (Karnofsky Performance Status, KPS) ≥ 70 %, nemalo žiadne metastázy do CNS a malo adekvátnu funkciu orgánov. </w:t>
      </w:r>
      <w:r w:rsidR="007C70CA">
        <w:t xml:space="preserve">U pacientov s primárnym karcinómom </w:t>
      </w:r>
      <w:r w:rsidR="00E50B07">
        <w:t xml:space="preserve">z </w:t>
      </w:r>
      <w:r w:rsidR="007C70CA">
        <w:t>obličk</w:t>
      </w:r>
      <w:r w:rsidR="00E50B07">
        <w:t>ových buniek</w:t>
      </w:r>
      <w:r w:rsidR="007C70CA">
        <w:t xml:space="preserve"> </w:t>
      </w:r>
      <w:r w:rsidR="00E50B07">
        <w:t>sa</w:t>
      </w:r>
      <w:r w:rsidR="007C70CA">
        <w:t xml:space="preserve"> vykona</w:t>
      </w:r>
      <w:r w:rsidR="00E50B07">
        <w:t>la</w:t>
      </w:r>
      <w:r w:rsidR="007C70CA">
        <w:t xml:space="preserve"> nefrektómia.</w:t>
      </w:r>
      <w:r>
        <w:t xml:space="preserve"> Bevacizumab 10 mg/kg sa podával každé 2 týždne až do progresie ochorenia. IFN alfa-2a bol podávaný až 52 týždňov alebo až do progresie ochorenia v odporúčanej začiatočnej dávke 9 MIU trikrát týždenne, pričom bolo povolené zníženie dávky na 3 MIU trikrát týždenne v 2 krokoch. Pacienti boli stratifikovaní podľa krajiny a Motzerovho skóre a liečené skupiny boli dobre vyvážené z hľadiska prognostických faktorov.</w:t>
      </w:r>
    </w:p>
    <w:p w14:paraId="6EED8640" w14:textId="77777777" w:rsidR="009C4600" w:rsidRPr="00F37D4D" w:rsidRDefault="009C4600" w:rsidP="00F64BF9">
      <w:pPr>
        <w:spacing w:line="240" w:lineRule="auto"/>
        <w:rPr>
          <w:szCs w:val="22"/>
        </w:rPr>
      </w:pPr>
    </w:p>
    <w:p w14:paraId="29442D54" w14:textId="77777777" w:rsidR="009C4600" w:rsidRPr="00F37D4D" w:rsidRDefault="00BE7CB1" w:rsidP="00F64BF9">
      <w:pPr>
        <w:spacing w:line="240" w:lineRule="auto"/>
        <w:rPr>
          <w:szCs w:val="22"/>
        </w:rPr>
      </w:pPr>
      <w:r>
        <w:t>Primárnym koncovým ukazovateľom bolo celkové prežívanie a sekundárne koncové ukazovatele skúšania zahŕňali prežívanie bez progresie ochorenia (PFS). Pridanie bevacizumabu k IFN alfa-2a významne predĺžilo PFS a zvýšilo mieru objektívnej odpovede nádoru na liečbu. Tieto výsledky potvrdila nezávislá rádiologická kontrola. Predĺženie celkového prežívania, ako primárneho koncového ukazovateľa, o 2 mesiace však nebolo významné (HR=0,91). Vysoký podiel pacientov (približne 63 % liečených IFN/placebom; 55 % liečených bevacizumabom/IFN) dostával po ukončení skúšania rôzne nešpecifikované protinádorové lieky vrátane antineoplastických liekov, čo mohlo ovplyvniť analýzu celkového prežívania.</w:t>
      </w:r>
    </w:p>
    <w:p w14:paraId="378BAE88" w14:textId="77777777" w:rsidR="009C4600" w:rsidRPr="00F37D4D" w:rsidRDefault="009C4600" w:rsidP="00F64BF9">
      <w:pPr>
        <w:spacing w:line="240" w:lineRule="auto"/>
        <w:rPr>
          <w:szCs w:val="22"/>
        </w:rPr>
      </w:pPr>
    </w:p>
    <w:p w14:paraId="04B36808" w14:textId="77777777" w:rsidR="009C4600" w:rsidRPr="00F37D4D" w:rsidRDefault="00BE7CB1" w:rsidP="00755C59">
      <w:pPr>
        <w:widowControl w:val="0"/>
        <w:spacing w:line="240" w:lineRule="auto"/>
        <w:rPr>
          <w:szCs w:val="22"/>
        </w:rPr>
      </w:pPr>
      <w:r>
        <w:t>Výsledky účinnosti sú uvedené v tabuľke 15.</w:t>
      </w:r>
    </w:p>
    <w:p w14:paraId="71AABF77" w14:textId="77777777" w:rsidR="009C4600" w:rsidRPr="00F37D4D" w:rsidRDefault="009C4600" w:rsidP="00755C59">
      <w:pPr>
        <w:widowControl w:val="0"/>
        <w:spacing w:line="240" w:lineRule="auto"/>
        <w:rPr>
          <w:szCs w:val="22"/>
        </w:rPr>
      </w:pPr>
    </w:p>
    <w:p w14:paraId="3E8019CA" w14:textId="77777777" w:rsidR="009C4600" w:rsidRPr="006C53C7" w:rsidRDefault="00BE7CB1" w:rsidP="00755C59">
      <w:pPr>
        <w:widowControl w:val="0"/>
        <w:spacing w:line="240" w:lineRule="auto"/>
        <w:rPr>
          <w:b/>
          <w:bCs/>
        </w:rPr>
      </w:pPr>
      <w:r>
        <w:rPr>
          <w:b/>
        </w:rPr>
        <w:t>Tabuľka 15</w:t>
      </w:r>
      <w:r w:rsidR="006E4BF9">
        <w:rPr>
          <w:b/>
        </w:rPr>
        <w:t>.</w:t>
      </w:r>
      <w:r>
        <w:rPr>
          <w:b/>
        </w:rPr>
        <w:t xml:space="preserve"> Výsledky účinnosti v skúšaní BO17705</w:t>
      </w:r>
    </w:p>
    <w:p w14:paraId="536A210A" w14:textId="77777777" w:rsidR="009C4600" w:rsidRPr="00F37D4D"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35578E" w14:paraId="5AB794C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2982617D" w14:textId="77777777" w:rsidR="009C4600" w:rsidRPr="0035578E" w:rsidRDefault="009C4600" w:rsidP="00755C59">
            <w:pPr>
              <w:pStyle w:val="TABLES"/>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09E2BE9F" w14:textId="77777777" w:rsidR="009C4600" w:rsidRPr="0035578E" w:rsidRDefault="00BE7CB1" w:rsidP="00755C59">
            <w:pPr>
              <w:pStyle w:val="TABLES"/>
              <w:ind w:left="57" w:right="57"/>
              <w:jc w:val="center"/>
              <w:rPr>
                <w:b/>
                <w:bCs/>
              </w:rPr>
            </w:pPr>
            <w:r>
              <w:rPr>
                <w:b/>
              </w:rPr>
              <w:t>BO17705</w:t>
            </w:r>
          </w:p>
        </w:tc>
      </w:tr>
      <w:tr w:rsidR="00741586" w:rsidRPr="0035578E" w14:paraId="259720C5"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4FD481C5" w14:textId="77777777" w:rsidR="009C4600" w:rsidRPr="0035578E" w:rsidRDefault="009C4600" w:rsidP="00755C59">
            <w:pPr>
              <w:pStyle w:val="TABL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268341BA" w14:textId="77777777" w:rsidR="009C4600" w:rsidRPr="0035578E" w:rsidRDefault="00BE7CB1" w:rsidP="00755C59">
            <w:pPr>
              <w:pStyle w:val="TABLES"/>
              <w:ind w:left="57" w:right="57"/>
              <w:jc w:val="center"/>
              <w:rPr>
                <w:b/>
                <w:bCs/>
              </w:rPr>
            </w:pPr>
            <w:r>
              <w:rPr>
                <w:b/>
              </w:rPr>
              <w:t>placebo + IFN</w:t>
            </w:r>
            <w:r w:rsidR="00893695" w:rsidRPr="0035578E">
              <w:rPr>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147D4A46" w14:textId="77777777" w:rsidR="009C4600" w:rsidRPr="0035578E" w:rsidRDefault="00BE7CB1" w:rsidP="00755C59">
            <w:pPr>
              <w:pStyle w:val="TABLES"/>
              <w:ind w:left="57" w:right="57"/>
              <w:jc w:val="center"/>
              <w:rPr>
                <w:b/>
                <w:bCs/>
              </w:rPr>
            </w:pPr>
            <w:r>
              <w:rPr>
                <w:b/>
              </w:rPr>
              <w:t>BV</w:t>
            </w:r>
            <w:r w:rsidR="00893695" w:rsidRPr="0035578E">
              <w:rPr>
                <w:b/>
                <w:bCs/>
                <w:vertAlign w:val="superscript"/>
              </w:rPr>
              <w:t>b</w:t>
            </w:r>
            <w:r>
              <w:rPr>
                <w:b/>
              </w:rPr>
              <w:t>+ IFN</w:t>
            </w:r>
            <w:r w:rsidR="00893695" w:rsidRPr="0035578E">
              <w:rPr>
                <w:b/>
                <w:bCs/>
                <w:vertAlign w:val="superscript"/>
              </w:rPr>
              <w:t>a</w:t>
            </w:r>
          </w:p>
        </w:tc>
      </w:tr>
      <w:tr w:rsidR="00741586" w:rsidRPr="00F37D4D" w14:paraId="7481B95E"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1D0E807" w14:textId="77777777" w:rsidR="009C4600" w:rsidRPr="00F37D4D" w:rsidRDefault="00BE7CB1" w:rsidP="00755C59">
            <w:pPr>
              <w:pStyle w:val="TABLES"/>
              <w:ind w:left="57" w:right="57"/>
            </w:pPr>
            <w:r>
              <w:t>Počet pacientov</w:t>
            </w:r>
          </w:p>
        </w:tc>
        <w:tc>
          <w:tcPr>
            <w:tcW w:w="921" w:type="pct"/>
            <w:tcBorders>
              <w:top w:val="single" w:sz="4" w:space="0" w:color="000000"/>
              <w:left w:val="single" w:sz="4" w:space="0" w:color="000000"/>
              <w:bottom w:val="single" w:sz="4" w:space="0" w:color="000000"/>
              <w:right w:val="single" w:sz="4" w:space="0" w:color="000000"/>
            </w:tcBorders>
            <w:hideMark/>
          </w:tcPr>
          <w:p w14:paraId="366232CE" w14:textId="77777777" w:rsidR="009C4600" w:rsidRPr="00F37D4D" w:rsidRDefault="00BE7CB1" w:rsidP="00755C59">
            <w:pPr>
              <w:pStyle w:val="TABLES"/>
              <w:jc w:val="center"/>
            </w:pPr>
            <w:r>
              <w:t>322</w:t>
            </w:r>
          </w:p>
        </w:tc>
        <w:tc>
          <w:tcPr>
            <w:tcW w:w="743" w:type="pct"/>
            <w:tcBorders>
              <w:top w:val="single" w:sz="4" w:space="0" w:color="000000"/>
              <w:left w:val="single" w:sz="4" w:space="0" w:color="000000"/>
              <w:bottom w:val="single" w:sz="4" w:space="0" w:color="000000"/>
              <w:right w:val="single" w:sz="4" w:space="0" w:color="000000"/>
            </w:tcBorders>
            <w:hideMark/>
          </w:tcPr>
          <w:p w14:paraId="7043CFA4" w14:textId="77777777" w:rsidR="009C4600" w:rsidRPr="00F37D4D" w:rsidRDefault="00BE7CB1" w:rsidP="00755C59">
            <w:pPr>
              <w:pStyle w:val="TABLES"/>
              <w:jc w:val="center"/>
            </w:pPr>
            <w:r>
              <w:t>327</w:t>
            </w:r>
          </w:p>
        </w:tc>
      </w:tr>
      <w:tr w:rsidR="00741586" w:rsidRPr="00F37D4D" w14:paraId="3E11E2D2"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FB12F7B" w14:textId="77777777" w:rsidR="009C4600" w:rsidRPr="00F37D4D" w:rsidRDefault="00BE7CB1" w:rsidP="00755C59">
            <w:pPr>
              <w:pStyle w:val="TABLES"/>
              <w:ind w:left="57" w:right="57"/>
            </w:pPr>
            <w:r>
              <w:t>Prežívanie bez progresie</w:t>
            </w:r>
          </w:p>
        </w:tc>
        <w:tc>
          <w:tcPr>
            <w:tcW w:w="921" w:type="pct"/>
            <w:tcBorders>
              <w:top w:val="single" w:sz="4" w:space="0" w:color="000000"/>
              <w:left w:val="single" w:sz="4" w:space="0" w:color="000000"/>
              <w:bottom w:val="single" w:sz="4" w:space="0" w:color="000000"/>
              <w:right w:val="single" w:sz="4" w:space="0" w:color="000000"/>
            </w:tcBorders>
          </w:tcPr>
          <w:p w14:paraId="3B773D8D" w14:textId="77777777" w:rsidR="009C4600" w:rsidRPr="00F37D4D" w:rsidRDefault="009C4600" w:rsidP="00755C5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68812914" w14:textId="77777777" w:rsidR="009C4600" w:rsidRPr="00F37D4D" w:rsidRDefault="009C4600" w:rsidP="00755C59">
            <w:pPr>
              <w:pStyle w:val="TABLES"/>
              <w:jc w:val="center"/>
            </w:pPr>
          </w:p>
        </w:tc>
      </w:tr>
      <w:tr w:rsidR="00741586" w:rsidRPr="00F37D4D" w14:paraId="79099A8C"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F37641C" w14:textId="77777777" w:rsidR="009C4600" w:rsidRPr="00F37D4D" w:rsidRDefault="00BE7CB1" w:rsidP="00755C59">
            <w:pPr>
              <w:pStyle w:val="TABLES"/>
              <w:ind w:left="567" w:right="57"/>
            </w:pPr>
            <w:r>
              <w:t>Medián času (mesiace)</w:t>
            </w:r>
          </w:p>
        </w:tc>
        <w:tc>
          <w:tcPr>
            <w:tcW w:w="921" w:type="pct"/>
            <w:tcBorders>
              <w:top w:val="single" w:sz="4" w:space="0" w:color="000000"/>
              <w:left w:val="single" w:sz="4" w:space="0" w:color="000000"/>
              <w:bottom w:val="single" w:sz="4" w:space="0" w:color="000000"/>
              <w:right w:val="single" w:sz="4" w:space="0" w:color="000000"/>
            </w:tcBorders>
            <w:hideMark/>
          </w:tcPr>
          <w:p w14:paraId="1B086D80" w14:textId="77777777" w:rsidR="009C4600" w:rsidRPr="00F37D4D" w:rsidRDefault="00BE7CB1" w:rsidP="00755C59">
            <w:pPr>
              <w:pStyle w:val="TABLES"/>
              <w:jc w:val="center"/>
            </w:pPr>
            <w:r>
              <w:t>5,4</w:t>
            </w:r>
          </w:p>
        </w:tc>
        <w:tc>
          <w:tcPr>
            <w:tcW w:w="743" w:type="pct"/>
            <w:tcBorders>
              <w:top w:val="single" w:sz="4" w:space="0" w:color="000000"/>
              <w:left w:val="single" w:sz="4" w:space="0" w:color="000000"/>
              <w:bottom w:val="single" w:sz="4" w:space="0" w:color="000000"/>
              <w:right w:val="single" w:sz="4" w:space="0" w:color="000000"/>
            </w:tcBorders>
            <w:hideMark/>
          </w:tcPr>
          <w:p w14:paraId="2D5D8D7C" w14:textId="77777777" w:rsidR="009C4600" w:rsidRPr="00F37D4D" w:rsidRDefault="00BE7CB1" w:rsidP="00755C59">
            <w:pPr>
              <w:pStyle w:val="TABLES"/>
              <w:jc w:val="center"/>
            </w:pPr>
            <w:r>
              <w:t>10,2</w:t>
            </w:r>
          </w:p>
        </w:tc>
      </w:tr>
      <w:tr w:rsidR="00741586" w:rsidRPr="00F37D4D" w14:paraId="6C7F9F10"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007AD829" w14:textId="77777777" w:rsidR="009C4600" w:rsidRPr="00F37D4D" w:rsidRDefault="00BE7CB1" w:rsidP="00755C59">
            <w:pPr>
              <w:pStyle w:val="TABLES"/>
              <w:ind w:left="567" w:right="57"/>
            </w:pPr>
            <w:r>
              <w:t>Miera rizika 95 % I</w:t>
            </w:r>
            <w:r w:rsidR="0010028D">
              <w:t>S</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03C35492" w14:textId="77777777" w:rsidR="009C4600" w:rsidRPr="00F37D4D" w:rsidRDefault="00BE7CB1" w:rsidP="00755C59">
            <w:pPr>
              <w:pStyle w:val="TABLES"/>
              <w:jc w:val="center"/>
            </w:pPr>
            <w:r>
              <w:t>0,63</w:t>
            </w:r>
          </w:p>
          <w:p w14:paraId="779016F0" w14:textId="77777777" w:rsidR="009C4600" w:rsidRPr="00F37D4D" w:rsidRDefault="00BE7CB1" w:rsidP="00755C59">
            <w:pPr>
              <w:pStyle w:val="TABLES"/>
              <w:jc w:val="center"/>
            </w:pPr>
            <w:r>
              <w:t>0,52; 0,75</w:t>
            </w:r>
          </w:p>
          <w:p w14:paraId="6DCCFFD6" w14:textId="77777777" w:rsidR="009C4600" w:rsidRPr="00F37D4D" w:rsidRDefault="00BE7CB1" w:rsidP="00755C59">
            <w:pPr>
              <w:pStyle w:val="TABLES"/>
              <w:jc w:val="center"/>
            </w:pPr>
            <w:r>
              <w:t>(p-hodnota &lt; 0,0001)</w:t>
            </w:r>
          </w:p>
        </w:tc>
      </w:tr>
      <w:tr w:rsidR="00741586" w:rsidRPr="00F37D4D" w14:paraId="3FC4587C"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7061F6C" w14:textId="77777777" w:rsidR="009C4600" w:rsidRPr="00F37D4D" w:rsidRDefault="00BE7CB1" w:rsidP="00755C59">
            <w:pPr>
              <w:pStyle w:val="TABLES"/>
              <w:ind w:left="57" w:right="57"/>
            </w:pPr>
            <w:r>
              <w:lastRenderedPageBreak/>
              <w:t>Miera objektívnej odpovede (%) u pacientov s merateľným ochorením</w:t>
            </w:r>
          </w:p>
        </w:tc>
        <w:tc>
          <w:tcPr>
            <w:tcW w:w="921" w:type="pct"/>
            <w:tcBorders>
              <w:top w:val="single" w:sz="4" w:space="0" w:color="000000"/>
              <w:left w:val="single" w:sz="4" w:space="0" w:color="000000"/>
              <w:bottom w:val="single" w:sz="4" w:space="0" w:color="000000"/>
              <w:right w:val="single" w:sz="4" w:space="0" w:color="000000"/>
            </w:tcBorders>
          </w:tcPr>
          <w:p w14:paraId="40F060C1" w14:textId="77777777" w:rsidR="009C4600" w:rsidRPr="00F37D4D" w:rsidRDefault="009C4600" w:rsidP="00755C5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60BCA2F4" w14:textId="77777777" w:rsidR="009C4600" w:rsidRPr="00F37D4D" w:rsidRDefault="009C4600" w:rsidP="00755C59">
            <w:pPr>
              <w:pStyle w:val="TABLES"/>
              <w:jc w:val="center"/>
            </w:pPr>
          </w:p>
        </w:tc>
      </w:tr>
      <w:tr w:rsidR="00741586" w:rsidRPr="00F37D4D" w14:paraId="65BE53A3"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6A8371D3" w14:textId="77777777" w:rsidR="009C4600" w:rsidRPr="00F37D4D" w:rsidRDefault="00BE7CB1" w:rsidP="00755C59">
            <w:pPr>
              <w:pStyle w:val="TABLES"/>
              <w:ind w:left="567" w:right="57"/>
            </w:pPr>
            <w:r>
              <w:t>N</w:t>
            </w:r>
          </w:p>
        </w:tc>
        <w:tc>
          <w:tcPr>
            <w:tcW w:w="921" w:type="pct"/>
            <w:tcBorders>
              <w:top w:val="single" w:sz="4" w:space="0" w:color="000000"/>
              <w:left w:val="single" w:sz="4" w:space="0" w:color="000000"/>
              <w:bottom w:val="single" w:sz="4" w:space="0" w:color="000000"/>
              <w:right w:val="single" w:sz="4" w:space="0" w:color="000000"/>
            </w:tcBorders>
            <w:hideMark/>
          </w:tcPr>
          <w:p w14:paraId="4FB29141" w14:textId="77777777" w:rsidR="009C4600" w:rsidRPr="00F37D4D" w:rsidRDefault="00BE7CB1" w:rsidP="00755C59">
            <w:pPr>
              <w:pStyle w:val="TABLES"/>
              <w:jc w:val="center"/>
            </w:pPr>
            <w:r>
              <w:t>289</w:t>
            </w:r>
          </w:p>
        </w:tc>
        <w:tc>
          <w:tcPr>
            <w:tcW w:w="743" w:type="pct"/>
            <w:tcBorders>
              <w:top w:val="single" w:sz="4" w:space="0" w:color="000000"/>
              <w:left w:val="single" w:sz="4" w:space="0" w:color="000000"/>
              <w:bottom w:val="single" w:sz="4" w:space="0" w:color="000000"/>
              <w:right w:val="single" w:sz="4" w:space="0" w:color="000000"/>
            </w:tcBorders>
            <w:hideMark/>
          </w:tcPr>
          <w:p w14:paraId="107B5025" w14:textId="77777777" w:rsidR="009C4600" w:rsidRPr="00F37D4D" w:rsidRDefault="00BE7CB1" w:rsidP="00755C59">
            <w:pPr>
              <w:pStyle w:val="TABLES"/>
              <w:jc w:val="center"/>
            </w:pPr>
            <w:r>
              <w:t>306</w:t>
            </w:r>
          </w:p>
        </w:tc>
      </w:tr>
      <w:tr w:rsidR="00741586" w:rsidRPr="00F37D4D" w14:paraId="3EE849CD"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19B76E5" w14:textId="77777777" w:rsidR="009C4600" w:rsidRPr="00F37D4D" w:rsidRDefault="00BE7CB1" w:rsidP="00755C59">
            <w:pPr>
              <w:pStyle w:val="TABLES"/>
              <w:ind w:left="567" w:right="57"/>
            </w:pPr>
            <w:r>
              <w:t>Miera odpovede</w:t>
            </w:r>
          </w:p>
        </w:tc>
        <w:tc>
          <w:tcPr>
            <w:tcW w:w="921" w:type="pct"/>
            <w:tcBorders>
              <w:top w:val="single" w:sz="4" w:space="0" w:color="000000"/>
              <w:left w:val="single" w:sz="4" w:space="0" w:color="000000"/>
              <w:bottom w:val="single" w:sz="4" w:space="0" w:color="000000"/>
              <w:right w:val="single" w:sz="4" w:space="0" w:color="000000"/>
            </w:tcBorders>
            <w:hideMark/>
          </w:tcPr>
          <w:p w14:paraId="542D117F" w14:textId="77777777" w:rsidR="009C4600" w:rsidRPr="00F37D4D" w:rsidRDefault="00BE7CB1" w:rsidP="00755C59">
            <w:pPr>
              <w:pStyle w:val="TABLES"/>
              <w:jc w:val="center"/>
            </w:pPr>
            <w:r>
              <w:t>12,8 %</w:t>
            </w:r>
          </w:p>
        </w:tc>
        <w:tc>
          <w:tcPr>
            <w:tcW w:w="743" w:type="pct"/>
            <w:tcBorders>
              <w:top w:val="single" w:sz="4" w:space="0" w:color="000000"/>
              <w:left w:val="single" w:sz="4" w:space="0" w:color="000000"/>
              <w:bottom w:val="single" w:sz="4" w:space="0" w:color="000000"/>
              <w:right w:val="single" w:sz="4" w:space="0" w:color="000000"/>
            </w:tcBorders>
            <w:hideMark/>
          </w:tcPr>
          <w:p w14:paraId="60051AF6" w14:textId="77777777" w:rsidR="009C4600" w:rsidRPr="00F37D4D" w:rsidRDefault="00BE7CB1" w:rsidP="00755C59">
            <w:pPr>
              <w:pStyle w:val="TABLES"/>
              <w:jc w:val="center"/>
            </w:pPr>
            <w:r>
              <w:t>31,4 %</w:t>
            </w:r>
          </w:p>
        </w:tc>
      </w:tr>
      <w:tr w:rsidR="00741586" w:rsidRPr="00F37D4D" w14:paraId="7E42B9D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70640FAB" w14:textId="77777777" w:rsidR="009C4600" w:rsidRPr="00F37D4D" w:rsidRDefault="009C4600" w:rsidP="00755C59">
            <w:pPr>
              <w:pStyle w:val="TABL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49B9F6ED" w14:textId="77777777" w:rsidR="009C4600" w:rsidRPr="00F37D4D" w:rsidRDefault="00BE7CB1" w:rsidP="00755C59">
            <w:pPr>
              <w:pStyle w:val="TABLES"/>
              <w:jc w:val="center"/>
            </w:pPr>
            <w:r>
              <w:t>(p-hodnota &lt; 0,0001)</w:t>
            </w:r>
          </w:p>
        </w:tc>
      </w:tr>
    </w:tbl>
    <w:p w14:paraId="60E03B7B" w14:textId="77777777" w:rsidR="009C4600" w:rsidRPr="00A43F2C" w:rsidRDefault="00BE7CB1" w:rsidP="00755C59">
      <w:pPr>
        <w:widowControl w:val="0"/>
        <w:tabs>
          <w:tab w:val="clear" w:pos="567"/>
          <w:tab w:val="left" w:pos="284"/>
        </w:tabs>
        <w:spacing w:line="240" w:lineRule="auto"/>
        <w:ind w:left="284" w:hanging="284"/>
        <w:rPr>
          <w:sz w:val="20"/>
        </w:rPr>
      </w:pPr>
      <w:r w:rsidRPr="00A43F2C">
        <w:rPr>
          <w:sz w:val="20"/>
          <w:vertAlign w:val="superscript"/>
        </w:rPr>
        <w:t>a</w:t>
      </w:r>
      <w:r w:rsidRPr="00A43F2C">
        <w:rPr>
          <w:sz w:val="20"/>
        </w:rPr>
        <w:t xml:space="preserve"> interferón alfa-2a 9 MIU 3-krát týždenne</w:t>
      </w:r>
    </w:p>
    <w:p w14:paraId="1556B787" w14:textId="77777777" w:rsidR="009C4600" w:rsidRPr="00A43F2C" w:rsidRDefault="00BE7CB1" w:rsidP="00755C59">
      <w:pPr>
        <w:widowControl w:val="0"/>
        <w:tabs>
          <w:tab w:val="clear" w:pos="567"/>
          <w:tab w:val="left" w:pos="284"/>
        </w:tabs>
        <w:spacing w:line="240" w:lineRule="auto"/>
        <w:ind w:left="284" w:hanging="284"/>
        <w:rPr>
          <w:sz w:val="20"/>
        </w:rPr>
      </w:pPr>
      <w:r w:rsidRPr="00A43F2C">
        <w:rPr>
          <w:spacing w:val="1"/>
          <w:sz w:val="20"/>
          <w:vertAlign w:val="superscript"/>
        </w:rPr>
        <w:t>b</w:t>
      </w:r>
      <w:r w:rsidRPr="00A43F2C">
        <w:rPr>
          <w:sz w:val="20"/>
        </w:rPr>
        <w:t xml:space="preserve"> bevacizumab 10 mg/kg raz za 2 týždne</w:t>
      </w:r>
    </w:p>
    <w:p w14:paraId="3ACB615A" w14:textId="77777777" w:rsidR="009C4600" w:rsidRPr="006C53C7" w:rsidRDefault="009C4600" w:rsidP="00755C59">
      <w:pPr>
        <w:widowControl w:val="0"/>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F37D4D" w14:paraId="33B70D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7629316" w14:textId="77777777" w:rsidR="009C4600" w:rsidRPr="00F37D4D" w:rsidRDefault="00BE7CB1" w:rsidP="00EF680C">
            <w:pPr>
              <w:pStyle w:val="TABLES"/>
              <w:keepNext/>
              <w:keepLines/>
              <w:ind w:left="57" w:right="57"/>
            </w:pPr>
            <w:r>
              <w:t>Celkové prežívanie</w:t>
            </w:r>
          </w:p>
        </w:tc>
        <w:tc>
          <w:tcPr>
            <w:tcW w:w="2247" w:type="pct"/>
            <w:gridSpan w:val="2"/>
            <w:tcBorders>
              <w:top w:val="single" w:sz="4" w:space="0" w:color="000000"/>
              <w:left w:val="single" w:sz="4" w:space="0" w:color="000000"/>
              <w:bottom w:val="single" w:sz="4" w:space="0" w:color="000000"/>
              <w:right w:val="single" w:sz="4" w:space="0" w:color="000000"/>
            </w:tcBorders>
          </w:tcPr>
          <w:p w14:paraId="0BB18139" w14:textId="77777777" w:rsidR="009C4600" w:rsidRPr="00F37D4D" w:rsidRDefault="009C4600" w:rsidP="00EF680C">
            <w:pPr>
              <w:pStyle w:val="TABLES"/>
              <w:keepNext/>
              <w:keepLines/>
              <w:jc w:val="center"/>
            </w:pPr>
          </w:p>
        </w:tc>
      </w:tr>
      <w:tr w:rsidR="00741586" w:rsidRPr="00F37D4D" w14:paraId="0C033FB4"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107E4410" w14:textId="77777777" w:rsidR="009C4600" w:rsidRPr="00F37D4D" w:rsidRDefault="00BE7CB1" w:rsidP="00EF680C">
            <w:pPr>
              <w:pStyle w:val="TABLES"/>
              <w:keepNext/>
              <w:keepLines/>
              <w:ind w:left="567" w:right="57"/>
            </w:pPr>
            <w:r>
              <w:t>Medián času (mesiace)</w:t>
            </w:r>
          </w:p>
        </w:tc>
        <w:tc>
          <w:tcPr>
            <w:tcW w:w="1123" w:type="pct"/>
            <w:tcBorders>
              <w:top w:val="single" w:sz="4" w:space="0" w:color="000000"/>
              <w:left w:val="single" w:sz="4" w:space="0" w:color="000000"/>
              <w:bottom w:val="single" w:sz="4" w:space="0" w:color="000000"/>
              <w:right w:val="single" w:sz="4" w:space="0" w:color="000000"/>
            </w:tcBorders>
            <w:hideMark/>
          </w:tcPr>
          <w:p w14:paraId="5705D455" w14:textId="77777777" w:rsidR="009C4600" w:rsidRPr="00F37D4D" w:rsidRDefault="00BE7CB1" w:rsidP="00EF680C">
            <w:pPr>
              <w:pStyle w:val="TABLES"/>
              <w:keepNext/>
              <w:keepLines/>
              <w:jc w:val="center"/>
            </w:pPr>
            <w:r>
              <w:t>21,3</w:t>
            </w:r>
          </w:p>
        </w:tc>
        <w:tc>
          <w:tcPr>
            <w:tcW w:w="1123" w:type="pct"/>
            <w:tcBorders>
              <w:top w:val="single" w:sz="4" w:space="0" w:color="000000"/>
              <w:left w:val="single" w:sz="4" w:space="0" w:color="000000"/>
              <w:bottom w:val="single" w:sz="4" w:space="0" w:color="000000"/>
              <w:right w:val="single" w:sz="4" w:space="0" w:color="000000"/>
            </w:tcBorders>
            <w:hideMark/>
          </w:tcPr>
          <w:p w14:paraId="15AF9567" w14:textId="77777777" w:rsidR="009C4600" w:rsidRPr="00F37D4D" w:rsidRDefault="00BE7CB1" w:rsidP="00EF680C">
            <w:pPr>
              <w:pStyle w:val="TABLES"/>
              <w:keepNext/>
              <w:keepLines/>
              <w:jc w:val="center"/>
            </w:pPr>
            <w:r>
              <w:t>23,3</w:t>
            </w:r>
          </w:p>
        </w:tc>
      </w:tr>
      <w:tr w:rsidR="00741586" w:rsidRPr="00F37D4D" w14:paraId="44CBC323"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3AF811A" w14:textId="77777777" w:rsidR="009C4600" w:rsidRPr="00F37D4D" w:rsidRDefault="00BE7CB1" w:rsidP="00EF680C">
            <w:pPr>
              <w:pStyle w:val="TABLES"/>
              <w:keepNext/>
              <w:keepLines/>
              <w:ind w:left="567" w:right="57"/>
            </w:pPr>
            <w:r>
              <w:t>Miera rizika 95 % I</w:t>
            </w:r>
            <w:r w:rsidR="0010028D">
              <w:t>S</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2EF8C2CD" w14:textId="77777777" w:rsidR="009C4600" w:rsidRPr="00F37D4D" w:rsidRDefault="00BE7CB1" w:rsidP="00EF680C">
            <w:pPr>
              <w:pStyle w:val="TABLES"/>
              <w:keepNext/>
              <w:keepLines/>
              <w:jc w:val="center"/>
            </w:pPr>
            <w:r>
              <w:t>0,91</w:t>
            </w:r>
          </w:p>
          <w:p w14:paraId="1855EBCC" w14:textId="77777777" w:rsidR="009C4600" w:rsidRPr="00F37D4D" w:rsidRDefault="00BE7CB1" w:rsidP="00EF680C">
            <w:pPr>
              <w:pStyle w:val="TABLES"/>
              <w:keepNext/>
              <w:keepLines/>
              <w:jc w:val="center"/>
            </w:pPr>
            <w:r>
              <w:t>0,76; 1,10</w:t>
            </w:r>
          </w:p>
          <w:p w14:paraId="3343A2DD" w14:textId="77777777" w:rsidR="009C4600" w:rsidRPr="00F37D4D" w:rsidRDefault="00BE7CB1" w:rsidP="00EF680C">
            <w:pPr>
              <w:pStyle w:val="TABLES"/>
              <w:keepNext/>
              <w:keepLines/>
              <w:jc w:val="center"/>
            </w:pPr>
            <w:r>
              <w:t>(p-hodnota 0,3360)</w:t>
            </w:r>
          </w:p>
        </w:tc>
      </w:tr>
    </w:tbl>
    <w:p w14:paraId="580A0129" w14:textId="77777777" w:rsidR="009C4600" w:rsidRPr="00F37D4D" w:rsidRDefault="009C4600" w:rsidP="00F64BF9">
      <w:pPr>
        <w:spacing w:line="240" w:lineRule="auto"/>
      </w:pPr>
    </w:p>
    <w:p w14:paraId="12DB6DDF" w14:textId="77777777" w:rsidR="009C4600" w:rsidRPr="00F37D4D" w:rsidRDefault="00BE7CB1" w:rsidP="00F64BF9">
      <w:pPr>
        <w:spacing w:line="240" w:lineRule="auto"/>
        <w:rPr>
          <w:szCs w:val="22"/>
        </w:rPr>
      </w:pPr>
      <w:r>
        <w:t>Exploračný multivariantný Coxov regresný model využívajúci spätnú selekciu premenných naznačil silnú súvislosť medzi nasledovnými východiskovými prognostickými faktormi a prežívaním, a to nezávisle od liečby: pohlavie, počet bielych krviniek, počet krvných doštičiek, úbytok telesnej hmotnosti v priebehu 6 mesiacov pred zaradením do skúšania, počet metastatických miest, súčet najdlhšieho priemeru cieľových lézií, Motzerovo skóre. Úprava vzhľadom na tieto východiskové faktory viedla k hodnote miery rizika 0,78 (95 % I</w:t>
      </w:r>
      <w:r w:rsidR="0010028D">
        <w:t>S</w:t>
      </w:r>
      <w:r>
        <w:t xml:space="preserve"> [0,63; 0,96], p = 0,0219), ktorá svedčí o 22 % znížení rizika úmrtia u pacientov v skupine s bevacizumabom + IFN alfa-2a v porovnaní so skupinou s IFN alfa-2a.</w:t>
      </w:r>
    </w:p>
    <w:p w14:paraId="0712ADAD" w14:textId="77777777" w:rsidR="009C4600" w:rsidRPr="00F37D4D" w:rsidRDefault="009C4600" w:rsidP="00F64BF9">
      <w:pPr>
        <w:spacing w:line="240" w:lineRule="auto"/>
        <w:rPr>
          <w:szCs w:val="22"/>
        </w:rPr>
      </w:pPr>
    </w:p>
    <w:p w14:paraId="729D7905" w14:textId="77777777" w:rsidR="009C4600" w:rsidRPr="00F37D4D" w:rsidRDefault="00BE7CB1" w:rsidP="00F64BF9">
      <w:pPr>
        <w:spacing w:line="240" w:lineRule="auto"/>
        <w:rPr>
          <w:szCs w:val="22"/>
        </w:rPr>
      </w:pPr>
      <w:r>
        <w:t>U deväťdesiatich siedmich (97) pacientov v skupine s IFN alfa-2a a 131 pacientov v skupine s bevacizumabom bola dávka IFN alfa-2a znížená z 9 MIU na 6 alebo 3 MIU trikrát týždenne tak, ako to bolo vopred špecifikované v protokole. Zníženie dávky IFN alfa-2a zrejme neovplyvnilo účinnosť kombinácie bevacizumabu a IFN alfa-2a založenej na miere prežívania bez progresie ochorenia v priebehu času, čo sa potvrdilo v analýze podskupín. U 131 pacientov v skupine s bevacizumabom + IFN alfa-2a, u ktorých bola počas skúšania dávka IFN alfa-2a znížená a udržiavaná na 6 alebo 3 MIU, bola miera prežívania bez progresie ochorenia 73 % po 6 mesiacoch, 52 % po 12 mesiacoch a 21 % po 18 mesiacoch v porovnaní so 61 %, 43 % a 17 % v celkovej populácii pacientov, ktorí dostávali bevacizumab + IFN alfa-2a.</w:t>
      </w:r>
    </w:p>
    <w:p w14:paraId="1E38B758" w14:textId="77777777" w:rsidR="009C4600" w:rsidRPr="00F37D4D" w:rsidRDefault="009C4600" w:rsidP="00F64BF9">
      <w:pPr>
        <w:spacing w:line="240" w:lineRule="auto"/>
        <w:rPr>
          <w:i/>
          <w:iCs/>
          <w:szCs w:val="22"/>
        </w:rPr>
      </w:pPr>
    </w:p>
    <w:p w14:paraId="00DE6EA2" w14:textId="77777777" w:rsidR="009C4600" w:rsidRDefault="00BE7CB1" w:rsidP="00F64BF9">
      <w:pPr>
        <w:keepNext/>
        <w:spacing w:line="240" w:lineRule="auto"/>
        <w:rPr>
          <w:i/>
          <w:iCs/>
          <w:szCs w:val="22"/>
        </w:rPr>
      </w:pPr>
      <w:r>
        <w:rPr>
          <w:i/>
        </w:rPr>
        <w:t>AVF2938</w:t>
      </w:r>
    </w:p>
    <w:p w14:paraId="7046F126" w14:textId="77777777" w:rsidR="00D17D93" w:rsidRPr="006C53C7" w:rsidRDefault="00D17D93" w:rsidP="00F64BF9">
      <w:pPr>
        <w:keepNext/>
        <w:spacing w:line="240" w:lineRule="auto"/>
        <w:rPr>
          <w:i/>
          <w:iCs/>
          <w:szCs w:val="22"/>
        </w:rPr>
      </w:pPr>
    </w:p>
    <w:p w14:paraId="6C9E36C3" w14:textId="77777777" w:rsidR="009C4600" w:rsidRPr="00F37D4D" w:rsidRDefault="00BE7CB1" w:rsidP="00F64BF9">
      <w:pPr>
        <w:spacing w:line="240" w:lineRule="auto"/>
        <w:rPr>
          <w:szCs w:val="22"/>
        </w:rPr>
      </w:pPr>
      <w:r>
        <w:t>Toto skúšanie bolo randomizované, dvojito zaslepené, klinické skúšanie II. fázy skúmajúce bevacizumab v dávke 10 mg/kg podávaný raz za 2 týždne a rovnakú dávku bevacizumabu v kombinácii s erlotinibom 150 mg denne u pacientov s metastatickým svetlobunkovým RCC. Celkovo bolo randomizovaných na liečbu 104 pacientov, z toho 53 pacientov bolo randomizovaných na liečbu bevacizumabom v dávke 10 mg/kg raz za 2 týždne plus placebom a 51 pacientov na liečbu bevacizumabom v dávke 10 mg/kg raz za 2 týždne plus erlotinibom v dávke 150 mg denne. Analýza primárneho koncového ukazovateľa nepreukázala žiadny rozdiel medzi skupinou s bevacizumabom + placebom a skupinou s bevacizumabom + erlotinibom (medián PFS 8,5 oproti 9,9 mesiacom). Sedem pacientov v každej skupine malo objektívnu odpoveď. Pridanie erlotinibu k bevacizumabu neviedlo k zlepšeniu OS (HR = 1,764; p = 0,1789), dĺžky objektívnej odpovede (6,7 oproti 9,1 mesiacom) alebo času do progresie ochorenia príznakov (HR = 1,172; p = 0,5076).</w:t>
      </w:r>
    </w:p>
    <w:p w14:paraId="0CA7DB3E" w14:textId="77777777" w:rsidR="009C4600" w:rsidRPr="00F37D4D" w:rsidRDefault="009C4600" w:rsidP="00F64BF9">
      <w:pPr>
        <w:spacing w:line="240" w:lineRule="auto"/>
        <w:rPr>
          <w:i/>
          <w:iCs/>
          <w:szCs w:val="22"/>
        </w:rPr>
      </w:pPr>
    </w:p>
    <w:p w14:paraId="1E928B81" w14:textId="77777777" w:rsidR="009C4600" w:rsidRDefault="00BE7CB1" w:rsidP="00F64BF9">
      <w:pPr>
        <w:keepNext/>
        <w:spacing w:line="240" w:lineRule="auto"/>
        <w:rPr>
          <w:i/>
          <w:iCs/>
          <w:szCs w:val="22"/>
        </w:rPr>
      </w:pPr>
      <w:r>
        <w:rPr>
          <w:i/>
        </w:rPr>
        <w:t>AVF0890</w:t>
      </w:r>
    </w:p>
    <w:p w14:paraId="76FE8D41" w14:textId="77777777" w:rsidR="001259D3" w:rsidRPr="006C53C7" w:rsidRDefault="001259D3" w:rsidP="00F64BF9">
      <w:pPr>
        <w:keepNext/>
        <w:spacing w:line="240" w:lineRule="auto"/>
        <w:rPr>
          <w:i/>
          <w:iCs/>
          <w:szCs w:val="22"/>
        </w:rPr>
      </w:pPr>
    </w:p>
    <w:p w14:paraId="1E7DFC10" w14:textId="77777777" w:rsidR="009C4600" w:rsidRPr="00F37D4D" w:rsidRDefault="00BE7CB1" w:rsidP="00F64BF9">
      <w:pPr>
        <w:spacing w:line="240" w:lineRule="auto"/>
        <w:rPr>
          <w:szCs w:val="22"/>
        </w:rPr>
      </w:pPr>
      <w:r>
        <w:t xml:space="preserve">Toto skúšanie bolo randomizované skúšanie II. fázy zamerané na porovnanie účinnosti a bezpečnosti bevacizumabu oproti placebu. Celkovo 116 pacientov bolo randomizovaných na liečbu bevacizumabom v dávke 3 mg/kg raz za 2 týždne (n = 39), v dávke 10 mg/kg raz za 2 týždne (n = 37) alebo placebom (n = 40). Priebežná analýza ukázala, že v skupine s dávkou 10 mg/kg v porovnaní so skupinou s placebom došlo k významnému predĺženiu času do progresie ochorenia (miera rizika, 2,55; p&lt; 0,001). V skupine s dávkou 3 mg/kg bol oproti skupine s placebom malý rozdiel hraničnej významnosti v čase do progresie ochorenia (miera rizika, 1,26; p=0,053). Štyria pacienti dosiahli </w:t>
      </w:r>
      <w:r>
        <w:lastRenderedPageBreak/>
        <w:t>objektívnu (čiastočnú) odpoveď, pričom všetci dostávali bevacizumab v dávke 10 mg/kg; ORR pre skupinu s dávkou 10 mg/kg bola 10 %.</w:t>
      </w:r>
    </w:p>
    <w:p w14:paraId="623BB89E" w14:textId="77777777" w:rsidR="009C4600" w:rsidRPr="00F37D4D" w:rsidRDefault="009C4600" w:rsidP="00F64BF9">
      <w:pPr>
        <w:spacing w:line="240" w:lineRule="auto"/>
        <w:rPr>
          <w:szCs w:val="22"/>
        </w:rPr>
      </w:pPr>
    </w:p>
    <w:p w14:paraId="28267831" w14:textId="77777777" w:rsidR="009C4600" w:rsidRPr="006C53C7" w:rsidRDefault="00BE7CB1" w:rsidP="00F64BF9">
      <w:pPr>
        <w:keepNext/>
        <w:spacing w:line="240" w:lineRule="auto"/>
        <w:rPr>
          <w:i/>
          <w:iCs/>
          <w:szCs w:val="22"/>
          <w:u w:val="single"/>
        </w:rPr>
      </w:pPr>
      <w:r>
        <w:rPr>
          <w:i/>
          <w:u w:val="single"/>
        </w:rPr>
        <w:t>Epiteliálny karcinóm vaječníkov, karcinóm Fallopiovej trubice a primárny peritoneálny karcinóm</w:t>
      </w:r>
    </w:p>
    <w:p w14:paraId="66DDADC4" w14:textId="77777777" w:rsidR="009C4600" w:rsidRPr="006C53C7" w:rsidRDefault="009C4600" w:rsidP="00F64BF9">
      <w:pPr>
        <w:keepNext/>
        <w:spacing w:line="240" w:lineRule="auto"/>
      </w:pPr>
    </w:p>
    <w:p w14:paraId="61601A5C" w14:textId="77777777" w:rsidR="009C4600" w:rsidRPr="006C53C7" w:rsidRDefault="00BE7CB1" w:rsidP="00F64BF9">
      <w:pPr>
        <w:keepNext/>
        <w:spacing w:line="240" w:lineRule="auto"/>
        <w:rPr>
          <w:i/>
          <w:iCs/>
          <w:szCs w:val="22"/>
        </w:rPr>
      </w:pPr>
      <w:r>
        <w:rPr>
          <w:i/>
        </w:rPr>
        <w:t>Prvá línia liečby karcinómu vaječníkov</w:t>
      </w:r>
    </w:p>
    <w:p w14:paraId="3EE01350" w14:textId="77777777" w:rsidR="009C4600" w:rsidRPr="00F37D4D" w:rsidRDefault="009C4600" w:rsidP="00F64BF9">
      <w:pPr>
        <w:keepNext/>
        <w:spacing w:line="240" w:lineRule="auto"/>
        <w:rPr>
          <w:szCs w:val="22"/>
        </w:rPr>
      </w:pPr>
    </w:p>
    <w:p w14:paraId="3551C060" w14:textId="77777777" w:rsidR="009C4600" w:rsidRPr="00F37D4D" w:rsidRDefault="00BE7CB1" w:rsidP="00F64BF9">
      <w:pPr>
        <w:spacing w:line="240" w:lineRule="auto"/>
        <w:rPr>
          <w:szCs w:val="22"/>
        </w:rPr>
      </w:pPr>
      <w:r>
        <w:t>Bezpečnosť a účinnosť bevacizumabu v liečbe prvej línie u pacientov s epiteliálnym karcinómom vaječníkov, karcinómom Fallopiovej trubice alebo primárnym peritoneálnym karcinómom sa skúmali v dvoch klinických skúšaniach fázy III (GOG-0218 a BO17707), ktoré posudzovali účinnosť pridania bevacizumabu ku karboplatine a paklitaxelu v porovnaní so samostatným chemoterapeutickým režimom.</w:t>
      </w:r>
    </w:p>
    <w:p w14:paraId="1C4DF453" w14:textId="77777777" w:rsidR="009C4600" w:rsidRPr="00F37D4D" w:rsidRDefault="009C4600" w:rsidP="00F64BF9">
      <w:pPr>
        <w:spacing w:line="240" w:lineRule="auto"/>
        <w:rPr>
          <w:i/>
          <w:iCs/>
          <w:szCs w:val="22"/>
        </w:rPr>
      </w:pPr>
    </w:p>
    <w:p w14:paraId="75A2D8A2" w14:textId="77777777" w:rsidR="009C4600" w:rsidRDefault="00BE7CB1" w:rsidP="00F64BF9">
      <w:pPr>
        <w:keepNext/>
        <w:spacing w:line="240" w:lineRule="auto"/>
        <w:rPr>
          <w:i/>
          <w:iCs/>
          <w:szCs w:val="22"/>
        </w:rPr>
      </w:pPr>
      <w:r>
        <w:rPr>
          <w:i/>
        </w:rPr>
        <w:t>GOG-0218</w:t>
      </w:r>
    </w:p>
    <w:p w14:paraId="035DBFCF" w14:textId="77777777" w:rsidR="001B45D3" w:rsidRPr="006C53C7" w:rsidRDefault="001B45D3" w:rsidP="00F64BF9">
      <w:pPr>
        <w:keepNext/>
        <w:spacing w:line="240" w:lineRule="auto"/>
        <w:rPr>
          <w:i/>
          <w:iCs/>
          <w:szCs w:val="22"/>
        </w:rPr>
      </w:pPr>
    </w:p>
    <w:p w14:paraId="3E940C8A" w14:textId="77777777" w:rsidR="009C4600" w:rsidRPr="00F37D4D" w:rsidRDefault="00BE7CB1" w:rsidP="00F64BF9">
      <w:pPr>
        <w:spacing w:line="240" w:lineRule="auto"/>
        <w:rPr>
          <w:szCs w:val="22"/>
        </w:rPr>
      </w:pPr>
      <w:r>
        <w:t>Štúdia GOG-0218 bola multicentrická, randomizovaná, dvojito zaslepená, placebom kontrolovaná klinická štúdia fázy III s troma skupinami, ktorá posudzovala vplyv pridania bevacizumabu k schválenému chemoterapeutickému režimu (karboplatina a paklitaxel) u pacientov s pokročilým (štádiá IIIB, IIIC a IV podľa klasifikácie FIGO, verzia z roku 1988) epiteliálnym karcinómom vaječníkov (EOC), karcinómom Fallopiovej trubice (FTC) alebo primárnym peritoneálnym karcinómom (PPC).</w:t>
      </w:r>
    </w:p>
    <w:p w14:paraId="50B1E7A5" w14:textId="77777777" w:rsidR="009C4600" w:rsidRPr="00F37D4D" w:rsidRDefault="009C4600" w:rsidP="00F64BF9">
      <w:pPr>
        <w:spacing w:line="240" w:lineRule="auto"/>
        <w:rPr>
          <w:szCs w:val="22"/>
        </w:rPr>
      </w:pPr>
    </w:p>
    <w:p w14:paraId="541072CA" w14:textId="77777777" w:rsidR="009C4600" w:rsidRPr="00F37D4D" w:rsidRDefault="00BE7CB1" w:rsidP="00F64BF9">
      <w:pPr>
        <w:spacing w:line="240" w:lineRule="auto"/>
        <w:rPr>
          <w:szCs w:val="22"/>
        </w:rPr>
      </w:pPr>
      <w:r>
        <w:t>Pacienti, ktorí dostávali predchádzajúcu liečbu bevacizumabom alebo predchádzajúcu 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1610A506" w14:textId="77777777" w:rsidR="009C4600" w:rsidRPr="00F37D4D" w:rsidRDefault="009C4600" w:rsidP="00F64BF9">
      <w:pPr>
        <w:spacing w:line="240" w:lineRule="auto"/>
        <w:rPr>
          <w:szCs w:val="22"/>
        </w:rPr>
      </w:pPr>
    </w:p>
    <w:p w14:paraId="17979167" w14:textId="77777777" w:rsidR="009C4600" w:rsidRPr="00F37D4D" w:rsidRDefault="00BE7CB1" w:rsidP="00F64BF9">
      <w:pPr>
        <w:spacing w:line="240" w:lineRule="auto"/>
        <w:rPr>
          <w:szCs w:val="22"/>
        </w:rPr>
      </w:pPr>
      <w:r>
        <w:t>Celkovo 1 873 pacientov bolo randomizovaných v rovnakom pomere do nasledovných troch skupín:</w:t>
      </w:r>
    </w:p>
    <w:p w14:paraId="2CB1D511" w14:textId="77777777" w:rsidR="009C4600" w:rsidRPr="00F37D4D" w:rsidRDefault="009C4600" w:rsidP="00F64BF9">
      <w:pPr>
        <w:spacing w:line="240" w:lineRule="auto"/>
        <w:rPr>
          <w:szCs w:val="22"/>
        </w:rPr>
      </w:pPr>
    </w:p>
    <w:p w14:paraId="3D47ACF1" w14:textId="77777777" w:rsidR="009C4600" w:rsidRPr="006C53C7" w:rsidRDefault="00BE7CB1" w:rsidP="0033150F">
      <w:pPr>
        <w:pStyle w:val="ListParagraph"/>
        <w:numPr>
          <w:ilvl w:val="0"/>
          <w:numId w:val="12"/>
        </w:numPr>
        <w:ind w:left="567" w:hanging="567"/>
      </w:pPr>
      <w:r>
        <w:t>CPP skupina: Päť cyklov placeba (so začiatkom v druhom cykle) v kombinácii</w:t>
      </w:r>
      <w:r w:rsidR="0010028D">
        <w:t xml:space="preserve"> </w:t>
      </w:r>
      <w:r>
        <w:t>s karboplatinou (AUC 6) a paklitaxelom (175 mg/m</w:t>
      </w:r>
      <w:r w:rsidRPr="006C53C7">
        <w:rPr>
          <w:vertAlign w:val="superscript"/>
        </w:rPr>
        <w:t>2</w:t>
      </w:r>
      <w:r>
        <w:t xml:space="preserve">) počas 6 cyklov nasledovaných podávaním samotného placeba až do 15 mesiacov liečby </w:t>
      </w:r>
    </w:p>
    <w:p w14:paraId="01C26322" w14:textId="77777777" w:rsidR="009C4600" w:rsidRPr="006C53C7" w:rsidRDefault="00BE7CB1" w:rsidP="0033150F">
      <w:pPr>
        <w:pStyle w:val="ListParagraph"/>
        <w:numPr>
          <w:ilvl w:val="0"/>
          <w:numId w:val="12"/>
        </w:numPr>
        <w:ind w:left="567" w:hanging="567"/>
      </w:pPr>
      <w:r>
        <w:t>Skupina CPB 15: Päť cyklov bevacizumabu (15 mg/kg každé 3 týždne so začiatkom v druhom cykle) v kombinácii s karboplatinou (AUC 6) a paklitaxelom (175 mg/m</w:t>
      </w:r>
      <w:r w:rsidRPr="006C53C7">
        <w:rPr>
          <w:vertAlign w:val="superscript"/>
        </w:rPr>
        <w:t>2</w:t>
      </w:r>
      <w:r>
        <w:t>) počas 6 cyklov nasledovaných podávaním samotného placeba až do 15 mesiacov liečby</w:t>
      </w:r>
    </w:p>
    <w:p w14:paraId="1961D111" w14:textId="4D4AF237" w:rsidR="009C4600" w:rsidRPr="006C53C7" w:rsidRDefault="00BE7CB1" w:rsidP="0033150F">
      <w:pPr>
        <w:pStyle w:val="ListParagraph"/>
        <w:numPr>
          <w:ilvl w:val="0"/>
          <w:numId w:val="12"/>
        </w:numPr>
        <w:ind w:left="567" w:hanging="567"/>
      </w:pPr>
      <w:r>
        <w:t>Skupina CPB15+: Päť cyklov bevacizumabu (15 mg/kg každé 3 týždne so začiatkom v druhom cykle) v kombinácii s karboplatinou (AUC 6) a paklitaxelom (175 mg/m</w:t>
      </w:r>
      <w:r w:rsidRPr="006C53C7">
        <w:rPr>
          <w:vertAlign w:val="superscript"/>
        </w:rPr>
        <w:t>2</w:t>
      </w:r>
      <w:r>
        <w:t>) počas 6 cyklov nasledovaných kontinuálnym podávaním bevacizumabu v monoterapii (15 mg/kg každé 3 týždne) až do 15 mesiacov liečby.</w:t>
      </w:r>
    </w:p>
    <w:p w14:paraId="589E381E" w14:textId="77777777" w:rsidR="009C4600" w:rsidRPr="00F37D4D" w:rsidRDefault="009C4600" w:rsidP="00F64BF9">
      <w:pPr>
        <w:spacing w:line="240" w:lineRule="auto"/>
        <w:rPr>
          <w:szCs w:val="22"/>
        </w:rPr>
      </w:pPr>
    </w:p>
    <w:p w14:paraId="48DBB78E" w14:textId="4F3B033E" w:rsidR="009C4600" w:rsidRPr="00F37D4D" w:rsidRDefault="00BE7CB1" w:rsidP="00F64BF9">
      <w:pPr>
        <w:spacing w:line="240" w:lineRule="auto"/>
        <w:rPr>
          <w:szCs w:val="22"/>
        </w:rPr>
      </w:pPr>
      <w:r>
        <w:t>Väčšina pacientov zaradených do štúdie boli belosi (87 % vo všetkých troch skupinách); medián veku bol 60 rokov v skupinách CPP a CPB15 a 59 rokov v skupine CPB15+; a 29 % pacientov v skupine CPP alebo CPB15 a 26 % v skupine CPB15+ bolo vo veku nad 65 rokov. Celkovo približne 50 % pacientov malo GOG PS 0 na začiatku, 43 % GOG PS skóre 1 a 7 % GOG PS skóre 2. Väčšina pacientov mala EOC (82 % v CPP a CPB15, 85 % v CPB15+), po ktorom nasleduje PPC (16 % v CPP, 15 % v CPB15, 13 % v CPB15+) a FTC (1 % v CPP, 3 % v CPB15, 2 % v CPB15+). Väčšina pacientov mala histologicky serózny adenokarcinóm (85 % v CPP a CPB15, 86 % v CPB15+). Celkovo približne 34 % pacientov bolo vo FIGO štádiu III s optimálne zmenšeným nádorom a s výrazným reziduálnym ochorením, 40 % v štádiu III so suboptimálne zmenšeným nádorom a 26 % pacientov bolo v štádiu IV.</w:t>
      </w:r>
    </w:p>
    <w:p w14:paraId="301DA891" w14:textId="77777777" w:rsidR="009C4600" w:rsidRPr="00F37D4D" w:rsidRDefault="009C4600" w:rsidP="00F64BF9">
      <w:pPr>
        <w:spacing w:line="240" w:lineRule="auto"/>
        <w:rPr>
          <w:szCs w:val="22"/>
        </w:rPr>
      </w:pPr>
    </w:p>
    <w:p w14:paraId="7CD87E51" w14:textId="77777777" w:rsidR="009C4600" w:rsidRPr="00F37D4D" w:rsidRDefault="00BE7CB1" w:rsidP="00F64BF9">
      <w:pPr>
        <w:spacing w:line="240" w:lineRule="auto"/>
        <w:rPr>
          <w:szCs w:val="22"/>
        </w:rPr>
      </w:pPr>
      <w:r>
        <w:t xml:space="preserve">Primárny koncový ukazovateľ bol PFS založený na hodnotení progresie ochorenia skúšajúcim na základe rádiologických snímok alebo hladín CA-125 alebo </w:t>
      </w:r>
      <w:r w:rsidRPr="00596761">
        <w:t>symptomatického ochorenia podľa protokolu. Okrem toho sa uskutočnila vopred špecifikovaná</w:t>
      </w:r>
      <w:r>
        <w:t xml:space="preserve"> analýza údajov cenzurovaných pre udalosti CA-125 progresie, rovnako ako aj nezávislé posúdenie PFS stanoveného rádiologickými snímkami.</w:t>
      </w:r>
    </w:p>
    <w:p w14:paraId="1872D9BF" w14:textId="77777777" w:rsidR="009C4600" w:rsidRPr="00F37D4D" w:rsidRDefault="009C4600" w:rsidP="00F64BF9">
      <w:pPr>
        <w:spacing w:line="240" w:lineRule="auto"/>
        <w:rPr>
          <w:szCs w:val="22"/>
        </w:rPr>
      </w:pPr>
    </w:p>
    <w:p w14:paraId="091832A8" w14:textId="77777777" w:rsidR="009C4600" w:rsidRPr="00F37D4D" w:rsidRDefault="00BE7CB1" w:rsidP="00F64BF9">
      <w:pPr>
        <w:spacing w:line="240" w:lineRule="auto"/>
        <w:rPr>
          <w:szCs w:val="22"/>
        </w:rPr>
      </w:pPr>
      <w:r>
        <w:lastRenderedPageBreak/>
        <w:t>Klinické skúšanie splnilo svoj primárny cieľ, ktorým bolo zlepšenie PFS. V porovnaní s pacientmi liečenými samotnou chemoterapiou (karboplatina a paklitaxel) ako liečbou prvej línie sa u pacientov, ktorí dostávali bevacizumab v dávke 15 mg/kg každé 3 týždne v kombinácii s chemoterapiou a s následným pokračovaním v podávaní samotného bevacizumabu (CPB15+) zaznamenalo klinicky a štatisticky významné predĺženie PFS.</w:t>
      </w:r>
    </w:p>
    <w:p w14:paraId="005C0857" w14:textId="77777777" w:rsidR="009C4600" w:rsidRPr="00F37D4D" w:rsidRDefault="009C4600" w:rsidP="00F64BF9">
      <w:pPr>
        <w:spacing w:line="240" w:lineRule="auto"/>
        <w:rPr>
          <w:szCs w:val="22"/>
        </w:rPr>
      </w:pPr>
    </w:p>
    <w:p w14:paraId="65B892A6" w14:textId="77777777" w:rsidR="009C4600" w:rsidRPr="00F37D4D" w:rsidRDefault="00BE7CB1" w:rsidP="00F64BF9">
      <w:pPr>
        <w:spacing w:line="240" w:lineRule="auto"/>
        <w:rPr>
          <w:szCs w:val="22"/>
        </w:rPr>
      </w:pPr>
      <w:r>
        <w:t>U pacientov, ktorí dostali len bevacizumab v kombinácii s chemoterapiou a nepokračovali v podávaní samotného bevacizumabu (CPB15), sa nepozoroval žiadny klinicky významný prínos v PFS.</w:t>
      </w:r>
    </w:p>
    <w:p w14:paraId="74DEC81D" w14:textId="77777777" w:rsidR="009C4600" w:rsidRPr="00F37D4D" w:rsidRDefault="009C4600" w:rsidP="00F64BF9">
      <w:pPr>
        <w:spacing w:line="240" w:lineRule="auto"/>
        <w:rPr>
          <w:szCs w:val="22"/>
        </w:rPr>
      </w:pPr>
    </w:p>
    <w:p w14:paraId="21AFF8A6" w14:textId="77777777" w:rsidR="009C4600" w:rsidRPr="00F37D4D" w:rsidRDefault="00BE7CB1" w:rsidP="00F64BF9">
      <w:pPr>
        <w:spacing w:line="240" w:lineRule="auto"/>
        <w:rPr>
          <w:szCs w:val="22"/>
        </w:rPr>
      </w:pPr>
      <w:r>
        <w:t>Výsledky tejto klinickej štúdie sú zhrnuté v tabuľke 16.</w:t>
      </w:r>
    </w:p>
    <w:p w14:paraId="76E2B25F" w14:textId="77777777" w:rsidR="009C4600" w:rsidRPr="00F37D4D" w:rsidRDefault="009C4600" w:rsidP="00F64BF9">
      <w:pPr>
        <w:spacing w:line="240" w:lineRule="auto"/>
        <w:rPr>
          <w:szCs w:val="22"/>
        </w:rPr>
      </w:pPr>
    </w:p>
    <w:p w14:paraId="71E1DDF2" w14:textId="77777777" w:rsidR="009C4600" w:rsidRPr="006C53C7" w:rsidRDefault="00BE7CB1" w:rsidP="00F64BF9">
      <w:pPr>
        <w:keepNext/>
        <w:spacing w:line="240" w:lineRule="auto"/>
        <w:rPr>
          <w:b/>
          <w:bCs/>
        </w:rPr>
      </w:pPr>
      <w:r>
        <w:rPr>
          <w:b/>
        </w:rPr>
        <w:t>Tabuľka 16. Výsledky účinnosti z klinickej štúdie GOG-0218</w:t>
      </w:r>
    </w:p>
    <w:p w14:paraId="010C7B70"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F37D4D" w14:paraId="2359C11B"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56E8282A" w14:textId="77777777" w:rsidR="009C4600" w:rsidRPr="00F37D4D" w:rsidRDefault="00BE7CB1" w:rsidP="00F64BF9">
            <w:pPr>
              <w:pStyle w:val="TABLES"/>
              <w:keepNext/>
              <w:ind w:left="57" w:right="57"/>
            </w:pPr>
            <w:r>
              <w:t xml:space="preserve">Prežívanie bez progresie </w:t>
            </w:r>
            <w:r w:rsidR="00893695" w:rsidRPr="00F37D4D">
              <w:rPr>
                <w:vertAlign w:val="superscript"/>
              </w:rPr>
              <w:t>1</w:t>
            </w:r>
          </w:p>
        </w:tc>
      </w:tr>
      <w:tr w:rsidR="00741586" w:rsidRPr="00F37D4D" w14:paraId="2A00722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4551F2B0" w14:textId="77777777" w:rsidR="009C4600" w:rsidRPr="00F37D4D"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73D82785" w14:textId="77777777" w:rsidR="005F1C01" w:rsidRPr="00F37D4D" w:rsidRDefault="00BE7CB1" w:rsidP="00F64BF9">
            <w:pPr>
              <w:pStyle w:val="TABLES"/>
              <w:ind w:left="57" w:right="57"/>
              <w:jc w:val="center"/>
            </w:pPr>
            <w:r>
              <w:t>CPP</w:t>
            </w:r>
          </w:p>
          <w:p w14:paraId="46711480" w14:textId="77777777" w:rsidR="009C4600" w:rsidRPr="00F37D4D" w:rsidRDefault="00BE7CB1" w:rsidP="00F64BF9">
            <w:pPr>
              <w:pStyle w:val="TABLES"/>
              <w:ind w:left="57" w:right="57"/>
              <w:jc w:val="center"/>
            </w:pPr>
            <w:r>
              <w:t>(n = 625)</w:t>
            </w:r>
          </w:p>
        </w:tc>
        <w:tc>
          <w:tcPr>
            <w:tcW w:w="1169" w:type="pct"/>
            <w:tcBorders>
              <w:top w:val="single" w:sz="4" w:space="0" w:color="000000"/>
              <w:left w:val="single" w:sz="4" w:space="0" w:color="000000"/>
              <w:bottom w:val="single" w:sz="4" w:space="0" w:color="000000"/>
              <w:right w:val="single" w:sz="4" w:space="0" w:color="000000"/>
            </w:tcBorders>
            <w:hideMark/>
          </w:tcPr>
          <w:p w14:paraId="7B2C3DA6" w14:textId="77777777" w:rsidR="005F1C01" w:rsidRPr="00F37D4D" w:rsidRDefault="00BE7CB1" w:rsidP="00F64BF9">
            <w:pPr>
              <w:pStyle w:val="TABLES"/>
              <w:ind w:left="57" w:right="57"/>
              <w:jc w:val="center"/>
            </w:pPr>
            <w:r>
              <w:t>CPB15</w:t>
            </w:r>
          </w:p>
          <w:p w14:paraId="6B46109F" w14:textId="77777777" w:rsidR="009C4600" w:rsidRPr="00F37D4D" w:rsidRDefault="00BE7CB1" w:rsidP="00F64BF9">
            <w:pPr>
              <w:pStyle w:val="TABLES"/>
              <w:ind w:left="57" w:right="57"/>
              <w:jc w:val="center"/>
            </w:pPr>
            <w:r>
              <w:t>(n = 625)</w:t>
            </w:r>
          </w:p>
        </w:tc>
        <w:tc>
          <w:tcPr>
            <w:tcW w:w="1258" w:type="pct"/>
            <w:tcBorders>
              <w:top w:val="single" w:sz="4" w:space="0" w:color="000000"/>
              <w:left w:val="single" w:sz="4" w:space="0" w:color="000000"/>
              <w:bottom w:val="single" w:sz="4" w:space="0" w:color="000000"/>
              <w:right w:val="single" w:sz="4" w:space="0" w:color="000000"/>
            </w:tcBorders>
            <w:hideMark/>
          </w:tcPr>
          <w:p w14:paraId="79F8A5C2" w14:textId="77777777" w:rsidR="005F1C01" w:rsidRPr="00F37D4D" w:rsidRDefault="00BE7CB1" w:rsidP="00F64BF9">
            <w:pPr>
              <w:pStyle w:val="TABLES"/>
              <w:ind w:left="57" w:right="57"/>
              <w:jc w:val="center"/>
            </w:pPr>
            <w:r>
              <w:t>CPB15+</w:t>
            </w:r>
          </w:p>
          <w:p w14:paraId="52FC095F" w14:textId="77777777" w:rsidR="009C4600" w:rsidRPr="00F37D4D" w:rsidRDefault="00BE7CB1" w:rsidP="00F64BF9">
            <w:pPr>
              <w:pStyle w:val="TABLES"/>
              <w:ind w:left="57" w:right="57"/>
              <w:jc w:val="center"/>
            </w:pPr>
            <w:r>
              <w:t>(n = 623)</w:t>
            </w:r>
          </w:p>
        </w:tc>
      </w:tr>
      <w:tr w:rsidR="00741586" w:rsidRPr="00F37D4D" w14:paraId="5BAB5CA5"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6E27360D" w14:textId="77777777" w:rsidR="009C4600" w:rsidRPr="00F37D4D" w:rsidRDefault="00BE7CB1" w:rsidP="00F64BF9">
            <w:pPr>
              <w:pStyle w:val="TABLES"/>
              <w:ind w:left="567" w:right="57"/>
            </w:pPr>
            <w:r>
              <w:t>Medián PFS (mesiace)</w:t>
            </w:r>
          </w:p>
        </w:tc>
        <w:tc>
          <w:tcPr>
            <w:tcW w:w="995" w:type="pct"/>
            <w:tcBorders>
              <w:top w:val="single" w:sz="4" w:space="0" w:color="000000"/>
              <w:left w:val="single" w:sz="4" w:space="0" w:color="000000"/>
              <w:bottom w:val="single" w:sz="4" w:space="0" w:color="000000"/>
              <w:right w:val="single" w:sz="4" w:space="0" w:color="000000"/>
            </w:tcBorders>
            <w:hideMark/>
          </w:tcPr>
          <w:p w14:paraId="7151774C" w14:textId="77777777" w:rsidR="009C4600" w:rsidRPr="00F37D4D" w:rsidRDefault="00BE7CB1" w:rsidP="00F64BF9">
            <w:pPr>
              <w:pStyle w:val="TABLES"/>
              <w:ind w:left="57" w:right="57"/>
              <w:jc w:val="center"/>
            </w:pPr>
            <w:r>
              <w:t>10,6</w:t>
            </w:r>
          </w:p>
        </w:tc>
        <w:tc>
          <w:tcPr>
            <w:tcW w:w="1169" w:type="pct"/>
            <w:tcBorders>
              <w:top w:val="single" w:sz="4" w:space="0" w:color="000000"/>
              <w:left w:val="single" w:sz="4" w:space="0" w:color="000000"/>
              <w:bottom w:val="single" w:sz="4" w:space="0" w:color="000000"/>
              <w:right w:val="single" w:sz="4" w:space="0" w:color="000000"/>
            </w:tcBorders>
            <w:hideMark/>
          </w:tcPr>
          <w:p w14:paraId="5D5A9213" w14:textId="77777777" w:rsidR="009C4600" w:rsidRPr="00F37D4D" w:rsidRDefault="00BE7CB1" w:rsidP="00F64BF9">
            <w:pPr>
              <w:pStyle w:val="TABLES"/>
              <w:ind w:left="57" w:right="57"/>
              <w:jc w:val="center"/>
            </w:pPr>
            <w:r>
              <w:t>11,6</w:t>
            </w:r>
          </w:p>
        </w:tc>
        <w:tc>
          <w:tcPr>
            <w:tcW w:w="1258" w:type="pct"/>
            <w:tcBorders>
              <w:top w:val="single" w:sz="4" w:space="0" w:color="000000"/>
              <w:left w:val="single" w:sz="4" w:space="0" w:color="000000"/>
              <w:bottom w:val="single" w:sz="4" w:space="0" w:color="000000"/>
              <w:right w:val="single" w:sz="4" w:space="0" w:color="000000"/>
            </w:tcBorders>
            <w:hideMark/>
          </w:tcPr>
          <w:p w14:paraId="76A2B94B" w14:textId="77777777" w:rsidR="009C4600" w:rsidRPr="00F37D4D" w:rsidRDefault="00BE7CB1" w:rsidP="00F64BF9">
            <w:pPr>
              <w:pStyle w:val="TABLES"/>
              <w:ind w:left="57" w:right="57"/>
              <w:jc w:val="center"/>
            </w:pPr>
            <w:r>
              <w:t>14,7</w:t>
            </w:r>
          </w:p>
        </w:tc>
      </w:tr>
      <w:tr w:rsidR="00741586" w:rsidRPr="00F37D4D" w14:paraId="19007D38"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80DFD15" w14:textId="77777777" w:rsidR="009C4600" w:rsidRPr="00F37D4D" w:rsidRDefault="00BE7CB1" w:rsidP="00F64BF9">
            <w:pPr>
              <w:pStyle w:val="TABLES"/>
              <w:ind w:left="567" w:right="57"/>
            </w:pPr>
            <w:r>
              <w:t xml:space="preserve">Miera rizika (95 % I) </w:t>
            </w:r>
            <w:r w:rsidR="00893695" w:rsidRPr="00F37D4D">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2BB2F1FC"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AFA24D8" w14:textId="77777777" w:rsidR="009C4600" w:rsidRPr="00F37D4D" w:rsidRDefault="00BE7CB1" w:rsidP="00F64BF9">
            <w:pPr>
              <w:pStyle w:val="TABLES"/>
              <w:ind w:left="57" w:right="57"/>
              <w:jc w:val="center"/>
            </w:pPr>
            <w:r>
              <w:t>0,89</w:t>
            </w:r>
          </w:p>
          <w:p w14:paraId="39643335" w14:textId="77777777" w:rsidR="009C4600" w:rsidRPr="00F37D4D" w:rsidRDefault="00BE7CB1" w:rsidP="00F64BF9">
            <w:pPr>
              <w:pStyle w:val="TABLES"/>
              <w:ind w:left="57" w:right="57"/>
              <w:jc w:val="center"/>
            </w:pPr>
            <w:r>
              <w:t>(0,78; 1,02)</w:t>
            </w:r>
          </w:p>
        </w:tc>
        <w:tc>
          <w:tcPr>
            <w:tcW w:w="1258" w:type="pct"/>
            <w:tcBorders>
              <w:top w:val="single" w:sz="4" w:space="0" w:color="000000"/>
              <w:left w:val="single" w:sz="4" w:space="0" w:color="000000"/>
              <w:bottom w:val="single" w:sz="4" w:space="0" w:color="000000"/>
              <w:right w:val="single" w:sz="4" w:space="0" w:color="000000"/>
            </w:tcBorders>
            <w:hideMark/>
          </w:tcPr>
          <w:p w14:paraId="540D4FB2" w14:textId="77777777" w:rsidR="009C4600" w:rsidRPr="00F37D4D" w:rsidRDefault="00BE7CB1" w:rsidP="00F64BF9">
            <w:pPr>
              <w:pStyle w:val="TABLES"/>
              <w:ind w:left="57" w:right="57"/>
              <w:jc w:val="center"/>
            </w:pPr>
            <w:r>
              <w:t>0,70</w:t>
            </w:r>
          </w:p>
          <w:p w14:paraId="1DB73888" w14:textId="77777777" w:rsidR="009C4600" w:rsidRPr="00F37D4D" w:rsidRDefault="00BE7CB1" w:rsidP="00F64BF9">
            <w:pPr>
              <w:pStyle w:val="TABLES"/>
              <w:ind w:left="57" w:right="57"/>
              <w:jc w:val="center"/>
            </w:pPr>
            <w:r>
              <w:t>(0,61; 0,81)</w:t>
            </w:r>
          </w:p>
        </w:tc>
      </w:tr>
      <w:tr w:rsidR="00741586" w:rsidRPr="00F37D4D" w14:paraId="5D67B3D5"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2D08F95" w14:textId="77777777" w:rsidR="009C4600" w:rsidRPr="00F37D4D" w:rsidRDefault="00BE7CB1" w:rsidP="00F64BF9">
            <w:pPr>
              <w:pStyle w:val="TABLES"/>
              <w:ind w:left="567" w:right="57"/>
            </w:pPr>
            <w:r>
              <w:t>p-hodnota</w:t>
            </w:r>
            <w:r w:rsidR="00893695" w:rsidRPr="00F37D4D">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5621107C"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4D823837" w14:textId="77777777" w:rsidR="009C4600" w:rsidRPr="00F37D4D" w:rsidRDefault="00BE7CB1" w:rsidP="00F64BF9">
            <w:pPr>
              <w:pStyle w:val="TABLES"/>
              <w:ind w:left="57" w:right="57"/>
              <w:jc w:val="center"/>
            </w:pPr>
            <w:r>
              <w:t>0,0437</w:t>
            </w:r>
          </w:p>
        </w:tc>
        <w:tc>
          <w:tcPr>
            <w:tcW w:w="1258" w:type="pct"/>
            <w:tcBorders>
              <w:top w:val="single" w:sz="4" w:space="0" w:color="000000"/>
              <w:left w:val="single" w:sz="4" w:space="0" w:color="000000"/>
              <w:bottom w:val="single" w:sz="4" w:space="0" w:color="000000"/>
              <w:right w:val="single" w:sz="4" w:space="0" w:color="000000"/>
            </w:tcBorders>
            <w:hideMark/>
          </w:tcPr>
          <w:p w14:paraId="17B387A6" w14:textId="77777777" w:rsidR="009C4600" w:rsidRPr="00F37D4D" w:rsidRDefault="00BE7CB1" w:rsidP="00F64BF9">
            <w:pPr>
              <w:pStyle w:val="TABLES"/>
              <w:ind w:left="57" w:right="57"/>
              <w:jc w:val="center"/>
            </w:pPr>
            <w:r>
              <w:t>&lt; 0,0001</w:t>
            </w:r>
          </w:p>
        </w:tc>
      </w:tr>
      <w:tr w:rsidR="00741586" w:rsidRPr="00F37D4D" w14:paraId="16EC1B2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E6AEBFC" w14:textId="77777777" w:rsidR="009C4600" w:rsidRPr="00F37D4D" w:rsidRDefault="00BE7CB1" w:rsidP="00F64BF9">
            <w:pPr>
              <w:pStyle w:val="TABLES"/>
              <w:ind w:left="57" w:right="57"/>
            </w:pPr>
            <w:r>
              <w:t xml:space="preserve">Miera objektívnej odpovede </w:t>
            </w:r>
            <w:r w:rsidR="00893695" w:rsidRPr="00F37D4D">
              <w:rPr>
                <w:vertAlign w:val="superscript"/>
              </w:rPr>
              <w:t>5</w:t>
            </w:r>
          </w:p>
        </w:tc>
      </w:tr>
      <w:tr w:rsidR="00741586" w:rsidRPr="00F37D4D" w14:paraId="69C2DF8C"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7ADB9EA1"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56618E68" w14:textId="77777777" w:rsidR="005F1C01" w:rsidRPr="00F37D4D" w:rsidRDefault="00BE7CB1" w:rsidP="00F64BF9">
            <w:pPr>
              <w:pStyle w:val="TABLES"/>
              <w:ind w:left="57" w:right="57"/>
              <w:jc w:val="center"/>
            </w:pPr>
            <w:r>
              <w:t>CPP</w:t>
            </w:r>
          </w:p>
          <w:p w14:paraId="77A118CD" w14:textId="77777777" w:rsidR="009C4600" w:rsidRPr="00F37D4D" w:rsidRDefault="00BE7CB1" w:rsidP="00F64BF9">
            <w:pPr>
              <w:pStyle w:val="TABLES"/>
              <w:ind w:left="57" w:right="57"/>
              <w:jc w:val="center"/>
            </w:pPr>
            <w:r>
              <w:t>(n = 396)</w:t>
            </w:r>
          </w:p>
        </w:tc>
        <w:tc>
          <w:tcPr>
            <w:tcW w:w="1169" w:type="pct"/>
            <w:tcBorders>
              <w:top w:val="single" w:sz="4" w:space="0" w:color="000000"/>
              <w:left w:val="single" w:sz="4" w:space="0" w:color="000000"/>
              <w:bottom w:val="single" w:sz="4" w:space="0" w:color="000000"/>
              <w:right w:val="single" w:sz="4" w:space="0" w:color="000000"/>
            </w:tcBorders>
            <w:hideMark/>
          </w:tcPr>
          <w:p w14:paraId="7A415553" w14:textId="77777777" w:rsidR="005F1C01" w:rsidRPr="00F37D4D" w:rsidRDefault="00BE7CB1" w:rsidP="00F64BF9">
            <w:pPr>
              <w:pStyle w:val="TABLES"/>
              <w:ind w:left="57" w:right="57"/>
              <w:jc w:val="center"/>
            </w:pPr>
            <w:r>
              <w:t>CPB15</w:t>
            </w:r>
          </w:p>
          <w:p w14:paraId="37733DE0" w14:textId="77777777" w:rsidR="009C4600" w:rsidRPr="00F37D4D" w:rsidRDefault="00BE7CB1" w:rsidP="00F64BF9">
            <w:pPr>
              <w:pStyle w:val="TABLES"/>
              <w:ind w:left="57" w:right="57"/>
              <w:jc w:val="center"/>
            </w:pPr>
            <w:r>
              <w:t>(n = 393)</w:t>
            </w:r>
          </w:p>
        </w:tc>
        <w:tc>
          <w:tcPr>
            <w:tcW w:w="1258" w:type="pct"/>
            <w:tcBorders>
              <w:top w:val="single" w:sz="4" w:space="0" w:color="000000"/>
              <w:left w:val="single" w:sz="4" w:space="0" w:color="000000"/>
              <w:bottom w:val="single" w:sz="4" w:space="0" w:color="000000"/>
              <w:right w:val="single" w:sz="4" w:space="0" w:color="000000"/>
            </w:tcBorders>
            <w:hideMark/>
          </w:tcPr>
          <w:p w14:paraId="5B19836E" w14:textId="77777777" w:rsidR="005F1C01" w:rsidRPr="00F37D4D" w:rsidRDefault="00BE7CB1" w:rsidP="00F64BF9">
            <w:pPr>
              <w:pStyle w:val="TABLES"/>
              <w:ind w:left="57" w:right="57"/>
              <w:jc w:val="center"/>
            </w:pPr>
            <w:r>
              <w:t>CPB15+</w:t>
            </w:r>
          </w:p>
          <w:p w14:paraId="7CD3F09E" w14:textId="77777777" w:rsidR="009C4600" w:rsidRPr="00F37D4D" w:rsidRDefault="00BE7CB1" w:rsidP="00F64BF9">
            <w:pPr>
              <w:pStyle w:val="TABLES"/>
              <w:ind w:left="57" w:right="57"/>
              <w:jc w:val="center"/>
            </w:pPr>
            <w:r>
              <w:t>(n = 403)</w:t>
            </w:r>
          </w:p>
        </w:tc>
      </w:tr>
      <w:tr w:rsidR="00741586" w:rsidRPr="00F37D4D" w14:paraId="756B934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406EB54" w14:textId="77777777" w:rsidR="009C4600" w:rsidRPr="00F37D4D" w:rsidRDefault="00BE7CB1" w:rsidP="00F64BF9">
            <w:pPr>
              <w:pStyle w:val="TABLES"/>
              <w:ind w:left="567" w:right="57"/>
            </w:pPr>
            <w:r>
              <w:t>% pacientov s objektívnou</w:t>
            </w:r>
          </w:p>
          <w:p w14:paraId="487EDDD1" w14:textId="77777777" w:rsidR="009C4600" w:rsidRPr="00F37D4D" w:rsidRDefault="00BE7CB1" w:rsidP="00F64BF9">
            <w:pPr>
              <w:pStyle w:val="TABLES"/>
              <w:ind w:left="567" w:right="57"/>
            </w:pPr>
            <w:r>
              <w:t>odpoveďou</w:t>
            </w:r>
          </w:p>
        </w:tc>
        <w:tc>
          <w:tcPr>
            <w:tcW w:w="994" w:type="pct"/>
            <w:tcBorders>
              <w:top w:val="single" w:sz="4" w:space="0" w:color="000000"/>
              <w:left w:val="single" w:sz="4" w:space="0" w:color="000000"/>
              <w:bottom w:val="single" w:sz="4" w:space="0" w:color="000000"/>
              <w:right w:val="single" w:sz="4" w:space="0" w:color="000000"/>
            </w:tcBorders>
            <w:hideMark/>
          </w:tcPr>
          <w:p w14:paraId="46106EC5" w14:textId="77777777" w:rsidR="009C4600" w:rsidRPr="00F37D4D" w:rsidRDefault="00BE7CB1" w:rsidP="00F64BF9">
            <w:pPr>
              <w:pStyle w:val="TABLES"/>
              <w:ind w:left="57" w:right="57"/>
              <w:jc w:val="center"/>
            </w:pPr>
            <w:r>
              <w:t>63,4</w:t>
            </w:r>
          </w:p>
        </w:tc>
        <w:tc>
          <w:tcPr>
            <w:tcW w:w="1169" w:type="pct"/>
            <w:tcBorders>
              <w:top w:val="single" w:sz="4" w:space="0" w:color="000000"/>
              <w:left w:val="single" w:sz="4" w:space="0" w:color="000000"/>
              <w:bottom w:val="single" w:sz="4" w:space="0" w:color="000000"/>
              <w:right w:val="single" w:sz="4" w:space="0" w:color="000000"/>
            </w:tcBorders>
            <w:hideMark/>
          </w:tcPr>
          <w:p w14:paraId="7F765F38" w14:textId="77777777" w:rsidR="009C4600" w:rsidRPr="00F37D4D" w:rsidRDefault="00BE7CB1" w:rsidP="00F64BF9">
            <w:pPr>
              <w:pStyle w:val="TABLES"/>
              <w:ind w:left="57" w:right="57"/>
              <w:jc w:val="center"/>
            </w:pPr>
            <w:r>
              <w:t>66,2</w:t>
            </w:r>
          </w:p>
        </w:tc>
        <w:tc>
          <w:tcPr>
            <w:tcW w:w="1258" w:type="pct"/>
            <w:tcBorders>
              <w:top w:val="single" w:sz="4" w:space="0" w:color="000000"/>
              <w:left w:val="single" w:sz="4" w:space="0" w:color="000000"/>
              <w:bottom w:val="single" w:sz="4" w:space="0" w:color="000000"/>
              <w:right w:val="single" w:sz="4" w:space="0" w:color="000000"/>
            </w:tcBorders>
            <w:hideMark/>
          </w:tcPr>
          <w:p w14:paraId="7B2FD782" w14:textId="77777777" w:rsidR="009C4600" w:rsidRPr="00F37D4D" w:rsidRDefault="00BE7CB1" w:rsidP="00F64BF9">
            <w:pPr>
              <w:pStyle w:val="TABLES"/>
              <w:ind w:left="57" w:right="57"/>
              <w:jc w:val="center"/>
            </w:pPr>
            <w:r>
              <w:t>66,0</w:t>
            </w:r>
          </w:p>
        </w:tc>
      </w:tr>
      <w:tr w:rsidR="00741586" w:rsidRPr="00F37D4D" w14:paraId="6A592E5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3AFE1124" w14:textId="77777777" w:rsidR="009C4600" w:rsidRPr="00F37D4D" w:rsidRDefault="00BE7CB1" w:rsidP="00F64BF9">
            <w:pPr>
              <w:pStyle w:val="TABLES"/>
              <w:ind w:left="567" w:right="57"/>
            </w:pPr>
            <w:r>
              <w:t>p-hodnota</w:t>
            </w:r>
          </w:p>
        </w:tc>
        <w:tc>
          <w:tcPr>
            <w:tcW w:w="994" w:type="pct"/>
            <w:tcBorders>
              <w:top w:val="single" w:sz="4" w:space="0" w:color="000000"/>
              <w:left w:val="single" w:sz="4" w:space="0" w:color="000000"/>
              <w:bottom w:val="single" w:sz="4" w:space="0" w:color="000000"/>
              <w:right w:val="single" w:sz="4" w:space="0" w:color="000000"/>
            </w:tcBorders>
          </w:tcPr>
          <w:p w14:paraId="3FE45FC7"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373B3CFF" w14:textId="77777777" w:rsidR="009C4600" w:rsidRPr="00F37D4D" w:rsidRDefault="00BE7CB1" w:rsidP="00F64BF9">
            <w:pPr>
              <w:pStyle w:val="TABLES"/>
              <w:ind w:left="57" w:right="57"/>
              <w:jc w:val="center"/>
            </w:pPr>
            <w:r>
              <w:t>0,2341</w:t>
            </w:r>
          </w:p>
        </w:tc>
        <w:tc>
          <w:tcPr>
            <w:tcW w:w="1258" w:type="pct"/>
            <w:tcBorders>
              <w:top w:val="single" w:sz="4" w:space="0" w:color="000000"/>
              <w:left w:val="single" w:sz="4" w:space="0" w:color="000000"/>
              <w:bottom w:val="single" w:sz="4" w:space="0" w:color="000000"/>
              <w:right w:val="single" w:sz="4" w:space="0" w:color="000000"/>
            </w:tcBorders>
            <w:hideMark/>
          </w:tcPr>
          <w:p w14:paraId="769FC518" w14:textId="77777777" w:rsidR="009C4600" w:rsidRPr="00F37D4D" w:rsidRDefault="00BE7CB1" w:rsidP="00F64BF9">
            <w:pPr>
              <w:pStyle w:val="TABLES"/>
              <w:ind w:left="57" w:right="57"/>
              <w:jc w:val="center"/>
            </w:pPr>
            <w:r>
              <w:t>0,2041</w:t>
            </w:r>
          </w:p>
        </w:tc>
      </w:tr>
      <w:tr w:rsidR="00741586" w:rsidRPr="00F37D4D" w14:paraId="771DDA75"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53ACEC" w14:textId="77777777" w:rsidR="009C4600" w:rsidRPr="00F37D4D" w:rsidRDefault="00BE7CB1" w:rsidP="00F64BF9">
            <w:pPr>
              <w:pStyle w:val="TABLES"/>
              <w:ind w:left="57" w:right="57"/>
            </w:pPr>
            <w:r>
              <w:t xml:space="preserve">Celkové prežívanie </w:t>
            </w:r>
            <w:r w:rsidR="00475772" w:rsidRPr="00F37D4D">
              <w:rPr>
                <w:vertAlign w:val="superscript"/>
              </w:rPr>
              <w:t>6</w:t>
            </w:r>
          </w:p>
        </w:tc>
      </w:tr>
      <w:tr w:rsidR="00741586" w:rsidRPr="00F37D4D" w14:paraId="17E1B71A"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4F52BD1A"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342D7F5D" w14:textId="77777777" w:rsidR="005F1C01" w:rsidRPr="00F37D4D" w:rsidRDefault="00BE7CB1" w:rsidP="00F64BF9">
            <w:pPr>
              <w:pStyle w:val="TABLES"/>
              <w:ind w:left="57" w:right="57"/>
              <w:jc w:val="center"/>
            </w:pPr>
            <w:r>
              <w:t>CPP</w:t>
            </w:r>
          </w:p>
          <w:p w14:paraId="507BE25C" w14:textId="77777777" w:rsidR="009C4600" w:rsidRPr="00F37D4D" w:rsidRDefault="00BE7CB1" w:rsidP="00F64BF9">
            <w:pPr>
              <w:pStyle w:val="TABLES"/>
              <w:ind w:left="57" w:right="57"/>
              <w:jc w:val="center"/>
            </w:pPr>
            <w:r>
              <w:t>(n = 625)</w:t>
            </w:r>
          </w:p>
        </w:tc>
        <w:tc>
          <w:tcPr>
            <w:tcW w:w="1169" w:type="pct"/>
            <w:tcBorders>
              <w:top w:val="single" w:sz="4" w:space="0" w:color="000000"/>
              <w:left w:val="single" w:sz="4" w:space="0" w:color="000000"/>
              <w:bottom w:val="single" w:sz="4" w:space="0" w:color="000000"/>
              <w:right w:val="single" w:sz="4" w:space="0" w:color="000000"/>
            </w:tcBorders>
            <w:hideMark/>
          </w:tcPr>
          <w:p w14:paraId="3BA7B984" w14:textId="77777777" w:rsidR="005F1C01" w:rsidRPr="00F37D4D" w:rsidRDefault="00BE7CB1" w:rsidP="00F64BF9">
            <w:pPr>
              <w:pStyle w:val="TABLES"/>
              <w:ind w:left="57" w:right="57"/>
              <w:jc w:val="center"/>
            </w:pPr>
            <w:r>
              <w:t>CPB15</w:t>
            </w:r>
          </w:p>
          <w:p w14:paraId="2C84CB7B" w14:textId="77777777" w:rsidR="009C4600" w:rsidRPr="00F37D4D" w:rsidRDefault="00BE7CB1" w:rsidP="00F64BF9">
            <w:pPr>
              <w:pStyle w:val="TABLES"/>
              <w:ind w:left="57" w:right="57"/>
              <w:jc w:val="center"/>
            </w:pPr>
            <w:r>
              <w:t>(n = 625)</w:t>
            </w:r>
          </w:p>
        </w:tc>
        <w:tc>
          <w:tcPr>
            <w:tcW w:w="1258" w:type="pct"/>
            <w:tcBorders>
              <w:top w:val="single" w:sz="4" w:space="0" w:color="000000"/>
              <w:left w:val="single" w:sz="4" w:space="0" w:color="000000"/>
              <w:bottom w:val="single" w:sz="4" w:space="0" w:color="000000"/>
              <w:right w:val="single" w:sz="4" w:space="0" w:color="000000"/>
            </w:tcBorders>
            <w:hideMark/>
          </w:tcPr>
          <w:p w14:paraId="7D7EEEF1" w14:textId="77777777" w:rsidR="005F1C01" w:rsidRPr="00F37D4D" w:rsidRDefault="00BE7CB1" w:rsidP="00F64BF9">
            <w:pPr>
              <w:pStyle w:val="TABLES"/>
              <w:ind w:left="57" w:right="57"/>
              <w:jc w:val="center"/>
            </w:pPr>
            <w:r>
              <w:t>CPB15+</w:t>
            </w:r>
          </w:p>
          <w:p w14:paraId="09A19BC6" w14:textId="77777777" w:rsidR="009C4600" w:rsidRPr="00F37D4D" w:rsidRDefault="00BE7CB1" w:rsidP="00F64BF9">
            <w:pPr>
              <w:pStyle w:val="TABLES"/>
              <w:ind w:left="57" w:right="57"/>
              <w:jc w:val="center"/>
            </w:pPr>
            <w:r>
              <w:t>(n = 623)</w:t>
            </w:r>
          </w:p>
        </w:tc>
      </w:tr>
      <w:tr w:rsidR="00741586" w:rsidRPr="00F37D4D" w14:paraId="76651C6E"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93A0E73" w14:textId="77777777" w:rsidR="009C4600" w:rsidRPr="00F37D4D" w:rsidRDefault="00BE7CB1" w:rsidP="00F64BF9">
            <w:pPr>
              <w:pStyle w:val="TABLES"/>
              <w:ind w:left="567" w:right="57"/>
            </w:pPr>
            <w:r>
              <w:t>Medián OS (mesiace)</w:t>
            </w:r>
          </w:p>
        </w:tc>
        <w:tc>
          <w:tcPr>
            <w:tcW w:w="994" w:type="pct"/>
            <w:tcBorders>
              <w:top w:val="single" w:sz="4" w:space="0" w:color="000000"/>
              <w:left w:val="single" w:sz="4" w:space="0" w:color="000000"/>
              <w:bottom w:val="single" w:sz="4" w:space="0" w:color="000000"/>
              <w:right w:val="single" w:sz="4" w:space="0" w:color="000000"/>
            </w:tcBorders>
            <w:hideMark/>
          </w:tcPr>
          <w:p w14:paraId="53493FD9" w14:textId="77777777" w:rsidR="009C4600" w:rsidRPr="00F37D4D" w:rsidRDefault="00BE7CB1" w:rsidP="00F64BF9">
            <w:pPr>
              <w:pStyle w:val="TABLES"/>
              <w:ind w:left="57" w:right="57"/>
              <w:jc w:val="center"/>
            </w:pPr>
            <w:r>
              <w:t>40,6</w:t>
            </w:r>
          </w:p>
        </w:tc>
        <w:tc>
          <w:tcPr>
            <w:tcW w:w="1169" w:type="pct"/>
            <w:tcBorders>
              <w:top w:val="single" w:sz="4" w:space="0" w:color="000000"/>
              <w:left w:val="single" w:sz="4" w:space="0" w:color="000000"/>
              <w:bottom w:val="single" w:sz="4" w:space="0" w:color="000000"/>
              <w:right w:val="single" w:sz="4" w:space="0" w:color="000000"/>
            </w:tcBorders>
            <w:hideMark/>
          </w:tcPr>
          <w:p w14:paraId="3C233B27" w14:textId="77777777" w:rsidR="009C4600" w:rsidRPr="00F37D4D" w:rsidRDefault="00BE7CB1" w:rsidP="00F64BF9">
            <w:pPr>
              <w:pStyle w:val="TABLES"/>
              <w:ind w:left="57" w:right="57"/>
              <w:jc w:val="center"/>
            </w:pPr>
            <w:r>
              <w:t>38,8</w:t>
            </w:r>
          </w:p>
        </w:tc>
        <w:tc>
          <w:tcPr>
            <w:tcW w:w="1258" w:type="pct"/>
            <w:tcBorders>
              <w:top w:val="single" w:sz="4" w:space="0" w:color="000000"/>
              <w:left w:val="single" w:sz="4" w:space="0" w:color="000000"/>
              <w:bottom w:val="single" w:sz="4" w:space="0" w:color="000000"/>
              <w:right w:val="single" w:sz="4" w:space="0" w:color="000000"/>
            </w:tcBorders>
            <w:hideMark/>
          </w:tcPr>
          <w:p w14:paraId="2EA12069" w14:textId="77777777" w:rsidR="009C4600" w:rsidRPr="00F37D4D" w:rsidRDefault="00BE7CB1" w:rsidP="00F64BF9">
            <w:pPr>
              <w:pStyle w:val="TABLES"/>
              <w:ind w:left="57" w:right="57"/>
              <w:jc w:val="center"/>
            </w:pPr>
            <w:r>
              <w:t>43,8</w:t>
            </w:r>
          </w:p>
        </w:tc>
      </w:tr>
      <w:tr w:rsidR="00741586" w:rsidRPr="00F37D4D" w14:paraId="0D113069"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2000A252" w14:textId="77777777" w:rsidR="009C4600" w:rsidRPr="00F37D4D" w:rsidRDefault="00BE7CB1" w:rsidP="00F64BF9">
            <w:pPr>
              <w:pStyle w:val="TABLES"/>
              <w:ind w:left="567" w:right="57"/>
            </w:pPr>
            <w:r>
              <w:t>Miera rizika (95 % I</w:t>
            </w:r>
            <w:r w:rsidR="005F6E25">
              <w:t>S</w:t>
            </w:r>
            <w:r>
              <w:t xml:space="preserve">) </w:t>
            </w:r>
            <w:r w:rsidR="00475772" w:rsidRPr="00F37D4D">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535FEF17"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2643440" w14:textId="77777777" w:rsidR="009C4600" w:rsidRPr="00F37D4D" w:rsidRDefault="00BE7CB1" w:rsidP="00F64BF9">
            <w:pPr>
              <w:pStyle w:val="TABLES"/>
              <w:ind w:left="57" w:right="57"/>
              <w:jc w:val="center"/>
            </w:pPr>
            <w:r>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9354E7E" w14:textId="77777777" w:rsidR="009C4600" w:rsidRPr="00F37D4D" w:rsidRDefault="00BE7CB1" w:rsidP="00F64BF9">
            <w:pPr>
              <w:pStyle w:val="TABLES"/>
              <w:ind w:left="57" w:right="57"/>
              <w:jc w:val="center"/>
            </w:pPr>
            <w:r>
              <w:t>0,88 (0,75; 1,04)</w:t>
            </w:r>
          </w:p>
        </w:tc>
      </w:tr>
      <w:tr w:rsidR="00741586" w:rsidRPr="00F37D4D" w14:paraId="1E40889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677AF0B4" w14:textId="77777777" w:rsidR="009C4600" w:rsidRPr="00F37D4D" w:rsidRDefault="00BE7CB1" w:rsidP="00F64BF9">
            <w:pPr>
              <w:pStyle w:val="TABLES"/>
              <w:ind w:left="567" w:right="57"/>
            </w:pPr>
            <w:r>
              <w:t>p-hodnota</w:t>
            </w:r>
            <w:r w:rsidR="00475772" w:rsidRPr="00F37D4D">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72710AF2"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5BDD2C8" w14:textId="77777777" w:rsidR="009C4600" w:rsidRPr="00F37D4D" w:rsidRDefault="00BE7CB1" w:rsidP="00F64BF9">
            <w:pPr>
              <w:pStyle w:val="TABLES"/>
              <w:ind w:left="57" w:right="57"/>
              <w:jc w:val="center"/>
            </w:pPr>
            <w:r>
              <w:t>0,2197</w:t>
            </w:r>
          </w:p>
        </w:tc>
        <w:tc>
          <w:tcPr>
            <w:tcW w:w="1258" w:type="pct"/>
            <w:tcBorders>
              <w:top w:val="single" w:sz="4" w:space="0" w:color="000000"/>
              <w:left w:val="single" w:sz="4" w:space="0" w:color="000000"/>
              <w:bottom w:val="single" w:sz="4" w:space="0" w:color="000000"/>
              <w:right w:val="single" w:sz="4" w:space="0" w:color="000000"/>
            </w:tcBorders>
            <w:hideMark/>
          </w:tcPr>
          <w:p w14:paraId="0E4C4004" w14:textId="77777777" w:rsidR="009C4600" w:rsidRPr="00F37D4D" w:rsidRDefault="00BE7CB1" w:rsidP="00F64BF9">
            <w:pPr>
              <w:pStyle w:val="TABLES"/>
              <w:ind w:left="57" w:right="57"/>
              <w:jc w:val="center"/>
            </w:pPr>
            <w:r>
              <w:t>0,0641</w:t>
            </w:r>
          </w:p>
        </w:tc>
      </w:tr>
    </w:tbl>
    <w:p w14:paraId="2CC49FA3" w14:textId="77777777" w:rsidR="009C4600" w:rsidRPr="006C53C7" w:rsidRDefault="00BE7CB1" w:rsidP="00F64BF9">
      <w:pPr>
        <w:tabs>
          <w:tab w:val="clear" w:pos="567"/>
          <w:tab w:val="left" w:pos="426"/>
        </w:tabs>
        <w:spacing w:line="240" w:lineRule="auto"/>
        <w:rPr>
          <w:sz w:val="20"/>
        </w:rPr>
      </w:pPr>
      <w:r>
        <w:rPr>
          <w:sz w:val="20"/>
          <w:vertAlign w:val="superscript"/>
        </w:rPr>
        <w:t>1</w:t>
      </w:r>
      <w:r>
        <w:rPr>
          <w:sz w:val="20"/>
        </w:rPr>
        <w:t xml:space="preserve"> Skúšajúci posúdil analýzu PFS špecifikovanú protokolom GOG (necenzurovaná pre CA-125 progresie ani pre NPT pred progresiou ochorenia) s dátumom ukončenia zhromažďovania údajov 25. február 2010.</w:t>
      </w:r>
    </w:p>
    <w:p w14:paraId="0E2CEC16" w14:textId="77777777" w:rsidR="009C4600" w:rsidRPr="006C53C7" w:rsidRDefault="00BE7CB1" w:rsidP="00F64BF9">
      <w:pPr>
        <w:tabs>
          <w:tab w:val="clear" w:pos="567"/>
          <w:tab w:val="left" w:pos="426"/>
        </w:tabs>
        <w:spacing w:line="240" w:lineRule="auto"/>
        <w:rPr>
          <w:sz w:val="20"/>
        </w:rPr>
      </w:pPr>
      <w:r>
        <w:rPr>
          <w:sz w:val="20"/>
          <w:vertAlign w:val="superscript"/>
        </w:rPr>
        <w:t>2</w:t>
      </w:r>
      <w:r w:rsidR="005F6E25">
        <w:rPr>
          <w:sz w:val="20"/>
          <w:vertAlign w:val="superscript"/>
        </w:rPr>
        <w:t xml:space="preserve"> </w:t>
      </w:r>
      <w:r>
        <w:rPr>
          <w:sz w:val="20"/>
        </w:rPr>
        <w:t>Vzhľadom na kontrolnú skupinu; stratifikovaná miera rizika.</w:t>
      </w:r>
    </w:p>
    <w:p w14:paraId="6C69C07C" w14:textId="77777777" w:rsidR="009C4600" w:rsidRPr="006C53C7" w:rsidRDefault="00BE7CB1" w:rsidP="00F64BF9">
      <w:pPr>
        <w:tabs>
          <w:tab w:val="clear" w:pos="567"/>
          <w:tab w:val="left" w:pos="426"/>
        </w:tabs>
        <w:spacing w:line="240" w:lineRule="auto"/>
        <w:rPr>
          <w:sz w:val="20"/>
        </w:rPr>
      </w:pPr>
      <w:r>
        <w:rPr>
          <w:sz w:val="20"/>
          <w:vertAlign w:val="superscript"/>
        </w:rPr>
        <w:t>3</w:t>
      </w:r>
      <w:r w:rsidR="005F6E25">
        <w:rPr>
          <w:sz w:val="20"/>
          <w:vertAlign w:val="superscript"/>
        </w:rPr>
        <w:t xml:space="preserve"> </w:t>
      </w:r>
      <w:r>
        <w:rPr>
          <w:sz w:val="20"/>
        </w:rPr>
        <w:t>Jednostranná log-rank p-hodnota.</w:t>
      </w:r>
    </w:p>
    <w:p w14:paraId="300A539A" w14:textId="77777777" w:rsidR="009C4600" w:rsidRPr="006C53C7" w:rsidRDefault="0011215F" w:rsidP="00F64BF9">
      <w:pPr>
        <w:tabs>
          <w:tab w:val="clear" w:pos="567"/>
          <w:tab w:val="left" w:pos="426"/>
        </w:tabs>
        <w:spacing w:line="240" w:lineRule="auto"/>
        <w:rPr>
          <w:sz w:val="20"/>
        </w:rPr>
      </w:pPr>
      <w:r w:rsidRPr="00F933B6">
        <w:rPr>
          <w:sz w:val="20"/>
          <w:vertAlign w:val="superscript"/>
        </w:rPr>
        <w:t>4</w:t>
      </w:r>
      <w:r w:rsidR="005F6E25">
        <w:rPr>
          <w:sz w:val="20"/>
        </w:rPr>
        <w:t xml:space="preserve"> </w:t>
      </w:r>
      <w:r w:rsidRPr="00F933B6">
        <w:rPr>
          <w:sz w:val="20"/>
        </w:rPr>
        <w:t>Pod podmienkou hranice p-hodnoty 0,0116.</w:t>
      </w:r>
    </w:p>
    <w:p w14:paraId="17360CD8" w14:textId="77777777" w:rsidR="009C4600" w:rsidRPr="006C53C7" w:rsidRDefault="00BE7CB1" w:rsidP="00F64BF9">
      <w:pPr>
        <w:tabs>
          <w:tab w:val="clear" w:pos="567"/>
          <w:tab w:val="left" w:pos="426"/>
        </w:tabs>
        <w:spacing w:line="240" w:lineRule="auto"/>
        <w:rPr>
          <w:sz w:val="20"/>
        </w:rPr>
      </w:pPr>
      <w:r>
        <w:rPr>
          <w:sz w:val="20"/>
          <w:vertAlign w:val="superscript"/>
        </w:rPr>
        <w:t>5</w:t>
      </w:r>
      <w:r w:rsidR="005F6E25">
        <w:rPr>
          <w:sz w:val="20"/>
          <w:vertAlign w:val="superscript"/>
        </w:rPr>
        <w:t xml:space="preserve"> </w:t>
      </w:r>
      <w:r>
        <w:rPr>
          <w:sz w:val="20"/>
        </w:rPr>
        <w:t>Pacienti s merateľným ochorením na začiatku štúdie.</w:t>
      </w:r>
    </w:p>
    <w:p w14:paraId="0F978267" w14:textId="77777777" w:rsidR="009C4600" w:rsidRPr="006C53C7" w:rsidRDefault="00BE7CB1" w:rsidP="00F64BF9">
      <w:pPr>
        <w:tabs>
          <w:tab w:val="clear" w:pos="567"/>
          <w:tab w:val="left" w:pos="426"/>
        </w:tabs>
        <w:spacing w:line="240" w:lineRule="auto"/>
        <w:rPr>
          <w:sz w:val="20"/>
        </w:rPr>
      </w:pPr>
      <w:r>
        <w:rPr>
          <w:sz w:val="20"/>
          <w:vertAlign w:val="superscript"/>
        </w:rPr>
        <w:t>6</w:t>
      </w:r>
      <w:r>
        <w:rPr>
          <w:sz w:val="20"/>
        </w:rPr>
        <w:t xml:space="preserve"> Finálna analýza celkového prežívania uskutočnená po úmrtí 46,9 % pacientov.</w:t>
      </w:r>
    </w:p>
    <w:p w14:paraId="42726B48" w14:textId="77777777" w:rsidR="009C4600" w:rsidRPr="00F37D4D" w:rsidRDefault="009C4600" w:rsidP="00F64BF9">
      <w:pPr>
        <w:spacing w:line="240" w:lineRule="auto"/>
        <w:rPr>
          <w:szCs w:val="22"/>
        </w:rPr>
      </w:pPr>
    </w:p>
    <w:p w14:paraId="3A8A7609" w14:textId="77777777" w:rsidR="009C4600" w:rsidRPr="00F37D4D" w:rsidRDefault="00BE7CB1" w:rsidP="00F64BF9">
      <w:pPr>
        <w:spacing w:line="240" w:lineRule="auto"/>
        <w:rPr>
          <w:szCs w:val="22"/>
        </w:rPr>
      </w:pPr>
      <w:r>
        <w:t>Uskutočnili sa vopred špecifikované analýzy, pričom všetky mali dátum ukončenia zhromažďovania údajov 29. september 2009. Výsledky týchto vopred špecifikovaných analýz sú nasledovné:</w:t>
      </w:r>
    </w:p>
    <w:p w14:paraId="6CDEF8AE" w14:textId="77777777" w:rsidR="009C4600" w:rsidRPr="00F37D4D" w:rsidRDefault="009C4600" w:rsidP="00F64BF9">
      <w:pPr>
        <w:spacing w:line="240" w:lineRule="auto"/>
        <w:rPr>
          <w:szCs w:val="22"/>
        </w:rPr>
      </w:pPr>
    </w:p>
    <w:p w14:paraId="40F71B01" w14:textId="77777777" w:rsidR="009C4600" w:rsidRPr="006C53C7" w:rsidRDefault="00BE7CB1" w:rsidP="0033150F">
      <w:pPr>
        <w:pStyle w:val="ListParagraph"/>
        <w:numPr>
          <w:ilvl w:val="0"/>
          <w:numId w:val="13"/>
        </w:numPr>
        <w:ind w:left="567" w:hanging="567"/>
      </w:pPr>
      <w:r>
        <w:t>Protokolom špecifikovaná analýza PFS hodnotená skúšajúcim (bez cenzurovania pre progresiu CA-125 alebo neprotokolovej liečby [NPT]) preukázala stratifikovanú mieru rizika 0,71 (95 % I</w:t>
      </w:r>
      <w:r w:rsidR="005F6E25">
        <w:t>S</w:t>
      </w:r>
      <w:r>
        <w:t>: 0,61-0,83, jednostranná long-rank hodnota &lt; 0,0001), keď sa CPB15+ porovnáva s CPP, s mediánom PFS 10,4 mesiacov v CPP skupine a 14,1 mesiacov v CPB15+ skupine.</w:t>
      </w:r>
    </w:p>
    <w:p w14:paraId="62D3CF80" w14:textId="77777777" w:rsidR="009C4600" w:rsidRPr="006C53C7" w:rsidRDefault="00BE7CB1" w:rsidP="0033150F">
      <w:pPr>
        <w:pStyle w:val="ListParagraph"/>
        <w:numPr>
          <w:ilvl w:val="0"/>
          <w:numId w:val="13"/>
        </w:numPr>
        <w:ind w:left="567" w:hanging="567"/>
      </w:pPr>
      <w:r>
        <w:t>Primárna analýza PFS hodnotená skúšajúcim (cenzurovaná pre progresiu CA-125 a NPT) preukázala stratifikovanú mier</w:t>
      </w:r>
      <w:r w:rsidR="005F6E25">
        <w:t>u</w:t>
      </w:r>
      <w:r>
        <w:t xml:space="preserve"> rizika 0,62 (95 % I</w:t>
      </w:r>
      <w:r w:rsidR="005F6E25">
        <w:t>S</w:t>
      </w:r>
      <w:r>
        <w:t>: 0,52-0,75, jednostranná long-rank hodnota &lt; 0,0001), keď sa CPB15+ porovnáva s CPP, s mediánom PFS 12 mesiacov v CPP skupine a 18,2 mesiacov v CPB15+ skupine.</w:t>
      </w:r>
    </w:p>
    <w:p w14:paraId="72CC4F0B" w14:textId="77777777" w:rsidR="009C4600" w:rsidRPr="006C53C7" w:rsidRDefault="00BE7CB1" w:rsidP="0033150F">
      <w:pPr>
        <w:pStyle w:val="ListParagraph"/>
        <w:numPr>
          <w:ilvl w:val="0"/>
          <w:numId w:val="13"/>
        </w:numPr>
        <w:ind w:left="567" w:hanging="567"/>
      </w:pPr>
      <w:r>
        <w:t>Analýza PFS stanovená nezávislou hodnotiacou komisiou (cenzurovaná pre NPT) preukázala stratifikovanú mieru rizika 0,62 (95 % I</w:t>
      </w:r>
      <w:r w:rsidR="005F6E25">
        <w:t>S</w:t>
      </w:r>
      <w:r>
        <w:t>: 0,50-0,77, jednostranná long-rank hodnota</w:t>
      </w:r>
      <w:r w:rsidR="005F6E25">
        <w:t xml:space="preserve"> </w:t>
      </w:r>
      <w:r>
        <w:t>&lt; 0,0001), keď sa CPB15+ porovnáva s CPP, s mediánom PFS 13,1 v CPP skupine a 19,1 mesiacov v CPB15+ skupine.</w:t>
      </w:r>
    </w:p>
    <w:p w14:paraId="23014844" w14:textId="77777777" w:rsidR="002B2DA2" w:rsidRDefault="002B2DA2" w:rsidP="00F74068">
      <w:pPr>
        <w:spacing w:line="240" w:lineRule="auto"/>
        <w:jc w:val="center"/>
        <w:rPr>
          <w:szCs w:val="22"/>
        </w:rPr>
      </w:pPr>
    </w:p>
    <w:p w14:paraId="033E2881" w14:textId="77777777" w:rsidR="009C4600" w:rsidRPr="00F37D4D" w:rsidRDefault="00BE7CB1" w:rsidP="00F64BF9">
      <w:pPr>
        <w:spacing w:line="240" w:lineRule="auto"/>
        <w:rPr>
          <w:szCs w:val="22"/>
        </w:rPr>
      </w:pPr>
      <w:r>
        <w:lastRenderedPageBreak/>
        <w:t>Analýzy podskupín PFS podľa štádia ochorenia a stavu zmenšenia ochorenia sú zosumarizované v tabuľke 17. Tieto výsledky preukazujú masívnosť analýzy PFS tak, ako je to uvedené v tabuľke 16.</w:t>
      </w:r>
    </w:p>
    <w:p w14:paraId="02A4A180" w14:textId="77777777" w:rsidR="009C4600" w:rsidRPr="00F37D4D" w:rsidRDefault="009C4600" w:rsidP="00755C59">
      <w:pPr>
        <w:widowControl w:val="0"/>
        <w:spacing w:line="240" w:lineRule="auto"/>
        <w:rPr>
          <w:szCs w:val="22"/>
        </w:rPr>
      </w:pPr>
    </w:p>
    <w:p w14:paraId="00D46DAB" w14:textId="77777777" w:rsidR="009C4600" w:rsidRPr="006C53C7" w:rsidRDefault="00BE7CB1" w:rsidP="00755C59">
      <w:pPr>
        <w:widowControl w:val="0"/>
        <w:spacing w:line="240" w:lineRule="auto"/>
        <w:rPr>
          <w:b/>
          <w:bCs/>
        </w:rPr>
      </w:pPr>
      <w:r>
        <w:rPr>
          <w:b/>
        </w:rPr>
        <w:t>Tabuľka 17</w:t>
      </w:r>
      <w:r w:rsidR="005F6E25">
        <w:rPr>
          <w:b/>
        </w:rPr>
        <w:t>.</w:t>
      </w:r>
      <w:r>
        <w:rPr>
          <w:b/>
        </w:rPr>
        <w:t xml:space="preserve"> Výsledky PFS</w:t>
      </w:r>
      <w:r w:rsidRPr="006C53C7">
        <w:rPr>
          <w:b/>
          <w:bCs/>
          <w:vertAlign w:val="superscript"/>
        </w:rPr>
        <w:t>1</w:t>
      </w:r>
      <w:r>
        <w:rPr>
          <w:b/>
        </w:rPr>
        <w:t xml:space="preserve"> podľa stavu ochorenia a stavu zmenšenia ochorenia zo štúdie GOG- 0218</w:t>
      </w:r>
    </w:p>
    <w:p w14:paraId="707FEC24" w14:textId="77777777" w:rsidR="009C4600" w:rsidRPr="006C53C7"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F37D4D" w14:paraId="028E6FA0"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6930E09" w14:textId="77777777" w:rsidR="009C4600" w:rsidRPr="00F37D4D" w:rsidRDefault="00BE7CB1" w:rsidP="00755C59">
            <w:pPr>
              <w:pStyle w:val="TABLES"/>
              <w:ind w:left="57" w:right="57"/>
            </w:pPr>
            <w:r>
              <w:t>Randomizovaní pacienti s optimálne zmenšeným ochorením v štádiu III</w:t>
            </w:r>
            <w:r w:rsidR="00475772" w:rsidRPr="00F37D4D">
              <w:rPr>
                <w:vertAlign w:val="superscript"/>
              </w:rPr>
              <w:t>2,3</w:t>
            </w:r>
          </w:p>
        </w:tc>
      </w:tr>
      <w:tr w:rsidR="00741586" w:rsidRPr="00F37D4D" w14:paraId="6E29AC5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2D5D0672" w14:textId="77777777" w:rsidR="009C4600" w:rsidRPr="00F37D4D" w:rsidRDefault="009C4600" w:rsidP="00755C5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4CD1B88" w14:textId="77777777" w:rsidR="005F1C01" w:rsidRPr="00F37D4D" w:rsidRDefault="00BE7CB1" w:rsidP="00755C59">
            <w:pPr>
              <w:pStyle w:val="TABLES"/>
              <w:ind w:left="57" w:right="57"/>
              <w:jc w:val="center"/>
            </w:pPr>
            <w:r>
              <w:t>CPP</w:t>
            </w:r>
          </w:p>
          <w:p w14:paraId="2BA61244" w14:textId="77777777" w:rsidR="009C4600" w:rsidRPr="00F37D4D" w:rsidRDefault="00BE7CB1" w:rsidP="00755C59">
            <w:pPr>
              <w:pStyle w:val="TABLES"/>
              <w:ind w:left="57" w:right="57"/>
              <w:jc w:val="center"/>
            </w:pPr>
            <w:r>
              <w:t>(n = 219)</w:t>
            </w:r>
          </w:p>
        </w:tc>
        <w:tc>
          <w:tcPr>
            <w:tcW w:w="1169" w:type="pct"/>
            <w:tcBorders>
              <w:top w:val="single" w:sz="4" w:space="0" w:color="000000"/>
              <w:left w:val="single" w:sz="4" w:space="0" w:color="000000"/>
              <w:bottom w:val="single" w:sz="4" w:space="0" w:color="000000"/>
              <w:right w:val="single" w:sz="4" w:space="0" w:color="000000"/>
            </w:tcBorders>
            <w:hideMark/>
          </w:tcPr>
          <w:p w14:paraId="1D1776B9" w14:textId="77777777" w:rsidR="005F1C01" w:rsidRPr="00F37D4D" w:rsidRDefault="00BE7CB1" w:rsidP="00755C59">
            <w:pPr>
              <w:pStyle w:val="TABLES"/>
              <w:ind w:left="57" w:right="57"/>
              <w:jc w:val="center"/>
            </w:pPr>
            <w:r>
              <w:t>CPB15</w:t>
            </w:r>
          </w:p>
          <w:p w14:paraId="28325DA4" w14:textId="77777777" w:rsidR="009C4600" w:rsidRPr="00F37D4D" w:rsidRDefault="00BE7CB1" w:rsidP="00755C59">
            <w:pPr>
              <w:pStyle w:val="TABLES"/>
              <w:ind w:left="57" w:right="57"/>
              <w:jc w:val="center"/>
            </w:pPr>
            <w:r>
              <w:t>(n = 204)</w:t>
            </w:r>
          </w:p>
        </w:tc>
        <w:tc>
          <w:tcPr>
            <w:tcW w:w="1258" w:type="pct"/>
            <w:tcBorders>
              <w:top w:val="single" w:sz="4" w:space="0" w:color="000000"/>
              <w:left w:val="single" w:sz="4" w:space="0" w:color="000000"/>
              <w:bottom w:val="single" w:sz="4" w:space="0" w:color="000000"/>
              <w:right w:val="single" w:sz="4" w:space="0" w:color="000000"/>
            </w:tcBorders>
            <w:hideMark/>
          </w:tcPr>
          <w:p w14:paraId="2F3F2C87" w14:textId="77777777" w:rsidR="005F1C01" w:rsidRPr="00F37D4D" w:rsidRDefault="00BE7CB1" w:rsidP="00755C59">
            <w:pPr>
              <w:pStyle w:val="TABLES"/>
              <w:ind w:left="57" w:right="57"/>
              <w:jc w:val="center"/>
            </w:pPr>
            <w:r>
              <w:t>CPB15+</w:t>
            </w:r>
          </w:p>
          <w:p w14:paraId="259C099E" w14:textId="77777777" w:rsidR="009C4600" w:rsidRPr="00F37D4D" w:rsidRDefault="00BE7CB1" w:rsidP="00755C59">
            <w:pPr>
              <w:pStyle w:val="TABLES"/>
              <w:ind w:left="57" w:right="57"/>
              <w:jc w:val="center"/>
            </w:pPr>
            <w:r>
              <w:t>(n = 216)</w:t>
            </w:r>
          </w:p>
        </w:tc>
      </w:tr>
      <w:tr w:rsidR="00741586" w:rsidRPr="00F37D4D" w14:paraId="60557F5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C488ED" w14:textId="77777777" w:rsidR="009C4600" w:rsidRPr="00F37D4D" w:rsidRDefault="00BE7CB1" w:rsidP="00755C59">
            <w:pPr>
              <w:pStyle w:val="TABLES"/>
              <w:ind w:left="567" w:right="57"/>
            </w:pPr>
            <w:r>
              <w:t>Medián PFS (mesiace)</w:t>
            </w:r>
          </w:p>
        </w:tc>
        <w:tc>
          <w:tcPr>
            <w:tcW w:w="994" w:type="pct"/>
            <w:tcBorders>
              <w:top w:val="single" w:sz="4" w:space="0" w:color="000000"/>
              <w:left w:val="single" w:sz="4" w:space="0" w:color="000000"/>
              <w:bottom w:val="single" w:sz="4" w:space="0" w:color="000000"/>
              <w:right w:val="single" w:sz="4" w:space="0" w:color="000000"/>
            </w:tcBorders>
            <w:hideMark/>
          </w:tcPr>
          <w:p w14:paraId="41C5BC59" w14:textId="77777777" w:rsidR="009C4600" w:rsidRPr="00F37D4D" w:rsidRDefault="00BE7CB1" w:rsidP="00755C59">
            <w:pPr>
              <w:pStyle w:val="TABLES"/>
              <w:ind w:left="57" w:right="57"/>
              <w:jc w:val="center"/>
            </w:pPr>
            <w:r>
              <w:t>12,4</w:t>
            </w:r>
          </w:p>
        </w:tc>
        <w:tc>
          <w:tcPr>
            <w:tcW w:w="1169" w:type="pct"/>
            <w:tcBorders>
              <w:top w:val="single" w:sz="4" w:space="0" w:color="000000"/>
              <w:left w:val="single" w:sz="4" w:space="0" w:color="000000"/>
              <w:bottom w:val="single" w:sz="4" w:space="0" w:color="000000"/>
              <w:right w:val="single" w:sz="4" w:space="0" w:color="000000"/>
            </w:tcBorders>
            <w:hideMark/>
          </w:tcPr>
          <w:p w14:paraId="59D76A69" w14:textId="77777777" w:rsidR="009C4600" w:rsidRPr="00F37D4D" w:rsidRDefault="00BE7CB1" w:rsidP="00755C59">
            <w:pPr>
              <w:pStyle w:val="TABLES"/>
              <w:ind w:left="57" w:right="57"/>
              <w:jc w:val="center"/>
            </w:pPr>
            <w:r>
              <w:t>14,3</w:t>
            </w:r>
          </w:p>
        </w:tc>
        <w:tc>
          <w:tcPr>
            <w:tcW w:w="1258" w:type="pct"/>
            <w:tcBorders>
              <w:top w:val="single" w:sz="4" w:space="0" w:color="000000"/>
              <w:left w:val="single" w:sz="4" w:space="0" w:color="000000"/>
              <w:bottom w:val="single" w:sz="4" w:space="0" w:color="000000"/>
              <w:right w:val="single" w:sz="4" w:space="0" w:color="000000"/>
            </w:tcBorders>
            <w:hideMark/>
          </w:tcPr>
          <w:p w14:paraId="381A344F" w14:textId="77777777" w:rsidR="009C4600" w:rsidRPr="00F37D4D" w:rsidRDefault="00BE7CB1" w:rsidP="00755C59">
            <w:pPr>
              <w:pStyle w:val="TABLES"/>
              <w:ind w:left="57" w:right="57"/>
              <w:jc w:val="center"/>
            </w:pPr>
            <w:r>
              <w:t>17,5</w:t>
            </w:r>
          </w:p>
        </w:tc>
      </w:tr>
      <w:tr w:rsidR="00741586" w:rsidRPr="00F37D4D" w14:paraId="0E77C97E"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B02C867" w14:textId="77777777" w:rsidR="009C4600" w:rsidRPr="00F37D4D" w:rsidRDefault="00BE7CB1" w:rsidP="00755C59">
            <w:pPr>
              <w:pStyle w:val="TABLES"/>
              <w:ind w:left="567" w:right="57"/>
            </w:pPr>
            <w:r>
              <w:t>Miera rizika (95 % I</w:t>
            </w:r>
            <w:r w:rsidR="00027BFB">
              <w:t>S</w:t>
            </w:r>
            <w:r>
              <w:t>)</w:t>
            </w:r>
            <w:r w:rsidR="00475772" w:rsidRPr="00F37D4D">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4CF002B" w14:textId="77777777" w:rsidR="009C4600" w:rsidRPr="00F37D4D" w:rsidRDefault="009C4600" w:rsidP="00755C5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44648E9" w14:textId="77777777" w:rsidR="009C4600" w:rsidRPr="00F37D4D" w:rsidRDefault="00BE7CB1" w:rsidP="00755C59">
            <w:pPr>
              <w:pStyle w:val="TABLES"/>
              <w:ind w:left="57" w:right="57"/>
              <w:jc w:val="center"/>
            </w:pPr>
            <w:r>
              <w:t>0,81</w:t>
            </w:r>
          </w:p>
          <w:p w14:paraId="276803F0" w14:textId="77777777" w:rsidR="009C4600" w:rsidRPr="00F37D4D" w:rsidRDefault="00BE7CB1" w:rsidP="00755C59">
            <w:pPr>
              <w:pStyle w:val="TABLES"/>
              <w:ind w:left="57" w:right="57"/>
              <w:jc w:val="center"/>
            </w:pPr>
            <w:r>
              <w:t>(0,62; 1,05)</w:t>
            </w:r>
          </w:p>
        </w:tc>
        <w:tc>
          <w:tcPr>
            <w:tcW w:w="1258" w:type="pct"/>
            <w:tcBorders>
              <w:top w:val="single" w:sz="4" w:space="0" w:color="000000"/>
              <w:left w:val="single" w:sz="4" w:space="0" w:color="000000"/>
              <w:bottom w:val="single" w:sz="4" w:space="0" w:color="000000"/>
              <w:right w:val="single" w:sz="4" w:space="0" w:color="000000"/>
            </w:tcBorders>
            <w:hideMark/>
          </w:tcPr>
          <w:p w14:paraId="5C6BDA3D" w14:textId="77777777" w:rsidR="009C4600" w:rsidRPr="00F37D4D" w:rsidRDefault="00BE7CB1" w:rsidP="00755C59">
            <w:pPr>
              <w:pStyle w:val="TABLES"/>
              <w:ind w:left="57" w:right="57"/>
              <w:jc w:val="center"/>
            </w:pPr>
            <w:r>
              <w:t>0,66</w:t>
            </w:r>
          </w:p>
          <w:p w14:paraId="30A03E03" w14:textId="77777777" w:rsidR="009C4600" w:rsidRPr="00F37D4D" w:rsidRDefault="00BE7CB1" w:rsidP="00755C59">
            <w:pPr>
              <w:pStyle w:val="TABLES"/>
              <w:ind w:left="57" w:right="57"/>
              <w:jc w:val="center"/>
            </w:pPr>
            <w:r>
              <w:t>(0,50; 0,86)</w:t>
            </w:r>
          </w:p>
        </w:tc>
      </w:tr>
      <w:tr w:rsidR="00741586" w:rsidRPr="00F37D4D" w14:paraId="678CC18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2479966E" w14:textId="77777777" w:rsidR="009C4600" w:rsidRPr="00F37D4D" w:rsidRDefault="00BE7CB1" w:rsidP="00755C59">
            <w:pPr>
              <w:pStyle w:val="TABLES"/>
              <w:ind w:left="57" w:right="57"/>
            </w:pPr>
            <w:r>
              <w:t>Randomizovaní pacienti so suboptimálne zmenšeným ochorením v štádiu III</w:t>
            </w:r>
            <w:r w:rsidR="001902AC" w:rsidRPr="00F37D4D">
              <w:rPr>
                <w:vertAlign w:val="superscript"/>
              </w:rPr>
              <w:t>3</w:t>
            </w:r>
          </w:p>
        </w:tc>
      </w:tr>
      <w:tr w:rsidR="00741586" w:rsidRPr="00F37D4D" w14:paraId="1D0AE9AF"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1DE8D0B4" w14:textId="77777777" w:rsidR="009C4600" w:rsidRPr="00F37D4D" w:rsidRDefault="009C4600" w:rsidP="00755C5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79B4483" w14:textId="77777777" w:rsidR="005F1C01" w:rsidRPr="00F37D4D" w:rsidRDefault="00BE7CB1" w:rsidP="00755C59">
            <w:pPr>
              <w:pStyle w:val="TABLES"/>
              <w:ind w:left="57" w:right="57"/>
              <w:jc w:val="center"/>
            </w:pPr>
            <w:r>
              <w:t>CPP</w:t>
            </w:r>
          </w:p>
          <w:p w14:paraId="6AA01520" w14:textId="77777777" w:rsidR="009C4600" w:rsidRPr="00F37D4D" w:rsidRDefault="00BE7CB1" w:rsidP="00755C59">
            <w:pPr>
              <w:pStyle w:val="TABLES"/>
              <w:ind w:left="57" w:right="57"/>
              <w:jc w:val="center"/>
            </w:pPr>
            <w:r>
              <w:t>(n = 253)</w:t>
            </w:r>
          </w:p>
        </w:tc>
        <w:tc>
          <w:tcPr>
            <w:tcW w:w="1169" w:type="pct"/>
            <w:tcBorders>
              <w:top w:val="single" w:sz="4" w:space="0" w:color="000000"/>
              <w:left w:val="single" w:sz="4" w:space="0" w:color="000000"/>
              <w:bottom w:val="single" w:sz="4" w:space="0" w:color="000000"/>
              <w:right w:val="single" w:sz="4" w:space="0" w:color="000000"/>
            </w:tcBorders>
            <w:hideMark/>
          </w:tcPr>
          <w:p w14:paraId="1A576E07" w14:textId="77777777" w:rsidR="005F1C01" w:rsidRPr="00F37D4D" w:rsidRDefault="00BE7CB1" w:rsidP="00755C59">
            <w:pPr>
              <w:pStyle w:val="TABLES"/>
              <w:ind w:left="57" w:right="57"/>
              <w:jc w:val="center"/>
            </w:pPr>
            <w:r>
              <w:t>CPB15</w:t>
            </w:r>
          </w:p>
          <w:p w14:paraId="2724D09F" w14:textId="77777777" w:rsidR="009C4600" w:rsidRPr="00F37D4D" w:rsidRDefault="00BE7CB1" w:rsidP="00755C59">
            <w:pPr>
              <w:pStyle w:val="TABLES"/>
              <w:ind w:left="57" w:right="57"/>
              <w:jc w:val="center"/>
            </w:pPr>
            <w:r>
              <w:t>(n = 256)</w:t>
            </w:r>
          </w:p>
        </w:tc>
        <w:tc>
          <w:tcPr>
            <w:tcW w:w="1258" w:type="pct"/>
            <w:tcBorders>
              <w:top w:val="single" w:sz="4" w:space="0" w:color="000000"/>
              <w:left w:val="single" w:sz="4" w:space="0" w:color="000000"/>
              <w:bottom w:val="single" w:sz="4" w:space="0" w:color="000000"/>
              <w:right w:val="single" w:sz="4" w:space="0" w:color="000000"/>
            </w:tcBorders>
            <w:hideMark/>
          </w:tcPr>
          <w:p w14:paraId="4A642194" w14:textId="77777777" w:rsidR="005F1C01" w:rsidRPr="00F37D4D" w:rsidRDefault="00BE7CB1" w:rsidP="00755C59">
            <w:pPr>
              <w:pStyle w:val="TABLES"/>
              <w:ind w:left="57" w:right="57"/>
              <w:jc w:val="center"/>
            </w:pPr>
            <w:r>
              <w:t>CPB15+</w:t>
            </w:r>
          </w:p>
          <w:p w14:paraId="7E68FEFB" w14:textId="77777777" w:rsidR="009C4600" w:rsidRPr="00F37D4D" w:rsidRDefault="00BE7CB1" w:rsidP="00755C59">
            <w:pPr>
              <w:pStyle w:val="TABLES"/>
              <w:ind w:left="57" w:right="57"/>
              <w:jc w:val="center"/>
            </w:pPr>
            <w:r>
              <w:t>(n = 242)</w:t>
            </w:r>
          </w:p>
        </w:tc>
      </w:tr>
      <w:tr w:rsidR="00741586" w:rsidRPr="00F37D4D" w14:paraId="37E8D71D"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6B393D9" w14:textId="77777777" w:rsidR="009C4600" w:rsidRPr="00F37D4D" w:rsidRDefault="00BE7CB1" w:rsidP="00755C59">
            <w:pPr>
              <w:pStyle w:val="TABLES"/>
              <w:ind w:left="567" w:right="57"/>
            </w:pPr>
            <w:r>
              <w:t>Medián PFS (mesiace)</w:t>
            </w:r>
          </w:p>
        </w:tc>
        <w:tc>
          <w:tcPr>
            <w:tcW w:w="994" w:type="pct"/>
            <w:tcBorders>
              <w:top w:val="single" w:sz="4" w:space="0" w:color="000000"/>
              <w:left w:val="single" w:sz="4" w:space="0" w:color="000000"/>
              <w:bottom w:val="single" w:sz="4" w:space="0" w:color="000000"/>
              <w:right w:val="single" w:sz="4" w:space="0" w:color="000000"/>
            </w:tcBorders>
            <w:hideMark/>
          </w:tcPr>
          <w:p w14:paraId="723BCB4A" w14:textId="77777777" w:rsidR="009C4600" w:rsidRPr="00F37D4D" w:rsidRDefault="00BE7CB1" w:rsidP="00755C59">
            <w:pPr>
              <w:pStyle w:val="TABLES"/>
              <w:ind w:left="57" w:right="57"/>
              <w:jc w:val="center"/>
            </w:pPr>
            <w:r>
              <w:t>10,1</w:t>
            </w:r>
          </w:p>
        </w:tc>
        <w:tc>
          <w:tcPr>
            <w:tcW w:w="1169" w:type="pct"/>
            <w:tcBorders>
              <w:top w:val="single" w:sz="4" w:space="0" w:color="000000"/>
              <w:left w:val="single" w:sz="4" w:space="0" w:color="000000"/>
              <w:bottom w:val="single" w:sz="4" w:space="0" w:color="000000"/>
              <w:right w:val="single" w:sz="4" w:space="0" w:color="000000"/>
            </w:tcBorders>
            <w:hideMark/>
          </w:tcPr>
          <w:p w14:paraId="7AF2BF74" w14:textId="77777777" w:rsidR="009C4600" w:rsidRPr="00F37D4D" w:rsidRDefault="00BE7CB1" w:rsidP="00755C59">
            <w:pPr>
              <w:pStyle w:val="TABLES"/>
              <w:ind w:left="57" w:right="57"/>
              <w:jc w:val="center"/>
            </w:pPr>
            <w:r>
              <w:t>10,9</w:t>
            </w:r>
          </w:p>
        </w:tc>
        <w:tc>
          <w:tcPr>
            <w:tcW w:w="1258" w:type="pct"/>
            <w:tcBorders>
              <w:top w:val="single" w:sz="4" w:space="0" w:color="000000"/>
              <w:left w:val="single" w:sz="4" w:space="0" w:color="000000"/>
              <w:bottom w:val="single" w:sz="4" w:space="0" w:color="000000"/>
              <w:right w:val="single" w:sz="4" w:space="0" w:color="000000"/>
            </w:tcBorders>
            <w:hideMark/>
          </w:tcPr>
          <w:p w14:paraId="4DA7C2CB" w14:textId="77777777" w:rsidR="009C4600" w:rsidRPr="00F37D4D" w:rsidRDefault="00BE7CB1" w:rsidP="00755C59">
            <w:pPr>
              <w:pStyle w:val="TABLES"/>
              <w:ind w:left="57" w:right="57"/>
              <w:jc w:val="center"/>
            </w:pPr>
            <w:r>
              <w:t>13,9</w:t>
            </w:r>
          </w:p>
        </w:tc>
      </w:tr>
      <w:tr w:rsidR="00741586" w:rsidRPr="00F37D4D" w14:paraId="2C021FEF"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A91468D" w14:textId="77777777" w:rsidR="009C4600" w:rsidRPr="00F37D4D" w:rsidRDefault="00BE7CB1" w:rsidP="00755C59">
            <w:pPr>
              <w:pStyle w:val="TABLES"/>
              <w:ind w:left="567" w:right="57"/>
            </w:pPr>
            <w:r>
              <w:t>Miera rizika (95 % I</w:t>
            </w:r>
            <w:r w:rsidR="00027BFB">
              <w:t>S</w:t>
            </w:r>
            <w:r>
              <w:t>)</w:t>
            </w:r>
            <w:r w:rsidR="00475772" w:rsidRPr="00F37D4D">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C9951" w14:textId="77777777" w:rsidR="009C4600" w:rsidRPr="00F37D4D" w:rsidRDefault="009C4600" w:rsidP="00755C5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3FA28946" w14:textId="77777777" w:rsidR="009C4600" w:rsidRPr="00F37D4D" w:rsidRDefault="00BE7CB1" w:rsidP="00755C59">
            <w:pPr>
              <w:pStyle w:val="TABLES"/>
              <w:ind w:left="57" w:right="57"/>
              <w:jc w:val="center"/>
            </w:pPr>
            <w:r>
              <w:t>0,93</w:t>
            </w:r>
          </w:p>
          <w:p w14:paraId="59791BE5" w14:textId="77777777" w:rsidR="009C4600" w:rsidRPr="00F37D4D" w:rsidRDefault="00BE7CB1" w:rsidP="00755C59">
            <w:pPr>
              <w:pStyle w:val="TABLES"/>
              <w:ind w:left="57" w:right="57"/>
              <w:jc w:val="center"/>
            </w:pPr>
            <w:r>
              <w:t>(0,77; 1,14)</w:t>
            </w:r>
          </w:p>
        </w:tc>
        <w:tc>
          <w:tcPr>
            <w:tcW w:w="1258" w:type="pct"/>
            <w:tcBorders>
              <w:top w:val="single" w:sz="4" w:space="0" w:color="000000"/>
              <w:left w:val="single" w:sz="4" w:space="0" w:color="000000"/>
              <w:bottom w:val="single" w:sz="4" w:space="0" w:color="000000"/>
              <w:right w:val="single" w:sz="4" w:space="0" w:color="000000"/>
            </w:tcBorders>
            <w:hideMark/>
          </w:tcPr>
          <w:p w14:paraId="162FF563" w14:textId="77777777" w:rsidR="009C4600" w:rsidRPr="00F37D4D" w:rsidRDefault="00BE7CB1" w:rsidP="00755C59">
            <w:pPr>
              <w:pStyle w:val="TABLES"/>
              <w:ind w:left="57" w:right="57"/>
              <w:jc w:val="center"/>
            </w:pPr>
            <w:r>
              <w:t>0,78</w:t>
            </w:r>
          </w:p>
          <w:p w14:paraId="48E59E99" w14:textId="77777777" w:rsidR="009C4600" w:rsidRPr="00F37D4D" w:rsidRDefault="00BE7CB1" w:rsidP="00755C59">
            <w:pPr>
              <w:pStyle w:val="TABLES"/>
              <w:ind w:left="57" w:right="57"/>
              <w:jc w:val="center"/>
            </w:pPr>
            <w:r>
              <w:t>(0,63; 0,96)</w:t>
            </w:r>
          </w:p>
        </w:tc>
      </w:tr>
      <w:tr w:rsidR="00741586" w:rsidRPr="00F37D4D" w14:paraId="75247E59"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88FF12F" w14:textId="77777777" w:rsidR="009C4600" w:rsidRPr="00F37D4D" w:rsidRDefault="00BE7CB1" w:rsidP="00755C59">
            <w:pPr>
              <w:pStyle w:val="TABLES"/>
              <w:ind w:left="57" w:right="57"/>
            </w:pPr>
            <w:r>
              <w:t>Randomizovaní pacienti v štádiu IV</w:t>
            </w:r>
          </w:p>
        </w:tc>
      </w:tr>
      <w:tr w:rsidR="00741586" w:rsidRPr="00F37D4D" w14:paraId="16AADB0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14101A37" w14:textId="77777777" w:rsidR="009C4600" w:rsidRPr="00F37D4D" w:rsidRDefault="009C4600" w:rsidP="00755C5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48CA6973" w14:textId="77777777" w:rsidR="005F1C01" w:rsidRPr="00F37D4D" w:rsidRDefault="00BE7CB1" w:rsidP="00755C59">
            <w:pPr>
              <w:pStyle w:val="TABLES"/>
              <w:ind w:left="57" w:right="57"/>
              <w:jc w:val="center"/>
            </w:pPr>
            <w:r>
              <w:t>CPP</w:t>
            </w:r>
          </w:p>
          <w:p w14:paraId="183C46D5" w14:textId="77777777" w:rsidR="009C4600" w:rsidRPr="00F37D4D" w:rsidRDefault="00BE7CB1" w:rsidP="00755C59">
            <w:pPr>
              <w:pStyle w:val="TABLES"/>
              <w:ind w:left="57" w:right="57"/>
              <w:jc w:val="center"/>
            </w:pPr>
            <w:r>
              <w:t>(n = 153)</w:t>
            </w:r>
          </w:p>
        </w:tc>
        <w:tc>
          <w:tcPr>
            <w:tcW w:w="1169" w:type="pct"/>
            <w:tcBorders>
              <w:top w:val="single" w:sz="4" w:space="0" w:color="000000"/>
              <w:left w:val="single" w:sz="4" w:space="0" w:color="000000"/>
              <w:bottom w:val="single" w:sz="4" w:space="0" w:color="000000"/>
              <w:right w:val="single" w:sz="4" w:space="0" w:color="000000"/>
            </w:tcBorders>
            <w:hideMark/>
          </w:tcPr>
          <w:p w14:paraId="5B761BFD" w14:textId="77777777" w:rsidR="005F1C01" w:rsidRPr="00F37D4D" w:rsidRDefault="00BE7CB1" w:rsidP="00755C59">
            <w:pPr>
              <w:pStyle w:val="TABLES"/>
              <w:ind w:left="57" w:right="57"/>
              <w:jc w:val="center"/>
            </w:pPr>
            <w:r>
              <w:t>CPB15</w:t>
            </w:r>
          </w:p>
          <w:p w14:paraId="5D1CA51B" w14:textId="77777777" w:rsidR="009C4600" w:rsidRPr="00F37D4D" w:rsidRDefault="00BE7CB1" w:rsidP="00755C59">
            <w:pPr>
              <w:pStyle w:val="TABLES"/>
              <w:ind w:left="57" w:right="57"/>
              <w:jc w:val="center"/>
            </w:pPr>
            <w:r>
              <w:t>(n = 165)</w:t>
            </w:r>
          </w:p>
        </w:tc>
        <w:tc>
          <w:tcPr>
            <w:tcW w:w="1258" w:type="pct"/>
            <w:tcBorders>
              <w:top w:val="single" w:sz="4" w:space="0" w:color="000000"/>
              <w:left w:val="single" w:sz="4" w:space="0" w:color="000000"/>
              <w:bottom w:val="single" w:sz="4" w:space="0" w:color="000000"/>
              <w:right w:val="single" w:sz="4" w:space="0" w:color="000000"/>
            </w:tcBorders>
            <w:hideMark/>
          </w:tcPr>
          <w:p w14:paraId="2EF6E1BD" w14:textId="77777777" w:rsidR="005F1C01" w:rsidRPr="00F37D4D" w:rsidRDefault="00BE7CB1" w:rsidP="00755C59">
            <w:pPr>
              <w:pStyle w:val="TABLES"/>
              <w:ind w:left="57" w:right="57"/>
              <w:jc w:val="center"/>
            </w:pPr>
            <w:r>
              <w:t>CPB15+</w:t>
            </w:r>
          </w:p>
          <w:p w14:paraId="503EDCD6" w14:textId="77777777" w:rsidR="009C4600" w:rsidRPr="00F37D4D" w:rsidRDefault="00BE7CB1" w:rsidP="00755C59">
            <w:pPr>
              <w:pStyle w:val="TABLES"/>
              <w:ind w:left="57" w:right="57"/>
              <w:jc w:val="center"/>
            </w:pPr>
            <w:r>
              <w:t>(n = 165)</w:t>
            </w:r>
          </w:p>
        </w:tc>
      </w:tr>
      <w:tr w:rsidR="00741586" w:rsidRPr="00F37D4D" w14:paraId="2E7CFBA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33A17ADA" w14:textId="77777777" w:rsidR="009C4600" w:rsidRPr="00F37D4D" w:rsidRDefault="00BE7CB1" w:rsidP="00755C59">
            <w:pPr>
              <w:pStyle w:val="TABLES"/>
              <w:ind w:left="567" w:right="57"/>
            </w:pPr>
            <w:r>
              <w:t>Medián PFS (mesiace)</w:t>
            </w:r>
          </w:p>
        </w:tc>
        <w:tc>
          <w:tcPr>
            <w:tcW w:w="994" w:type="pct"/>
            <w:tcBorders>
              <w:top w:val="single" w:sz="4" w:space="0" w:color="000000"/>
              <w:left w:val="single" w:sz="4" w:space="0" w:color="000000"/>
              <w:bottom w:val="single" w:sz="4" w:space="0" w:color="000000"/>
              <w:right w:val="single" w:sz="4" w:space="0" w:color="000000"/>
            </w:tcBorders>
            <w:hideMark/>
          </w:tcPr>
          <w:p w14:paraId="54F2D8D5" w14:textId="77777777" w:rsidR="009C4600" w:rsidRPr="00F37D4D" w:rsidRDefault="00BE7CB1" w:rsidP="00755C59">
            <w:pPr>
              <w:pStyle w:val="TABLES"/>
              <w:ind w:left="57" w:right="57"/>
              <w:jc w:val="center"/>
            </w:pPr>
            <w:r>
              <w:t>9,5</w:t>
            </w:r>
          </w:p>
        </w:tc>
        <w:tc>
          <w:tcPr>
            <w:tcW w:w="1169" w:type="pct"/>
            <w:tcBorders>
              <w:top w:val="single" w:sz="4" w:space="0" w:color="000000"/>
              <w:left w:val="single" w:sz="4" w:space="0" w:color="000000"/>
              <w:bottom w:val="single" w:sz="4" w:space="0" w:color="000000"/>
              <w:right w:val="single" w:sz="4" w:space="0" w:color="000000"/>
            </w:tcBorders>
            <w:hideMark/>
          </w:tcPr>
          <w:p w14:paraId="037542D7" w14:textId="77777777" w:rsidR="009C4600" w:rsidRPr="00F37D4D" w:rsidRDefault="00BE7CB1" w:rsidP="00755C59">
            <w:pPr>
              <w:pStyle w:val="TABLES"/>
              <w:ind w:left="57" w:right="57"/>
              <w:jc w:val="center"/>
            </w:pPr>
            <w:r>
              <w:t>10,4</w:t>
            </w:r>
          </w:p>
        </w:tc>
        <w:tc>
          <w:tcPr>
            <w:tcW w:w="1258" w:type="pct"/>
            <w:tcBorders>
              <w:top w:val="single" w:sz="4" w:space="0" w:color="000000"/>
              <w:left w:val="single" w:sz="4" w:space="0" w:color="000000"/>
              <w:bottom w:val="single" w:sz="4" w:space="0" w:color="000000"/>
              <w:right w:val="single" w:sz="4" w:space="0" w:color="000000"/>
            </w:tcBorders>
            <w:hideMark/>
          </w:tcPr>
          <w:p w14:paraId="4491F551" w14:textId="77777777" w:rsidR="009C4600" w:rsidRPr="00F37D4D" w:rsidRDefault="00BE7CB1" w:rsidP="00755C59">
            <w:pPr>
              <w:pStyle w:val="TABLES"/>
              <w:ind w:left="57" w:right="57"/>
              <w:jc w:val="center"/>
            </w:pPr>
            <w:r>
              <w:t>12,8</w:t>
            </w:r>
          </w:p>
        </w:tc>
      </w:tr>
      <w:tr w:rsidR="00741586" w:rsidRPr="00F37D4D" w14:paraId="7F8360A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BCEACE8" w14:textId="77777777" w:rsidR="009C4600" w:rsidRPr="00F37D4D" w:rsidRDefault="00BE7CB1" w:rsidP="00755C59">
            <w:pPr>
              <w:pStyle w:val="TABLES"/>
              <w:ind w:left="567" w:right="57"/>
            </w:pPr>
            <w:r>
              <w:t>Miera rizika (95 % I</w:t>
            </w:r>
            <w:r w:rsidR="00027BFB">
              <w:t>S</w:t>
            </w:r>
            <w:r>
              <w:t>)</w:t>
            </w:r>
            <w:r w:rsidR="00EB17A8" w:rsidRPr="005973AB">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12CBEA18" w14:textId="77777777" w:rsidR="009C4600" w:rsidRPr="00F37D4D" w:rsidRDefault="009C4600" w:rsidP="00755C5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33E05BD5" w14:textId="77777777" w:rsidR="009C4600" w:rsidRPr="00F37D4D" w:rsidRDefault="00BE7CB1" w:rsidP="00755C59">
            <w:pPr>
              <w:pStyle w:val="TABLES"/>
              <w:ind w:left="57" w:right="57"/>
              <w:jc w:val="center"/>
            </w:pPr>
            <w:r>
              <w:t>0,90</w:t>
            </w:r>
          </w:p>
          <w:p w14:paraId="412FCE4D" w14:textId="77777777" w:rsidR="009C4600" w:rsidRPr="00F37D4D" w:rsidRDefault="00BE7CB1" w:rsidP="00755C59">
            <w:pPr>
              <w:pStyle w:val="TABLES"/>
              <w:ind w:left="57" w:right="57"/>
              <w:jc w:val="center"/>
            </w:pPr>
            <w:r>
              <w:t>(0,70; 1,16)</w:t>
            </w:r>
          </w:p>
        </w:tc>
        <w:tc>
          <w:tcPr>
            <w:tcW w:w="1258" w:type="pct"/>
            <w:tcBorders>
              <w:top w:val="single" w:sz="4" w:space="0" w:color="000000"/>
              <w:left w:val="single" w:sz="4" w:space="0" w:color="000000"/>
              <w:bottom w:val="single" w:sz="4" w:space="0" w:color="000000"/>
              <w:right w:val="single" w:sz="4" w:space="0" w:color="000000"/>
            </w:tcBorders>
            <w:hideMark/>
          </w:tcPr>
          <w:p w14:paraId="620A243B" w14:textId="77777777" w:rsidR="009C4600" w:rsidRPr="00F37D4D" w:rsidRDefault="00BE7CB1" w:rsidP="00755C59">
            <w:pPr>
              <w:pStyle w:val="TABLES"/>
              <w:ind w:left="57" w:right="57"/>
              <w:jc w:val="center"/>
            </w:pPr>
            <w:r>
              <w:t>0,64</w:t>
            </w:r>
          </w:p>
          <w:p w14:paraId="3A1CD77B" w14:textId="77777777" w:rsidR="009C4600" w:rsidRPr="00F37D4D" w:rsidRDefault="00BE7CB1" w:rsidP="00755C59">
            <w:pPr>
              <w:pStyle w:val="TABLES"/>
              <w:ind w:left="57" w:right="57"/>
              <w:jc w:val="center"/>
            </w:pPr>
            <w:r>
              <w:t>(0,49; 0,82)</w:t>
            </w:r>
          </w:p>
        </w:tc>
      </w:tr>
    </w:tbl>
    <w:p w14:paraId="6E20A243" w14:textId="77777777" w:rsidR="009C4600" w:rsidRPr="006C53C7" w:rsidRDefault="006C53C7" w:rsidP="00755C59">
      <w:pPr>
        <w:widowControl w:val="0"/>
        <w:tabs>
          <w:tab w:val="clear" w:pos="567"/>
          <w:tab w:val="left" w:pos="709"/>
        </w:tabs>
        <w:spacing w:line="240" w:lineRule="auto"/>
        <w:rPr>
          <w:sz w:val="20"/>
        </w:rPr>
      </w:pPr>
      <w:r>
        <w:rPr>
          <w:sz w:val="20"/>
          <w:vertAlign w:val="superscript"/>
        </w:rPr>
        <w:t>1</w:t>
      </w:r>
      <w:r>
        <w:rPr>
          <w:sz w:val="20"/>
        </w:rPr>
        <w:t xml:space="preserve"> Skúšajúci posúdil analýzu PFS špecifikovanú protokolom GOG (necenzurovaná pre CA-125 progresie ani pre NPT pred progresiou ochorenia) s dátumom ukončenia zhromažďovania údajov 25. február 2010.</w:t>
      </w:r>
    </w:p>
    <w:p w14:paraId="74FDE73D" w14:textId="77777777" w:rsidR="009C4600" w:rsidRPr="006C53C7" w:rsidRDefault="00BE7CB1" w:rsidP="00755C59">
      <w:pPr>
        <w:widowControl w:val="0"/>
        <w:tabs>
          <w:tab w:val="clear" w:pos="567"/>
          <w:tab w:val="left" w:pos="709"/>
        </w:tabs>
        <w:spacing w:line="240" w:lineRule="auto"/>
        <w:rPr>
          <w:sz w:val="20"/>
        </w:rPr>
      </w:pPr>
      <w:r>
        <w:rPr>
          <w:sz w:val="20"/>
          <w:vertAlign w:val="superscript"/>
        </w:rPr>
        <w:t>2</w:t>
      </w:r>
      <w:r>
        <w:rPr>
          <w:spacing w:val="-1"/>
          <w:sz w:val="20"/>
        </w:rPr>
        <w:t xml:space="preserve"> S výrazným reziduálnym ochorením.</w:t>
      </w:r>
    </w:p>
    <w:p w14:paraId="4B9CF596" w14:textId="77777777" w:rsidR="009C4600" w:rsidRPr="006C53C7" w:rsidRDefault="00BE7CB1" w:rsidP="00755C59">
      <w:pPr>
        <w:widowControl w:val="0"/>
        <w:tabs>
          <w:tab w:val="clear" w:pos="567"/>
          <w:tab w:val="left" w:pos="709"/>
        </w:tabs>
        <w:spacing w:line="240" w:lineRule="auto"/>
        <w:rPr>
          <w:sz w:val="20"/>
        </w:rPr>
      </w:pPr>
      <w:r>
        <w:rPr>
          <w:sz w:val="20"/>
          <w:vertAlign w:val="superscript"/>
        </w:rPr>
        <w:t>3</w:t>
      </w:r>
      <w:r>
        <w:rPr>
          <w:spacing w:val="-2"/>
          <w:sz w:val="20"/>
        </w:rPr>
        <w:t xml:space="preserve"> 3,7 % celkovej randomizovanej populácie pacientov malo ochorenie v štádiu IIIB.</w:t>
      </w:r>
    </w:p>
    <w:p w14:paraId="5F866105" w14:textId="77777777" w:rsidR="009C4600" w:rsidRPr="006C53C7" w:rsidRDefault="00BE7CB1" w:rsidP="00755C59">
      <w:pPr>
        <w:widowControl w:val="0"/>
        <w:tabs>
          <w:tab w:val="clear" w:pos="567"/>
          <w:tab w:val="left" w:pos="709"/>
        </w:tabs>
        <w:spacing w:line="240" w:lineRule="auto"/>
        <w:rPr>
          <w:sz w:val="20"/>
        </w:rPr>
      </w:pPr>
      <w:r>
        <w:rPr>
          <w:sz w:val="20"/>
          <w:vertAlign w:val="superscript"/>
        </w:rPr>
        <w:t>4</w:t>
      </w:r>
      <w:r>
        <w:rPr>
          <w:sz w:val="20"/>
        </w:rPr>
        <w:t xml:space="preserve"> Vzhľadom na kontrolnú skupinu.</w:t>
      </w:r>
    </w:p>
    <w:p w14:paraId="4144DB60" w14:textId="77777777" w:rsidR="009C4600" w:rsidRPr="006C53C7" w:rsidRDefault="009C4600" w:rsidP="00F64BF9">
      <w:pPr>
        <w:spacing w:line="240" w:lineRule="auto"/>
      </w:pPr>
    </w:p>
    <w:p w14:paraId="09A0D48F" w14:textId="77777777" w:rsidR="009C4600" w:rsidRDefault="00BE7CB1" w:rsidP="00F64BF9">
      <w:pPr>
        <w:keepNext/>
        <w:spacing w:line="240" w:lineRule="auto"/>
        <w:rPr>
          <w:i/>
          <w:iCs/>
          <w:szCs w:val="22"/>
        </w:rPr>
      </w:pPr>
      <w:r>
        <w:rPr>
          <w:i/>
        </w:rPr>
        <w:t>BO17707 (ICON7)</w:t>
      </w:r>
    </w:p>
    <w:p w14:paraId="7A072DE3" w14:textId="77777777" w:rsidR="00A46017" w:rsidRPr="006C53C7" w:rsidRDefault="00A46017" w:rsidP="00F64BF9">
      <w:pPr>
        <w:keepNext/>
        <w:spacing w:line="240" w:lineRule="auto"/>
        <w:rPr>
          <w:i/>
          <w:iCs/>
          <w:szCs w:val="22"/>
        </w:rPr>
      </w:pPr>
    </w:p>
    <w:p w14:paraId="007869A9" w14:textId="77777777" w:rsidR="009C4600" w:rsidRPr="00F37D4D" w:rsidRDefault="00BE7CB1" w:rsidP="00F64BF9">
      <w:pPr>
        <w:spacing w:line="240" w:lineRule="auto"/>
        <w:rPr>
          <w:szCs w:val="22"/>
        </w:rPr>
      </w:pPr>
      <w:r>
        <w:t xml:space="preserve">Štúdia BO17707 bola multicentrická, randomizovaná, kontrolovaná, otvorená klinická štúdia fázy III s dvoma skupinami porovnávajúca vplyv pridania bevacizumabu ku karboplatine a paklitaxelu u pacientov s epiteliálnym karcinómom vaječníkov, karcinómom Fallopiovej trubice alebo primárnym peritoneálnym karcinómom s FIGO štádiom I alebo IIA (len 3. stupeň alebo histologický nález </w:t>
      </w:r>
      <w:r w:rsidRPr="000E4CE3">
        <w:t>svetlých buniek;</w:t>
      </w:r>
      <w:r>
        <w:t xml:space="preserve"> n = 142) alebo s FIGO štádiom IIB – IV (všetky stupne a všetky histologické typy, n = 1 386) po chirurgickom zákroku (NCI-CTCAE v.3). V tejto štúdii bola použitá klasifikácia štádií FIGO, verzia z roku 1988.</w:t>
      </w:r>
    </w:p>
    <w:p w14:paraId="267A262D" w14:textId="77777777" w:rsidR="009C4600" w:rsidRPr="00F37D4D" w:rsidRDefault="009C4600" w:rsidP="00F64BF9">
      <w:pPr>
        <w:spacing w:line="240" w:lineRule="auto"/>
        <w:rPr>
          <w:szCs w:val="22"/>
        </w:rPr>
      </w:pPr>
    </w:p>
    <w:p w14:paraId="37176584" w14:textId="77777777" w:rsidR="009C4600" w:rsidRPr="00F37D4D" w:rsidRDefault="00BE7CB1" w:rsidP="00F64BF9">
      <w:pPr>
        <w:spacing w:line="240" w:lineRule="auto"/>
        <w:rPr>
          <w:szCs w:val="22"/>
        </w:rPr>
      </w:pPr>
      <w:r>
        <w:t>Pacienti, ktorí dostávali predchádzajúcu liečbu bevacizumabom alebo predchádzajúcu systémovú protinádorovú liečbu na karcinóm vaječníkov (napr. chemoterapiu, liečbu monoklonálnymi protilátkami, liečbu inhibítormi tyrozínkinázy alebo hormonálnu liečbu) alebo predchádzajúcu rádioterapiu brucha alebo panvy, boli vylúčení zo štúdie.</w:t>
      </w:r>
    </w:p>
    <w:p w14:paraId="179E3DC7" w14:textId="77777777" w:rsidR="009C4600" w:rsidRPr="00F37D4D" w:rsidRDefault="009C4600" w:rsidP="00F64BF9">
      <w:pPr>
        <w:spacing w:line="240" w:lineRule="auto"/>
        <w:rPr>
          <w:szCs w:val="22"/>
        </w:rPr>
      </w:pPr>
    </w:p>
    <w:p w14:paraId="2CB4BBBC" w14:textId="77777777" w:rsidR="009C4600" w:rsidRPr="00F37D4D" w:rsidRDefault="00BE7CB1" w:rsidP="00F64BF9">
      <w:pPr>
        <w:spacing w:line="240" w:lineRule="auto"/>
        <w:rPr>
          <w:szCs w:val="22"/>
        </w:rPr>
      </w:pPr>
      <w:r>
        <w:t>Celkovo bolo 1 528 pacientov randomizovaných v rovnakom pomere do nasledovných dvoch skupín:</w:t>
      </w:r>
    </w:p>
    <w:p w14:paraId="2C92D6DE" w14:textId="77777777" w:rsidR="009C4600" w:rsidRPr="00F37D4D" w:rsidRDefault="009C4600" w:rsidP="00F64BF9">
      <w:pPr>
        <w:spacing w:line="240" w:lineRule="auto"/>
        <w:rPr>
          <w:szCs w:val="22"/>
        </w:rPr>
      </w:pPr>
    </w:p>
    <w:p w14:paraId="1849C5A3" w14:textId="77777777" w:rsidR="009C4600" w:rsidRPr="006C53C7" w:rsidRDefault="00BE7CB1" w:rsidP="0033150F">
      <w:pPr>
        <w:pStyle w:val="ListParagraph"/>
        <w:numPr>
          <w:ilvl w:val="0"/>
          <w:numId w:val="14"/>
        </w:numPr>
        <w:ind w:left="567" w:hanging="567"/>
      </w:pPr>
      <w:r>
        <w:t>Skupina CP: Karboplatina (AUC 6) a paklitaxel (175 mg/m</w:t>
      </w:r>
      <w:r w:rsidRPr="006C53C7">
        <w:rPr>
          <w:vertAlign w:val="superscript"/>
        </w:rPr>
        <w:t>2</w:t>
      </w:r>
      <w:r>
        <w:t>) počas 6 cyklov trvajúcich 3 týždne</w:t>
      </w:r>
    </w:p>
    <w:p w14:paraId="612FC086" w14:textId="77777777" w:rsidR="009C4600" w:rsidRPr="006C53C7" w:rsidRDefault="00BE7CB1" w:rsidP="0033150F">
      <w:pPr>
        <w:pStyle w:val="ListParagraph"/>
        <w:numPr>
          <w:ilvl w:val="0"/>
          <w:numId w:val="14"/>
        </w:numPr>
        <w:ind w:left="567" w:hanging="567"/>
      </w:pPr>
      <w:r>
        <w:t>Skupina CPB7,5+: Karboplatina (AUC 6) a paklitaxel (175 mg/m</w:t>
      </w:r>
      <w:r w:rsidRPr="006C53C7">
        <w:rPr>
          <w:vertAlign w:val="superscript"/>
        </w:rPr>
        <w:t>2</w:t>
      </w:r>
      <w:r>
        <w:t>) počas 6 cyklov trvajúcich 3 týždne spolu s bevacizumabom (7,5 mg/kg každé 3 týždne) až do 12 mesiacov (bevacizumab sa začal podávať v druhom cykle chemoterapie, ak liečba začala v priebehu 4 týždňov od chirurgického zákroku alebo v prvom cykle, ak liečba začala neskôr ako 4 týždne po chirurgickom zákroku).</w:t>
      </w:r>
    </w:p>
    <w:p w14:paraId="7FF9CB5D" w14:textId="77777777" w:rsidR="009C4600" w:rsidRPr="00F37D4D" w:rsidRDefault="009C4600" w:rsidP="00F64BF9">
      <w:pPr>
        <w:spacing w:line="240" w:lineRule="auto"/>
        <w:rPr>
          <w:szCs w:val="22"/>
        </w:rPr>
      </w:pPr>
    </w:p>
    <w:p w14:paraId="2CFBA433" w14:textId="77777777" w:rsidR="009C4600" w:rsidRPr="00F37D4D" w:rsidRDefault="00BE7CB1" w:rsidP="00F64BF9">
      <w:pPr>
        <w:spacing w:line="240" w:lineRule="auto"/>
        <w:rPr>
          <w:szCs w:val="22"/>
        </w:rPr>
      </w:pPr>
      <w:r>
        <w:t xml:space="preserve">Väčšina pacientov zaradených do štúdie boli belosi (96 %); medián veku bol 57 rokov v oboch liečených skupinách, 25 % pacientov v každej liečenej skupine bolo vo veku 65 rokov alebo vyššom a približne 50 % pacientov malo ECOG PS 1; 7 % pacientov v každej liečenej skupine malo ECOG </w:t>
      </w:r>
      <w:r>
        <w:lastRenderedPageBreak/>
        <w:t>PS2. Väčšina pacientov mala EOC (87,7 %), nasledovali PPC (6,9 %) a FTC (3,7 %) alebo zmes troch pôvodov (1,7 %). Väčšina pacientov mala FIGO štádium III (obidve skupiny 68 %), po ktorom nasledovalo FIGO štádium IV (13 % a 14 %), FIGO štádium II (10 % a 11 %) a FIGO štádium I (9 % a 7 %). Väčšina pacientov v každej liečenej skupine (74 % a 71 %) mala na začiatku klinického skúšania slabo diferencované (3. stupeň) (NCI-CTCAE v.3) primárne nádory. Incidencia každého histologického podtypu EOC bola podobná medzi liečenými skupinami; 69 % pacientov v každej liečenej skupine mal</w:t>
      </w:r>
      <w:r w:rsidR="00027BFB">
        <w:t>o</w:t>
      </w:r>
      <w:r>
        <w:t xml:space="preserve"> serózny adenokarcinóm histologického typu.</w:t>
      </w:r>
    </w:p>
    <w:p w14:paraId="4CD70448" w14:textId="77777777" w:rsidR="009C4600" w:rsidRPr="00F37D4D" w:rsidRDefault="009C4600" w:rsidP="00F64BF9">
      <w:pPr>
        <w:spacing w:line="240" w:lineRule="auto"/>
        <w:rPr>
          <w:szCs w:val="22"/>
        </w:rPr>
      </w:pPr>
    </w:p>
    <w:p w14:paraId="6FCC0A22" w14:textId="77777777" w:rsidR="009C4600" w:rsidRPr="00F37D4D" w:rsidRDefault="00BE7CB1" w:rsidP="00F64BF9">
      <w:pPr>
        <w:spacing w:line="240" w:lineRule="auto"/>
        <w:rPr>
          <w:szCs w:val="22"/>
        </w:rPr>
      </w:pPr>
      <w:r>
        <w:t>Primárny koncový ukazovateľ bol PFS hodnotený skúšajúcim pomocou RECIST.</w:t>
      </w:r>
    </w:p>
    <w:p w14:paraId="01AD9B3D" w14:textId="77777777" w:rsidR="009C4600" w:rsidRPr="00F37D4D" w:rsidRDefault="009C4600" w:rsidP="00F64BF9">
      <w:pPr>
        <w:spacing w:line="240" w:lineRule="auto"/>
        <w:rPr>
          <w:szCs w:val="22"/>
        </w:rPr>
      </w:pPr>
    </w:p>
    <w:p w14:paraId="7C292163" w14:textId="77777777" w:rsidR="009C4600" w:rsidRPr="00F37D4D" w:rsidRDefault="00BE7CB1" w:rsidP="00F64BF9">
      <w:pPr>
        <w:spacing w:line="240" w:lineRule="auto"/>
        <w:rPr>
          <w:szCs w:val="22"/>
        </w:rPr>
      </w:pPr>
      <w:r>
        <w:t>Klinické skúšanie splnilo svoj primárny cieľ, ktorým bolo zlepšenie PFS. V porovnaní s pacientmi liečenými samotnou chemoterapiou (karboplatina a paklitaxel) ako liečbou prvej línie sa u pacientov, ktorí dostávali bevacizumab v dávke 7,5 mg/kg každé 3 týždne v kombinácii s chemoterapiou a s následným pokračovaním v podávaní bevacizumabu až do 18 cyklov zaznamenalo štatisticky významné predĺženie PFS.</w:t>
      </w:r>
    </w:p>
    <w:p w14:paraId="50F2D5F1" w14:textId="77777777" w:rsidR="009C4600" w:rsidRPr="00F37D4D" w:rsidRDefault="009C4600" w:rsidP="00F64BF9">
      <w:pPr>
        <w:spacing w:line="240" w:lineRule="auto"/>
        <w:rPr>
          <w:szCs w:val="22"/>
        </w:rPr>
      </w:pPr>
    </w:p>
    <w:p w14:paraId="0F065C97" w14:textId="77777777" w:rsidR="009C4600" w:rsidRPr="00F37D4D" w:rsidRDefault="00BE7CB1" w:rsidP="00F64BF9">
      <w:pPr>
        <w:spacing w:line="240" w:lineRule="auto"/>
        <w:rPr>
          <w:szCs w:val="22"/>
        </w:rPr>
      </w:pPr>
      <w:r>
        <w:t>Výsledky tejto štúdie sú zhrnuté v tabuľke 18.</w:t>
      </w:r>
    </w:p>
    <w:p w14:paraId="021ABEC3" w14:textId="77777777" w:rsidR="009C4600" w:rsidRPr="00F37D4D" w:rsidRDefault="009C4600" w:rsidP="00F64BF9">
      <w:pPr>
        <w:spacing w:line="240" w:lineRule="auto"/>
        <w:rPr>
          <w:szCs w:val="22"/>
        </w:rPr>
      </w:pPr>
    </w:p>
    <w:p w14:paraId="5714F144" w14:textId="77777777" w:rsidR="009C4600" w:rsidRPr="006C53C7" w:rsidRDefault="00BE7CB1" w:rsidP="00F64BF9">
      <w:pPr>
        <w:keepNext/>
        <w:spacing w:line="240" w:lineRule="auto"/>
        <w:rPr>
          <w:b/>
          <w:bCs/>
        </w:rPr>
      </w:pPr>
      <w:r>
        <w:rPr>
          <w:b/>
        </w:rPr>
        <w:t>Tabuľka 18. Výsledky účinnosti zo štúdie BO17707 (ICON7)</w:t>
      </w:r>
    </w:p>
    <w:p w14:paraId="5978A0E9"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F37D4D" w14:paraId="40EE54A4"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3C1E802" w14:textId="77777777" w:rsidR="009C4600" w:rsidRPr="00F37D4D" w:rsidRDefault="00BE7CB1" w:rsidP="00F64BF9">
            <w:pPr>
              <w:pStyle w:val="TABLES"/>
              <w:keepNext/>
              <w:ind w:left="57" w:right="57"/>
            </w:pPr>
            <w:r>
              <w:t>Prežívanie bez progresie</w:t>
            </w:r>
          </w:p>
        </w:tc>
      </w:tr>
      <w:tr w:rsidR="00741586" w:rsidRPr="00F37D4D" w14:paraId="603AEEF6"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231EF19" w14:textId="77777777" w:rsidR="009C4600" w:rsidRPr="00F37D4D" w:rsidRDefault="009C4600" w:rsidP="00F64BF9">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20AE4B8E" w14:textId="77777777" w:rsidR="000F755A" w:rsidRPr="00F37D4D" w:rsidRDefault="00BE7CB1" w:rsidP="00F64BF9">
            <w:pPr>
              <w:pStyle w:val="TABLES"/>
              <w:ind w:left="57" w:right="57"/>
              <w:jc w:val="center"/>
            </w:pPr>
            <w:r>
              <w:t>CP</w:t>
            </w:r>
          </w:p>
          <w:p w14:paraId="59954646" w14:textId="77777777" w:rsidR="009C4600" w:rsidRPr="00F37D4D" w:rsidRDefault="00BE7CB1" w:rsidP="00F64BF9">
            <w:pPr>
              <w:pStyle w:val="TABLES"/>
              <w:ind w:left="57" w:right="57"/>
              <w:jc w:val="center"/>
            </w:pPr>
            <w:r>
              <w:t>(n = 764)</w:t>
            </w:r>
          </w:p>
        </w:tc>
        <w:tc>
          <w:tcPr>
            <w:tcW w:w="1728" w:type="pct"/>
            <w:tcBorders>
              <w:top w:val="single" w:sz="4" w:space="0" w:color="000000"/>
              <w:left w:val="single" w:sz="4" w:space="0" w:color="000000"/>
              <w:bottom w:val="single" w:sz="4" w:space="0" w:color="000000"/>
              <w:right w:val="single" w:sz="4" w:space="0" w:color="000000"/>
            </w:tcBorders>
            <w:hideMark/>
          </w:tcPr>
          <w:p w14:paraId="4EB5D467" w14:textId="77777777" w:rsidR="000F755A" w:rsidRPr="00F37D4D" w:rsidRDefault="00BE7CB1" w:rsidP="00F64BF9">
            <w:pPr>
              <w:pStyle w:val="TABLES"/>
              <w:ind w:left="57" w:right="57"/>
              <w:jc w:val="center"/>
            </w:pPr>
            <w:r>
              <w:t>CPB7,5+</w:t>
            </w:r>
          </w:p>
          <w:p w14:paraId="30A25F9E" w14:textId="77777777" w:rsidR="009C4600" w:rsidRPr="00F37D4D" w:rsidRDefault="00BE7CB1" w:rsidP="00F64BF9">
            <w:pPr>
              <w:pStyle w:val="TABLES"/>
              <w:ind w:left="57" w:right="57"/>
              <w:jc w:val="center"/>
            </w:pPr>
            <w:r>
              <w:t>(n = 764)</w:t>
            </w:r>
          </w:p>
        </w:tc>
      </w:tr>
      <w:tr w:rsidR="00741586" w:rsidRPr="00F37D4D" w14:paraId="2313FB3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FEE46E8" w14:textId="77777777" w:rsidR="009C4600" w:rsidRPr="00F37D4D" w:rsidRDefault="00BE7CB1" w:rsidP="00F64BF9">
            <w:pPr>
              <w:pStyle w:val="TABLES"/>
              <w:ind w:left="567" w:right="57"/>
            </w:pPr>
            <w:r>
              <w:t>Medián PFS (mesiace)</w:t>
            </w:r>
            <w:r w:rsidR="00475772" w:rsidRPr="00F37D4D">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3230F92" w14:textId="77777777" w:rsidR="009C4600" w:rsidRPr="00F37D4D" w:rsidRDefault="00BE7CB1" w:rsidP="00F64BF9">
            <w:pPr>
              <w:pStyle w:val="TABLES"/>
              <w:ind w:left="57" w:right="57"/>
              <w:jc w:val="center"/>
            </w:pPr>
            <w:r>
              <w:t>16,9</w:t>
            </w:r>
          </w:p>
        </w:tc>
        <w:tc>
          <w:tcPr>
            <w:tcW w:w="1728" w:type="pct"/>
            <w:tcBorders>
              <w:top w:val="single" w:sz="4" w:space="0" w:color="000000"/>
              <w:left w:val="single" w:sz="4" w:space="0" w:color="000000"/>
              <w:bottom w:val="single" w:sz="4" w:space="0" w:color="000000"/>
              <w:right w:val="single" w:sz="4" w:space="0" w:color="000000"/>
            </w:tcBorders>
            <w:hideMark/>
          </w:tcPr>
          <w:p w14:paraId="73190CFB" w14:textId="77777777" w:rsidR="009C4600" w:rsidRPr="00F37D4D" w:rsidRDefault="00BE7CB1" w:rsidP="00F64BF9">
            <w:pPr>
              <w:pStyle w:val="TABLES"/>
              <w:ind w:left="57" w:right="57"/>
              <w:jc w:val="center"/>
            </w:pPr>
            <w:r>
              <w:t>19,3</w:t>
            </w:r>
          </w:p>
        </w:tc>
      </w:tr>
      <w:tr w:rsidR="00741586" w:rsidRPr="00F37D4D" w14:paraId="06721CB5"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50983089" w14:textId="77777777" w:rsidR="009C4600" w:rsidRPr="00F37D4D" w:rsidRDefault="00BE7CB1" w:rsidP="00F64BF9">
            <w:pPr>
              <w:pStyle w:val="TABLES"/>
              <w:ind w:left="567" w:right="57"/>
            </w:pPr>
            <w:r>
              <w:t>Miera rizika (95 % I</w:t>
            </w:r>
            <w:r w:rsidR="00027BFB">
              <w:t>S</w:t>
            </w:r>
            <w:r>
              <w:t xml:space="preserve">) </w:t>
            </w:r>
            <w:r w:rsidR="00475772" w:rsidRPr="00F37D4D">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98AD846" w14:textId="77777777" w:rsidR="009C4600" w:rsidRPr="00F37D4D" w:rsidRDefault="00BE7CB1" w:rsidP="00F64BF9">
            <w:pPr>
              <w:pStyle w:val="TABLES"/>
              <w:ind w:left="57" w:right="57"/>
              <w:jc w:val="center"/>
            </w:pPr>
            <w:r>
              <w:t>0,86 [0,75; 0,98]</w:t>
            </w:r>
          </w:p>
          <w:p w14:paraId="5E97F3D5" w14:textId="77777777" w:rsidR="009C4600" w:rsidRPr="00F37D4D" w:rsidRDefault="00BE7CB1" w:rsidP="00F64BF9">
            <w:pPr>
              <w:pStyle w:val="TABLES"/>
              <w:ind w:left="57" w:right="57"/>
              <w:jc w:val="center"/>
            </w:pPr>
            <w:r>
              <w:t>(p-hodnota = 0,0185)</w:t>
            </w:r>
          </w:p>
        </w:tc>
      </w:tr>
      <w:tr w:rsidR="00741586" w:rsidRPr="00F37D4D" w14:paraId="12B07CCB"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2C3F590" w14:textId="77777777" w:rsidR="009C4600" w:rsidRPr="00F37D4D" w:rsidRDefault="00BE7CB1" w:rsidP="00F64BF9">
            <w:pPr>
              <w:pStyle w:val="TABLES"/>
              <w:ind w:left="57" w:right="57"/>
            </w:pPr>
            <w:r>
              <w:t>Miera objektívnej odpovede</w:t>
            </w:r>
            <w:r w:rsidR="00475772" w:rsidRPr="00F37D4D">
              <w:rPr>
                <w:vertAlign w:val="superscript"/>
              </w:rPr>
              <w:t>1</w:t>
            </w:r>
          </w:p>
        </w:tc>
      </w:tr>
      <w:tr w:rsidR="00741586" w:rsidRPr="00F37D4D" w14:paraId="2D612F2B"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7B0254E" w14:textId="77777777" w:rsidR="009C4600" w:rsidRPr="00F37D4D"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5B93E598" w14:textId="77777777" w:rsidR="000F755A" w:rsidRPr="00F37D4D" w:rsidRDefault="00BE7CB1" w:rsidP="00F64BF9">
            <w:pPr>
              <w:pStyle w:val="TABLES"/>
              <w:ind w:left="57" w:right="57"/>
              <w:jc w:val="center"/>
            </w:pPr>
            <w:r>
              <w:t>CP</w:t>
            </w:r>
          </w:p>
          <w:p w14:paraId="53DBE444" w14:textId="77777777" w:rsidR="009C4600" w:rsidRPr="00F37D4D" w:rsidRDefault="00BE7CB1" w:rsidP="00F64BF9">
            <w:pPr>
              <w:pStyle w:val="TABLES"/>
              <w:ind w:left="57" w:right="57"/>
              <w:jc w:val="center"/>
            </w:pPr>
            <w:r>
              <w:t>(n = 277)</w:t>
            </w:r>
          </w:p>
        </w:tc>
        <w:tc>
          <w:tcPr>
            <w:tcW w:w="1728" w:type="pct"/>
            <w:tcBorders>
              <w:top w:val="single" w:sz="4" w:space="0" w:color="000000"/>
              <w:left w:val="single" w:sz="4" w:space="0" w:color="000000"/>
              <w:bottom w:val="single" w:sz="4" w:space="0" w:color="000000"/>
              <w:right w:val="single" w:sz="4" w:space="0" w:color="000000"/>
            </w:tcBorders>
            <w:hideMark/>
          </w:tcPr>
          <w:p w14:paraId="35D0DBB2" w14:textId="77777777" w:rsidR="000F755A" w:rsidRPr="00F37D4D" w:rsidRDefault="00BE7CB1" w:rsidP="00F64BF9">
            <w:pPr>
              <w:pStyle w:val="TABLES"/>
              <w:ind w:left="57" w:right="57"/>
              <w:jc w:val="center"/>
            </w:pPr>
            <w:r>
              <w:t>CPB7,5+</w:t>
            </w:r>
          </w:p>
          <w:p w14:paraId="28891116" w14:textId="77777777" w:rsidR="009C4600" w:rsidRPr="00F37D4D" w:rsidRDefault="00BE7CB1" w:rsidP="00F64BF9">
            <w:pPr>
              <w:pStyle w:val="TABLES"/>
              <w:ind w:left="57" w:right="57"/>
              <w:jc w:val="center"/>
            </w:pPr>
            <w:r>
              <w:t>(n = 272)</w:t>
            </w:r>
          </w:p>
        </w:tc>
      </w:tr>
      <w:tr w:rsidR="00741586" w:rsidRPr="00F37D4D" w14:paraId="3F2C2DF3"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045B449D" w14:textId="77777777" w:rsidR="009C4600" w:rsidRPr="00F37D4D" w:rsidRDefault="00BE7CB1" w:rsidP="00F64BF9">
            <w:pPr>
              <w:pStyle w:val="TABLES"/>
              <w:ind w:left="567" w:right="57"/>
            </w:pPr>
            <w:r>
              <w:t>Miera odpovede</w:t>
            </w:r>
          </w:p>
        </w:tc>
        <w:tc>
          <w:tcPr>
            <w:tcW w:w="1208" w:type="pct"/>
            <w:tcBorders>
              <w:top w:val="single" w:sz="4" w:space="0" w:color="000000"/>
              <w:left w:val="single" w:sz="4" w:space="0" w:color="000000"/>
              <w:bottom w:val="single" w:sz="4" w:space="0" w:color="000000"/>
              <w:right w:val="single" w:sz="4" w:space="0" w:color="000000"/>
            </w:tcBorders>
            <w:hideMark/>
          </w:tcPr>
          <w:p w14:paraId="3C63F328" w14:textId="77777777" w:rsidR="009C4600" w:rsidRPr="00F37D4D" w:rsidRDefault="00BE7CB1" w:rsidP="00F64BF9">
            <w:pPr>
              <w:pStyle w:val="TABLES"/>
              <w:ind w:left="57" w:right="57"/>
              <w:jc w:val="center"/>
            </w:pPr>
            <w:r>
              <w:t>54,9 %</w:t>
            </w:r>
          </w:p>
        </w:tc>
        <w:tc>
          <w:tcPr>
            <w:tcW w:w="1728" w:type="pct"/>
            <w:tcBorders>
              <w:top w:val="single" w:sz="4" w:space="0" w:color="000000"/>
              <w:left w:val="single" w:sz="4" w:space="0" w:color="000000"/>
              <w:bottom w:val="single" w:sz="4" w:space="0" w:color="000000"/>
              <w:right w:val="single" w:sz="4" w:space="0" w:color="000000"/>
            </w:tcBorders>
            <w:hideMark/>
          </w:tcPr>
          <w:p w14:paraId="6174213E" w14:textId="77777777" w:rsidR="009C4600" w:rsidRPr="00F37D4D" w:rsidRDefault="00BE7CB1" w:rsidP="00F64BF9">
            <w:pPr>
              <w:pStyle w:val="TABLES"/>
              <w:ind w:left="57" w:right="57"/>
              <w:jc w:val="center"/>
            </w:pPr>
            <w:r>
              <w:t>64,7 %</w:t>
            </w:r>
          </w:p>
        </w:tc>
      </w:tr>
      <w:tr w:rsidR="00741586" w:rsidRPr="00F37D4D" w14:paraId="11D62C7C"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1CEBA8BC" w14:textId="77777777" w:rsidR="009C4600" w:rsidRPr="00F37D4D" w:rsidRDefault="009C4600" w:rsidP="00F64BF9">
            <w:pPr>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17B4E587" w14:textId="77777777" w:rsidR="009C4600" w:rsidRPr="00F37D4D" w:rsidRDefault="00BE7CB1" w:rsidP="00F64BF9">
            <w:pPr>
              <w:pStyle w:val="TABLES"/>
              <w:ind w:left="57" w:right="57"/>
              <w:jc w:val="center"/>
            </w:pPr>
            <w:r>
              <w:t>(p-hodnota = 0,0188)</w:t>
            </w:r>
          </w:p>
        </w:tc>
      </w:tr>
      <w:tr w:rsidR="00741586" w:rsidRPr="00F37D4D" w14:paraId="0F090C63"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0754C9D" w14:textId="77777777" w:rsidR="009C4600" w:rsidRPr="00F37D4D" w:rsidRDefault="00BE7CB1" w:rsidP="00F64BF9">
            <w:pPr>
              <w:pStyle w:val="TABLES"/>
              <w:ind w:left="57" w:right="57"/>
            </w:pPr>
            <w:r>
              <w:t>Celkové prežívanie</w:t>
            </w:r>
            <w:r w:rsidR="00475772" w:rsidRPr="00F37D4D">
              <w:rPr>
                <w:vertAlign w:val="superscript"/>
              </w:rPr>
              <w:t>3</w:t>
            </w:r>
          </w:p>
        </w:tc>
      </w:tr>
      <w:tr w:rsidR="00741586" w:rsidRPr="00F37D4D" w14:paraId="4597842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692CF446" w14:textId="77777777" w:rsidR="009C4600" w:rsidRPr="00F37D4D"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CA4181D" w14:textId="77777777" w:rsidR="000F755A" w:rsidRPr="00F37D4D" w:rsidRDefault="00BE7CB1" w:rsidP="00F64BF9">
            <w:pPr>
              <w:pStyle w:val="TABLES"/>
              <w:ind w:left="57" w:right="57"/>
              <w:jc w:val="center"/>
            </w:pPr>
            <w:r>
              <w:t>CP</w:t>
            </w:r>
          </w:p>
          <w:p w14:paraId="3E3E05F3" w14:textId="77777777" w:rsidR="009C4600" w:rsidRPr="00F37D4D" w:rsidRDefault="00BE7CB1" w:rsidP="00F64BF9">
            <w:pPr>
              <w:pStyle w:val="TABLES"/>
              <w:ind w:left="57" w:right="57"/>
              <w:jc w:val="center"/>
            </w:pPr>
            <w:r>
              <w:t>(n = 764)</w:t>
            </w:r>
          </w:p>
        </w:tc>
        <w:tc>
          <w:tcPr>
            <w:tcW w:w="1728" w:type="pct"/>
            <w:tcBorders>
              <w:top w:val="single" w:sz="4" w:space="0" w:color="000000"/>
              <w:left w:val="single" w:sz="4" w:space="0" w:color="000000"/>
              <w:bottom w:val="single" w:sz="4" w:space="0" w:color="000000"/>
              <w:right w:val="single" w:sz="4" w:space="0" w:color="000000"/>
            </w:tcBorders>
            <w:hideMark/>
          </w:tcPr>
          <w:p w14:paraId="6C770707" w14:textId="77777777" w:rsidR="000F755A" w:rsidRPr="00F37D4D" w:rsidRDefault="00BE7CB1" w:rsidP="00F64BF9">
            <w:pPr>
              <w:pStyle w:val="TABLES"/>
              <w:ind w:left="57" w:right="57"/>
              <w:jc w:val="center"/>
            </w:pPr>
            <w:r>
              <w:t>CPB7,5+</w:t>
            </w:r>
          </w:p>
          <w:p w14:paraId="2D5589E3" w14:textId="77777777" w:rsidR="009C4600" w:rsidRPr="00F37D4D" w:rsidRDefault="00BE7CB1" w:rsidP="00F64BF9">
            <w:pPr>
              <w:pStyle w:val="TABLES"/>
              <w:ind w:left="57" w:right="57"/>
              <w:jc w:val="center"/>
            </w:pPr>
            <w:r>
              <w:t>(n = 764)</w:t>
            </w:r>
          </w:p>
        </w:tc>
      </w:tr>
      <w:tr w:rsidR="00741586" w:rsidRPr="00F37D4D" w14:paraId="0F3709E1"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0B4EECE" w14:textId="77777777" w:rsidR="009C4600" w:rsidRPr="00F37D4D" w:rsidRDefault="00BE7CB1" w:rsidP="00F64BF9">
            <w:pPr>
              <w:pStyle w:val="TABLES"/>
              <w:ind w:left="567" w:right="57"/>
            </w:pPr>
            <w:r>
              <w:t>Medián času (mesiace)</w:t>
            </w:r>
          </w:p>
        </w:tc>
        <w:tc>
          <w:tcPr>
            <w:tcW w:w="1208" w:type="pct"/>
            <w:tcBorders>
              <w:top w:val="single" w:sz="4" w:space="0" w:color="000000"/>
              <w:left w:val="single" w:sz="4" w:space="0" w:color="000000"/>
              <w:bottom w:val="single" w:sz="4" w:space="0" w:color="000000"/>
              <w:right w:val="single" w:sz="4" w:space="0" w:color="000000"/>
            </w:tcBorders>
            <w:hideMark/>
          </w:tcPr>
          <w:p w14:paraId="183A489A" w14:textId="77777777" w:rsidR="009C4600" w:rsidRPr="00F37D4D" w:rsidRDefault="00BE7CB1" w:rsidP="00F64BF9">
            <w:pPr>
              <w:pStyle w:val="TABLES"/>
              <w:ind w:left="57" w:right="57"/>
              <w:jc w:val="center"/>
            </w:pPr>
            <w:r>
              <w:t>58,0</w:t>
            </w:r>
          </w:p>
        </w:tc>
        <w:tc>
          <w:tcPr>
            <w:tcW w:w="1728" w:type="pct"/>
            <w:tcBorders>
              <w:top w:val="single" w:sz="4" w:space="0" w:color="000000"/>
              <w:left w:val="single" w:sz="4" w:space="0" w:color="000000"/>
              <w:bottom w:val="single" w:sz="4" w:space="0" w:color="000000"/>
              <w:right w:val="single" w:sz="4" w:space="0" w:color="000000"/>
            </w:tcBorders>
            <w:hideMark/>
          </w:tcPr>
          <w:p w14:paraId="0F0007C7" w14:textId="77777777" w:rsidR="009C4600" w:rsidRPr="00F37D4D" w:rsidRDefault="00BE7CB1" w:rsidP="00F64BF9">
            <w:pPr>
              <w:pStyle w:val="TABLES"/>
              <w:ind w:left="57" w:right="57"/>
              <w:jc w:val="center"/>
            </w:pPr>
            <w:r>
              <w:t>57,4</w:t>
            </w:r>
          </w:p>
        </w:tc>
      </w:tr>
      <w:tr w:rsidR="00741586" w:rsidRPr="00F37D4D" w14:paraId="455ADC95"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D82B323" w14:textId="77777777" w:rsidR="009C4600" w:rsidRPr="00F37D4D" w:rsidRDefault="00BE7CB1" w:rsidP="00F64BF9">
            <w:pPr>
              <w:pStyle w:val="TABLES"/>
              <w:ind w:left="567" w:right="57"/>
            </w:pPr>
            <w:r>
              <w:t>Miera rizika [95 % I</w:t>
            </w:r>
            <w:r w:rsidR="00027BFB">
              <w:t>S</w:t>
            </w:r>
            <w:r>
              <w:t>]</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2A1F1A9C" w14:textId="77777777" w:rsidR="009C4600" w:rsidRPr="00F37D4D" w:rsidRDefault="00BE7CB1" w:rsidP="00F64BF9">
            <w:pPr>
              <w:pStyle w:val="TABLES"/>
              <w:ind w:left="57" w:right="57"/>
              <w:jc w:val="center"/>
            </w:pPr>
            <w:r>
              <w:t>0,99 [0,85; 1,15]</w:t>
            </w:r>
          </w:p>
          <w:p w14:paraId="064CA4CC" w14:textId="77777777" w:rsidR="009C4600" w:rsidRPr="00F37D4D" w:rsidRDefault="00BE7CB1" w:rsidP="00F64BF9">
            <w:pPr>
              <w:pStyle w:val="TABLES"/>
              <w:ind w:left="57" w:right="57"/>
              <w:jc w:val="center"/>
            </w:pPr>
            <w:r>
              <w:t>(p-hodnota = 0,8910)</w:t>
            </w:r>
          </w:p>
        </w:tc>
      </w:tr>
    </w:tbl>
    <w:p w14:paraId="49CD1BFE" w14:textId="77777777" w:rsidR="009C4600" w:rsidRPr="006C53C7" w:rsidRDefault="00BE7CB1" w:rsidP="00F64BF9">
      <w:pPr>
        <w:spacing w:line="240" w:lineRule="auto"/>
        <w:rPr>
          <w:sz w:val="20"/>
        </w:rPr>
      </w:pPr>
      <w:r>
        <w:rPr>
          <w:sz w:val="20"/>
          <w:vertAlign w:val="superscript"/>
        </w:rPr>
        <w:t>1</w:t>
      </w:r>
      <w:r w:rsidR="00027BFB">
        <w:rPr>
          <w:sz w:val="20"/>
          <w:vertAlign w:val="superscript"/>
        </w:rPr>
        <w:t xml:space="preserve"> </w:t>
      </w:r>
      <w:r>
        <w:rPr>
          <w:sz w:val="20"/>
        </w:rPr>
        <w:t>U pacientov s ochorením merateľným na začiatku štúdie.</w:t>
      </w:r>
    </w:p>
    <w:p w14:paraId="5CB7AD46" w14:textId="77777777" w:rsidR="009C4600" w:rsidRPr="006C53C7" w:rsidRDefault="00BE7CB1" w:rsidP="00F64BF9">
      <w:pPr>
        <w:spacing w:line="240" w:lineRule="auto"/>
        <w:rPr>
          <w:sz w:val="20"/>
        </w:rPr>
      </w:pPr>
      <w:r>
        <w:rPr>
          <w:sz w:val="20"/>
          <w:vertAlign w:val="superscript"/>
        </w:rPr>
        <w:t>2</w:t>
      </w:r>
      <w:r w:rsidR="00027BFB">
        <w:rPr>
          <w:sz w:val="20"/>
          <w:vertAlign w:val="superscript"/>
        </w:rPr>
        <w:t xml:space="preserve"> </w:t>
      </w:r>
      <w:r>
        <w:rPr>
          <w:spacing w:val="-1"/>
          <w:sz w:val="20"/>
        </w:rPr>
        <w:t>Skúšajúci posúdil analýzu PFS s dátumom ukončenia zhromažďovania údajov 30. november 2010.</w:t>
      </w:r>
    </w:p>
    <w:p w14:paraId="0D7F33A5" w14:textId="77777777" w:rsidR="009C4600" w:rsidRPr="006C53C7" w:rsidRDefault="00BE7CB1" w:rsidP="00F64BF9">
      <w:pPr>
        <w:spacing w:line="240" w:lineRule="auto"/>
        <w:rPr>
          <w:sz w:val="20"/>
        </w:rPr>
      </w:pPr>
      <w:r>
        <w:rPr>
          <w:sz w:val="20"/>
          <w:vertAlign w:val="superscript"/>
        </w:rPr>
        <w:t>3</w:t>
      </w:r>
      <w:r w:rsidR="00027BFB">
        <w:rPr>
          <w:sz w:val="20"/>
          <w:vertAlign w:val="superscript"/>
        </w:rPr>
        <w:t xml:space="preserve"> </w:t>
      </w:r>
      <w:r>
        <w:rPr>
          <w:sz w:val="20"/>
        </w:rPr>
        <w:t>Finálna analýza celkového prežívania uskutočnená po úmrtí 46,7 % pacientov s dátumom ukončenia zhromažďovania údajov 31. marec 2013.</w:t>
      </w:r>
    </w:p>
    <w:p w14:paraId="63ECF2EB" w14:textId="77777777" w:rsidR="009C4600" w:rsidRPr="00F37D4D" w:rsidRDefault="009C4600" w:rsidP="00F64BF9">
      <w:pPr>
        <w:spacing w:line="240" w:lineRule="auto"/>
        <w:rPr>
          <w:szCs w:val="22"/>
        </w:rPr>
      </w:pPr>
    </w:p>
    <w:p w14:paraId="14300122" w14:textId="77777777" w:rsidR="009C4600" w:rsidRPr="00F37D4D" w:rsidRDefault="00BE7CB1" w:rsidP="00F64BF9">
      <w:pPr>
        <w:spacing w:line="240" w:lineRule="auto"/>
        <w:rPr>
          <w:szCs w:val="22"/>
        </w:rPr>
      </w:pPr>
      <w:r>
        <w:t xml:space="preserve">Primárna analýza PFS hodnotená skúšajúcim s dátumom ukončenia zhromažďovania údajov z 28. februára 2010 preukázala nestratifikovanú mieru rizika 0,79 (95 % IS: 0,68-0,91, dvojstranná long-rank hodnota 0,0010) s mediánom PFS 16,0 mesiacov v CP skupine a 18,3 mesiacov v CPB7,5+ skupine. </w:t>
      </w:r>
    </w:p>
    <w:p w14:paraId="10A82E13" w14:textId="77777777" w:rsidR="009C4600" w:rsidRPr="00F37D4D" w:rsidRDefault="009C4600" w:rsidP="00F64BF9">
      <w:pPr>
        <w:spacing w:line="240" w:lineRule="auto"/>
        <w:rPr>
          <w:szCs w:val="22"/>
        </w:rPr>
      </w:pPr>
    </w:p>
    <w:p w14:paraId="1EFC55A3" w14:textId="77777777" w:rsidR="009C4600" w:rsidRPr="00F37D4D" w:rsidRDefault="00BE7CB1" w:rsidP="00F64BF9">
      <w:pPr>
        <w:spacing w:line="240" w:lineRule="auto"/>
        <w:rPr>
          <w:szCs w:val="22"/>
        </w:rPr>
      </w:pPr>
      <w:r>
        <w:t>Analýzy podskupín PFS podľa štádia ochorenia a stavu zmenšenia ochorenia sú zosumarizované v tabuľke 19. Tieto výsledky preukazujú masívnosť primárnej analýzy PFS tak, ako je to uvedené v tabuľke 18.</w:t>
      </w:r>
    </w:p>
    <w:p w14:paraId="516E13AC" w14:textId="77777777" w:rsidR="009C4600" w:rsidRPr="00F37D4D" w:rsidRDefault="009C4600" w:rsidP="00755C59">
      <w:pPr>
        <w:widowControl w:val="0"/>
        <w:spacing w:line="240" w:lineRule="auto"/>
        <w:rPr>
          <w:szCs w:val="22"/>
        </w:rPr>
      </w:pPr>
    </w:p>
    <w:p w14:paraId="06F595F0" w14:textId="77777777" w:rsidR="009C4600" w:rsidRPr="006C53C7" w:rsidRDefault="00BE7CB1" w:rsidP="00755C59">
      <w:pPr>
        <w:widowControl w:val="0"/>
        <w:spacing w:line="240" w:lineRule="auto"/>
        <w:rPr>
          <w:b/>
          <w:bCs/>
        </w:rPr>
      </w:pPr>
      <w:r>
        <w:rPr>
          <w:b/>
        </w:rPr>
        <w:t>Tabuľka 19</w:t>
      </w:r>
      <w:r w:rsidR="00C17538">
        <w:rPr>
          <w:b/>
        </w:rPr>
        <w:t>.</w:t>
      </w:r>
      <w:r>
        <w:rPr>
          <w:b/>
        </w:rPr>
        <w:t xml:space="preserve"> </w:t>
      </w:r>
      <w:r w:rsidRPr="00F502F2">
        <w:rPr>
          <w:b/>
          <w:bCs/>
        </w:rPr>
        <w:t>Výsledky PFS</w:t>
      </w:r>
      <w:r w:rsidRPr="00F502F2">
        <w:rPr>
          <w:b/>
          <w:vertAlign w:val="superscript"/>
        </w:rPr>
        <w:t>1</w:t>
      </w:r>
      <w:r>
        <w:rPr>
          <w:b/>
        </w:rPr>
        <w:t xml:space="preserve"> podľa stavu ochorenia a stavu zmenšenia ochorenia zo štúdie BO17707 (ICON7)</w:t>
      </w:r>
    </w:p>
    <w:p w14:paraId="1685D39C" w14:textId="77777777" w:rsidR="009C4600" w:rsidRPr="006C53C7"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F37D4D" w14:paraId="3B3BCFC3"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13BCB9" w14:textId="77777777" w:rsidR="009C4600" w:rsidRPr="00F37D4D" w:rsidRDefault="00BE7CB1" w:rsidP="00755C59">
            <w:pPr>
              <w:pStyle w:val="TABLES"/>
              <w:ind w:left="57" w:right="57"/>
              <w:rPr>
                <w:sz w:val="14"/>
              </w:rPr>
            </w:pPr>
            <w:r>
              <w:t>Randomizovaní pacienti s optimálne zmenšeným ochorením v štádiu III</w:t>
            </w:r>
            <w:r w:rsidRPr="00F37D4D">
              <w:rPr>
                <w:position w:val="8"/>
                <w:sz w:val="14"/>
              </w:rPr>
              <w:t>2,3</w:t>
            </w:r>
          </w:p>
        </w:tc>
      </w:tr>
      <w:tr w:rsidR="00741586" w:rsidRPr="00F37D4D" w14:paraId="5EADBA2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009E3B6B" w14:textId="77777777" w:rsidR="009C4600" w:rsidRPr="00F37D4D" w:rsidRDefault="009C4600" w:rsidP="00755C59">
            <w:pPr>
              <w:pStyle w:val="TABLES"/>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515A279A" w14:textId="77777777" w:rsidR="009C4600" w:rsidRPr="00F37D4D" w:rsidRDefault="00BE7CB1" w:rsidP="00755C59">
            <w:pPr>
              <w:pStyle w:val="TABLES"/>
              <w:ind w:left="57" w:right="57"/>
              <w:jc w:val="center"/>
            </w:pPr>
            <w:r>
              <w:t>CP</w:t>
            </w:r>
          </w:p>
          <w:p w14:paraId="0AAE0D7A" w14:textId="77777777" w:rsidR="009C4600" w:rsidRPr="00F37D4D" w:rsidRDefault="00BE7CB1" w:rsidP="00755C59">
            <w:pPr>
              <w:pStyle w:val="TABLES"/>
              <w:ind w:left="57" w:right="57"/>
              <w:jc w:val="center"/>
            </w:pPr>
            <w:r>
              <w:t>(n = 368)</w:t>
            </w:r>
          </w:p>
        </w:tc>
        <w:tc>
          <w:tcPr>
            <w:tcW w:w="1841" w:type="pct"/>
            <w:tcBorders>
              <w:top w:val="single" w:sz="4" w:space="0" w:color="000000"/>
              <w:left w:val="single" w:sz="4" w:space="0" w:color="000000"/>
              <w:bottom w:val="single" w:sz="4" w:space="0" w:color="000000"/>
              <w:right w:val="single" w:sz="4" w:space="0" w:color="000000"/>
            </w:tcBorders>
            <w:hideMark/>
          </w:tcPr>
          <w:p w14:paraId="5247A7AF" w14:textId="77777777" w:rsidR="000F755A" w:rsidRPr="00F37D4D" w:rsidRDefault="00BE7CB1" w:rsidP="00755C59">
            <w:pPr>
              <w:pStyle w:val="TABLES"/>
              <w:ind w:left="57" w:right="57"/>
              <w:jc w:val="center"/>
            </w:pPr>
            <w:r>
              <w:t>CPB7,5+</w:t>
            </w:r>
          </w:p>
          <w:p w14:paraId="21F8BE6A" w14:textId="77777777" w:rsidR="009C4600" w:rsidRPr="00F37D4D" w:rsidRDefault="00BE7CB1" w:rsidP="00755C59">
            <w:pPr>
              <w:pStyle w:val="TABLES"/>
              <w:ind w:left="57" w:right="57"/>
              <w:jc w:val="center"/>
            </w:pPr>
            <w:r>
              <w:t>(n = 383)</w:t>
            </w:r>
          </w:p>
        </w:tc>
      </w:tr>
      <w:tr w:rsidR="00741586" w:rsidRPr="00F37D4D" w14:paraId="52861523"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49CC501A" w14:textId="77777777" w:rsidR="009C4600" w:rsidRPr="00F37D4D" w:rsidRDefault="00BE7CB1" w:rsidP="00755C59">
            <w:pPr>
              <w:pStyle w:val="TABLES"/>
              <w:ind w:left="567" w:right="57"/>
            </w:pPr>
            <w:r>
              <w:lastRenderedPageBreak/>
              <w:t>Medián PFS (mesiace)</w:t>
            </w:r>
          </w:p>
        </w:tc>
        <w:tc>
          <w:tcPr>
            <w:tcW w:w="959" w:type="pct"/>
            <w:tcBorders>
              <w:top w:val="single" w:sz="4" w:space="0" w:color="000000"/>
              <w:left w:val="single" w:sz="4" w:space="0" w:color="000000"/>
              <w:bottom w:val="single" w:sz="4" w:space="0" w:color="000000"/>
              <w:right w:val="single" w:sz="4" w:space="0" w:color="000000"/>
            </w:tcBorders>
            <w:hideMark/>
          </w:tcPr>
          <w:p w14:paraId="3E29C3AC" w14:textId="77777777" w:rsidR="009C4600" w:rsidRPr="00F37D4D" w:rsidRDefault="00BE7CB1" w:rsidP="00755C59">
            <w:pPr>
              <w:pStyle w:val="TABLES"/>
              <w:ind w:left="57" w:right="57"/>
              <w:jc w:val="center"/>
            </w:pPr>
            <w:r>
              <w:t>17,7</w:t>
            </w:r>
          </w:p>
        </w:tc>
        <w:tc>
          <w:tcPr>
            <w:tcW w:w="1841" w:type="pct"/>
            <w:tcBorders>
              <w:top w:val="single" w:sz="4" w:space="0" w:color="000000"/>
              <w:left w:val="single" w:sz="4" w:space="0" w:color="000000"/>
              <w:bottom w:val="single" w:sz="4" w:space="0" w:color="000000"/>
              <w:right w:val="single" w:sz="4" w:space="0" w:color="000000"/>
            </w:tcBorders>
            <w:hideMark/>
          </w:tcPr>
          <w:p w14:paraId="6344693C" w14:textId="77777777" w:rsidR="009C4600" w:rsidRPr="00F37D4D" w:rsidRDefault="00BE7CB1" w:rsidP="00755C59">
            <w:pPr>
              <w:pStyle w:val="TABLES"/>
              <w:ind w:left="57" w:right="57"/>
              <w:jc w:val="center"/>
            </w:pPr>
            <w:r>
              <w:t>19,3</w:t>
            </w:r>
          </w:p>
        </w:tc>
      </w:tr>
      <w:tr w:rsidR="00741586" w:rsidRPr="00F37D4D" w14:paraId="3D58025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7CE5C098" w14:textId="77777777" w:rsidR="009C4600" w:rsidRPr="00F37D4D" w:rsidRDefault="00BE7CB1" w:rsidP="00755C59">
            <w:pPr>
              <w:pStyle w:val="TABLES"/>
              <w:ind w:left="567" w:right="57"/>
              <w:rPr>
                <w:sz w:val="14"/>
              </w:rPr>
            </w:pPr>
            <w:r>
              <w:t>Miera rizika (95 % I</w:t>
            </w:r>
            <w:r w:rsidR="00C17538">
              <w:t>S</w:t>
            </w:r>
            <w:r>
              <w:t>)</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151A821B" w14:textId="77777777" w:rsidR="009C4600" w:rsidRPr="00F37D4D" w:rsidRDefault="009C4600" w:rsidP="00755C59">
            <w:pPr>
              <w:pStyle w:val="TABLES"/>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34FDF517" w14:textId="77777777" w:rsidR="009C4600" w:rsidRPr="00F37D4D" w:rsidRDefault="00BE7CB1" w:rsidP="00755C59">
            <w:pPr>
              <w:pStyle w:val="TABLES"/>
              <w:ind w:left="57" w:right="57"/>
              <w:jc w:val="center"/>
            </w:pPr>
            <w:r>
              <w:t>0,89</w:t>
            </w:r>
          </w:p>
          <w:p w14:paraId="0DB03E70" w14:textId="77777777" w:rsidR="009C4600" w:rsidRPr="00F37D4D" w:rsidRDefault="00BE7CB1" w:rsidP="00755C59">
            <w:pPr>
              <w:pStyle w:val="TABLES"/>
              <w:ind w:left="57" w:right="57"/>
              <w:jc w:val="center"/>
            </w:pPr>
            <w:r>
              <w:t>(0,74; 1,07)</w:t>
            </w:r>
          </w:p>
        </w:tc>
      </w:tr>
      <w:tr w:rsidR="00741586" w:rsidRPr="00F37D4D" w14:paraId="456A15A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45D96AB" w14:textId="77777777" w:rsidR="009C4600" w:rsidRPr="00F37D4D" w:rsidRDefault="00BE7CB1" w:rsidP="00755C59">
            <w:pPr>
              <w:pStyle w:val="TABLES"/>
              <w:ind w:left="57" w:right="57"/>
              <w:rPr>
                <w:sz w:val="14"/>
              </w:rPr>
            </w:pPr>
            <w:r>
              <w:t>Randomizovaní pacienti so suboptimálne zmenšeným ochorením v štádiu III</w:t>
            </w:r>
            <w:r w:rsidRPr="00F37D4D">
              <w:rPr>
                <w:position w:val="8"/>
                <w:sz w:val="14"/>
              </w:rPr>
              <w:t>3</w:t>
            </w:r>
          </w:p>
        </w:tc>
      </w:tr>
      <w:tr w:rsidR="00741586" w:rsidRPr="00F37D4D" w14:paraId="023AE91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11CCB6E7" w14:textId="77777777" w:rsidR="009C4600" w:rsidRPr="00F37D4D" w:rsidRDefault="009C4600" w:rsidP="00755C59">
            <w:pPr>
              <w:pStyle w:val="TABLES"/>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75918798" w14:textId="77777777" w:rsidR="009C4600" w:rsidRPr="00F37D4D" w:rsidRDefault="00BE7CB1" w:rsidP="00755C59">
            <w:pPr>
              <w:pStyle w:val="TABLES"/>
              <w:ind w:left="57" w:right="57"/>
              <w:jc w:val="center"/>
            </w:pPr>
            <w:r>
              <w:t>CP</w:t>
            </w:r>
          </w:p>
          <w:p w14:paraId="6B0BBD97" w14:textId="77777777" w:rsidR="009C4600" w:rsidRPr="00F37D4D" w:rsidRDefault="00BE7CB1" w:rsidP="00755C59">
            <w:pPr>
              <w:pStyle w:val="TABLES"/>
              <w:ind w:left="57" w:right="57"/>
              <w:jc w:val="center"/>
            </w:pPr>
            <w:r>
              <w:t>(n = 154)</w:t>
            </w:r>
          </w:p>
        </w:tc>
        <w:tc>
          <w:tcPr>
            <w:tcW w:w="1841" w:type="pct"/>
            <w:tcBorders>
              <w:top w:val="single" w:sz="4" w:space="0" w:color="000000"/>
              <w:left w:val="single" w:sz="4" w:space="0" w:color="000000"/>
              <w:bottom w:val="single" w:sz="4" w:space="0" w:color="000000"/>
              <w:right w:val="single" w:sz="4" w:space="0" w:color="000000"/>
            </w:tcBorders>
            <w:hideMark/>
          </w:tcPr>
          <w:p w14:paraId="3C752EEF" w14:textId="77777777" w:rsidR="005F1C01" w:rsidRPr="00F37D4D" w:rsidRDefault="00BE7CB1" w:rsidP="00755C59">
            <w:pPr>
              <w:pStyle w:val="TABLES"/>
              <w:ind w:left="57" w:right="57"/>
              <w:jc w:val="center"/>
            </w:pPr>
            <w:r>
              <w:t>CPB7,5+</w:t>
            </w:r>
          </w:p>
          <w:p w14:paraId="76966202" w14:textId="77777777" w:rsidR="009C4600" w:rsidRPr="00F37D4D" w:rsidRDefault="00BE7CB1" w:rsidP="00755C59">
            <w:pPr>
              <w:pStyle w:val="TABLES"/>
              <w:ind w:left="57" w:right="57"/>
              <w:jc w:val="center"/>
            </w:pPr>
            <w:r>
              <w:t>(n = 140)</w:t>
            </w:r>
          </w:p>
        </w:tc>
      </w:tr>
      <w:tr w:rsidR="00741586" w:rsidRPr="00F37D4D" w14:paraId="0DBF770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290D6662" w14:textId="77777777" w:rsidR="009C4600" w:rsidRPr="00F37D4D" w:rsidRDefault="00BE7CB1" w:rsidP="00755C59">
            <w:pPr>
              <w:pStyle w:val="TABLES"/>
              <w:ind w:left="567" w:right="57"/>
            </w:pPr>
            <w:r>
              <w:t>Medián PFS (mesiace)</w:t>
            </w:r>
          </w:p>
        </w:tc>
        <w:tc>
          <w:tcPr>
            <w:tcW w:w="959" w:type="pct"/>
            <w:tcBorders>
              <w:top w:val="single" w:sz="4" w:space="0" w:color="000000"/>
              <w:left w:val="single" w:sz="4" w:space="0" w:color="000000"/>
              <w:bottom w:val="single" w:sz="4" w:space="0" w:color="000000"/>
              <w:right w:val="single" w:sz="4" w:space="0" w:color="000000"/>
            </w:tcBorders>
            <w:hideMark/>
          </w:tcPr>
          <w:p w14:paraId="021D9294" w14:textId="77777777" w:rsidR="009C4600" w:rsidRPr="00F37D4D" w:rsidRDefault="00BE7CB1" w:rsidP="00755C59">
            <w:pPr>
              <w:pStyle w:val="TABLES"/>
              <w:ind w:left="57" w:right="57"/>
              <w:jc w:val="center"/>
            </w:pPr>
            <w:r>
              <w:t>10,1</w:t>
            </w:r>
          </w:p>
        </w:tc>
        <w:tc>
          <w:tcPr>
            <w:tcW w:w="1841" w:type="pct"/>
            <w:tcBorders>
              <w:top w:val="single" w:sz="4" w:space="0" w:color="000000"/>
              <w:left w:val="single" w:sz="4" w:space="0" w:color="000000"/>
              <w:bottom w:val="single" w:sz="4" w:space="0" w:color="000000"/>
              <w:right w:val="single" w:sz="4" w:space="0" w:color="000000"/>
            </w:tcBorders>
            <w:hideMark/>
          </w:tcPr>
          <w:p w14:paraId="438CDB22" w14:textId="77777777" w:rsidR="009C4600" w:rsidRPr="00F37D4D" w:rsidRDefault="00BE7CB1" w:rsidP="00755C59">
            <w:pPr>
              <w:pStyle w:val="TABLES"/>
              <w:ind w:left="57" w:right="57"/>
              <w:jc w:val="center"/>
            </w:pPr>
            <w:r>
              <w:t>16,9</w:t>
            </w:r>
          </w:p>
        </w:tc>
      </w:tr>
      <w:tr w:rsidR="00741586" w:rsidRPr="00F37D4D" w14:paraId="77634685"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5452F11" w14:textId="77777777" w:rsidR="009C4600" w:rsidRPr="00F37D4D" w:rsidRDefault="00BE7CB1" w:rsidP="00755C59">
            <w:pPr>
              <w:pStyle w:val="TABLES"/>
              <w:ind w:left="567" w:right="57"/>
              <w:rPr>
                <w:sz w:val="14"/>
              </w:rPr>
            </w:pPr>
            <w:r>
              <w:t>Miera rizika (95 % I</w:t>
            </w:r>
            <w:r w:rsidR="00C17538">
              <w:t>S</w:t>
            </w:r>
            <w:r>
              <w:t>)</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4A2B6083" w14:textId="77777777" w:rsidR="009C4600" w:rsidRPr="00F37D4D" w:rsidRDefault="009C4600" w:rsidP="00755C59">
            <w:pPr>
              <w:pStyle w:val="TABLES"/>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7D226A69" w14:textId="77777777" w:rsidR="009C4600" w:rsidRPr="00F37D4D" w:rsidRDefault="00BE7CB1" w:rsidP="00755C59">
            <w:pPr>
              <w:pStyle w:val="TABLES"/>
              <w:ind w:left="57" w:right="57"/>
              <w:jc w:val="center"/>
            </w:pPr>
            <w:r>
              <w:t>0,67</w:t>
            </w:r>
          </w:p>
          <w:p w14:paraId="2C5942C5" w14:textId="77777777" w:rsidR="009C4600" w:rsidRPr="00F37D4D" w:rsidRDefault="00BE7CB1" w:rsidP="00755C59">
            <w:pPr>
              <w:pStyle w:val="TABLES"/>
              <w:ind w:left="57" w:right="57"/>
              <w:jc w:val="center"/>
            </w:pPr>
            <w:r>
              <w:t>(0,52; 0,87)</w:t>
            </w:r>
          </w:p>
        </w:tc>
      </w:tr>
      <w:tr w:rsidR="00741586" w:rsidRPr="00F37D4D" w14:paraId="1B1F4B3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6955D0B" w14:textId="77777777" w:rsidR="009C4600" w:rsidRPr="00F37D4D" w:rsidRDefault="00BE7CB1" w:rsidP="00755C59">
            <w:pPr>
              <w:pStyle w:val="TABLES"/>
              <w:ind w:left="57" w:right="57"/>
            </w:pPr>
            <w:r>
              <w:t>Randomizovaní pacienti v štádiu IV</w:t>
            </w:r>
          </w:p>
        </w:tc>
      </w:tr>
      <w:tr w:rsidR="00741586" w:rsidRPr="00F37D4D" w14:paraId="7ED50A15"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1A960747" w14:textId="77777777" w:rsidR="009C4600" w:rsidRPr="00F37D4D" w:rsidRDefault="009C4600" w:rsidP="00755C59">
            <w:pPr>
              <w:pStyle w:val="TABLES"/>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08A1F767" w14:textId="77777777" w:rsidR="009C4600" w:rsidRPr="00F37D4D" w:rsidRDefault="00BE7CB1" w:rsidP="00755C59">
            <w:pPr>
              <w:pStyle w:val="TABLES"/>
              <w:ind w:left="57" w:right="57"/>
              <w:jc w:val="center"/>
            </w:pPr>
            <w:r>
              <w:t>CP</w:t>
            </w:r>
          </w:p>
          <w:p w14:paraId="489CDE45" w14:textId="77777777" w:rsidR="009C4600" w:rsidRPr="00F37D4D" w:rsidRDefault="00BE7CB1" w:rsidP="00755C59">
            <w:pPr>
              <w:pStyle w:val="TABLES"/>
              <w:ind w:left="57" w:right="57"/>
              <w:jc w:val="center"/>
            </w:pPr>
            <w:r>
              <w:t>(n = 97)</w:t>
            </w:r>
          </w:p>
        </w:tc>
        <w:tc>
          <w:tcPr>
            <w:tcW w:w="1841" w:type="pct"/>
            <w:tcBorders>
              <w:top w:val="single" w:sz="4" w:space="0" w:color="000000"/>
              <w:left w:val="single" w:sz="4" w:space="0" w:color="000000"/>
              <w:bottom w:val="single" w:sz="4" w:space="0" w:color="000000"/>
              <w:right w:val="single" w:sz="4" w:space="0" w:color="000000"/>
            </w:tcBorders>
            <w:hideMark/>
          </w:tcPr>
          <w:p w14:paraId="4507CB37" w14:textId="77777777" w:rsidR="009C4600" w:rsidRPr="00F37D4D" w:rsidRDefault="00BE7CB1" w:rsidP="00755C59">
            <w:pPr>
              <w:pStyle w:val="TABLES"/>
              <w:ind w:left="57" w:right="57"/>
              <w:jc w:val="center"/>
            </w:pPr>
            <w:r>
              <w:t>CPB7,5+</w:t>
            </w:r>
          </w:p>
          <w:p w14:paraId="570BE820" w14:textId="77777777" w:rsidR="009C4600" w:rsidRPr="00F37D4D" w:rsidRDefault="00BE7CB1" w:rsidP="00755C59">
            <w:pPr>
              <w:pStyle w:val="TABLES"/>
              <w:ind w:left="57" w:right="57"/>
              <w:jc w:val="center"/>
            </w:pPr>
            <w:r>
              <w:t>(n = 104)</w:t>
            </w:r>
          </w:p>
        </w:tc>
      </w:tr>
      <w:tr w:rsidR="00741586" w:rsidRPr="00F37D4D" w14:paraId="4E166CC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4DF0CE80" w14:textId="77777777" w:rsidR="009C4600" w:rsidRPr="00F37D4D" w:rsidRDefault="00BE7CB1" w:rsidP="00755C59">
            <w:pPr>
              <w:pStyle w:val="TABLES"/>
              <w:ind w:left="567" w:right="57"/>
            </w:pPr>
            <w:r>
              <w:t>Medián PFS (mesiace)</w:t>
            </w:r>
          </w:p>
        </w:tc>
        <w:tc>
          <w:tcPr>
            <w:tcW w:w="959" w:type="pct"/>
            <w:tcBorders>
              <w:top w:val="single" w:sz="4" w:space="0" w:color="000000"/>
              <w:left w:val="single" w:sz="4" w:space="0" w:color="000000"/>
              <w:bottom w:val="single" w:sz="4" w:space="0" w:color="000000"/>
              <w:right w:val="single" w:sz="4" w:space="0" w:color="000000"/>
            </w:tcBorders>
            <w:hideMark/>
          </w:tcPr>
          <w:p w14:paraId="2A2EDC8B" w14:textId="77777777" w:rsidR="009C4600" w:rsidRPr="00F37D4D" w:rsidRDefault="00BE7CB1" w:rsidP="00755C59">
            <w:pPr>
              <w:pStyle w:val="TABLES"/>
              <w:ind w:left="57" w:right="57"/>
              <w:jc w:val="center"/>
            </w:pPr>
            <w:r>
              <w:t>10,1</w:t>
            </w:r>
          </w:p>
        </w:tc>
        <w:tc>
          <w:tcPr>
            <w:tcW w:w="1841" w:type="pct"/>
            <w:tcBorders>
              <w:top w:val="single" w:sz="4" w:space="0" w:color="000000"/>
              <w:left w:val="single" w:sz="4" w:space="0" w:color="000000"/>
              <w:bottom w:val="single" w:sz="4" w:space="0" w:color="000000"/>
              <w:right w:val="single" w:sz="4" w:space="0" w:color="000000"/>
            </w:tcBorders>
            <w:hideMark/>
          </w:tcPr>
          <w:p w14:paraId="62CF8461" w14:textId="77777777" w:rsidR="009C4600" w:rsidRPr="00F37D4D" w:rsidRDefault="00BE7CB1" w:rsidP="00755C59">
            <w:pPr>
              <w:pStyle w:val="TABLES"/>
              <w:ind w:left="57" w:right="57"/>
              <w:jc w:val="center"/>
            </w:pPr>
            <w:r>
              <w:t>13,5</w:t>
            </w:r>
          </w:p>
        </w:tc>
      </w:tr>
      <w:tr w:rsidR="00741586" w:rsidRPr="00F37D4D" w14:paraId="5772CD21"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4D59066F" w14:textId="77777777" w:rsidR="009C4600" w:rsidRPr="00F37D4D" w:rsidRDefault="00BE7CB1" w:rsidP="00755C59">
            <w:pPr>
              <w:pStyle w:val="TABLES"/>
              <w:ind w:left="567" w:right="57"/>
              <w:rPr>
                <w:sz w:val="14"/>
              </w:rPr>
            </w:pPr>
            <w:r>
              <w:t>Miera rizika (95 % I</w:t>
            </w:r>
            <w:r w:rsidR="00C17538">
              <w:t>S</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6B58A3DE" w14:textId="77777777" w:rsidR="009C4600" w:rsidRPr="00F37D4D" w:rsidRDefault="009C4600" w:rsidP="00755C59">
            <w:pPr>
              <w:pStyle w:val="TABLES"/>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429369CB" w14:textId="77777777" w:rsidR="009C4600" w:rsidRPr="00F37D4D" w:rsidRDefault="00BE7CB1" w:rsidP="00755C59">
            <w:pPr>
              <w:pStyle w:val="TABLES"/>
              <w:ind w:left="57" w:right="57"/>
              <w:jc w:val="center"/>
            </w:pPr>
            <w:r>
              <w:t>0,74</w:t>
            </w:r>
          </w:p>
          <w:p w14:paraId="2C4E6B30" w14:textId="77777777" w:rsidR="009C4600" w:rsidRPr="00F37D4D" w:rsidRDefault="00BE7CB1" w:rsidP="00755C59">
            <w:pPr>
              <w:pStyle w:val="TABLES"/>
              <w:ind w:left="57" w:right="57"/>
              <w:jc w:val="center"/>
            </w:pPr>
            <w:r>
              <w:t>(0,55; 1,01)</w:t>
            </w:r>
          </w:p>
        </w:tc>
      </w:tr>
    </w:tbl>
    <w:p w14:paraId="6A3449C5" w14:textId="77777777" w:rsidR="009C4600" w:rsidRPr="00916522" w:rsidRDefault="00BE7CB1" w:rsidP="00755C59">
      <w:pPr>
        <w:widowControl w:val="0"/>
        <w:spacing w:line="240" w:lineRule="auto"/>
        <w:rPr>
          <w:sz w:val="20"/>
        </w:rPr>
      </w:pPr>
      <w:r w:rsidRPr="00916522">
        <w:rPr>
          <w:spacing w:val="-1"/>
          <w:sz w:val="20"/>
          <w:vertAlign w:val="superscript"/>
        </w:rPr>
        <w:t>1</w:t>
      </w:r>
      <w:r w:rsidRPr="00916522">
        <w:rPr>
          <w:sz w:val="20"/>
          <w:vertAlign w:val="superscript"/>
        </w:rPr>
        <w:t xml:space="preserve"> </w:t>
      </w:r>
      <w:r w:rsidRPr="00916522">
        <w:rPr>
          <w:sz w:val="20"/>
        </w:rPr>
        <w:t>Skúšajúci posúdil analýzu PFS s dátumom ukončenia zhromažďovania údajov 30. november 2010.</w:t>
      </w:r>
    </w:p>
    <w:p w14:paraId="72FF0226" w14:textId="77777777" w:rsidR="009C4600" w:rsidRPr="006C53C7" w:rsidRDefault="00BE7CB1" w:rsidP="00755C59">
      <w:pPr>
        <w:widowControl w:val="0"/>
        <w:spacing w:line="240" w:lineRule="auto"/>
        <w:rPr>
          <w:sz w:val="20"/>
        </w:rPr>
      </w:pPr>
      <w:r>
        <w:rPr>
          <w:sz w:val="20"/>
          <w:vertAlign w:val="superscript"/>
        </w:rPr>
        <w:t>2</w:t>
      </w:r>
      <w:r>
        <w:rPr>
          <w:spacing w:val="1"/>
          <w:sz w:val="20"/>
        </w:rPr>
        <w:t xml:space="preserve"> S výrazným reziduálnym ochorením alebo bez neho.</w:t>
      </w:r>
    </w:p>
    <w:p w14:paraId="3C02681C" w14:textId="77777777" w:rsidR="009C4600" w:rsidRPr="006C53C7" w:rsidRDefault="00BE7CB1" w:rsidP="00755C59">
      <w:pPr>
        <w:widowControl w:val="0"/>
        <w:spacing w:line="240" w:lineRule="auto"/>
        <w:rPr>
          <w:sz w:val="20"/>
        </w:rPr>
      </w:pPr>
      <w:r>
        <w:rPr>
          <w:sz w:val="20"/>
          <w:vertAlign w:val="superscript"/>
        </w:rPr>
        <w:t>3</w:t>
      </w:r>
      <w:r>
        <w:rPr>
          <w:spacing w:val="-2"/>
          <w:sz w:val="20"/>
        </w:rPr>
        <w:t xml:space="preserve"> 5,8 % celkovej randomizovanej populácie pacientov malo ochorenie v štádiu IIIB.</w:t>
      </w:r>
    </w:p>
    <w:p w14:paraId="4360E133" w14:textId="77777777" w:rsidR="009C4600" w:rsidRPr="006C53C7" w:rsidRDefault="00BE7CB1" w:rsidP="00755C59">
      <w:pPr>
        <w:widowControl w:val="0"/>
        <w:spacing w:line="240" w:lineRule="auto"/>
        <w:rPr>
          <w:sz w:val="20"/>
        </w:rPr>
      </w:pPr>
      <w:r>
        <w:rPr>
          <w:sz w:val="20"/>
          <w:vertAlign w:val="superscript"/>
        </w:rPr>
        <w:t>4</w:t>
      </w:r>
      <w:r>
        <w:rPr>
          <w:sz w:val="20"/>
        </w:rPr>
        <w:t xml:space="preserve"> Vzhľadom na kontrolnú skupinu.</w:t>
      </w:r>
    </w:p>
    <w:p w14:paraId="76AC31FF" w14:textId="77777777" w:rsidR="009C4600" w:rsidRPr="00F37D4D" w:rsidRDefault="009C4600" w:rsidP="00F64BF9">
      <w:pPr>
        <w:pStyle w:val="BodyText"/>
        <w:rPr>
          <w:color w:val="auto"/>
        </w:rPr>
      </w:pPr>
    </w:p>
    <w:p w14:paraId="470706FC" w14:textId="77777777" w:rsidR="009C4600" w:rsidRDefault="00BE7CB1" w:rsidP="00F64BF9">
      <w:pPr>
        <w:keepNext/>
        <w:spacing w:line="240" w:lineRule="auto"/>
        <w:rPr>
          <w:i/>
          <w:iCs/>
          <w:szCs w:val="22"/>
        </w:rPr>
      </w:pPr>
      <w:r>
        <w:rPr>
          <w:i/>
        </w:rPr>
        <w:t>Recidivujúci karcinóm vaječníkov</w:t>
      </w:r>
    </w:p>
    <w:p w14:paraId="73A3DB6B" w14:textId="77777777" w:rsidR="004662F3" w:rsidRPr="006C53C7" w:rsidRDefault="004662F3" w:rsidP="00F64BF9">
      <w:pPr>
        <w:keepNext/>
        <w:spacing w:line="240" w:lineRule="auto"/>
        <w:rPr>
          <w:i/>
          <w:iCs/>
          <w:szCs w:val="22"/>
        </w:rPr>
      </w:pPr>
    </w:p>
    <w:p w14:paraId="70258AF5" w14:textId="77777777" w:rsidR="009C4600" w:rsidRPr="00F37D4D" w:rsidRDefault="00BE7CB1" w:rsidP="00F64BF9">
      <w:pPr>
        <w:spacing w:line="240" w:lineRule="auto"/>
        <w:rPr>
          <w:szCs w:val="22"/>
        </w:rPr>
      </w:pPr>
      <w:r>
        <w:t>Bezpečnosť a účinnosť bevacizumabu v liečbe recidivujúceho epiteliálneho karcinómu vaječníkov, Fallopiovej trubice alebo primárneho peritoneálneho karcinómu sa sledovali v troch klinických skúšaniach fázy III (AVF4095g, MO22224 a GOG-0213) s rôznymi populáciami pacientov a chemoterapeutickými režimami.</w:t>
      </w:r>
    </w:p>
    <w:p w14:paraId="6B50D934" w14:textId="77777777" w:rsidR="009C4600" w:rsidRPr="00F37D4D" w:rsidRDefault="009C4600" w:rsidP="00F64BF9">
      <w:pPr>
        <w:spacing w:line="240" w:lineRule="auto"/>
      </w:pPr>
    </w:p>
    <w:p w14:paraId="17A99801" w14:textId="77777777" w:rsidR="009C4600" w:rsidRPr="006C53C7" w:rsidRDefault="00BE7CB1" w:rsidP="0033150F">
      <w:pPr>
        <w:pStyle w:val="ListParagraph"/>
        <w:numPr>
          <w:ilvl w:val="0"/>
          <w:numId w:val="15"/>
        </w:numPr>
        <w:ind w:left="567" w:hanging="567"/>
      </w:pPr>
      <w:r>
        <w:t>AVF4095g hodnotilo účinnosť a bezpečnosť bevacizumabu v kombinácii s karboplatinou a gemcitabínom a následne samostatne podávaného bevacizumabu u pacientov s recidivujúcim epiteliálnym karcinómom vaječníkov, Fallopiovej trubice alebo primárnym peritoneálnym karcinómom citlivým na platinu.</w:t>
      </w:r>
    </w:p>
    <w:p w14:paraId="6039186E" w14:textId="77777777" w:rsidR="009C4600" w:rsidRDefault="00BE7CB1" w:rsidP="0033150F">
      <w:pPr>
        <w:pStyle w:val="ListParagraph"/>
        <w:numPr>
          <w:ilvl w:val="0"/>
          <w:numId w:val="15"/>
        </w:numPr>
        <w:ind w:left="567" w:hanging="567"/>
      </w:pPr>
      <w:r>
        <w:t>GOG-0213 hodnotilo účinnosť a bezpečnosť bevacizumabu v kombinácii s karboplatinou a paklitaxelom a následne samostatne podávaného bevacizumabu u pacientov s recidivujúcim epiteliálnym karcinómom vaječníkov, Fallopiovej trubice alebo primárnym peritoneálnym karcinómom citlivým na platinu.</w:t>
      </w:r>
    </w:p>
    <w:p w14:paraId="096B2B66" w14:textId="77777777" w:rsidR="00BA32BF" w:rsidRPr="006C53C7" w:rsidRDefault="00BA32BF" w:rsidP="0033150F">
      <w:pPr>
        <w:pStyle w:val="ListParagraph"/>
        <w:numPr>
          <w:ilvl w:val="0"/>
          <w:numId w:val="15"/>
        </w:numPr>
        <w:ind w:left="567" w:hanging="567"/>
      </w:pPr>
      <w:r>
        <w:t>MO22224 hodnotilo účinnosť a bezpečnosť bevacizumabu v kombinácii s paklitaxelom, topotekanom alebo pegylovaným lipozomálnym doxorubicínom u pacientov s recidivujúcim epiteliálnym karcinómom vaječníkov, Fallopiovej trubice alebo primárnym peritoneálnym karcinómom rezistentným na platinu.</w:t>
      </w:r>
    </w:p>
    <w:p w14:paraId="6F6CB00F" w14:textId="77777777" w:rsidR="009C4600" w:rsidRPr="00F37D4D" w:rsidRDefault="009C4600" w:rsidP="00F64BF9">
      <w:pPr>
        <w:spacing w:line="240" w:lineRule="auto"/>
        <w:rPr>
          <w:szCs w:val="22"/>
        </w:rPr>
      </w:pPr>
    </w:p>
    <w:p w14:paraId="37AB1EA5" w14:textId="77777777" w:rsidR="009C4600" w:rsidRDefault="00BE7CB1" w:rsidP="00F64BF9">
      <w:pPr>
        <w:keepNext/>
        <w:spacing w:line="240" w:lineRule="auto"/>
        <w:rPr>
          <w:i/>
          <w:iCs/>
          <w:szCs w:val="22"/>
        </w:rPr>
      </w:pPr>
      <w:r>
        <w:rPr>
          <w:i/>
        </w:rPr>
        <w:t>AVF4095g</w:t>
      </w:r>
    </w:p>
    <w:p w14:paraId="3AC368B3" w14:textId="77777777" w:rsidR="00E5421D" w:rsidRPr="006C53C7" w:rsidRDefault="00E5421D" w:rsidP="00F64BF9">
      <w:pPr>
        <w:keepNext/>
        <w:spacing w:line="240" w:lineRule="auto"/>
        <w:rPr>
          <w:i/>
          <w:iCs/>
          <w:szCs w:val="22"/>
        </w:rPr>
      </w:pPr>
    </w:p>
    <w:p w14:paraId="75945CD0" w14:textId="77777777" w:rsidR="009C4600" w:rsidRPr="00F37D4D" w:rsidRDefault="00BE7CB1" w:rsidP="00F64BF9">
      <w:pPr>
        <w:spacing w:line="240" w:lineRule="auto"/>
        <w:rPr>
          <w:szCs w:val="22"/>
        </w:rPr>
      </w:pPr>
      <w:r>
        <w:t>Bezpečnosť a účinnosť bevacizumabu v liečbe pacientov s recidivujúcim epiteliálnym karcinómom vaječníkov, karcinómom Fallopiovej trubice alebo primárnym peritoneálnym karcinómom citlivým na platinu, ktorí predtým nedostávali chemoterapiu na recidivujúce ochorenie alebo predchádzajúcu liečbu bevacizumabom, sa skúmali v randomizovanom, dvojito zaslepenom, placebom kontrolovanom klinickom skúšaní fázy III (AVF4095g). Klinická štúdia porovnávala účinnosť pridania bevacizumabu k chemoterapii obsahujúcej karboplatinu a gemcitabín a pokračovania v monoterapii bevacizumabom až do progresie so samotnou karboplatinou a gemcitabínom.</w:t>
      </w:r>
    </w:p>
    <w:p w14:paraId="57B983D5" w14:textId="77777777" w:rsidR="009C4600" w:rsidRPr="00F37D4D" w:rsidRDefault="009C4600" w:rsidP="00F64BF9">
      <w:pPr>
        <w:spacing w:line="240" w:lineRule="auto"/>
        <w:rPr>
          <w:szCs w:val="22"/>
        </w:rPr>
      </w:pPr>
    </w:p>
    <w:p w14:paraId="03036E5B" w14:textId="77777777" w:rsidR="009C4600" w:rsidRPr="00F37D4D" w:rsidRDefault="00BE7CB1" w:rsidP="00F64BF9">
      <w:pPr>
        <w:spacing w:line="240" w:lineRule="auto"/>
        <w:rPr>
          <w:szCs w:val="22"/>
        </w:rPr>
      </w:pPr>
      <w:r>
        <w:t>Do klinickej štúdie boli zaradení len pacienti s histologicky potvrdeným karcinómom vaječníkov, primárnym peritoneálnym karcinómom alebo karcinómom Fallopiovej trubice s recidívou &gt; 6 mesiacov po chemoterapii obsahujúcej platinu a ktorí nedostávali chemoterapiu pre recidivujúce ochorenie a ktorí nedostávali predchádzajúcu liečbu bevacizumabom alebo inými inhibítormi VEGF alebo látkami cielenými na receptory VEGF.</w:t>
      </w:r>
    </w:p>
    <w:p w14:paraId="35AD42B8" w14:textId="77777777" w:rsidR="009C4600" w:rsidRPr="00F37D4D" w:rsidRDefault="009C4600" w:rsidP="00F64BF9">
      <w:pPr>
        <w:spacing w:line="240" w:lineRule="auto"/>
        <w:rPr>
          <w:szCs w:val="22"/>
        </w:rPr>
      </w:pPr>
    </w:p>
    <w:p w14:paraId="52E56662" w14:textId="77777777" w:rsidR="009C4600" w:rsidRPr="00F37D4D" w:rsidRDefault="00BE7CB1" w:rsidP="00F64BF9">
      <w:pPr>
        <w:spacing w:line="240" w:lineRule="auto"/>
        <w:rPr>
          <w:szCs w:val="22"/>
        </w:rPr>
      </w:pPr>
      <w:r>
        <w:t>Celkovo bolo 484 pacientov s merateľným ochorením randomizovaných v pomere 1:1 na podávanie:</w:t>
      </w:r>
    </w:p>
    <w:p w14:paraId="4595B0C4" w14:textId="77777777" w:rsidR="009C4600" w:rsidRPr="006C53C7" w:rsidRDefault="00BE7CB1" w:rsidP="0033150F">
      <w:pPr>
        <w:pStyle w:val="ListParagraph"/>
        <w:numPr>
          <w:ilvl w:val="0"/>
          <w:numId w:val="16"/>
        </w:numPr>
        <w:ind w:left="567" w:hanging="567"/>
      </w:pPr>
      <w:r>
        <w:lastRenderedPageBreak/>
        <w:t>Karboplatiny (AUC 4, 1. deň) a gemcitabínu (1 000 mg/m</w:t>
      </w:r>
      <w:r w:rsidRPr="006C53C7">
        <w:rPr>
          <w:vertAlign w:val="superscript"/>
        </w:rPr>
        <w:t>2</w:t>
      </w:r>
      <w:r w:rsidRPr="006C53C7">
        <w:rPr>
          <w:sz w:val="14"/>
          <w:szCs w:val="14"/>
        </w:rPr>
        <w:t xml:space="preserve"> </w:t>
      </w:r>
      <w:r>
        <w:t>1. a 8. deň) súbežne s placebom každé 3 týždne počas 6 až 10 cyklov nasledovaných podávaním samotného placeba (každé 3 týždne) až do progresie ochorenia alebo neakceptovateľnej toxicity.</w:t>
      </w:r>
    </w:p>
    <w:p w14:paraId="1AAB3003" w14:textId="77777777" w:rsidR="009C4600" w:rsidRPr="006C53C7" w:rsidRDefault="00BE7CB1" w:rsidP="0033150F">
      <w:pPr>
        <w:pStyle w:val="ListParagraph"/>
        <w:numPr>
          <w:ilvl w:val="0"/>
          <w:numId w:val="16"/>
        </w:numPr>
        <w:ind w:left="567" w:hanging="567"/>
      </w:pPr>
      <w:r>
        <w:t>Karboplatiny (AUC 4, 1. deň) a gemcitabínu (1 000 mg/m</w:t>
      </w:r>
      <w:r w:rsidRPr="006C53C7">
        <w:rPr>
          <w:vertAlign w:val="superscript"/>
        </w:rPr>
        <w:t>2</w:t>
      </w:r>
      <w:r w:rsidRPr="006C53C7">
        <w:rPr>
          <w:sz w:val="14"/>
          <w:szCs w:val="14"/>
        </w:rPr>
        <w:t xml:space="preserve"> </w:t>
      </w:r>
      <w:r>
        <w:t>1. a 8. deň) súbežne s bevacizumabom (15 mg/kg 1. deň) každé 3 týždne počas 6 až 10 cyklov nasledovaných podávaním samotného bevacizumabu (15 mg/kg každé 3 týždne) až do progresie ochorenia alebo neakceptovateľnej toxicity.</w:t>
      </w:r>
    </w:p>
    <w:p w14:paraId="345DB0A4" w14:textId="77777777" w:rsidR="009C4600" w:rsidRPr="00F37D4D" w:rsidRDefault="009C4600" w:rsidP="00F64BF9">
      <w:pPr>
        <w:spacing w:line="240" w:lineRule="auto"/>
        <w:rPr>
          <w:szCs w:val="22"/>
        </w:rPr>
      </w:pPr>
    </w:p>
    <w:p w14:paraId="094E5D59" w14:textId="77777777" w:rsidR="009C4600" w:rsidRPr="00F37D4D" w:rsidRDefault="00BE7CB1" w:rsidP="00F64BF9">
      <w:pPr>
        <w:spacing w:line="240" w:lineRule="auto"/>
        <w:rPr>
          <w:szCs w:val="22"/>
        </w:rPr>
      </w:pPr>
      <w:r>
        <w:t>Primárny koncový ukazovateľ bolo prežívanie bez progresie vychádzajúce z hodnotenia skúšajúcim pomocou modifikácie RECIST 1.0. Ďalšie koncové ukazovatele zahŕňali objektívnu odpoveď, trvanie odpovede, celkové prežívanie a bezpečnosť. Uskutočnilo sa aj nezávislé hodnotenie primárneho koncového ukazovateľa.</w:t>
      </w:r>
    </w:p>
    <w:p w14:paraId="1E5FC3AD" w14:textId="77777777" w:rsidR="009C4600" w:rsidRPr="00F37D4D" w:rsidRDefault="009C4600" w:rsidP="00F64BF9">
      <w:pPr>
        <w:spacing w:line="240" w:lineRule="auto"/>
        <w:rPr>
          <w:szCs w:val="22"/>
        </w:rPr>
      </w:pPr>
    </w:p>
    <w:p w14:paraId="5AE27AFE" w14:textId="77777777" w:rsidR="009C4600" w:rsidRPr="00F37D4D" w:rsidRDefault="00BE7CB1" w:rsidP="00F64BF9">
      <w:pPr>
        <w:spacing w:line="240" w:lineRule="auto"/>
        <w:rPr>
          <w:szCs w:val="22"/>
        </w:rPr>
      </w:pPr>
      <w:r>
        <w:t>Výsledky tejto klinickej štúdie sú zhrnuté v tabuľke 20.</w:t>
      </w:r>
    </w:p>
    <w:p w14:paraId="3D95567D" w14:textId="77777777" w:rsidR="009C4600" w:rsidRPr="00F37D4D" w:rsidRDefault="009C4600" w:rsidP="00F64BF9">
      <w:pPr>
        <w:spacing w:line="240" w:lineRule="auto"/>
        <w:rPr>
          <w:szCs w:val="22"/>
        </w:rPr>
      </w:pPr>
    </w:p>
    <w:p w14:paraId="2523C8B0" w14:textId="77777777" w:rsidR="009C4600" w:rsidRPr="006C53C7" w:rsidRDefault="00BE7CB1" w:rsidP="00F64BF9">
      <w:pPr>
        <w:keepNext/>
        <w:spacing w:line="240" w:lineRule="auto"/>
        <w:rPr>
          <w:b/>
          <w:bCs/>
        </w:rPr>
      </w:pPr>
      <w:r>
        <w:rPr>
          <w:b/>
        </w:rPr>
        <w:t>Tabuľka 20. Výsledky účinnosti z klinickej štúdie AVF4095</w:t>
      </w:r>
    </w:p>
    <w:p w14:paraId="68D6C228"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F37D4D" w14:paraId="59A22F42"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11E3578B" w14:textId="77777777" w:rsidR="009C4600" w:rsidRPr="00F37D4D" w:rsidRDefault="00BE7CB1" w:rsidP="00F64BF9">
            <w:pPr>
              <w:pStyle w:val="TABLES"/>
              <w:keepNext/>
              <w:ind w:left="57" w:right="57"/>
            </w:pPr>
            <w:r>
              <w:t>Prežívanie bez progresie</w:t>
            </w:r>
          </w:p>
        </w:tc>
      </w:tr>
      <w:tr w:rsidR="00741586" w:rsidRPr="00F37D4D" w14:paraId="7C6F037F"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3DFBE6EB" w14:textId="77777777" w:rsidR="009C4600" w:rsidRPr="00F37D4D" w:rsidRDefault="009C4600" w:rsidP="00F64BF9">
            <w:pPr>
              <w:pStyle w:val="TABLES"/>
              <w:keepNext/>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03D6AD73" w14:textId="77777777" w:rsidR="009C4600" w:rsidRPr="00F37D4D" w:rsidRDefault="00BE7CB1" w:rsidP="00F64BF9">
            <w:pPr>
              <w:pStyle w:val="TABLES"/>
              <w:ind w:left="57" w:right="57"/>
              <w:jc w:val="center"/>
            </w:pPr>
            <w:r>
              <w:t>Hodnotenie skúšajúcim</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DC8D3B7" w14:textId="77777777" w:rsidR="009C4600" w:rsidRPr="00F37D4D" w:rsidRDefault="00BE7CB1" w:rsidP="00F64BF9">
            <w:pPr>
              <w:pStyle w:val="TABLES"/>
              <w:ind w:left="57" w:right="57"/>
              <w:jc w:val="center"/>
            </w:pPr>
            <w:r>
              <w:t>Posúdenie IRC</w:t>
            </w:r>
          </w:p>
        </w:tc>
      </w:tr>
      <w:tr w:rsidR="00741586" w:rsidRPr="00F37D4D" w14:paraId="18BFE08A"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49E60E2E" w14:textId="77777777" w:rsidR="009C4600" w:rsidRPr="00F37D4D" w:rsidRDefault="009C4600" w:rsidP="00F64BF9">
            <w:pPr>
              <w:pStyle w:val="TABLES"/>
              <w:keepNext/>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9BADC0C" w14:textId="77777777" w:rsidR="000F755A" w:rsidRPr="00F37D4D" w:rsidRDefault="00BE7CB1" w:rsidP="00F64BF9">
            <w:pPr>
              <w:pStyle w:val="TABLES"/>
              <w:tabs>
                <w:tab w:val="left" w:pos="1358"/>
              </w:tabs>
              <w:ind w:left="57" w:right="57"/>
              <w:jc w:val="center"/>
            </w:pPr>
            <w:r>
              <w:t>Placebo+ C/G</w:t>
            </w:r>
          </w:p>
          <w:p w14:paraId="309869F7" w14:textId="77777777" w:rsidR="009C4600" w:rsidRPr="00F37D4D" w:rsidRDefault="00BE7CB1" w:rsidP="00F64BF9">
            <w:pPr>
              <w:pStyle w:val="TABLES"/>
              <w:tabs>
                <w:tab w:val="left" w:pos="1358"/>
              </w:tab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6225E5A5" w14:textId="77777777" w:rsidR="000F755A" w:rsidRPr="00F37D4D" w:rsidRDefault="00BE7CB1" w:rsidP="00F64BF9">
            <w:pPr>
              <w:pStyle w:val="TABLES"/>
              <w:ind w:left="57" w:right="57"/>
              <w:jc w:val="center"/>
            </w:pPr>
            <w:r>
              <w:t>Bevacizumab + C/G</w:t>
            </w:r>
          </w:p>
          <w:p w14:paraId="62E7DEA1" w14:textId="77777777" w:rsidR="009C4600" w:rsidRPr="00F37D4D" w:rsidRDefault="00BE7CB1" w:rsidP="00F64BF9">
            <w:pPr>
              <w:pStyle w:val="TABLES"/>
              <w:ind w:left="57" w:right="57"/>
              <w:jc w:val="center"/>
            </w:pPr>
            <w:r>
              <w:t>(n = 242)</w:t>
            </w:r>
          </w:p>
        </w:tc>
        <w:tc>
          <w:tcPr>
            <w:tcW w:w="805" w:type="pct"/>
            <w:tcBorders>
              <w:top w:val="single" w:sz="4" w:space="0" w:color="000000"/>
              <w:left w:val="single" w:sz="4" w:space="0" w:color="000000"/>
              <w:bottom w:val="single" w:sz="4" w:space="0" w:color="000000"/>
              <w:right w:val="single" w:sz="4" w:space="0" w:color="000000"/>
            </w:tcBorders>
            <w:hideMark/>
          </w:tcPr>
          <w:p w14:paraId="7454B1B5" w14:textId="77777777" w:rsidR="000F755A" w:rsidRPr="00F37D4D" w:rsidRDefault="00BE7CB1" w:rsidP="00F64BF9">
            <w:pPr>
              <w:pStyle w:val="TABLES"/>
              <w:ind w:left="57" w:right="57"/>
              <w:jc w:val="center"/>
            </w:pPr>
            <w:r>
              <w:t>Placebo+ C/G</w:t>
            </w:r>
          </w:p>
          <w:p w14:paraId="70326A2E" w14:textId="77777777" w:rsidR="009C4600" w:rsidRPr="00F37D4D" w:rsidRDefault="00BE7CB1" w:rsidP="00F64BF9">
            <w:pPr>
              <w:pStyle w:val="TABLE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5920699C" w14:textId="77777777" w:rsidR="000F755A" w:rsidRPr="00F37D4D" w:rsidRDefault="00BE7CB1" w:rsidP="00F64BF9">
            <w:pPr>
              <w:pStyle w:val="TABLES"/>
              <w:ind w:left="57" w:right="57"/>
              <w:jc w:val="center"/>
            </w:pPr>
            <w:r>
              <w:t>Bevacizumab + C/G</w:t>
            </w:r>
          </w:p>
          <w:p w14:paraId="4B806C19" w14:textId="77777777" w:rsidR="009C4600" w:rsidRPr="00F37D4D" w:rsidRDefault="00BE7CB1" w:rsidP="00F64BF9">
            <w:pPr>
              <w:pStyle w:val="TABLES"/>
              <w:ind w:left="57" w:right="57"/>
              <w:jc w:val="center"/>
            </w:pPr>
            <w:r>
              <w:t>(n = 242)</w:t>
            </w:r>
          </w:p>
        </w:tc>
      </w:tr>
      <w:tr w:rsidR="00741586" w:rsidRPr="00F37D4D" w14:paraId="3DFD53A4"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1415BF5D" w14:textId="77777777" w:rsidR="009C4600" w:rsidRPr="00F37D4D" w:rsidRDefault="00BE7CB1" w:rsidP="00F64BF9">
            <w:pPr>
              <w:pStyle w:val="TABLES"/>
              <w:ind w:left="57" w:right="57"/>
              <w:rPr>
                <w:i/>
              </w:rPr>
            </w:pPr>
            <w:r>
              <w:rPr>
                <w:i/>
              </w:rPr>
              <w:t>Necenzurované pre NPT</w:t>
            </w:r>
          </w:p>
        </w:tc>
        <w:tc>
          <w:tcPr>
            <w:tcW w:w="3772" w:type="pct"/>
            <w:gridSpan w:val="4"/>
            <w:tcBorders>
              <w:top w:val="single" w:sz="4" w:space="0" w:color="000000"/>
              <w:left w:val="single" w:sz="4" w:space="0" w:color="000000"/>
              <w:bottom w:val="single" w:sz="4" w:space="0" w:color="000000"/>
              <w:right w:val="single" w:sz="4" w:space="0" w:color="000000"/>
            </w:tcBorders>
          </w:tcPr>
          <w:p w14:paraId="215B133A" w14:textId="77777777" w:rsidR="009C4600" w:rsidRPr="00F37D4D" w:rsidRDefault="009C4600" w:rsidP="00F64BF9">
            <w:pPr>
              <w:pStyle w:val="TABLES"/>
              <w:ind w:left="57" w:right="57"/>
              <w:jc w:val="center"/>
            </w:pPr>
          </w:p>
        </w:tc>
      </w:tr>
      <w:tr w:rsidR="00741586" w:rsidRPr="00F37D4D" w14:paraId="436E39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A7E7D91" w14:textId="77777777" w:rsidR="009C4600" w:rsidRPr="00F37D4D" w:rsidRDefault="00BE7CB1" w:rsidP="00F64BF9">
            <w:pPr>
              <w:pStyle w:val="TABLES"/>
              <w:ind w:left="567" w:right="57"/>
            </w:pPr>
            <w:r>
              <w:t>Medián PFS (mesiace)</w:t>
            </w:r>
          </w:p>
        </w:tc>
        <w:tc>
          <w:tcPr>
            <w:tcW w:w="805" w:type="pct"/>
            <w:tcBorders>
              <w:top w:val="single" w:sz="4" w:space="0" w:color="000000"/>
              <w:left w:val="single" w:sz="4" w:space="0" w:color="000000"/>
              <w:bottom w:val="single" w:sz="4" w:space="0" w:color="000000"/>
              <w:right w:val="single" w:sz="4" w:space="0" w:color="000000"/>
            </w:tcBorders>
          </w:tcPr>
          <w:p w14:paraId="21A3E5FD" w14:textId="77777777" w:rsidR="009C4600" w:rsidRPr="00F37D4D" w:rsidRDefault="00BE7CB1" w:rsidP="00F64BF9">
            <w:pPr>
              <w:pStyle w:val="TABLES"/>
              <w:ind w:left="57" w:right="57"/>
              <w:jc w:val="center"/>
            </w:pPr>
            <w:r>
              <w:t>8,4</w:t>
            </w:r>
          </w:p>
        </w:tc>
        <w:tc>
          <w:tcPr>
            <w:tcW w:w="1081" w:type="pct"/>
            <w:tcBorders>
              <w:top w:val="single" w:sz="4" w:space="0" w:color="000000"/>
              <w:left w:val="single" w:sz="4" w:space="0" w:color="000000"/>
              <w:bottom w:val="single" w:sz="4" w:space="0" w:color="000000"/>
              <w:right w:val="single" w:sz="4" w:space="0" w:color="000000"/>
            </w:tcBorders>
          </w:tcPr>
          <w:p w14:paraId="27BAEB3C" w14:textId="77777777" w:rsidR="009C4600" w:rsidRPr="00F37D4D" w:rsidRDefault="00BE7CB1" w:rsidP="00F64BF9">
            <w:pPr>
              <w:pStyle w:val="TABLES"/>
              <w:ind w:left="57" w:right="57"/>
              <w:jc w:val="center"/>
            </w:pPr>
            <w:r>
              <w:t>12,4</w:t>
            </w:r>
          </w:p>
        </w:tc>
        <w:tc>
          <w:tcPr>
            <w:tcW w:w="805" w:type="pct"/>
            <w:tcBorders>
              <w:top w:val="single" w:sz="4" w:space="0" w:color="000000"/>
              <w:left w:val="single" w:sz="4" w:space="0" w:color="000000"/>
              <w:bottom w:val="single" w:sz="4" w:space="0" w:color="000000"/>
              <w:right w:val="single" w:sz="4" w:space="0" w:color="000000"/>
            </w:tcBorders>
          </w:tcPr>
          <w:p w14:paraId="48DF2BD9" w14:textId="77777777" w:rsidR="009C4600" w:rsidRPr="00F37D4D" w:rsidRDefault="00BE7CB1" w:rsidP="00F64BF9">
            <w:pPr>
              <w:pStyle w:val="TABLES"/>
              <w:ind w:left="57" w:right="57"/>
              <w:jc w:val="center"/>
            </w:pPr>
            <w:r>
              <w:t>8,6</w:t>
            </w:r>
          </w:p>
        </w:tc>
        <w:tc>
          <w:tcPr>
            <w:tcW w:w="1081" w:type="pct"/>
            <w:tcBorders>
              <w:top w:val="single" w:sz="4" w:space="0" w:color="000000"/>
              <w:left w:val="single" w:sz="4" w:space="0" w:color="000000"/>
              <w:bottom w:val="single" w:sz="4" w:space="0" w:color="000000"/>
              <w:right w:val="single" w:sz="4" w:space="0" w:color="000000"/>
            </w:tcBorders>
          </w:tcPr>
          <w:p w14:paraId="34A1EF83" w14:textId="77777777" w:rsidR="009C4600" w:rsidRPr="00F37D4D" w:rsidRDefault="00BE7CB1" w:rsidP="00F64BF9">
            <w:pPr>
              <w:pStyle w:val="TABLES"/>
              <w:ind w:left="57" w:right="57"/>
              <w:jc w:val="center"/>
            </w:pPr>
            <w:r>
              <w:t>12,3</w:t>
            </w:r>
          </w:p>
        </w:tc>
      </w:tr>
      <w:tr w:rsidR="00741586" w:rsidRPr="00F37D4D" w14:paraId="310997C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76A48795" w14:textId="77777777" w:rsidR="009C4600" w:rsidRPr="00F37D4D" w:rsidRDefault="00BE7CB1" w:rsidP="00F64BF9">
            <w:pPr>
              <w:pStyle w:val="TABLES"/>
              <w:ind w:left="567" w:right="57"/>
            </w:pPr>
            <w:r>
              <w:t>Miera rizika (95 % I</w:t>
            </w:r>
            <w:r w:rsidR="00C17538">
              <w:t>S</w:t>
            </w:r>
            <w:r>
              <w:t>)</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0F259A4" w14:textId="77777777" w:rsidR="009C4600" w:rsidRPr="00F37D4D" w:rsidRDefault="00BE7CB1" w:rsidP="00F64BF9">
            <w:pPr>
              <w:pStyle w:val="TABLES"/>
              <w:ind w:left="57" w:right="57"/>
              <w:jc w:val="center"/>
            </w:pPr>
            <w:r>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0C659B75" w14:textId="77777777" w:rsidR="009C4600" w:rsidRPr="00F37D4D" w:rsidRDefault="00BE7CB1" w:rsidP="00F64BF9">
            <w:pPr>
              <w:pStyle w:val="TABLES"/>
              <w:ind w:left="57" w:right="57"/>
              <w:jc w:val="center"/>
            </w:pPr>
            <w:r>
              <w:t>0,480 [0,377; 0,613]</w:t>
            </w:r>
          </w:p>
        </w:tc>
      </w:tr>
      <w:tr w:rsidR="00741586" w:rsidRPr="00F37D4D" w14:paraId="52599EB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58111ABD" w14:textId="77777777" w:rsidR="009C4600" w:rsidRPr="00F37D4D" w:rsidRDefault="00BE7CB1" w:rsidP="00F64BF9">
            <w:pPr>
              <w:pStyle w:val="TABLES"/>
              <w:ind w:left="567" w:right="57"/>
            </w:pPr>
            <w:r>
              <w:t>p-hodnota</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33BB641" w14:textId="77777777" w:rsidR="009C4600" w:rsidRPr="00F37D4D" w:rsidRDefault="00BE7CB1" w:rsidP="00F64BF9">
            <w:pPr>
              <w:pStyle w:val="TABLES"/>
              <w:ind w:left="57" w:right="57"/>
              <w:jc w:val="center"/>
            </w:pPr>
            <w:r>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44CB9D2D" w14:textId="77777777" w:rsidR="009C4600" w:rsidRPr="00F37D4D" w:rsidRDefault="00BE7CB1" w:rsidP="00F64BF9">
            <w:pPr>
              <w:pStyle w:val="TABLES"/>
              <w:ind w:left="57" w:right="57"/>
              <w:jc w:val="center"/>
            </w:pPr>
            <w:r>
              <w:t>&lt; 0,0001</w:t>
            </w:r>
          </w:p>
        </w:tc>
      </w:tr>
      <w:tr w:rsidR="00741586" w:rsidRPr="00F37D4D" w14:paraId="25948AD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532AA460" w14:textId="77777777" w:rsidR="009C4600" w:rsidRPr="00F37D4D" w:rsidRDefault="00BE7CB1" w:rsidP="00F64BF9">
            <w:pPr>
              <w:pStyle w:val="TABLES"/>
              <w:ind w:left="57" w:right="57"/>
              <w:rPr>
                <w:i/>
              </w:rPr>
            </w:pPr>
            <w:r>
              <w:rPr>
                <w:i/>
              </w:rPr>
              <w:t>Cenzurované pre NPT</w:t>
            </w:r>
          </w:p>
        </w:tc>
        <w:tc>
          <w:tcPr>
            <w:tcW w:w="3772" w:type="pct"/>
            <w:gridSpan w:val="4"/>
            <w:tcBorders>
              <w:top w:val="single" w:sz="4" w:space="0" w:color="000000"/>
              <w:left w:val="single" w:sz="4" w:space="0" w:color="000000"/>
              <w:bottom w:val="single" w:sz="4" w:space="0" w:color="000000"/>
              <w:right w:val="single" w:sz="4" w:space="0" w:color="000000"/>
            </w:tcBorders>
          </w:tcPr>
          <w:p w14:paraId="25F0E52C" w14:textId="77777777" w:rsidR="009C4600" w:rsidRPr="00F37D4D" w:rsidRDefault="009C4600" w:rsidP="00F64BF9">
            <w:pPr>
              <w:pStyle w:val="TABLES"/>
              <w:ind w:left="57" w:right="57"/>
              <w:jc w:val="center"/>
            </w:pPr>
          </w:p>
        </w:tc>
      </w:tr>
      <w:tr w:rsidR="00741586" w:rsidRPr="00F37D4D" w14:paraId="7D512D6C"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E9F73B5" w14:textId="77777777" w:rsidR="009C4600" w:rsidRPr="00F37D4D" w:rsidRDefault="00BE7CB1" w:rsidP="00F64BF9">
            <w:pPr>
              <w:pStyle w:val="TABLES"/>
              <w:ind w:left="567" w:right="57"/>
            </w:pPr>
            <w:r>
              <w:t>Medián PFS (mesiace)</w:t>
            </w:r>
          </w:p>
        </w:tc>
        <w:tc>
          <w:tcPr>
            <w:tcW w:w="805" w:type="pct"/>
            <w:tcBorders>
              <w:top w:val="single" w:sz="4" w:space="0" w:color="000000"/>
              <w:left w:val="single" w:sz="4" w:space="0" w:color="000000"/>
              <w:bottom w:val="single" w:sz="4" w:space="0" w:color="000000"/>
              <w:right w:val="single" w:sz="4" w:space="0" w:color="000000"/>
            </w:tcBorders>
          </w:tcPr>
          <w:p w14:paraId="5626CE87" w14:textId="77777777" w:rsidR="009C4600" w:rsidRPr="00F37D4D" w:rsidRDefault="00BE7CB1" w:rsidP="00F64BF9">
            <w:pPr>
              <w:pStyle w:val="TABLES"/>
              <w:ind w:left="57" w:right="57"/>
              <w:jc w:val="center"/>
            </w:pPr>
            <w:r>
              <w:t>8,4</w:t>
            </w:r>
          </w:p>
        </w:tc>
        <w:tc>
          <w:tcPr>
            <w:tcW w:w="1081" w:type="pct"/>
            <w:tcBorders>
              <w:top w:val="single" w:sz="4" w:space="0" w:color="000000"/>
              <w:left w:val="single" w:sz="4" w:space="0" w:color="000000"/>
              <w:bottom w:val="single" w:sz="4" w:space="0" w:color="000000"/>
              <w:right w:val="single" w:sz="4" w:space="0" w:color="000000"/>
            </w:tcBorders>
          </w:tcPr>
          <w:p w14:paraId="29CE00D6" w14:textId="77777777" w:rsidR="009C4600" w:rsidRPr="00F37D4D" w:rsidRDefault="00BE7CB1" w:rsidP="00F64BF9">
            <w:pPr>
              <w:pStyle w:val="TABLES"/>
              <w:ind w:left="57" w:right="57"/>
              <w:jc w:val="center"/>
            </w:pPr>
            <w:r>
              <w:t>12,4</w:t>
            </w:r>
          </w:p>
        </w:tc>
        <w:tc>
          <w:tcPr>
            <w:tcW w:w="805" w:type="pct"/>
            <w:tcBorders>
              <w:top w:val="single" w:sz="4" w:space="0" w:color="000000"/>
              <w:left w:val="single" w:sz="4" w:space="0" w:color="000000"/>
              <w:bottom w:val="single" w:sz="4" w:space="0" w:color="000000"/>
              <w:right w:val="single" w:sz="4" w:space="0" w:color="000000"/>
            </w:tcBorders>
          </w:tcPr>
          <w:p w14:paraId="5F02EBE1" w14:textId="77777777" w:rsidR="009C4600" w:rsidRPr="00F37D4D" w:rsidRDefault="00BE7CB1" w:rsidP="00F64BF9">
            <w:pPr>
              <w:pStyle w:val="TABLES"/>
              <w:ind w:left="57" w:right="57"/>
              <w:jc w:val="center"/>
            </w:pPr>
            <w:r>
              <w:t>8,6</w:t>
            </w:r>
          </w:p>
        </w:tc>
        <w:tc>
          <w:tcPr>
            <w:tcW w:w="1081" w:type="pct"/>
            <w:tcBorders>
              <w:top w:val="single" w:sz="4" w:space="0" w:color="000000"/>
              <w:left w:val="single" w:sz="4" w:space="0" w:color="000000"/>
              <w:bottom w:val="single" w:sz="4" w:space="0" w:color="000000"/>
              <w:right w:val="single" w:sz="4" w:space="0" w:color="000000"/>
            </w:tcBorders>
          </w:tcPr>
          <w:p w14:paraId="0E200449" w14:textId="77777777" w:rsidR="009C4600" w:rsidRPr="00F37D4D" w:rsidRDefault="00BE7CB1" w:rsidP="00F64BF9">
            <w:pPr>
              <w:pStyle w:val="TABLES"/>
              <w:ind w:left="57" w:right="57"/>
              <w:jc w:val="center"/>
            </w:pPr>
            <w:r>
              <w:t>12,3</w:t>
            </w:r>
          </w:p>
        </w:tc>
      </w:tr>
      <w:tr w:rsidR="00741586" w:rsidRPr="00F37D4D" w14:paraId="5F411A6A"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E487E53" w14:textId="77777777" w:rsidR="009C4600" w:rsidRPr="00F37D4D" w:rsidRDefault="00BE7CB1" w:rsidP="00F64BF9">
            <w:pPr>
              <w:pStyle w:val="TABLES"/>
              <w:ind w:left="567" w:right="57"/>
            </w:pPr>
            <w:r>
              <w:t>Miera rizika (95 % I</w:t>
            </w:r>
            <w:r w:rsidR="00C17538">
              <w:t>S</w:t>
            </w:r>
            <w:r>
              <w:t>)</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E22F3D2" w14:textId="77777777" w:rsidR="009C4600" w:rsidRPr="00F37D4D" w:rsidRDefault="00BE7CB1" w:rsidP="00F64BF9">
            <w:pPr>
              <w:pStyle w:val="TABLES"/>
              <w:ind w:left="57" w:right="57"/>
              <w:jc w:val="center"/>
            </w:pPr>
            <w:r>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0DF08593" w14:textId="77777777" w:rsidR="009C4600" w:rsidRPr="00F37D4D" w:rsidRDefault="00BE7CB1" w:rsidP="00F64BF9">
            <w:pPr>
              <w:pStyle w:val="TABLES"/>
              <w:ind w:left="57" w:right="57"/>
              <w:jc w:val="center"/>
            </w:pPr>
            <w:r>
              <w:t>0,451 [0,351; 0,580]</w:t>
            </w:r>
          </w:p>
        </w:tc>
      </w:tr>
      <w:tr w:rsidR="00741586" w:rsidRPr="00F37D4D" w14:paraId="1AB9BE2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5F9F2F52" w14:textId="77777777" w:rsidR="009C4600" w:rsidRPr="00F37D4D" w:rsidRDefault="00BE7CB1" w:rsidP="00F64BF9">
            <w:pPr>
              <w:pStyle w:val="TABLES"/>
              <w:ind w:left="567" w:right="57"/>
            </w:pPr>
            <w:r>
              <w:t>p-hodnota</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8E73C52" w14:textId="77777777" w:rsidR="009C4600" w:rsidRPr="00F37D4D" w:rsidRDefault="00BE7CB1" w:rsidP="00F64BF9">
            <w:pPr>
              <w:pStyle w:val="TABLES"/>
              <w:ind w:left="57" w:right="57"/>
              <w:jc w:val="center"/>
            </w:pPr>
            <w:r>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A020655" w14:textId="77777777" w:rsidR="009C4600" w:rsidRPr="00F37D4D" w:rsidRDefault="00BE7CB1" w:rsidP="00F64BF9">
            <w:pPr>
              <w:pStyle w:val="TABLES"/>
              <w:ind w:left="57" w:right="57"/>
              <w:jc w:val="center"/>
            </w:pPr>
            <w:r>
              <w:t>&lt; 0,0001</w:t>
            </w:r>
          </w:p>
        </w:tc>
      </w:tr>
      <w:tr w:rsidR="00741586" w:rsidRPr="00F37D4D" w14:paraId="6CFF72F6"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2BFA3E5" w14:textId="77777777" w:rsidR="009C4600" w:rsidRPr="00F37D4D" w:rsidRDefault="00BE7CB1" w:rsidP="00F64BF9">
            <w:pPr>
              <w:pStyle w:val="TABLES"/>
              <w:ind w:left="57" w:right="57"/>
            </w:pPr>
            <w:r>
              <w:t>Miera objektívnej odpovede</w:t>
            </w:r>
          </w:p>
        </w:tc>
      </w:tr>
      <w:tr w:rsidR="00741586" w:rsidRPr="00F37D4D" w14:paraId="3C42B09F"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1EEA415A" w14:textId="77777777" w:rsidR="009C4600" w:rsidRPr="00F37D4D"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BD9E873" w14:textId="77777777" w:rsidR="009C4600" w:rsidRPr="00F37D4D" w:rsidRDefault="00BE7CB1" w:rsidP="00F64BF9">
            <w:pPr>
              <w:pStyle w:val="TABLES"/>
              <w:ind w:left="57" w:right="57"/>
              <w:jc w:val="center"/>
            </w:pPr>
            <w:r>
              <w:t>Hodnotenie skúšajúcim</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1B73396" w14:textId="77777777" w:rsidR="009C4600" w:rsidRPr="00F37D4D" w:rsidRDefault="00BE7CB1" w:rsidP="00F64BF9">
            <w:pPr>
              <w:pStyle w:val="TABLES"/>
              <w:ind w:left="57" w:right="57"/>
              <w:jc w:val="center"/>
            </w:pPr>
            <w:r>
              <w:t>Posúdenie IRC</w:t>
            </w:r>
          </w:p>
        </w:tc>
      </w:tr>
      <w:tr w:rsidR="00741586" w:rsidRPr="00F37D4D" w14:paraId="3F64C23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57EA744" w14:textId="77777777" w:rsidR="009C4600" w:rsidRPr="00F37D4D" w:rsidRDefault="009C4600" w:rsidP="00F64BF9">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46E3BDEF" w14:textId="77777777" w:rsidR="000F755A" w:rsidRPr="00F37D4D" w:rsidRDefault="00BE7CB1" w:rsidP="00F64BF9">
            <w:pPr>
              <w:pStyle w:val="TABLES"/>
              <w:ind w:left="57" w:right="57"/>
              <w:jc w:val="center"/>
            </w:pPr>
            <w:r>
              <w:t>Placebo+ C/G</w:t>
            </w:r>
          </w:p>
          <w:p w14:paraId="29FA58AF" w14:textId="77777777" w:rsidR="009C4600" w:rsidRPr="00F37D4D" w:rsidRDefault="00BE7CB1" w:rsidP="00F64BF9">
            <w:pPr>
              <w:pStyle w:val="TABLE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042909C5" w14:textId="77777777" w:rsidR="000F755A" w:rsidRPr="00F37D4D" w:rsidRDefault="00BE7CB1" w:rsidP="00F64BF9">
            <w:pPr>
              <w:pStyle w:val="TABLES"/>
              <w:ind w:left="57" w:right="57"/>
              <w:jc w:val="center"/>
            </w:pPr>
            <w:r>
              <w:t>Bevacizumab + C/G</w:t>
            </w:r>
          </w:p>
          <w:p w14:paraId="35687607" w14:textId="77777777" w:rsidR="009C4600" w:rsidRPr="00F37D4D" w:rsidRDefault="00BE7CB1" w:rsidP="00F64BF9">
            <w:pPr>
              <w:pStyle w:val="TABLES"/>
              <w:ind w:left="57" w:right="57"/>
              <w:jc w:val="center"/>
            </w:pPr>
            <w:r>
              <w:t>(n = 242)</w:t>
            </w:r>
          </w:p>
        </w:tc>
        <w:tc>
          <w:tcPr>
            <w:tcW w:w="805" w:type="pct"/>
            <w:tcBorders>
              <w:top w:val="single" w:sz="4" w:space="0" w:color="000000"/>
              <w:left w:val="single" w:sz="4" w:space="0" w:color="000000"/>
              <w:bottom w:val="single" w:sz="4" w:space="0" w:color="000000"/>
              <w:right w:val="single" w:sz="4" w:space="0" w:color="000000"/>
            </w:tcBorders>
            <w:hideMark/>
          </w:tcPr>
          <w:p w14:paraId="0384AB83" w14:textId="77777777" w:rsidR="000F755A" w:rsidRPr="00F37D4D" w:rsidRDefault="00BE7CB1" w:rsidP="00F64BF9">
            <w:pPr>
              <w:pStyle w:val="TABLES"/>
              <w:ind w:left="57" w:right="57"/>
              <w:jc w:val="center"/>
            </w:pPr>
            <w:r>
              <w:t>Placebo+ C/G</w:t>
            </w:r>
          </w:p>
          <w:p w14:paraId="13B46036" w14:textId="77777777" w:rsidR="009C4600" w:rsidRPr="00F37D4D" w:rsidRDefault="00BE7CB1" w:rsidP="00F64BF9">
            <w:pPr>
              <w:pStyle w:val="TABLES"/>
              <w:ind w:left="57" w:right="57"/>
              <w:jc w:val="center"/>
            </w:pPr>
            <w:r>
              <w:t>(n = 242)</w:t>
            </w:r>
          </w:p>
        </w:tc>
        <w:tc>
          <w:tcPr>
            <w:tcW w:w="1081" w:type="pct"/>
            <w:tcBorders>
              <w:top w:val="single" w:sz="4" w:space="0" w:color="000000"/>
              <w:left w:val="single" w:sz="4" w:space="0" w:color="000000"/>
              <w:bottom w:val="single" w:sz="4" w:space="0" w:color="000000"/>
              <w:right w:val="single" w:sz="4" w:space="0" w:color="000000"/>
            </w:tcBorders>
            <w:hideMark/>
          </w:tcPr>
          <w:p w14:paraId="09DBC41F" w14:textId="77777777" w:rsidR="000F755A" w:rsidRPr="00F37D4D" w:rsidRDefault="00BE7CB1" w:rsidP="00F64BF9">
            <w:pPr>
              <w:pStyle w:val="TABLES"/>
              <w:ind w:left="57" w:right="57"/>
              <w:jc w:val="center"/>
            </w:pPr>
            <w:r>
              <w:t>Bevacizumab + C/G</w:t>
            </w:r>
          </w:p>
          <w:p w14:paraId="4EFF9E32" w14:textId="77777777" w:rsidR="009C4600" w:rsidRPr="00F37D4D" w:rsidRDefault="00BE7CB1" w:rsidP="00F64BF9">
            <w:pPr>
              <w:pStyle w:val="TABLES"/>
              <w:ind w:left="57" w:right="57"/>
              <w:jc w:val="center"/>
            </w:pPr>
            <w:r>
              <w:t>(n = 242)</w:t>
            </w:r>
          </w:p>
        </w:tc>
      </w:tr>
      <w:tr w:rsidR="00741586" w:rsidRPr="00F37D4D" w14:paraId="26196EFF"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177AF6CC" w14:textId="77777777" w:rsidR="009C4600" w:rsidRPr="00F37D4D" w:rsidRDefault="00BE7CB1" w:rsidP="00F64BF9">
            <w:pPr>
              <w:pStyle w:val="TABLES"/>
              <w:ind w:left="567" w:right="57"/>
            </w:pPr>
            <w:r>
              <w:t>% pacientov s objektívnou odpoveďou</w:t>
            </w:r>
          </w:p>
        </w:tc>
        <w:tc>
          <w:tcPr>
            <w:tcW w:w="805" w:type="pct"/>
            <w:tcBorders>
              <w:top w:val="single" w:sz="4" w:space="0" w:color="000000"/>
              <w:left w:val="single" w:sz="4" w:space="0" w:color="000000"/>
              <w:bottom w:val="single" w:sz="4" w:space="0" w:color="000000"/>
              <w:right w:val="single" w:sz="4" w:space="0" w:color="000000"/>
            </w:tcBorders>
          </w:tcPr>
          <w:p w14:paraId="635AA289" w14:textId="77777777" w:rsidR="009C4600" w:rsidRPr="00F37D4D" w:rsidRDefault="00BE7CB1" w:rsidP="00F64BF9">
            <w:pPr>
              <w:pStyle w:val="TABLES"/>
              <w:ind w:left="57" w:right="57"/>
              <w:jc w:val="center"/>
            </w:pPr>
            <w:r>
              <w:t>57,4 %</w:t>
            </w:r>
          </w:p>
        </w:tc>
        <w:tc>
          <w:tcPr>
            <w:tcW w:w="1081" w:type="pct"/>
            <w:tcBorders>
              <w:top w:val="single" w:sz="4" w:space="0" w:color="000000"/>
              <w:left w:val="single" w:sz="4" w:space="0" w:color="000000"/>
              <w:bottom w:val="single" w:sz="4" w:space="0" w:color="000000"/>
              <w:right w:val="single" w:sz="4" w:space="0" w:color="000000"/>
            </w:tcBorders>
          </w:tcPr>
          <w:p w14:paraId="271A44FA" w14:textId="77777777" w:rsidR="009C4600" w:rsidRPr="00F37D4D" w:rsidRDefault="00BE7CB1" w:rsidP="00F64BF9">
            <w:pPr>
              <w:pStyle w:val="TABLES"/>
              <w:ind w:left="57" w:right="57"/>
              <w:jc w:val="center"/>
            </w:pPr>
            <w:r>
              <w:t>78,5 %</w:t>
            </w:r>
          </w:p>
        </w:tc>
        <w:tc>
          <w:tcPr>
            <w:tcW w:w="805" w:type="pct"/>
            <w:tcBorders>
              <w:top w:val="single" w:sz="4" w:space="0" w:color="000000"/>
              <w:left w:val="single" w:sz="4" w:space="0" w:color="000000"/>
              <w:bottom w:val="single" w:sz="4" w:space="0" w:color="000000"/>
              <w:right w:val="single" w:sz="4" w:space="0" w:color="000000"/>
            </w:tcBorders>
          </w:tcPr>
          <w:p w14:paraId="35D4F12E" w14:textId="77777777" w:rsidR="009C4600" w:rsidRPr="00F37D4D" w:rsidRDefault="00BE7CB1" w:rsidP="00F64BF9">
            <w:pPr>
              <w:pStyle w:val="TABLES"/>
              <w:ind w:left="57" w:right="57"/>
              <w:jc w:val="center"/>
            </w:pPr>
            <w:r>
              <w:t>53,7 %</w:t>
            </w:r>
          </w:p>
        </w:tc>
        <w:tc>
          <w:tcPr>
            <w:tcW w:w="1081" w:type="pct"/>
            <w:tcBorders>
              <w:top w:val="single" w:sz="4" w:space="0" w:color="000000"/>
              <w:left w:val="single" w:sz="4" w:space="0" w:color="000000"/>
              <w:bottom w:val="single" w:sz="4" w:space="0" w:color="000000"/>
              <w:right w:val="single" w:sz="4" w:space="0" w:color="000000"/>
            </w:tcBorders>
          </w:tcPr>
          <w:p w14:paraId="45353AB1" w14:textId="77777777" w:rsidR="009C4600" w:rsidRPr="00F37D4D" w:rsidRDefault="00BE7CB1" w:rsidP="00F64BF9">
            <w:pPr>
              <w:pStyle w:val="TABLES"/>
              <w:ind w:left="57" w:right="57"/>
              <w:jc w:val="center"/>
            </w:pPr>
            <w:r>
              <w:t>74,8 %</w:t>
            </w:r>
          </w:p>
        </w:tc>
      </w:tr>
      <w:tr w:rsidR="00741586" w:rsidRPr="00F37D4D" w14:paraId="1823A4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8C3E62F" w14:textId="77777777" w:rsidR="009C4600" w:rsidRPr="00F37D4D" w:rsidRDefault="00BE7CB1" w:rsidP="00F64BF9">
            <w:pPr>
              <w:pStyle w:val="TABLES"/>
              <w:ind w:left="567" w:right="57"/>
            </w:pPr>
            <w:r>
              <w:t>p-hodnota</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4E625FBB" w14:textId="77777777" w:rsidR="009C4600" w:rsidRPr="00F37D4D" w:rsidRDefault="00BE7CB1" w:rsidP="00F64BF9">
            <w:pPr>
              <w:pStyle w:val="TABLES"/>
              <w:ind w:left="57" w:right="57"/>
              <w:jc w:val="center"/>
            </w:pPr>
            <w:r>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EFF6DCA" w14:textId="77777777" w:rsidR="009C4600" w:rsidRPr="00F37D4D" w:rsidRDefault="00BE7CB1" w:rsidP="00F64BF9">
            <w:pPr>
              <w:pStyle w:val="TABLES"/>
              <w:ind w:left="57" w:right="57"/>
              <w:jc w:val="center"/>
            </w:pPr>
            <w:r>
              <w:t>&lt; 0,0001</w:t>
            </w:r>
          </w:p>
        </w:tc>
      </w:tr>
      <w:tr w:rsidR="00741586" w:rsidRPr="00F37D4D" w14:paraId="5C58E746"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A6E1644" w14:textId="77777777" w:rsidR="009C4600" w:rsidRPr="00F37D4D" w:rsidRDefault="00BE7CB1" w:rsidP="00F64BF9">
            <w:pPr>
              <w:pStyle w:val="TABLES"/>
              <w:ind w:left="57" w:right="57"/>
            </w:pPr>
            <w:r>
              <w:t>Celkové prežívanie</w:t>
            </w:r>
          </w:p>
        </w:tc>
      </w:tr>
      <w:tr w:rsidR="00741586" w:rsidRPr="00F37D4D" w14:paraId="43AF893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59AD4796" w14:textId="77777777" w:rsidR="009C4600" w:rsidRPr="00F37D4D"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7A0398E" w14:textId="77777777" w:rsidR="000F755A" w:rsidRPr="00F37D4D" w:rsidRDefault="00BE7CB1" w:rsidP="00F64BF9">
            <w:pPr>
              <w:pStyle w:val="TABLES"/>
              <w:ind w:left="57" w:right="57"/>
              <w:jc w:val="center"/>
            </w:pPr>
            <w:r>
              <w:t>Placebo+ C/G</w:t>
            </w:r>
          </w:p>
          <w:p w14:paraId="08CCE44A" w14:textId="77777777" w:rsidR="009C4600" w:rsidRPr="00F37D4D" w:rsidRDefault="00BE7CB1" w:rsidP="00F64BF9">
            <w:pPr>
              <w:pStyle w:val="TABLES"/>
              <w:ind w:left="57" w:right="57"/>
              <w:jc w:val="center"/>
            </w:pPr>
            <w:r>
              <w:t>(n = 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5EAD58" w14:textId="77777777" w:rsidR="000F755A" w:rsidRPr="00F37D4D" w:rsidRDefault="00BE7CB1" w:rsidP="00F64BF9">
            <w:pPr>
              <w:pStyle w:val="TABLES"/>
              <w:ind w:left="57" w:right="57"/>
              <w:jc w:val="center"/>
            </w:pPr>
            <w:r>
              <w:t>Bevacizumab + C/G</w:t>
            </w:r>
          </w:p>
          <w:p w14:paraId="462CE73A" w14:textId="77777777" w:rsidR="009C4600" w:rsidRPr="00F37D4D" w:rsidRDefault="00BE7CB1" w:rsidP="00F64BF9">
            <w:pPr>
              <w:pStyle w:val="TABLES"/>
              <w:ind w:left="57" w:right="57"/>
              <w:jc w:val="center"/>
            </w:pPr>
            <w:r>
              <w:t>(n = 242)</w:t>
            </w:r>
          </w:p>
        </w:tc>
      </w:tr>
      <w:tr w:rsidR="00741586" w:rsidRPr="00F37D4D" w14:paraId="32BD5E1F"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30DBF3" w14:textId="77777777" w:rsidR="009C4600" w:rsidRPr="00F37D4D" w:rsidRDefault="00BE7CB1" w:rsidP="00F64BF9">
            <w:pPr>
              <w:pStyle w:val="TABLES"/>
              <w:ind w:left="567" w:right="57"/>
            </w:pPr>
            <w:r>
              <w:t>Medián OS (mesiace)</w:t>
            </w:r>
          </w:p>
        </w:tc>
        <w:tc>
          <w:tcPr>
            <w:tcW w:w="1886" w:type="pct"/>
            <w:gridSpan w:val="2"/>
            <w:tcBorders>
              <w:top w:val="single" w:sz="4" w:space="0" w:color="000000"/>
              <w:left w:val="single" w:sz="4" w:space="0" w:color="000000"/>
              <w:bottom w:val="single" w:sz="4" w:space="0" w:color="000000"/>
              <w:right w:val="single" w:sz="4" w:space="0" w:color="000000"/>
            </w:tcBorders>
          </w:tcPr>
          <w:p w14:paraId="2D72DD9C" w14:textId="77777777" w:rsidR="009C4600" w:rsidRPr="00F37D4D" w:rsidRDefault="00BE7CB1" w:rsidP="00F64BF9">
            <w:pPr>
              <w:pStyle w:val="TABLES"/>
              <w:ind w:left="57" w:right="57"/>
              <w:jc w:val="center"/>
            </w:pPr>
            <w:r>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2AAC6577" w14:textId="77777777" w:rsidR="009C4600" w:rsidRPr="00F37D4D" w:rsidRDefault="00BE7CB1" w:rsidP="00F64BF9">
            <w:pPr>
              <w:pStyle w:val="TABLES"/>
              <w:ind w:left="57" w:right="57"/>
              <w:jc w:val="center"/>
            </w:pPr>
            <w:r>
              <w:t>33,6</w:t>
            </w:r>
          </w:p>
        </w:tc>
      </w:tr>
      <w:tr w:rsidR="00741586" w:rsidRPr="00F37D4D" w14:paraId="780406A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5D0A793" w14:textId="77777777" w:rsidR="009C4600" w:rsidRPr="00F37D4D" w:rsidRDefault="00BE7CB1" w:rsidP="00F64BF9">
            <w:pPr>
              <w:pStyle w:val="TABLES"/>
              <w:ind w:left="567" w:right="57"/>
            </w:pPr>
            <w:r>
              <w:t>Miera rizika (95 % I</w:t>
            </w:r>
            <w:r w:rsidR="00C17538">
              <w:t>S</w:t>
            </w:r>
            <w:r>
              <w:t>)</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50B983D9" w14:textId="77777777" w:rsidR="009C4600" w:rsidRPr="00F37D4D" w:rsidRDefault="00BE7CB1" w:rsidP="00F64BF9">
            <w:pPr>
              <w:pStyle w:val="TABLES"/>
              <w:ind w:left="57" w:right="57"/>
              <w:jc w:val="center"/>
            </w:pPr>
            <w:r>
              <w:t>0,952 [0,771; 1,176]</w:t>
            </w:r>
          </w:p>
        </w:tc>
      </w:tr>
      <w:tr w:rsidR="00741586" w:rsidRPr="00F37D4D" w14:paraId="3FA165DC"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D811BCC" w14:textId="77777777" w:rsidR="009C4600" w:rsidRPr="00F37D4D" w:rsidRDefault="00BE7CB1" w:rsidP="00F64BF9">
            <w:pPr>
              <w:pStyle w:val="TABLES"/>
              <w:ind w:left="567" w:right="57"/>
            </w:pPr>
            <w:r>
              <w:t>p-hodnota</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6D14522C" w14:textId="77777777" w:rsidR="009C4600" w:rsidRPr="00F37D4D" w:rsidRDefault="00BE7CB1" w:rsidP="00F64BF9">
            <w:pPr>
              <w:pStyle w:val="TABLES"/>
              <w:ind w:left="57" w:right="57"/>
              <w:jc w:val="center"/>
            </w:pPr>
            <w:r>
              <w:t>0,6479</w:t>
            </w:r>
          </w:p>
        </w:tc>
      </w:tr>
    </w:tbl>
    <w:p w14:paraId="2DCD76C6" w14:textId="77777777" w:rsidR="009C4600" w:rsidRPr="006C53C7" w:rsidRDefault="009C4600" w:rsidP="00F64BF9">
      <w:pPr>
        <w:spacing w:line="240" w:lineRule="auto"/>
      </w:pPr>
    </w:p>
    <w:p w14:paraId="3E525934" w14:textId="77777777" w:rsidR="009C4600" w:rsidRPr="006C53C7" w:rsidRDefault="00BE7CB1" w:rsidP="00F64BF9">
      <w:pPr>
        <w:spacing w:line="240" w:lineRule="auto"/>
      </w:pPr>
      <w:r>
        <w:t>Analýza podskupiny PFS v závislosti od recidívy od poslednej terapie platinou je sumarizovaná v tabuľke 21.</w:t>
      </w:r>
    </w:p>
    <w:p w14:paraId="78350078" w14:textId="77777777" w:rsidR="009C4600" w:rsidRPr="006C53C7" w:rsidRDefault="009C4600" w:rsidP="00755C59">
      <w:pPr>
        <w:widowControl w:val="0"/>
        <w:spacing w:line="240" w:lineRule="auto"/>
      </w:pPr>
    </w:p>
    <w:p w14:paraId="246000F8" w14:textId="77777777" w:rsidR="009C4600" w:rsidRPr="006C53C7" w:rsidRDefault="00BE7CB1" w:rsidP="00755C59">
      <w:pPr>
        <w:widowControl w:val="0"/>
        <w:spacing w:line="240" w:lineRule="auto"/>
        <w:rPr>
          <w:b/>
          <w:bCs/>
        </w:rPr>
      </w:pPr>
      <w:r>
        <w:rPr>
          <w:b/>
        </w:rPr>
        <w:t>Tabuľka 21. Prežívanie bez progresie podľa času od poslednej liečby platinou do recidívy</w:t>
      </w:r>
    </w:p>
    <w:p w14:paraId="1211E9DC" w14:textId="77777777" w:rsidR="009C4600" w:rsidRPr="006C53C7"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F37D4D" w14:paraId="39DA00B5" w14:textId="77777777" w:rsidTr="00755C59">
        <w:trPr>
          <w:cantSplit/>
          <w:trHeight w:val="20"/>
          <w:tblHeader/>
          <w:jc w:val="center"/>
        </w:trPr>
        <w:tc>
          <w:tcPr>
            <w:tcW w:w="2289" w:type="pct"/>
            <w:tcBorders>
              <w:top w:val="single" w:sz="4" w:space="0" w:color="000000"/>
              <w:left w:val="single" w:sz="4" w:space="0" w:color="000000"/>
              <w:bottom w:val="single" w:sz="4" w:space="0" w:color="000000"/>
              <w:right w:val="single" w:sz="4" w:space="0" w:color="000000"/>
            </w:tcBorders>
          </w:tcPr>
          <w:p w14:paraId="54456680" w14:textId="77777777" w:rsidR="009C4600" w:rsidRPr="00F37D4D" w:rsidRDefault="009C4600" w:rsidP="00755C59">
            <w:pPr>
              <w:pStyle w:val="TABLES"/>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057A2494" w14:textId="77777777" w:rsidR="009C4600" w:rsidRPr="00F37D4D" w:rsidRDefault="00BE7CB1" w:rsidP="00755C59">
            <w:pPr>
              <w:pStyle w:val="TABLES"/>
              <w:ind w:left="57" w:right="57"/>
              <w:jc w:val="center"/>
              <w:rPr>
                <w:b/>
              </w:rPr>
            </w:pPr>
            <w:r>
              <w:rPr>
                <w:b/>
              </w:rPr>
              <w:t>Hodnotenie skúšajúcim</w:t>
            </w:r>
          </w:p>
        </w:tc>
      </w:tr>
      <w:tr w:rsidR="00741586" w:rsidRPr="00F37D4D" w14:paraId="19D7EF84" w14:textId="77777777" w:rsidTr="00755C59">
        <w:trPr>
          <w:cantSplit/>
          <w:trHeight w:val="20"/>
          <w:tblHeader/>
          <w:jc w:val="center"/>
        </w:trPr>
        <w:tc>
          <w:tcPr>
            <w:tcW w:w="2289" w:type="pct"/>
            <w:tcBorders>
              <w:top w:val="single" w:sz="4" w:space="0" w:color="000000"/>
              <w:left w:val="single" w:sz="4" w:space="0" w:color="000000"/>
              <w:bottom w:val="single" w:sz="4" w:space="0" w:color="000000"/>
              <w:right w:val="single" w:sz="4" w:space="0" w:color="000000"/>
            </w:tcBorders>
            <w:hideMark/>
          </w:tcPr>
          <w:p w14:paraId="7B59E968" w14:textId="77777777" w:rsidR="009C4600" w:rsidRPr="00F37D4D" w:rsidRDefault="00BE7CB1" w:rsidP="00755C59">
            <w:pPr>
              <w:pStyle w:val="TABLES"/>
              <w:ind w:left="57" w:right="57"/>
              <w:jc w:val="center"/>
              <w:rPr>
                <w:b/>
              </w:rPr>
            </w:pPr>
            <w:r>
              <w:rPr>
                <w:b/>
              </w:rPr>
              <w:t>Čas od poslednej liečby platinou do recidívy</w:t>
            </w:r>
          </w:p>
        </w:tc>
        <w:tc>
          <w:tcPr>
            <w:tcW w:w="1211" w:type="pct"/>
            <w:tcBorders>
              <w:top w:val="single" w:sz="4" w:space="0" w:color="000000"/>
              <w:left w:val="single" w:sz="4" w:space="0" w:color="000000"/>
              <w:bottom w:val="single" w:sz="4" w:space="0" w:color="000000"/>
              <w:right w:val="single" w:sz="4" w:space="0" w:color="000000"/>
            </w:tcBorders>
            <w:hideMark/>
          </w:tcPr>
          <w:p w14:paraId="435C29D3" w14:textId="77777777" w:rsidR="009C4600" w:rsidRPr="00F37D4D" w:rsidRDefault="00BE7CB1" w:rsidP="00755C59">
            <w:pPr>
              <w:pStyle w:val="TABLES"/>
              <w:ind w:left="57" w:right="57"/>
              <w:jc w:val="center"/>
              <w:rPr>
                <w:b/>
              </w:rPr>
            </w:pPr>
            <w:r>
              <w:rPr>
                <w:b/>
              </w:rPr>
              <w:t>Placebo + C/G (n = 242)</w:t>
            </w:r>
          </w:p>
        </w:tc>
        <w:tc>
          <w:tcPr>
            <w:tcW w:w="1500" w:type="pct"/>
            <w:tcBorders>
              <w:top w:val="single" w:sz="4" w:space="0" w:color="000000"/>
              <w:left w:val="single" w:sz="4" w:space="0" w:color="000000"/>
              <w:bottom w:val="single" w:sz="4" w:space="0" w:color="000000"/>
              <w:right w:val="single" w:sz="4" w:space="0" w:color="000000"/>
            </w:tcBorders>
            <w:hideMark/>
          </w:tcPr>
          <w:p w14:paraId="41BD64FC" w14:textId="77777777" w:rsidR="009C4600" w:rsidRPr="00F37D4D" w:rsidRDefault="00BE7CB1" w:rsidP="00755C59">
            <w:pPr>
              <w:pStyle w:val="TABLES"/>
              <w:ind w:left="57" w:right="57"/>
              <w:jc w:val="center"/>
              <w:rPr>
                <w:b/>
              </w:rPr>
            </w:pPr>
            <w:r>
              <w:rPr>
                <w:b/>
              </w:rPr>
              <w:t>Bevacizumab + C/G (n = 242)</w:t>
            </w:r>
          </w:p>
        </w:tc>
      </w:tr>
      <w:tr w:rsidR="00741586" w:rsidRPr="00F37D4D" w14:paraId="1BEA2D4D"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C0C57E0" w14:textId="77777777" w:rsidR="009C4600" w:rsidRPr="00F37D4D" w:rsidRDefault="00BE7CB1" w:rsidP="00755C59">
            <w:pPr>
              <w:pStyle w:val="TABLES"/>
              <w:ind w:left="57" w:right="57"/>
            </w:pPr>
            <w:r>
              <w:t>6 – 12 mesiacov (n = 202)</w:t>
            </w:r>
          </w:p>
        </w:tc>
        <w:tc>
          <w:tcPr>
            <w:tcW w:w="1211" w:type="pct"/>
            <w:tcBorders>
              <w:top w:val="single" w:sz="4" w:space="0" w:color="000000"/>
              <w:left w:val="single" w:sz="4" w:space="0" w:color="000000"/>
              <w:bottom w:val="single" w:sz="4" w:space="0" w:color="000000"/>
              <w:right w:val="single" w:sz="4" w:space="0" w:color="000000"/>
            </w:tcBorders>
          </w:tcPr>
          <w:p w14:paraId="5093D356" w14:textId="77777777" w:rsidR="009C4600" w:rsidRPr="00F37D4D" w:rsidRDefault="009C4600" w:rsidP="00755C59">
            <w:pPr>
              <w:pStyle w:val="TABLES"/>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521F7577" w14:textId="77777777" w:rsidR="009C4600" w:rsidRPr="00F37D4D" w:rsidRDefault="009C4600" w:rsidP="00755C59">
            <w:pPr>
              <w:pStyle w:val="TABLES"/>
              <w:ind w:left="57" w:right="57"/>
            </w:pPr>
          </w:p>
        </w:tc>
      </w:tr>
      <w:tr w:rsidR="00741586" w:rsidRPr="00F37D4D" w14:paraId="69DDC1BE"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1D89900" w14:textId="77777777" w:rsidR="009C4600" w:rsidRPr="00F37D4D" w:rsidRDefault="00BE7CB1" w:rsidP="00755C59">
            <w:pPr>
              <w:pStyle w:val="TABLES"/>
              <w:ind w:left="567" w:right="57"/>
            </w:pPr>
            <w:r>
              <w:t>Medián</w:t>
            </w:r>
          </w:p>
        </w:tc>
        <w:tc>
          <w:tcPr>
            <w:tcW w:w="1211" w:type="pct"/>
            <w:tcBorders>
              <w:top w:val="single" w:sz="4" w:space="0" w:color="000000"/>
              <w:left w:val="single" w:sz="4" w:space="0" w:color="000000"/>
              <w:bottom w:val="single" w:sz="4" w:space="0" w:color="000000"/>
              <w:right w:val="single" w:sz="4" w:space="0" w:color="000000"/>
            </w:tcBorders>
            <w:hideMark/>
          </w:tcPr>
          <w:p w14:paraId="6D72470D" w14:textId="77777777" w:rsidR="009C4600" w:rsidRPr="00F37D4D" w:rsidRDefault="00BE7CB1" w:rsidP="00755C59">
            <w:pPr>
              <w:pStyle w:val="TABLES"/>
              <w:ind w:left="57" w:right="57"/>
              <w:jc w:val="center"/>
            </w:pPr>
            <w:r>
              <w:t>8,0</w:t>
            </w:r>
          </w:p>
        </w:tc>
        <w:tc>
          <w:tcPr>
            <w:tcW w:w="1500" w:type="pct"/>
            <w:tcBorders>
              <w:top w:val="single" w:sz="4" w:space="0" w:color="000000"/>
              <w:left w:val="single" w:sz="4" w:space="0" w:color="000000"/>
              <w:bottom w:val="single" w:sz="4" w:space="0" w:color="000000"/>
              <w:right w:val="single" w:sz="4" w:space="0" w:color="000000"/>
            </w:tcBorders>
            <w:hideMark/>
          </w:tcPr>
          <w:p w14:paraId="541CA473" w14:textId="77777777" w:rsidR="009C4600" w:rsidRPr="00F37D4D" w:rsidRDefault="00BE7CB1" w:rsidP="00755C59">
            <w:pPr>
              <w:pStyle w:val="TABLES"/>
              <w:ind w:left="57" w:right="57"/>
              <w:jc w:val="center"/>
            </w:pPr>
            <w:r>
              <w:t>11,9</w:t>
            </w:r>
          </w:p>
        </w:tc>
      </w:tr>
      <w:tr w:rsidR="00741586" w:rsidRPr="00F37D4D" w14:paraId="6F3BDD0D"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7B5E7A6D" w14:textId="77777777" w:rsidR="009C4600" w:rsidRPr="00F37D4D" w:rsidRDefault="00BE7CB1" w:rsidP="00755C59">
            <w:pPr>
              <w:pStyle w:val="TABLES"/>
              <w:ind w:left="567" w:right="57"/>
            </w:pPr>
            <w:r>
              <w:t>Miera rizika (95 % I</w:t>
            </w:r>
            <w:r w:rsidR="00C17538">
              <w:t>S</w:t>
            </w:r>
            <w:r>
              <w:t>)</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28B90B8" w14:textId="77777777" w:rsidR="009C4600" w:rsidRPr="00F37D4D" w:rsidRDefault="00BE7CB1" w:rsidP="00755C59">
            <w:pPr>
              <w:pStyle w:val="TABLES"/>
              <w:ind w:left="57" w:right="57"/>
              <w:jc w:val="center"/>
            </w:pPr>
            <w:r>
              <w:t>0,41 (0,29 – 0,58)</w:t>
            </w:r>
          </w:p>
        </w:tc>
      </w:tr>
      <w:tr w:rsidR="00741586" w:rsidRPr="00F37D4D" w14:paraId="6F61EC1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69C1F73" w14:textId="77777777" w:rsidR="009C4600" w:rsidRPr="00F37D4D" w:rsidRDefault="00A148AE" w:rsidP="00755C59">
            <w:pPr>
              <w:pStyle w:val="TABLES"/>
              <w:ind w:left="57" w:right="57"/>
            </w:pPr>
            <w:r w:rsidRPr="00F37D4D">
              <w:rPr>
                <w:lang w:val="en-GB"/>
              </w:rPr>
              <w:t>&gt;</w:t>
            </w:r>
            <w:r>
              <w:rPr>
                <w:lang w:val="en-GB"/>
              </w:rPr>
              <w:t xml:space="preserve"> </w:t>
            </w:r>
            <w:r w:rsidR="00BE7CB1">
              <w:t>12 mesiacov (n = 282)</w:t>
            </w:r>
          </w:p>
        </w:tc>
        <w:tc>
          <w:tcPr>
            <w:tcW w:w="1211" w:type="pct"/>
            <w:tcBorders>
              <w:top w:val="single" w:sz="4" w:space="0" w:color="000000"/>
              <w:left w:val="single" w:sz="4" w:space="0" w:color="000000"/>
              <w:bottom w:val="single" w:sz="4" w:space="0" w:color="000000"/>
              <w:right w:val="single" w:sz="4" w:space="0" w:color="000000"/>
            </w:tcBorders>
          </w:tcPr>
          <w:p w14:paraId="0E6F75FE" w14:textId="77777777" w:rsidR="009C4600" w:rsidRPr="00F37D4D" w:rsidRDefault="009C4600" w:rsidP="00755C59">
            <w:pPr>
              <w:pStyle w:val="TABLES"/>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50E445F" w14:textId="77777777" w:rsidR="009C4600" w:rsidRPr="00F37D4D" w:rsidRDefault="009C4600" w:rsidP="00755C59">
            <w:pPr>
              <w:pStyle w:val="TABLES"/>
              <w:ind w:left="57" w:right="57"/>
            </w:pPr>
          </w:p>
        </w:tc>
      </w:tr>
      <w:tr w:rsidR="00741586" w:rsidRPr="00F37D4D" w14:paraId="768F4C38"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AAA362C" w14:textId="77777777" w:rsidR="009C4600" w:rsidRPr="00F37D4D" w:rsidRDefault="00BE7CB1" w:rsidP="00755C59">
            <w:pPr>
              <w:pStyle w:val="TABLES"/>
              <w:ind w:left="567" w:right="57"/>
            </w:pPr>
            <w:r>
              <w:t>Medián</w:t>
            </w:r>
          </w:p>
        </w:tc>
        <w:tc>
          <w:tcPr>
            <w:tcW w:w="1211" w:type="pct"/>
            <w:tcBorders>
              <w:top w:val="single" w:sz="4" w:space="0" w:color="000000"/>
              <w:left w:val="single" w:sz="4" w:space="0" w:color="000000"/>
              <w:bottom w:val="single" w:sz="4" w:space="0" w:color="000000"/>
              <w:right w:val="single" w:sz="4" w:space="0" w:color="000000"/>
            </w:tcBorders>
            <w:hideMark/>
          </w:tcPr>
          <w:p w14:paraId="0EED0257" w14:textId="77777777" w:rsidR="009C4600" w:rsidRPr="00F37D4D" w:rsidRDefault="00BE7CB1" w:rsidP="00755C59">
            <w:pPr>
              <w:pStyle w:val="TABLES"/>
              <w:ind w:left="57" w:right="57"/>
              <w:jc w:val="center"/>
            </w:pPr>
            <w:r>
              <w:t>9,7</w:t>
            </w:r>
          </w:p>
        </w:tc>
        <w:tc>
          <w:tcPr>
            <w:tcW w:w="1500" w:type="pct"/>
            <w:tcBorders>
              <w:top w:val="single" w:sz="4" w:space="0" w:color="000000"/>
              <w:left w:val="single" w:sz="4" w:space="0" w:color="000000"/>
              <w:bottom w:val="single" w:sz="4" w:space="0" w:color="000000"/>
              <w:right w:val="single" w:sz="4" w:space="0" w:color="000000"/>
            </w:tcBorders>
            <w:hideMark/>
          </w:tcPr>
          <w:p w14:paraId="357F7A9B" w14:textId="77777777" w:rsidR="009C4600" w:rsidRPr="00F37D4D" w:rsidRDefault="00BE7CB1" w:rsidP="00755C59">
            <w:pPr>
              <w:pStyle w:val="TABLES"/>
              <w:ind w:left="57" w:right="57"/>
              <w:jc w:val="center"/>
            </w:pPr>
            <w:r>
              <w:t>12,4</w:t>
            </w:r>
          </w:p>
        </w:tc>
      </w:tr>
      <w:tr w:rsidR="00741586" w:rsidRPr="00F37D4D" w14:paraId="32F5844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726BFE38" w14:textId="77777777" w:rsidR="009C4600" w:rsidRPr="00F37D4D" w:rsidRDefault="00BE7CB1" w:rsidP="00755C59">
            <w:pPr>
              <w:pStyle w:val="TABLES"/>
              <w:ind w:left="567" w:right="57"/>
            </w:pPr>
            <w:r>
              <w:t>Miera rizika (95 % I</w:t>
            </w:r>
            <w:r w:rsidR="00C17538">
              <w:t>S</w:t>
            </w:r>
            <w:r>
              <w:t>)</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404B08B" w14:textId="77777777" w:rsidR="009C4600" w:rsidRPr="00F37D4D" w:rsidRDefault="00BE7CB1" w:rsidP="00755C59">
            <w:pPr>
              <w:pStyle w:val="TABLES"/>
              <w:ind w:left="57" w:right="57"/>
              <w:jc w:val="center"/>
            </w:pPr>
            <w:r>
              <w:t>0,55 (0,41 – 0,73)</w:t>
            </w:r>
          </w:p>
        </w:tc>
      </w:tr>
    </w:tbl>
    <w:p w14:paraId="0FDFC7EC" w14:textId="77777777" w:rsidR="009C4600" w:rsidRPr="00F37D4D" w:rsidRDefault="009C4600" w:rsidP="00755C59">
      <w:pPr>
        <w:widowControl w:val="0"/>
        <w:autoSpaceDE w:val="0"/>
        <w:autoSpaceDN w:val="0"/>
        <w:adjustRightInd w:val="0"/>
        <w:spacing w:line="240" w:lineRule="auto"/>
        <w:rPr>
          <w:szCs w:val="22"/>
        </w:rPr>
      </w:pPr>
    </w:p>
    <w:p w14:paraId="17056A73" w14:textId="77777777" w:rsidR="009C4600" w:rsidRDefault="00BE7CB1" w:rsidP="00F64BF9">
      <w:pPr>
        <w:keepNext/>
        <w:spacing w:line="240" w:lineRule="auto"/>
        <w:rPr>
          <w:i/>
          <w:iCs/>
          <w:szCs w:val="22"/>
        </w:rPr>
      </w:pPr>
      <w:r>
        <w:rPr>
          <w:i/>
        </w:rPr>
        <w:t>GOG-0213</w:t>
      </w:r>
    </w:p>
    <w:p w14:paraId="45D17CB8" w14:textId="77777777" w:rsidR="007E6E28" w:rsidRPr="006C53C7" w:rsidRDefault="007E6E28" w:rsidP="00F64BF9">
      <w:pPr>
        <w:keepNext/>
        <w:spacing w:line="240" w:lineRule="auto"/>
        <w:rPr>
          <w:i/>
          <w:iCs/>
          <w:szCs w:val="22"/>
        </w:rPr>
      </w:pPr>
    </w:p>
    <w:p w14:paraId="10AA6880" w14:textId="77777777" w:rsidR="009C4600" w:rsidRPr="00F37D4D" w:rsidRDefault="00BE7CB1" w:rsidP="00F64BF9">
      <w:pPr>
        <w:spacing w:line="240" w:lineRule="auto"/>
        <w:rPr>
          <w:szCs w:val="22"/>
        </w:rPr>
      </w:pPr>
      <w:r>
        <w:t>Štúdia GOG-0213 bolo randomizované, kontrolované, otvorené klinické skúšanie fázy III, v ktorom sa posudzovala bezpečnosť a účinnosť bevacizumabu v liečbe pacientov s recidivujúcim epiteliálnym karcinómom vaječníkov, Fallopiovej trubice alebo primárnym peritoneálnym karcinómom citlivým na platinu bez predchádzajúcej chemoterapie v liečbe recidívy. Neboli žiadne kritériá na vylúčenie z dôvodu predchádzajúcej anti-angiogénnej liečby. Štúdia hodnotila účinnosť pridania bevacizumabu ku karboplatine + paklitaxelu a následné podávanie bevacizumabu ako samostatnej liečby až do progresie ochorenia alebo do neakceptovateľnej toxicity v porovnaní so samotnou liečbou karboplatina + paklitaxel.</w:t>
      </w:r>
    </w:p>
    <w:p w14:paraId="7477BF2D" w14:textId="77777777" w:rsidR="009C4600" w:rsidRPr="00F37D4D" w:rsidRDefault="009C4600" w:rsidP="00F64BF9">
      <w:pPr>
        <w:spacing w:line="240" w:lineRule="auto"/>
        <w:rPr>
          <w:szCs w:val="22"/>
        </w:rPr>
      </w:pPr>
    </w:p>
    <w:p w14:paraId="30EE28E5" w14:textId="77777777" w:rsidR="009C4600" w:rsidRPr="00F37D4D" w:rsidRDefault="00BE7CB1" w:rsidP="00F64BF9">
      <w:pPr>
        <w:spacing w:line="240" w:lineRule="auto"/>
        <w:rPr>
          <w:szCs w:val="22"/>
        </w:rPr>
      </w:pPr>
      <w:r>
        <w:t>Celkovo bolo 673 pacientov randomizovaných rovnakým pomerom do dvoch nasledovných skupín liečby:</w:t>
      </w:r>
    </w:p>
    <w:p w14:paraId="3BA3A34C" w14:textId="77777777" w:rsidR="009C4600" w:rsidRPr="006C53C7" w:rsidRDefault="00BE7CB1" w:rsidP="0033150F">
      <w:pPr>
        <w:pStyle w:val="ListParagraph"/>
        <w:numPr>
          <w:ilvl w:val="0"/>
          <w:numId w:val="17"/>
        </w:numPr>
        <w:ind w:left="567" w:hanging="567"/>
      </w:pPr>
      <w:r>
        <w:t>Skupina CP: karboplatina (AUC5) a paklitaxel (175 mg/m</w:t>
      </w:r>
      <w:r w:rsidRPr="006C53C7">
        <w:rPr>
          <w:vertAlign w:val="superscript"/>
        </w:rPr>
        <w:t>2</w:t>
      </w:r>
      <w:r w:rsidRPr="006C53C7">
        <w:rPr>
          <w:sz w:val="14"/>
          <w:szCs w:val="14"/>
        </w:rPr>
        <w:t xml:space="preserve"> </w:t>
      </w:r>
      <w:r>
        <w:t xml:space="preserve">intravenózne) každé 3 týždne počas 6 až 8 cyklov. </w:t>
      </w:r>
    </w:p>
    <w:p w14:paraId="0FBC66BD" w14:textId="77777777" w:rsidR="009C4600" w:rsidRPr="006C53C7" w:rsidRDefault="00BE7CB1" w:rsidP="0033150F">
      <w:pPr>
        <w:pStyle w:val="ListParagraph"/>
        <w:numPr>
          <w:ilvl w:val="0"/>
          <w:numId w:val="17"/>
        </w:numPr>
        <w:ind w:left="567" w:hanging="567"/>
      </w:pPr>
      <w:r>
        <w:t>Skupina CPB: karboplatina (AUC5), paklitaxel (175 mg/m</w:t>
      </w:r>
      <w:r w:rsidRPr="006C53C7">
        <w:rPr>
          <w:vertAlign w:val="superscript"/>
        </w:rPr>
        <w:t>2</w:t>
      </w:r>
      <w:r w:rsidRPr="006C53C7">
        <w:rPr>
          <w:sz w:val="14"/>
          <w:szCs w:val="14"/>
        </w:rPr>
        <w:t xml:space="preserve"> </w:t>
      </w:r>
      <w:r>
        <w:t>intravenózne) a súbežne podávaný bevacizumab (15 mg/kg) každé 3 týždne počas 6 až 8 cyklov, následne bevacizumab (15 mg/kg každé 3 týždne) podávaný samostatne až do progresie ochorenia alebo do neakceptovateľnej toxicity.</w:t>
      </w:r>
    </w:p>
    <w:p w14:paraId="49BE291E" w14:textId="77777777" w:rsidR="009C4600" w:rsidRPr="00F37D4D" w:rsidRDefault="009C4600" w:rsidP="00F64BF9">
      <w:pPr>
        <w:spacing w:line="240" w:lineRule="auto"/>
        <w:rPr>
          <w:szCs w:val="22"/>
        </w:rPr>
      </w:pPr>
    </w:p>
    <w:p w14:paraId="1F3C302E" w14:textId="77777777" w:rsidR="009C4600" w:rsidRPr="00F37D4D" w:rsidRDefault="00BE7CB1" w:rsidP="00F64BF9">
      <w:pPr>
        <w:spacing w:line="240" w:lineRule="auto"/>
        <w:rPr>
          <w:szCs w:val="22"/>
        </w:rPr>
      </w:pPr>
      <w:r>
        <w:t>Väčšina pacientov v oboch skupinách s CP (80,4 %) a v skupine s CPB (78,9 %) boli belosi. Medián veku bol v skupine s CP 60,0 rokov a v skupine s CPB 59,0 rokov. Väčšina pacientov (CP: 64,6 %; CPB: 68,8 %) bola vo veku &lt; 65 rokov. Väčšina pacientov v oboch liečených skupinách mala východiskové skóre GOG PS 0 (82,4 % v CP; 80,7 % v CPB) alebo 1 (16,7 % v CP; 18,1 % v CPB). Východiskové skóre GOG PS 2 bolo hlásené u 0,9 % pacientov v skupine CP a u 1,2 % pacientov v skupine s CPB.</w:t>
      </w:r>
    </w:p>
    <w:p w14:paraId="631104BD" w14:textId="77777777" w:rsidR="009C4600" w:rsidRPr="00F37D4D" w:rsidRDefault="009C4600" w:rsidP="00F64BF9">
      <w:pPr>
        <w:spacing w:line="240" w:lineRule="auto"/>
        <w:rPr>
          <w:szCs w:val="22"/>
        </w:rPr>
      </w:pPr>
    </w:p>
    <w:p w14:paraId="1EEFB110" w14:textId="77777777" w:rsidR="009C4600" w:rsidRPr="00F37D4D" w:rsidRDefault="00BE7CB1" w:rsidP="00F64BF9">
      <w:pPr>
        <w:spacing w:line="240" w:lineRule="auto"/>
        <w:rPr>
          <w:szCs w:val="22"/>
        </w:rPr>
      </w:pPr>
      <w:r>
        <w:t>Primárny koncový ukazovateľ bolo celkové prežívanie (OS). Hlavným sekundárnym koncovým ukazovateľom bolo prežívanie bez progresie ochorenia (PFS). Výsledky sú uvedené v tabuľke 22.</w:t>
      </w:r>
    </w:p>
    <w:p w14:paraId="6C686397" w14:textId="77777777" w:rsidR="009C4600" w:rsidRPr="00F37D4D" w:rsidRDefault="009C4600" w:rsidP="00755C59">
      <w:pPr>
        <w:widowControl w:val="0"/>
        <w:spacing w:line="240" w:lineRule="auto"/>
        <w:rPr>
          <w:szCs w:val="22"/>
        </w:rPr>
      </w:pPr>
    </w:p>
    <w:p w14:paraId="7BC17B35" w14:textId="77777777" w:rsidR="009C4600" w:rsidRPr="006C53C7" w:rsidRDefault="00BE7CB1" w:rsidP="00755C59">
      <w:pPr>
        <w:widowControl w:val="0"/>
        <w:spacing w:line="240" w:lineRule="auto"/>
        <w:rPr>
          <w:b/>
          <w:bCs/>
        </w:rPr>
      </w:pPr>
      <w:r>
        <w:rPr>
          <w:b/>
        </w:rPr>
        <w:t xml:space="preserve">Tabuľka 22. Výsledky účinnosti </w:t>
      </w:r>
      <w:r w:rsidRPr="006C53C7">
        <w:rPr>
          <w:b/>
          <w:bCs/>
          <w:vertAlign w:val="superscript"/>
        </w:rPr>
        <w:t>1,2</w:t>
      </w:r>
      <w:r>
        <w:rPr>
          <w:b/>
        </w:rPr>
        <w:t xml:space="preserve"> zo štúdie GOG-0213</w:t>
      </w:r>
    </w:p>
    <w:p w14:paraId="48A09B10" w14:textId="77777777" w:rsidR="009C4600" w:rsidRPr="006C53C7" w:rsidRDefault="009C4600" w:rsidP="00755C5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F37D4D" w14:paraId="6EE9017A"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4698390" w14:textId="77777777" w:rsidR="009C4600" w:rsidRPr="00F37D4D" w:rsidRDefault="00BE7CB1" w:rsidP="00755C59">
            <w:pPr>
              <w:pStyle w:val="TABLES"/>
              <w:ind w:left="57" w:right="57"/>
            </w:pPr>
            <w:r>
              <w:t>Primárny koncový ukazovateľ</w:t>
            </w:r>
          </w:p>
        </w:tc>
      </w:tr>
      <w:tr w:rsidR="00741586" w:rsidRPr="00F37D4D" w14:paraId="7F44E2E4"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7BEAA12C" w14:textId="77777777" w:rsidR="009C4600" w:rsidRPr="00F37D4D" w:rsidRDefault="00BE7CB1" w:rsidP="00755C59">
            <w:pPr>
              <w:pStyle w:val="TABLES"/>
              <w:ind w:left="567" w:right="57"/>
            </w:pPr>
            <w:r>
              <w:t>Celkové prežívanie (OS)</w:t>
            </w:r>
          </w:p>
        </w:tc>
        <w:tc>
          <w:tcPr>
            <w:tcW w:w="847" w:type="pct"/>
            <w:tcBorders>
              <w:top w:val="single" w:sz="4" w:space="0" w:color="000000"/>
              <w:left w:val="single" w:sz="4" w:space="0" w:color="000000"/>
              <w:bottom w:val="single" w:sz="4" w:space="0" w:color="000000"/>
              <w:right w:val="single" w:sz="4" w:space="0" w:color="000000"/>
            </w:tcBorders>
            <w:hideMark/>
          </w:tcPr>
          <w:p w14:paraId="73361EED" w14:textId="77777777" w:rsidR="009C4600" w:rsidRPr="00F37D4D" w:rsidRDefault="00BE7CB1" w:rsidP="00755C59">
            <w:pPr>
              <w:pStyle w:val="TABLES"/>
              <w:ind w:left="57" w:right="57"/>
              <w:jc w:val="center"/>
            </w:pPr>
            <w:r>
              <w:t>CP</w:t>
            </w:r>
          </w:p>
          <w:p w14:paraId="7E4D535E" w14:textId="77777777" w:rsidR="009C4600" w:rsidRPr="00F37D4D" w:rsidRDefault="00BE7CB1" w:rsidP="00755C59">
            <w:pPr>
              <w:pStyle w:val="TABLES"/>
              <w:ind w:left="57" w:right="57"/>
              <w:jc w:val="center"/>
            </w:pPr>
            <w:r>
              <w:t>(n = 336)</w:t>
            </w:r>
          </w:p>
        </w:tc>
        <w:tc>
          <w:tcPr>
            <w:tcW w:w="847" w:type="pct"/>
            <w:tcBorders>
              <w:top w:val="single" w:sz="4" w:space="0" w:color="000000"/>
              <w:left w:val="single" w:sz="4" w:space="0" w:color="000000"/>
              <w:bottom w:val="single" w:sz="4" w:space="0" w:color="000000"/>
              <w:right w:val="single" w:sz="4" w:space="0" w:color="000000"/>
            </w:tcBorders>
            <w:hideMark/>
          </w:tcPr>
          <w:p w14:paraId="7784454A" w14:textId="77777777" w:rsidR="00F92AC6" w:rsidRPr="00F37D4D" w:rsidRDefault="00BE7CB1" w:rsidP="00755C59">
            <w:pPr>
              <w:pStyle w:val="TABLES"/>
              <w:ind w:left="57" w:right="57"/>
              <w:jc w:val="center"/>
            </w:pPr>
            <w:r>
              <w:t>CPB</w:t>
            </w:r>
          </w:p>
          <w:p w14:paraId="286329BC" w14:textId="77777777" w:rsidR="009C4600" w:rsidRPr="00F37D4D" w:rsidRDefault="00BE7CB1" w:rsidP="00755C59">
            <w:pPr>
              <w:pStyle w:val="TABLES"/>
              <w:ind w:left="57" w:right="57"/>
              <w:jc w:val="center"/>
            </w:pPr>
            <w:r>
              <w:t>(n = 337)</w:t>
            </w:r>
          </w:p>
        </w:tc>
      </w:tr>
      <w:tr w:rsidR="00741586" w:rsidRPr="00F37D4D" w14:paraId="26F6D0AF"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0C13D9E" w14:textId="77777777" w:rsidR="009C4600" w:rsidRPr="00F37D4D" w:rsidRDefault="00BE7CB1" w:rsidP="00755C59">
            <w:pPr>
              <w:pStyle w:val="TABLES"/>
              <w:ind w:left="567" w:right="57"/>
            </w:pPr>
            <w:r>
              <w:t>Medián OS (mesiace)</w:t>
            </w:r>
          </w:p>
        </w:tc>
        <w:tc>
          <w:tcPr>
            <w:tcW w:w="847" w:type="pct"/>
            <w:tcBorders>
              <w:top w:val="single" w:sz="4" w:space="0" w:color="000000"/>
              <w:left w:val="single" w:sz="4" w:space="0" w:color="000000"/>
              <w:bottom w:val="single" w:sz="4" w:space="0" w:color="000000"/>
              <w:right w:val="single" w:sz="4" w:space="0" w:color="000000"/>
            </w:tcBorders>
            <w:hideMark/>
          </w:tcPr>
          <w:p w14:paraId="60658261" w14:textId="77777777" w:rsidR="009C4600" w:rsidRPr="00F37D4D" w:rsidRDefault="00BE7CB1" w:rsidP="00755C59">
            <w:pPr>
              <w:pStyle w:val="TABLES"/>
              <w:ind w:left="57" w:right="57"/>
              <w:jc w:val="center"/>
            </w:pPr>
            <w:r>
              <w:t>37,3</w:t>
            </w:r>
          </w:p>
        </w:tc>
        <w:tc>
          <w:tcPr>
            <w:tcW w:w="847" w:type="pct"/>
            <w:tcBorders>
              <w:top w:val="single" w:sz="4" w:space="0" w:color="000000"/>
              <w:left w:val="single" w:sz="4" w:space="0" w:color="000000"/>
              <w:bottom w:val="single" w:sz="4" w:space="0" w:color="000000"/>
              <w:right w:val="single" w:sz="4" w:space="0" w:color="000000"/>
            </w:tcBorders>
            <w:hideMark/>
          </w:tcPr>
          <w:p w14:paraId="3147B4FB" w14:textId="77777777" w:rsidR="009C4600" w:rsidRPr="00F37D4D" w:rsidRDefault="00BE7CB1" w:rsidP="00755C59">
            <w:pPr>
              <w:pStyle w:val="TABLES"/>
              <w:ind w:left="57" w:right="57"/>
              <w:jc w:val="center"/>
            </w:pPr>
            <w:r>
              <w:t>42,6</w:t>
            </w:r>
          </w:p>
        </w:tc>
      </w:tr>
      <w:tr w:rsidR="00741586" w:rsidRPr="00F37D4D" w14:paraId="7AEAF6BB"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65B098B2" w14:textId="77777777" w:rsidR="009C4600" w:rsidRPr="005973AB" w:rsidRDefault="00BE7CB1" w:rsidP="00755C59">
            <w:pPr>
              <w:pStyle w:val="TABLES"/>
              <w:ind w:left="567" w:right="57"/>
            </w:pPr>
            <w:r>
              <w:t>Miera rizika (95 % I</w:t>
            </w:r>
            <w:r w:rsidR="00C17538">
              <w:t>S</w:t>
            </w:r>
            <w:r>
              <w:t>) (eCRF)</w:t>
            </w:r>
            <w:r w:rsidR="00C0589E" w:rsidRPr="005973AB">
              <w:rPr>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42DEDDAC" w14:textId="77777777" w:rsidR="009C4600" w:rsidRPr="00F37D4D" w:rsidRDefault="00BE7CB1" w:rsidP="00755C59">
            <w:pPr>
              <w:pStyle w:val="TABLES"/>
              <w:ind w:left="57" w:right="57"/>
              <w:jc w:val="center"/>
            </w:pPr>
            <w:r>
              <w:t>0,823 [IS: 0,680; 0,996]</w:t>
            </w:r>
          </w:p>
        </w:tc>
      </w:tr>
      <w:tr w:rsidR="00741586" w:rsidRPr="00F37D4D" w14:paraId="44D49663"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3086FAD" w14:textId="77777777" w:rsidR="009C4600" w:rsidRPr="00F37D4D" w:rsidRDefault="00BE7CB1" w:rsidP="00755C59">
            <w:pPr>
              <w:pStyle w:val="TABLES"/>
              <w:ind w:left="567" w:right="57"/>
            </w:pPr>
            <w:r>
              <w:t>p-hodnota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5B1108C" w14:textId="77777777" w:rsidR="009C4600" w:rsidRPr="00F37D4D" w:rsidRDefault="00BE7CB1" w:rsidP="00755C59">
            <w:pPr>
              <w:pStyle w:val="TABLES"/>
              <w:ind w:left="57" w:right="57"/>
              <w:jc w:val="center"/>
            </w:pPr>
            <w:r>
              <w:t>0,0447</w:t>
            </w:r>
          </w:p>
        </w:tc>
      </w:tr>
      <w:tr w:rsidR="00741586" w:rsidRPr="00F37D4D" w14:paraId="7C99745D"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9A3167" w14:textId="77777777" w:rsidR="009C4600" w:rsidRPr="00F37D4D" w:rsidRDefault="00BE7CB1" w:rsidP="00755C59">
            <w:pPr>
              <w:pStyle w:val="TABLES"/>
              <w:ind w:left="567" w:right="57"/>
            </w:pPr>
            <w:r>
              <w:t>Miera rizika (95 % I</w:t>
            </w:r>
            <w:r w:rsidR="00C17538">
              <w:t>S</w:t>
            </w:r>
            <w:r>
              <w:t>) (registračný formulár)</w:t>
            </w:r>
            <w:r w:rsidR="00C0589E" w:rsidRPr="00F37D4D">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866034C" w14:textId="77777777" w:rsidR="009C4600" w:rsidRPr="00F37D4D" w:rsidRDefault="00BE7CB1" w:rsidP="00755C59">
            <w:pPr>
              <w:pStyle w:val="TABLES"/>
              <w:ind w:left="57" w:right="57"/>
              <w:jc w:val="center"/>
            </w:pPr>
            <w:r>
              <w:t>0,838 [IS: 0,693; 1,014]</w:t>
            </w:r>
          </w:p>
        </w:tc>
      </w:tr>
      <w:tr w:rsidR="00741586" w:rsidRPr="00F37D4D" w14:paraId="793579F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6121A6F" w14:textId="77777777" w:rsidR="009C4600" w:rsidRPr="00F37D4D" w:rsidRDefault="00BE7CB1" w:rsidP="00755C59">
            <w:pPr>
              <w:pStyle w:val="TABLES"/>
              <w:ind w:left="567" w:right="57"/>
            </w:pPr>
            <w:r>
              <w:t>p-hodnota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F8CD78A" w14:textId="77777777" w:rsidR="009C4600" w:rsidRPr="00F37D4D" w:rsidRDefault="00BE7CB1" w:rsidP="00755C59">
            <w:pPr>
              <w:pStyle w:val="TABLES"/>
              <w:ind w:left="57" w:right="57"/>
              <w:jc w:val="center"/>
            </w:pPr>
            <w:r>
              <w:t>0,0683</w:t>
            </w:r>
          </w:p>
        </w:tc>
      </w:tr>
      <w:tr w:rsidR="00741586" w:rsidRPr="00F37D4D" w14:paraId="6E96154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395A2E0" w14:textId="77777777" w:rsidR="00C0589E" w:rsidRPr="00F37D4D" w:rsidRDefault="00BE7CB1" w:rsidP="00755C59">
            <w:pPr>
              <w:pStyle w:val="TABLES"/>
              <w:ind w:left="57" w:right="57"/>
            </w:pPr>
            <w:r>
              <w:t>Sekundárny koncový ukazovateľ</w:t>
            </w:r>
          </w:p>
        </w:tc>
      </w:tr>
      <w:tr w:rsidR="00741586" w:rsidRPr="00F37D4D" w14:paraId="33B0C68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EBA736D" w14:textId="77777777" w:rsidR="009C4600" w:rsidRPr="00F37D4D" w:rsidRDefault="00BE7CB1" w:rsidP="00755C59">
            <w:pPr>
              <w:pStyle w:val="TABLES"/>
              <w:ind w:left="567" w:right="57"/>
            </w:pPr>
            <w:r>
              <w:t>Prežívanie bez progresie ochorenia (PFS)</w:t>
            </w:r>
          </w:p>
        </w:tc>
        <w:tc>
          <w:tcPr>
            <w:tcW w:w="847" w:type="pct"/>
            <w:tcBorders>
              <w:top w:val="single" w:sz="4" w:space="0" w:color="000000"/>
              <w:left w:val="single" w:sz="4" w:space="0" w:color="000000"/>
              <w:bottom w:val="single" w:sz="4" w:space="0" w:color="000000"/>
              <w:right w:val="single" w:sz="4" w:space="0" w:color="000000"/>
            </w:tcBorders>
            <w:hideMark/>
          </w:tcPr>
          <w:p w14:paraId="21EAC62F" w14:textId="77777777" w:rsidR="009C4600" w:rsidRPr="00F37D4D" w:rsidRDefault="00BE7CB1" w:rsidP="00755C59">
            <w:pPr>
              <w:pStyle w:val="TABLES"/>
              <w:ind w:left="57" w:right="57"/>
              <w:jc w:val="center"/>
            </w:pPr>
            <w:r>
              <w:t>CP</w:t>
            </w:r>
          </w:p>
          <w:p w14:paraId="46C1CBA5" w14:textId="77777777" w:rsidR="009C4600" w:rsidRPr="00F37D4D" w:rsidRDefault="00BE7CB1" w:rsidP="00755C59">
            <w:pPr>
              <w:pStyle w:val="TABLES"/>
              <w:ind w:left="57" w:right="57"/>
              <w:jc w:val="center"/>
            </w:pPr>
            <w:r>
              <w:t>(n = 336)</w:t>
            </w:r>
          </w:p>
        </w:tc>
        <w:tc>
          <w:tcPr>
            <w:tcW w:w="847" w:type="pct"/>
            <w:tcBorders>
              <w:top w:val="single" w:sz="4" w:space="0" w:color="000000"/>
              <w:left w:val="single" w:sz="4" w:space="0" w:color="000000"/>
              <w:bottom w:val="single" w:sz="4" w:space="0" w:color="000000"/>
              <w:right w:val="single" w:sz="4" w:space="0" w:color="000000"/>
            </w:tcBorders>
            <w:hideMark/>
          </w:tcPr>
          <w:p w14:paraId="13AE593A" w14:textId="77777777" w:rsidR="00F92AC6" w:rsidRPr="00F37D4D" w:rsidRDefault="00BE7CB1" w:rsidP="00755C59">
            <w:pPr>
              <w:pStyle w:val="TABLES"/>
              <w:ind w:left="57" w:right="57"/>
              <w:jc w:val="center"/>
            </w:pPr>
            <w:r>
              <w:t>CPB</w:t>
            </w:r>
          </w:p>
          <w:p w14:paraId="22A1C935" w14:textId="77777777" w:rsidR="009C4600" w:rsidRPr="00F37D4D" w:rsidRDefault="00BE7CB1" w:rsidP="00755C59">
            <w:pPr>
              <w:pStyle w:val="TABLES"/>
              <w:ind w:left="57" w:right="57"/>
              <w:jc w:val="center"/>
            </w:pPr>
            <w:r>
              <w:t>(n = 337)</w:t>
            </w:r>
          </w:p>
        </w:tc>
      </w:tr>
      <w:tr w:rsidR="00741586" w:rsidRPr="00F37D4D" w14:paraId="75FC2B0F"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FBC0AF2" w14:textId="77777777" w:rsidR="009C4600" w:rsidRPr="00F37D4D" w:rsidRDefault="00BE7CB1" w:rsidP="00755C59">
            <w:pPr>
              <w:pStyle w:val="TABLES"/>
              <w:ind w:left="567" w:right="57"/>
            </w:pPr>
            <w:r>
              <w:t>Medián PFS (mesiace)</w:t>
            </w:r>
          </w:p>
        </w:tc>
        <w:tc>
          <w:tcPr>
            <w:tcW w:w="847" w:type="pct"/>
            <w:tcBorders>
              <w:top w:val="single" w:sz="4" w:space="0" w:color="000000"/>
              <w:left w:val="single" w:sz="4" w:space="0" w:color="000000"/>
              <w:bottom w:val="single" w:sz="4" w:space="0" w:color="000000"/>
              <w:right w:val="single" w:sz="4" w:space="0" w:color="000000"/>
            </w:tcBorders>
            <w:hideMark/>
          </w:tcPr>
          <w:p w14:paraId="0BFCB5B7" w14:textId="77777777" w:rsidR="009C4600" w:rsidRPr="00F37D4D" w:rsidRDefault="00BE7CB1" w:rsidP="00755C59">
            <w:pPr>
              <w:pStyle w:val="TABLES"/>
              <w:ind w:left="57" w:right="57"/>
              <w:jc w:val="center"/>
            </w:pPr>
            <w:r>
              <w:t>10,2</w:t>
            </w:r>
          </w:p>
        </w:tc>
        <w:tc>
          <w:tcPr>
            <w:tcW w:w="847" w:type="pct"/>
            <w:tcBorders>
              <w:top w:val="single" w:sz="4" w:space="0" w:color="000000"/>
              <w:left w:val="single" w:sz="4" w:space="0" w:color="000000"/>
              <w:bottom w:val="single" w:sz="4" w:space="0" w:color="000000"/>
              <w:right w:val="single" w:sz="4" w:space="0" w:color="000000"/>
            </w:tcBorders>
            <w:hideMark/>
          </w:tcPr>
          <w:p w14:paraId="78D3F21D" w14:textId="77777777" w:rsidR="009C4600" w:rsidRPr="00F37D4D" w:rsidRDefault="00BE7CB1" w:rsidP="00755C59">
            <w:pPr>
              <w:pStyle w:val="TABLES"/>
              <w:ind w:left="57" w:right="57"/>
              <w:jc w:val="center"/>
            </w:pPr>
            <w:r>
              <w:t>13,8</w:t>
            </w:r>
          </w:p>
        </w:tc>
      </w:tr>
      <w:tr w:rsidR="00741586" w:rsidRPr="00F37D4D" w14:paraId="721B7AF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660CC746" w14:textId="77777777" w:rsidR="009C4600" w:rsidRPr="00F37D4D" w:rsidRDefault="00BE7CB1" w:rsidP="00755C59">
            <w:pPr>
              <w:pStyle w:val="TABLES"/>
              <w:ind w:left="567" w:right="57"/>
            </w:pPr>
            <w:r>
              <w:t>Miera rizika (95 % I</w:t>
            </w:r>
            <w:r w:rsidR="00C17538">
              <w:t>S</w:t>
            </w:r>
            <w:r>
              <w:t>)</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345A6C4" w14:textId="77777777" w:rsidR="009C4600" w:rsidRPr="00F37D4D" w:rsidRDefault="00BE7CB1" w:rsidP="00755C59">
            <w:pPr>
              <w:pStyle w:val="TABLES"/>
              <w:ind w:left="57" w:right="57"/>
              <w:jc w:val="center"/>
            </w:pPr>
            <w:r>
              <w:t>0,613 [I</w:t>
            </w:r>
            <w:r w:rsidR="00C17538">
              <w:t>S</w:t>
            </w:r>
            <w:r>
              <w:t>: 0,521; 0,721]</w:t>
            </w:r>
          </w:p>
        </w:tc>
      </w:tr>
      <w:tr w:rsidR="00741586" w:rsidRPr="00F37D4D" w14:paraId="514CE60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349B77E" w14:textId="77777777" w:rsidR="009C4600" w:rsidRPr="00F37D4D" w:rsidRDefault="00BE7CB1" w:rsidP="00755C59">
            <w:pPr>
              <w:pStyle w:val="TABLES"/>
              <w:ind w:left="567" w:right="57"/>
            </w:pPr>
            <w:r>
              <w:t>p-hodnota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E111B30" w14:textId="77777777" w:rsidR="009C4600" w:rsidRPr="00F37D4D" w:rsidRDefault="00BE7CB1" w:rsidP="00755C59">
            <w:pPr>
              <w:pStyle w:val="TABLES"/>
              <w:ind w:left="57" w:right="57"/>
              <w:jc w:val="center"/>
            </w:pPr>
            <w:r>
              <w:t>&lt; 0,0001</w:t>
            </w:r>
          </w:p>
        </w:tc>
      </w:tr>
    </w:tbl>
    <w:p w14:paraId="0E21F32A" w14:textId="77777777" w:rsidR="009C4600" w:rsidRPr="006C53C7" w:rsidRDefault="00BE7CB1" w:rsidP="00755C59">
      <w:pPr>
        <w:widowControl w:val="0"/>
        <w:spacing w:line="240" w:lineRule="auto"/>
        <w:rPr>
          <w:sz w:val="20"/>
        </w:rPr>
      </w:pPr>
      <w:r>
        <w:rPr>
          <w:sz w:val="20"/>
          <w:vertAlign w:val="superscript"/>
        </w:rPr>
        <w:lastRenderedPageBreak/>
        <w:t>1</w:t>
      </w:r>
      <w:r w:rsidR="00C17538">
        <w:rPr>
          <w:sz w:val="20"/>
          <w:vertAlign w:val="superscript"/>
        </w:rPr>
        <w:t xml:space="preserve"> </w:t>
      </w:r>
      <w:r>
        <w:rPr>
          <w:sz w:val="20"/>
        </w:rPr>
        <w:t>Finálna analýza</w:t>
      </w:r>
    </w:p>
    <w:p w14:paraId="477A4A74" w14:textId="77777777" w:rsidR="009C4600" w:rsidRPr="006C53C7" w:rsidRDefault="00BE7CB1" w:rsidP="00755C59">
      <w:pPr>
        <w:widowControl w:val="0"/>
        <w:spacing w:line="240" w:lineRule="auto"/>
        <w:rPr>
          <w:sz w:val="20"/>
        </w:rPr>
      </w:pPr>
      <w:r>
        <w:rPr>
          <w:sz w:val="20"/>
          <w:vertAlign w:val="superscript"/>
        </w:rPr>
        <w:t>2</w:t>
      </w:r>
      <w:r w:rsidR="00C17538">
        <w:rPr>
          <w:sz w:val="20"/>
          <w:vertAlign w:val="superscript"/>
        </w:rPr>
        <w:t xml:space="preserve"> </w:t>
      </w:r>
      <w:r>
        <w:rPr>
          <w:spacing w:val="-2"/>
          <w:sz w:val="20"/>
        </w:rPr>
        <w:t>Hodnotenie tumoru a odpovede na liečbu stanovili skúšajúci použitím kritérií GOG RECIST (Revidovaná verzia odporúčaní na hodnotenie tumorov RECIST (verzia 1.1). Eur J Cancer. 2009;45:228Y247).</w:t>
      </w:r>
    </w:p>
    <w:p w14:paraId="398726D2" w14:textId="77777777" w:rsidR="009C4600" w:rsidRPr="001672DF" w:rsidRDefault="00BE7CB1" w:rsidP="00755C59">
      <w:pPr>
        <w:widowControl w:val="0"/>
        <w:spacing w:line="240" w:lineRule="auto"/>
        <w:rPr>
          <w:sz w:val="20"/>
        </w:rPr>
      </w:pPr>
      <w:r w:rsidRPr="001672DF">
        <w:rPr>
          <w:spacing w:val="-1"/>
          <w:sz w:val="20"/>
          <w:vertAlign w:val="superscript"/>
        </w:rPr>
        <w:t>a</w:t>
      </w:r>
      <w:r w:rsidRPr="001672DF">
        <w:rPr>
          <w:sz w:val="20"/>
          <w:vertAlign w:val="superscript"/>
        </w:rPr>
        <w:t xml:space="preserve"> </w:t>
      </w:r>
      <w:r w:rsidR="00C17538">
        <w:rPr>
          <w:sz w:val="20"/>
          <w:vertAlign w:val="superscript"/>
        </w:rPr>
        <w:t xml:space="preserve"> </w:t>
      </w:r>
      <w:r w:rsidRPr="001672DF">
        <w:rPr>
          <w:sz w:val="20"/>
        </w:rPr>
        <w:t>Miera rizika sa odhadovala pomocou Coxového modelu proporčného rizika stratifikovaného podľa dĺžky obdobia bez liečby platinou pred zaradením do štúdie, podľa eCRF (elektronická verzia Case Report Form) a sekundárne podľa chirurgického zmenšenia nádoru s odpoveďou Áno/Nie (Áno=randomizovaný podstúpiť cytoredukciu alebo randomizovaný nepodstúpiť cytoredukciu; Nie= nevhodný adept alebo nesúhlasil s cytoredukciou).</w:t>
      </w:r>
    </w:p>
    <w:p w14:paraId="10E92899" w14:textId="77777777" w:rsidR="009C4600" w:rsidRPr="006C53C7" w:rsidRDefault="00BE7CB1" w:rsidP="00755C59">
      <w:pPr>
        <w:widowControl w:val="0"/>
        <w:spacing w:line="240" w:lineRule="auto"/>
        <w:rPr>
          <w:sz w:val="20"/>
        </w:rPr>
      </w:pPr>
      <w:r>
        <w:rPr>
          <w:sz w:val="20"/>
          <w:vertAlign w:val="superscript"/>
        </w:rPr>
        <w:t>b</w:t>
      </w:r>
      <w:r>
        <w:rPr>
          <w:sz w:val="20"/>
        </w:rPr>
        <w:t xml:space="preserve"> stratifikovaný podľa dĺžky bez liečby pred zaradením do tejto štúdie podľa registračného formulára a stavu sekundárneho chirurgického zmenšenia nádoru Áno/Nie.</w:t>
      </w:r>
    </w:p>
    <w:p w14:paraId="5BC7350C" w14:textId="77777777" w:rsidR="009C4600" w:rsidRPr="00F37D4D" w:rsidRDefault="009C4600" w:rsidP="00F64BF9">
      <w:pPr>
        <w:spacing w:line="240" w:lineRule="auto"/>
        <w:rPr>
          <w:szCs w:val="22"/>
        </w:rPr>
      </w:pPr>
    </w:p>
    <w:p w14:paraId="044AE16F" w14:textId="77777777" w:rsidR="009C4600" w:rsidRPr="00F37D4D" w:rsidRDefault="00BE7CB1" w:rsidP="00F64BF9">
      <w:pPr>
        <w:spacing w:line="240" w:lineRule="auto"/>
        <w:rPr>
          <w:szCs w:val="22"/>
        </w:rPr>
      </w:pPr>
      <w:r>
        <w:t xml:space="preserve">Skúšanie dosiahlo primárny cieľ zlepšenia OS. Liečba bevacizumabom v dávke 15 mg/kg každé 3 týždne v kombinácii s chemoterapiou (karboplatina a paklitaxel) počas 6 až 8 cyklov, následne bevacizumabom do progresie ochorenia alebo do neakceptovateľnej toxicity znamenala, podľa údajov získaných z eCRF, klinicky a štatisticky významné zlepšenie OS v porovnaní s liečbou karboplatinou a paklitaxelom samotným. </w:t>
      </w:r>
    </w:p>
    <w:p w14:paraId="47B70B28" w14:textId="77777777" w:rsidR="00FF4262" w:rsidRDefault="00FF4262" w:rsidP="00F64BF9">
      <w:pPr>
        <w:pStyle w:val="Default"/>
        <w:rPr>
          <w:color w:val="auto"/>
          <w:sz w:val="22"/>
          <w:szCs w:val="22"/>
        </w:rPr>
      </w:pPr>
    </w:p>
    <w:p w14:paraId="5433E156" w14:textId="77777777" w:rsidR="00FF4262" w:rsidRDefault="00FF4262" w:rsidP="00F64BF9">
      <w:pPr>
        <w:keepNext/>
        <w:spacing w:line="240" w:lineRule="auto"/>
        <w:rPr>
          <w:i/>
          <w:iCs/>
          <w:szCs w:val="22"/>
        </w:rPr>
      </w:pPr>
      <w:r>
        <w:rPr>
          <w:i/>
        </w:rPr>
        <w:t>MO22224</w:t>
      </w:r>
    </w:p>
    <w:p w14:paraId="655877FB" w14:textId="77777777" w:rsidR="00BE114A" w:rsidRPr="00FF4262" w:rsidRDefault="00BE114A" w:rsidP="00F64BF9">
      <w:pPr>
        <w:keepNext/>
        <w:spacing w:line="240" w:lineRule="auto"/>
        <w:rPr>
          <w:i/>
          <w:iCs/>
          <w:szCs w:val="22"/>
        </w:rPr>
      </w:pPr>
    </w:p>
    <w:p w14:paraId="0DFFCCED" w14:textId="77777777" w:rsidR="00FF4262" w:rsidRDefault="00FF4262" w:rsidP="00F64BF9">
      <w:pPr>
        <w:spacing w:line="240" w:lineRule="auto"/>
        <w:rPr>
          <w:szCs w:val="22"/>
        </w:rPr>
      </w:pPr>
      <w:r>
        <w:t>Štúdia MO22224 hodnotila bezpečnosť a účinnosť bevacizumabu v kombinácii s chemoterapiou v liečbe recidivujúceho epiteliálneho karcinómu vaječníkov, Fallopiovej trubice alebo primárneho peritoneálneho karcinómu rezistentného na platinu. Táto štúdia bola dizajnovaná ako otvorená, randomizovaná štúdia fázy III s dvomi skupinami hodnotiaca bevacizumab plus chemoterapiu (CT+BV) oproti samotnej chemoterapii (CT).</w:t>
      </w:r>
    </w:p>
    <w:p w14:paraId="2965536D" w14:textId="77777777" w:rsidR="00FF4262" w:rsidRDefault="00FF4262" w:rsidP="00F64BF9">
      <w:pPr>
        <w:spacing w:line="240" w:lineRule="auto"/>
        <w:rPr>
          <w:szCs w:val="22"/>
        </w:rPr>
      </w:pPr>
    </w:p>
    <w:p w14:paraId="2F3E4056" w14:textId="77777777" w:rsidR="00FF4262" w:rsidRDefault="00FF4262" w:rsidP="00F64BF9">
      <w:pPr>
        <w:spacing w:line="240" w:lineRule="auto"/>
        <w:rPr>
          <w:szCs w:val="22"/>
        </w:rPr>
      </w:pPr>
      <w:r>
        <w:t>Do tejto štúdie bolo zaradených celkovo 361 pacientov a bola im podávaná chemoterapia (paklitaxel, topotekán alebo pegylovaný lipozomálny doxorubicín (PLD)) buď samotná, alebo v kombinácii s bevacizumabom:</w:t>
      </w:r>
    </w:p>
    <w:p w14:paraId="0236DE84" w14:textId="77777777" w:rsidR="00FF4262" w:rsidRDefault="00FF4262" w:rsidP="00F64BF9">
      <w:pPr>
        <w:spacing w:line="240" w:lineRule="auto"/>
        <w:rPr>
          <w:szCs w:val="22"/>
        </w:rPr>
      </w:pPr>
    </w:p>
    <w:p w14:paraId="0E031512" w14:textId="77777777" w:rsidR="00FF4262" w:rsidRDefault="00FF4262" w:rsidP="00F64BF9">
      <w:pPr>
        <w:spacing w:line="240" w:lineRule="auto"/>
        <w:rPr>
          <w:szCs w:val="22"/>
        </w:rPr>
      </w:pPr>
      <w:r>
        <w:t>Skupina CT (samotná chemoterapia):</w:t>
      </w:r>
    </w:p>
    <w:p w14:paraId="274BFFFA" w14:textId="77777777" w:rsidR="00FF4262" w:rsidRPr="00FF4262" w:rsidRDefault="00FF4262" w:rsidP="0033150F">
      <w:pPr>
        <w:pStyle w:val="ListParagraph"/>
        <w:numPr>
          <w:ilvl w:val="0"/>
          <w:numId w:val="28"/>
        </w:numPr>
        <w:ind w:left="567" w:hanging="567"/>
      </w:pPr>
      <w:r>
        <w:t>Paklitaxel 80 mg/m</w:t>
      </w:r>
      <w:r w:rsidRPr="00FF4262">
        <w:rPr>
          <w:vertAlign w:val="superscript"/>
        </w:rPr>
        <w:t>2</w:t>
      </w:r>
      <w:r>
        <w:t xml:space="preserve"> ako 1 hodinová intravenózna infúzia v 1., 8., 15. a 22. deň každé 4 týždne.</w:t>
      </w:r>
    </w:p>
    <w:p w14:paraId="29A7D949" w14:textId="77777777" w:rsidR="00FF4262" w:rsidRPr="00242536" w:rsidRDefault="00FF4262" w:rsidP="0033150F">
      <w:pPr>
        <w:pStyle w:val="ListParagraph"/>
        <w:numPr>
          <w:ilvl w:val="0"/>
          <w:numId w:val="28"/>
        </w:numPr>
        <w:ind w:left="567" w:hanging="567"/>
      </w:pPr>
      <w:r>
        <w:t>Topotekán 4 mg/m</w:t>
      </w:r>
      <w:r w:rsidRPr="00502937">
        <w:rPr>
          <w:vertAlign w:val="superscript"/>
        </w:rPr>
        <w:t>2</w:t>
      </w:r>
      <w:r>
        <w:t xml:space="preserve"> ako 30 minútová intravenózna infúzia v 1., 8. a 15. deň každé 4 týždne. Alternatívne sa mohla podať dávka 1,25 mg/m</w:t>
      </w:r>
      <w:r w:rsidRPr="005129B0">
        <w:rPr>
          <w:vertAlign w:val="superscript"/>
        </w:rPr>
        <w:t>2</w:t>
      </w:r>
      <w:r>
        <w:t xml:space="preserve"> počas 30 minút intravenózne v 1.-5. deň každé 3 týždne.</w:t>
      </w:r>
    </w:p>
    <w:p w14:paraId="27479997" w14:textId="77777777" w:rsidR="00FF4262" w:rsidRPr="00E27EEA" w:rsidRDefault="00FF4262" w:rsidP="0033150F">
      <w:pPr>
        <w:pStyle w:val="ListParagraph"/>
        <w:numPr>
          <w:ilvl w:val="0"/>
          <w:numId w:val="28"/>
        </w:numPr>
        <w:ind w:left="567" w:hanging="567"/>
      </w:pPr>
      <w:r>
        <w:t>PLD 40 mg/m</w:t>
      </w:r>
      <w:r w:rsidRPr="00BA439C">
        <w:rPr>
          <w:vertAlign w:val="superscript"/>
        </w:rPr>
        <w:t>2</w:t>
      </w:r>
      <w:r>
        <w:t xml:space="preserve"> vo forme intravenóznej infúzie s rýchlosťou 1 mg/min iba na 1. deň každé 4 týždne. Po 1. cykle sa liečivo mohlo podávať ako 1-hodinová infúzia.</w:t>
      </w:r>
    </w:p>
    <w:p w14:paraId="00DC080E" w14:textId="77777777" w:rsidR="00FF4262" w:rsidRPr="001902AC" w:rsidRDefault="00FF4262" w:rsidP="00F64BF9">
      <w:pPr>
        <w:spacing w:line="240" w:lineRule="auto"/>
        <w:rPr>
          <w:szCs w:val="22"/>
        </w:rPr>
      </w:pPr>
    </w:p>
    <w:p w14:paraId="142DBE88" w14:textId="77777777" w:rsidR="00FF4262" w:rsidRDefault="00FF4262" w:rsidP="00F64BF9">
      <w:pPr>
        <w:spacing w:line="240" w:lineRule="auto"/>
        <w:rPr>
          <w:szCs w:val="22"/>
        </w:rPr>
      </w:pPr>
      <w:r>
        <w:t>Skupina s CT + BV (chemoterapia plus bevacizumab):</w:t>
      </w:r>
    </w:p>
    <w:p w14:paraId="39F318C9" w14:textId="77777777" w:rsidR="00FF4262" w:rsidRPr="00FF4262" w:rsidRDefault="00FF4262" w:rsidP="0033150F">
      <w:pPr>
        <w:pStyle w:val="ListParagraph"/>
        <w:numPr>
          <w:ilvl w:val="0"/>
          <w:numId w:val="29"/>
        </w:numPr>
        <w:ind w:left="567" w:hanging="567"/>
      </w:pPr>
      <w:r>
        <w:t>Zvolená chemoterapia bola kombinovaná s bevacizumabom v dávke 10 mg/kg intravenózne.raz za 2 týždne (alebo s bevacizumabom v dávke 15 mg/kg raz za 3 týždne, ak sa použil v kombinácii s topotekánom v dávke 1,25 mg/m</w:t>
      </w:r>
      <w:r w:rsidRPr="00FF4262">
        <w:rPr>
          <w:vertAlign w:val="superscript"/>
        </w:rPr>
        <w:t>2</w:t>
      </w:r>
      <w:r>
        <w:t xml:space="preserve"> v 1.-5. deň každé 3 týždne).</w:t>
      </w:r>
    </w:p>
    <w:p w14:paraId="3E0AB0E5" w14:textId="77777777" w:rsidR="00FF4262" w:rsidRDefault="00FF4262" w:rsidP="00F64BF9">
      <w:pPr>
        <w:spacing w:line="240" w:lineRule="auto"/>
        <w:rPr>
          <w:szCs w:val="22"/>
        </w:rPr>
      </w:pPr>
    </w:p>
    <w:p w14:paraId="3B31297E" w14:textId="7AA5D3A3" w:rsidR="00FF4262" w:rsidRDefault="00FF4262" w:rsidP="00F64BF9">
      <w:pPr>
        <w:pStyle w:val="Default"/>
        <w:rPr>
          <w:color w:val="auto"/>
          <w:sz w:val="22"/>
          <w:szCs w:val="22"/>
        </w:rPr>
      </w:pPr>
      <w:r>
        <w:rPr>
          <w:color w:val="auto"/>
          <w:sz w:val="22"/>
        </w:rPr>
        <w:t xml:space="preserve">Pacienti vhodní na zaradenie do štúdie mali epiteliálny karcinóm vaječníkov, Fallopiovej trubice alebo primárny peritoneálny karcinóm, ktorý progredoval v priebehu &lt; 6 mesiacov od predchádzajúcej liečby platinou pozostávajúcej z minimálne 4 cyklov liečby s platinou. Pacienti mali mať očakávané prežitie ≥ 12 týždňov a pred zaradením do štúdie nesmeli mať rádioterapiu panvy alebo brucha. Väčšina pacientov mala štádium ochorenia FIGO IIIC alebo IV. Väčšina pacientov v oboch skupinách mala výkonnostný stav (performance status-ECOG PS) 0 (CT: 56,4 % oproti CT + BV: 61,2 %). Percento pacientov s ECOG PS 1 alebo ≥ 2 bolo 38,7 % a 5,0% v skupine CT, a 29,8 % a 9,0% v skupine CT + BV. Informácie o rase sú k dispozícii u 29,3 % pacientov a takmer všetci sú belosi. Medián veku pacientov bol 61,0 (rozsah 25-84) rokov. Celkovo 16 (4,4 %) pacientov bolo vo veku &gt; 75 rokov. Pomer prerušenia liečby vzhľadom na nežiaduce udalosti bol 8,8 % v skupine CT a 43,6 % v skupine CT + BV (väčšina nežiaducich udalostí bola 2. alebo 3. stupňa) a medián času do ukončenia liečby bol 5,2 mesiaca v skupine CT + BV v porovnaní s 2,4 mesiaca v skupine CT. Pomer prerušenia liečby pacientov vo veku </w:t>
      </w:r>
      <w:r w:rsidR="00267CF0" w:rsidRPr="00D13473">
        <w:rPr>
          <w:color w:val="auto"/>
          <w:sz w:val="22"/>
          <w:szCs w:val="22"/>
        </w:rPr>
        <w:t xml:space="preserve"> &gt; </w:t>
      </w:r>
      <w:r>
        <w:rPr>
          <w:color w:val="auto"/>
          <w:sz w:val="22"/>
        </w:rPr>
        <w:t> 65 rokov vzhľadom na nežiaduce udalosti bol 8,8 % v skupine CT a 50 % v skupine CT + BV. Miera rizika prežívania bez progresie bola 0,47 (95 % I</w:t>
      </w:r>
      <w:r w:rsidR="00B23EBC">
        <w:rPr>
          <w:color w:val="auto"/>
          <w:sz w:val="22"/>
        </w:rPr>
        <w:t>S</w:t>
      </w:r>
      <w:r>
        <w:rPr>
          <w:color w:val="auto"/>
          <w:sz w:val="22"/>
        </w:rPr>
        <w:t>: 0,35</w:t>
      </w:r>
      <w:r w:rsidR="00267CF0">
        <w:rPr>
          <w:color w:val="auto"/>
          <w:sz w:val="22"/>
        </w:rPr>
        <w:t>;</w:t>
      </w:r>
      <w:r>
        <w:rPr>
          <w:color w:val="auto"/>
          <w:sz w:val="22"/>
        </w:rPr>
        <w:t xml:space="preserve"> 0,62) v skupine pacientov &lt; 65 rokov a 0,45 (95 % I</w:t>
      </w:r>
      <w:r w:rsidR="00B23EBC">
        <w:rPr>
          <w:color w:val="auto"/>
          <w:sz w:val="22"/>
        </w:rPr>
        <w:t>S</w:t>
      </w:r>
      <w:r>
        <w:rPr>
          <w:color w:val="auto"/>
          <w:sz w:val="22"/>
        </w:rPr>
        <w:t>: 0,31</w:t>
      </w:r>
      <w:r w:rsidR="00267CF0">
        <w:rPr>
          <w:color w:val="auto"/>
          <w:sz w:val="22"/>
        </w:rPr>
        <w:t>;</w:t>
      </w:r>
      <w:r>
        <w:rPr>
          <w:color w:val="auto"/>
          <w:sz w:val="22"/>
        </w:rPr>
        <w:t xml:space="preserve"> 0,67) v skupine pacientov vo veku ≥ 65 rokov.</w:t>
      </w:r>
    </w:p>
    <w:p w14:paraId="68119A9E" w14:textId="77777777" w:rsidR="00FF4262" w:rsidRDefault="00FF4262" w:rsidP="00F64BF9">
      <w:pPr>
        <w:spacing w:line="240" w:lineRule="auto"/>
        <w:rPr>
          <w:szCs w:val="22"/>
        </w:rPr>
      </w:pPr>
    </w:p>
    <w:p w14:paraId="0665830F" w14:textId="46B518B0" w:rsidR="00FF4262" w:rsidRDefault="00FF4262" w:rsidP="00F64BF9">
      <w:pPr>
        <w:spacing w:line="240" w:lineRule="auto"/>
        <w:rPr>
          <w:szCs w:val="22"/>
        </w:rPr>
      </w:pPr>
      <w:r>
        <w:lastRenderedPageBreak/>
        <w:t xml:space="preserve">Primárnym koncovým ukazovateľom bolo prežívanie bez progresie ochorenia a sekundárne koncové ukazovatele zahŕňali </w:t>
      </w:r>
      <w:r w:rsidR="00267CF0">
        <w:t>mieru</w:t>
      </w:r>
      <w:r>
        <w:t xml:space="preserve"> objektívnych odpovedí na liečbu a celkové prežívanie. Výsledky sú uvedené v tabuľke 23.</w:t>
      </w:r>
    </w:p>
    <w:p w14:paraId="7F6179E3" w14:textId="77777777" w:rsidR="00FF4262" w:rsidRDefault="00FF4262" w:rsidP="00F64BF9">
      <w:pPr>
        <w:spacing w:line="240" w:lineRule="auto"/>
        <w:rPr>
          <w:szCs w:val="22"/>
        </w:rPr>
      </w:pPr>
    </w:p>
    <w:p w14:paraId="598DF672" w14:textId="77777777" w:rsidR="00FF4262" w:rsidRPr="00FF4262" w:rsidRDefault="00FF4262" w:rsidP="00F64BF9">
      <w:pPr>
        <w:keepNext/>
        <w:spacing w:line="240" w:lineRule="auto"/>
        <w:rPr>
          <w:b/>
          <w:bCs/>
          <w:szCs w:val="22"/>
        </w:rPr>
      </w:pPr>
      <w:r>
        <w:rPr>
          <w:b/>
        </w:rPr>
        <w:t>Tabuľka 23. Výsledky účinnosti zo štúdie MO22224</w:t>
      </w:r>
    </w:p>
    <w:p w14:paraId="36344C5B" w14:textId="77777777" w:rsidR="00FF4262" w:rsidRPr="00FF4262" w:rsidRDefault="00FF4262" w:rsidP="00F64BF9">
      <w:pPr>
        <w:keepNext/>
        <w:spacing w:line="240" w:lineRule="auto"/>
      </w:pPr>
    </w:p>
    <w:tbl>
      <w:tblPr>
        <w:tblStyle w:val="TableGrid"/>
        <w:tblW w:w="0" w:type="auto"/>
        <w:tblLook w:val="04A0" w:firstRow="1" w:lastRow="0" w:firstColumn="1" w:lastColumn="0" w:noHBand="0" w:noVBand="1"/>
      </w:tblPr>
      <w:tblGrid>
        <w:gridCol w:w="3020"/>
        <w:gridCol w:w="3020"/>
        <w:gridCol w:w="3021"/>
      </w:tblGrid>
      <w:tr w:rsidR="00FF4262" w14:paraId="3F203B39" w14:textId="77777777" w:rsidTr="00F74068">
        <w:tc>
          <w:tcPr>
            <w:tcW w:w="9061" w:type="dxa"/>
            <w:gridSpan w:val="3"/>
            <w:vAlign w:val="center"/>
          </w:tcPr>
          <w:p w14:paraId="0F6209D7" w14:textId="77777777" w:rsidR="00FF4262" w:rsidRPr="00F86DC9" w:rsidRDefault="00FF4262" w:rsidP="00F64BF9">
            <w:pPr>
              <w:pStyle w:val="TABLES"/>
              <w:keepNext/>
              <w:ind w:left="57" w:right="57"/>
              <w:jc w:val="center"/>
            </w:pPr>
            <w:r>
              <w:t>Primárny koncový ukazovateľ</w:t>
            </w:r>
          </w:p>
        </w:tc>
      </w:tr>
      <w:tr w:rsidR="00FF4262" w14:paraId="7D326F55" w14:textId="77777777" w:rsidTr="00F74068">
        <w:tc>
          <w:tcPr>
            <w:tcW w:w="9061" w:type="dxa"/>
            <w:gridSpan w:val="3"/>
          </w:tcPr>
          <w:p w14:paraId="528CC370" w14:textId="77777777" w:rsidR="00FF4262" w:rsidRPr="00F86DC9" w:rsidRDefault="00FF4262" w:rsidP="00F64BF9">
            <w:pPr>
              <w:pStyle w:val="TABLES"/>
              <w:keepNext/>
              <w:ind w:left="57" w:right="57"/>
            </w:pPr>
            <w:r>
              <w:t>Prežívanie bez progresie ochorenia*</w:t>
            </w:r>
          </w:p>
        </w:tc>
      </w:tr>
      <w:tr w:rsidR="00FF4262" w14:paraId="49E01008" w14:textId="77777777" w:rsidTr="00F74068">
        <w:tc>
          <w:tcPr>
            <w:tcW w:w="3020" w:type="dxa"/>
          </w:tcPr>
          <w:p w14:paraId="12E6134E" w14:textId="77777777" w:rsidR="00FF4262" w:rsidRDefault="00FF4262" w:rsidP="00F64BF9">
            <w:pPr>
              <w:pStyle w:val="TABLES"/>
              <w:keepNext/>
              <w:ind w:left="57" w:right="57"/>
              <w:rPr>
                <w:b/>
                <w:bCs/>
              </w:rPr>
            </w:pPr>
          </w:p>
        </w:tc>
        <w:tc>
          <w:tcPr>
            <w:tcW w:w="3020" w:type="dxa"/>
            <w:vAlign w:val="center"/>
          </w:tcPr>
          <w:p w14:paraId="1F7F61E4" w14:textId="77777777" w:rsidR="00FF4262" w:rsidRPr="00F86DC9" w:rsidRDefault="00FF4262" w:rsidP="00F64BF9">
            <w:pPr>
              <w:pStyle w:val="TABLES"/>
              <w:keepNext/>
              <w:ind w:left="57" w:right="57"/>
              <w:jc w:val="center"/>
            </w:pPr>
            <w:r>
              <w:t>CT</w:t>
            </w:r>
          </w:p>
          <w:p w14:paraId="74DB3766" w14:textId="77777777" w:rsidR="00FF4262" w:rsidRPr="00F86DC9" w:rsidRDefault="00FF4262" w:rsidP="00F64BF9">
            <w:pPr>
              <w:pStyle w:val="TABLES"/>
              <w:keepNext/>
              <w:ind w:left="57" w:right="57"/>
              <w:jc w:val="center"/>
            </w:pPr>
            <w:r>
              <w:t>(n = 182)</w:t>
            </w:r>
          </w:p>
        </w:tc>
        <w:tc>
          <w:tcPr>
            <w:tcW w:w="3021" w:type="dxa"/>
            <w:vAlign w:val="center"/>
          </w:tcPr>
          <w:p w14:paraId="18E94083" w14:textId="77777777" w:rsidR="00FF4262" w:rsidRPr="00F86DC9" w:rsidRDefault="00FF4262" w:rsidP="00F64BF9">
            <w:pPr>
              <w:pStyle w:val="TABLES"/>
              <w:keepNext/>
              <w:ind w:left="57" w:right="57"/>
              <w:jc w:val="center"/>
            </w:pPr>
            <w:r>
              <w:t>CT + BV</w:t>
            </w:r>
          </w:p>
          <w:p w14:paraId="475CB031" w14:textId="77777777" w:rsidR="00FF4262" w:rsidRPr="00F86DC9" w:rsidRDefault="00FF4262" w:rsidP="00F64BF9">
            <w:pPr>
              <w:pStyle w:val="TABLES"/>
              <w:keepNext/>
              <w:ind w:left="57" w:right="57"/>
              <w:jc w:val="center"/>
            </w:pPr>
            <w:r>
              <w:t>(n = 179)</w:t>
            </w:r>
          </w:p>
        </w:tc>
      </w:tr>
      <w:tr w:rsidR="00FF4262" w14:paraId="6EB30DDF" w14:textId="77777777" w:rsidTr="00F74068">
        <w:tc>
          <w:tcPr>
            <w:tcW w:w="3020" w:type="dxa"/>
            <w:vAlign w:val="center"/>
          </w:tcPr>
          <w:p w14:paraId="33D3E0A5" w14:textId="77777777" w:rsidR="00FF4262" w:rsidRPr="00F86DC9" w:rsidRDefault="00FF4262" w:rsidP="00F64BF9">
            <w:pPr>
              <w:pStyle w:val="TABLES"/>
              <w:ind w:left="57" w:right="57"/>
            </w:pPr>
            <w:r>
              <w:t>Medián času (mesiace)</w:t>
            </w:r>
          </w:p>
        </w:tc>
        <w:tc>
          <w:tcPr>
            <w:tcW w:w="3020" w:type="dxa"/>
            <w:vAlign w:val="center"/>
          </w:tcPr>
          <w:p w14:paraId="625DD655" w14:textId="77777777" w:rsidR="00FF4262" w:rsidRPr="00F86DC9" w:rsidRDefault="00FF4262" w:rsidP="00F64BF9">
            <w:pPr>
              <w:pStyle w:val="Default"/>
              <w:jc w:val="center"/>
              <w:rPr>
                <w:color w:val="auto"/>
                <w:sz w:val="22"/>
                <w:szCs w:val="22"/>
              </w:rPr>
            </w:pPr>
            <w:r>
              <w:rPr>
                <w:color w:val="auto"/>
                <w:sz w:val="22"/>
              </w:rPr>
              <w:t>3,4</w:t>
            </w:r>
          </w:p>
        </w:tc>
        <w:tc>
          <w:tcPr>
            <w:tcW w:w="3021" w:type="dxa"/>
            <w:vAlign w:val="center"/>
          </w:tcPr>
          <w:p w14:paraId="44F46427" w14:textId="77777777" w:rsidR="00FF4262" w:rsidRPr="00F86DC9" w:rsidRDefault="00FF4262" w:rsidP="00F64BF9">
            <w:pPr>
              <w:pStyle w:val="Default"/>
              <w:jc w:val="center"/>
              <w:rPr>
                <w:color w:val="auto"/>
                <w:sz w:val="22"/>
                <w:szCs w:val="22"/>
              </w:rPr>
            </w:pPr>
            <w:r>
              <w:rPr>
                <w:color w:val="auto"/>
                <w:sz w:val="22"/>
              </w:rPr>
              <w:t>6,7</w:t>
            </w:r>
          </w:p>
        </w:tc>
      </w:tr>
      <w:tr w:rsidR="00FF4262" w14:paraId="1F65C3F8" w14:textId="77777777" w:rsidTr="00F74068">
        <w:tc>
          <w:tcPr>
            <w:tcW w:w="3020" w:type="dxa"/>
            <w:vAlign w:val="center"/>
          </w:tcPr>
          <w:p w14:paraId="66281ED1" w14:textId="77777777" w:rsidR="00FF4262" w:rsidRDefault="00FF4262" w:rsidP="00F64BF9">
            <w:pPr>
              <w:pStyle w:val="TABLES"/>
              <w:ind w:left="57" w:right="57"/>
            </w:pPr>
            <w:r>
              <w:t>Miera rizika</w:t>
            </w:r>
          </w:p>
          <w:p w14:paraId="2C332D0A" w14:textId="77777777" w:rsidR="00FF4262" w:rsidRPr="00720ABB" w:rsidRDefault="00FF4262" w:rsidP="00F64BF9">
            <w:pPr>
              <w:pStyle w:val="TABLES"/>
              <w:ind w:left="57" w:right="57"/>
            </w:pPr>
            <w:r>
              <w:t>(95 % I</w:t>
            </w:r>
            <w:r w:rsidR="00EA0BC3">
              <w:t>S</w:t>
            </w:r>
            <w:r>
              <w:t>)</w:t>
            </w:r>
          </w:p>
        </w:tc>
        <w:tc>
          <w:tcPr>
            <w:tcW w:w="6041" w:type="dxa"/>
            <w:gridSpan w:val="2"/>
            <w:vAlign w:val="center"/>
          </w:tcPr>
          <w:p w14:paraId="4253AECD" w14:textId="77777777" w:rsidR="00FF4262" w:rsidRPr="00FF4262" w:rsidRDefault="00FF4262" w:rsidP="00F64BF9">
            <w:pPr>
              <w:pStyle w:val="TABLES"/>
              <w:jc w:val="center"/>
            </w:pPr>
            <w:r>
              <w:t>0,379 [0,296; 0,485]</w:t>
            </w:r>
          </w:p>
        </w:tc>
      </w:tr>
      <w:tr w:rsidR="00FF4262" w14:paraId="124E7968" w14:textId="77777777" w:rsidTr="00F74068">
        <w:tc>
          <w:tcPr>
            <w:tcW w:w="3020" w:type="dxa"/>
          </w:tcPr>
          <w:p w14:paraId="1E1BBE3D" w14:textId="77777777" w:rsidR="00FF4262" w:rsidRPr="00720ABB" w:rsidRDefault="00FF4262" w:rsidP="00F64BF9">
            <w:pPr>
              <w:pStyle w:val="TABLES"/>
              <w:ind w:left="57" w:right="57"/>
            </w:pPr>
            <w:r>
              <w:t>p-hodnota</w:t>
            </w:r>
          </w:p>
        </w:tc>
        <w:tc>
          <w:tcPr>
            <w:tcW w:w="6041" w:type="dxa"/>
            <w:gridSpan w:val="2"/>
            <w:vAlign w:val="center"/>
          </w:tcPr>
          <w:p w14:paraId="295DE608" w14:textId="77777777" w:rsidR="00FF4262" w:rsidRPr="00FF4262" w:rsidRDefault="00FF4262" w:rsidP="00F64BF9">
            <w:pPr>
              <w:pStyle w:val="TABLES"/>
              <w:jc w:val="center"/>
            </w:pPr>
            <w:r>
              <w:t>&lt; 0,0001</w:t>
            </w:r>
          </w:p>
        </w:tc>
      </w:tr>
      <w:tr w:rsidR="00FF4262" w14:paraId="3CE5FE7E" w14:textId="77777777" w:rsidTr="00F74068">
        <w:tc>
          <w:tcPr>
            <w:tcW w:w="9061" w:type="dxa"/>
            <w:gridSpan w:val="3"/>
            <w:vAlign w:val="center"/>
          </w:tcPr>
          <w:p w14:paraId="67943C9B" w14:textId="77777777" w:rsidR="00FF4262" w:rsidRPr="00720ABB" w:rsidRDefault="00FF4262" w:rsidP="00F64BF9">
            <w:pPr>
              <w:pStyle w:val="TABLES"/>
              <w:ind w:left="57" w:right="57"/>
              <w:jc w:val="center"/>
            </w:pPr>
            <w:r>
              <w:t>Sekundárne koncové ukazovatele</w:t>
            </w:r>
          </w:p>
        </w:tc>
      </w:tr>
      <w:tr w:rsidR="00FF4262" w14:paraId="4C8D1E6E" w14:textId="77777777" w:rsidTr="00F74068">
        <w:tc>
          <w:tcPr>
            <w:tcW w:w="9061" w:type="dxa"/>
            <w:gridSpan w:val="3"/>
          </w:tcPr>
          <w:p w14:paraId="5E610F19" w14:textId="77777777" w:rsidR="00FF4262" w:rsidRPr="00720ABB" w:rsidRDefault="00FF4262" w:rsidP="00F64BF9">
            <w:pPr>
              <w:pStyle w:val="TABLES"/>
              <w:ind w:left="57" w:right="57"/>
            </w:pPr>
            <w:r>
              <w:t>Počet objektívnych odpovedí na liečbu**</w:t>
            </w:r>
          </w:p>
        </w:tc>
      </w:tr>
      <w:tr w:rsidR="00FF4262" w14:paraId="3030C256" w14:textId="77777777" w:rsidTr="00F74068">
        <w:tc>
          <w:tcPr>
            <w:tcW w:w="3020" w:type="dxa"/>
          </w:tcPr>
          <w:p w14:paraId="5CD52E76" w14:textId="77777777" w:rsidR="00FF4262" w:rsidRPr="00720ABB" w:rsidRDefault="00FF4262" w:rsidP="00F64BF9">
            <w:pPr>
              <w:pStyle w:val="TABLES"/>
              <w:ind w:left="57" w:right="57"/>
            </w:pPr>
          </w:p>
        </w:tc>
        <w:tc>
          <w:tcPr>
            <w:tcW w:w="3020" w:type="dxa"/>
            <w:vAlign w:val="center"/>
          </w:tcPr>
          <w:p w14:paraId="79645029" w14:textId="77777777" w:rsidR="00FF4262" w:rsidRDefault="00FF4262" w:rsidP="00F64BF9">
            <w:pPr>
              <w:pStyle w:val="TABLES"/>
              <w:jc w:val="center"/>
            </w:pPr>
            <w:r>
              <w:t>CT</w:t>
            </w:r>
          </w:p>
          <w:p w14:paraId="1864394C" w14:textId="77777777" w:rsidR="00FF4262" w:rsidRPr="00720ABB" w:rsidRDefault="00FF4262" w:rsidP="00F64BF9">
            <w:pPr>
              <w:pStyle w:val="TABLES"/>
              <w:jc w:val="center"/>
            </w:pPr>
            <w:r>
              <w:t>(n = 144)</w:t>
            </w:r>
          </w:p>
        </w:tc>
        <w:tc>
          <w:tcPr>
            <w:tcW w:w="3021" w:type="dxa"/>
            <w:vAlign w:val="center"/>
          </w:tcPr>
          <w:p w14:paraId="57F6CA96" w14:textId="77777777" w:rsidR="00FF4262" w:rsidRDefault="00FF4262" w:rsidP="00F64BF9">
            <w:pPr>
              <w:pStyle w:val="TABLES"/>
              <w:jc w:val="center"/>
            </w:pPr>
            <w:r>
              <w:t>CT + BV</w:t>
            </w:r>
          </w:p>
          <w:p w14:paraId="31C6BC40" w14:textId="77777777" w:rsidR="00FF4262" w:rsidRPr="00720ABB" w:rsidRDefault="00FF4262" w:rsidP="00F64BF9">
            <w:pPr>
              <w:pStyle w:val="TABLES"/>
              <w:jc w:val="center"/>
            </w:pPr>
            <w:r>
              <w:t>(n = 142)</w:t>
            </w:r>
          </w:p>
        </w:tc>
      </w:tr>
      <w:tr w:rsidR="00FF4262" w14:paraId="3A8DD34E" w14:textId="77777777" w:rsidTr="00F74068">
        <w:tc>
          <w:tcPr>
            <w:tcW w:w="3020" w:type="dxa"/>
          </w:tcPr>
          <w:p w14:paraId="599C23F9" w14:textId="77777777" w:rsidR="00FF4262" w:rsidRPr="00720ABB" w:rsidRDefault="00FF4262" w:rsidP="00F64BF9">
            <w:pPr>
              <w:pStyle w:val="TABLES"/>
              <w:ind w:left="57" w:right="57"/>
            </w:pPr>
            <w:r>
              <w:t>% pacientov s objektívnou odpoveďou na liečbu</w:t>
            </w:r>
          </w:p>
        </w:tc>
        <w:tc>
          <w:tcPr>
            <w:tcW w:w="3020" w:type="dxa"/>
            <w:vAlign w:val="center"/>
          </w:tcPr>
          <w:p w14:paraId="561CF347" w14:textId="77777777" w:rsidR="00FF4262" w:rsidRPr="00720ABB" w:rsidRDefault="00FF4262" w:rsidP="00F64BF9">
            <w:pPr>
              <w:pStyle w:val="TABLES"/>
              <w:jc w:val="center"/>
            </w:pPr>
            <w:r>
              <w:t>18 (12,5 %)</w:t>
            </w:r>
          </w:p>
        </w:tc>
        <w:tc>
          <w:tcPr>
            <w:tcW w:w="3021" w:type="dxa"/>
            <w:vAlign w:val="center"/>
          </w:tcPr>
          <w:p w14:paraId="2FADD33F" w14:textId="77777777" w:rsidR="00FF4262" w:rsidRPr="00720ABB" w:rsidRDefault="00FF4262" w:rsidP="00F64BF9">
            <w:pPr>
              <w:pStyle w:val="TABLES"/>
              <w:jc w:val="center"/>
            </w:pPr>
            <w:r>
              <w:t>40 (28,2 %)</w:t>
            </w:r>
          </w:p>
        </w:tc>
      </w:tr>
      <w:tr w:rsidR="00FF4262" w14:paraId="191311FD" w14:textId="77777777" w:rsidTr="00F74068">
        <w:tc>
          <w:tcPr>
            <w:tcW w:w="3020" w:type="dxa"/>
          </w:tcPr>
          <w:p w14:paraId="6DF032BF" w14:textId="77777777" w:rsidR="00FF4262" w:rsidRPr="00720ABB" w:rsidRDefault="00FF4262" w:rsidP="00F64BF9">
            <w:pPr>
              <w:pStyle w:val="TABLES"/>
              <w:ind w:left="57" w:right="57"/>
            </w:pPr>
            <w:r>
              <w:t>p-hodnota</w:t>
            </w:r>
          </w:p>
        </w:tc>
        <w:tc>
          <w:tcPr>
            <w:tcW w:w="6041" w:type="dxa"/>
            <w:gridSpan w:val="2"/>
            <w:vAlign w:val="center"/>
          </w:tcPr>
          <w:p w14:paraId="32D7BA4E" w14:textId="77777777" w:rsidR="00FF4262" w:rsidRPr="00720ABB" w:rsidRDefault="00FF4262" w:rsidP="00F64BF9">
            <w:pPr>
              <w:pStyle w:val="TABLES"/>
              <w:jc w:val="center"/>
            </w:pPr>
            <w:r>
              <w:t>0,0007</w:t>
            </w:r>
          </w:p>
        </w:tc>
      </w:tr>
      <w:tr w:rsidR="00FF4262" w14:paraId="72CDA413" w14:textId="77777777" w:rsidTr="00F74068">
        <w:tc>
          <w:tcPr>
            <w:tcW w:w="9061" w:type="dxa"/>
            <w:gridSpan w:val="3"/>
          </w:tcPr>
          <w:p w14:paraId="0BA5CD9D" w14:textId="77777777" w:rsidR="00FF4262" w:rsidRPr="00720ABB" w:rsidRDefault="00FF4262" w:rsidP="00F64BF9">
            <w:pPr>
              <w:pStyle w:val="TABLES"/>
              <w:ind w:left="57" w:right="57"/>
            </w:pPr>
            <w:r>
              <w:t>Celkové prežívanie (záverečná analýza)***</w:t>
            </w:r>
          </w:p>
        </w:tc>
      </w:tr>
      <w:tr w:rsidR="00FF4262" w14:paraId="20206039" w14:textId="77777777" w:rsidTr="00F74068">
        <w:tc>
          <w:tcPr>
            <w:tcW w:w="3020" w:type="dxa"/>
          </w:tcPr>
          <w:p w14:paraId="561C54E7" w14:textId="77777777" w:rsidR="00FF4262" w:rsidRDefault="00FF4262" w:rsidP="00F64BF9">
            <w:pPr>
              <w:pStyle w:val="TABLES"/>
              <w:ind w:left="57" w:right="57"/>
            </w:pPr>
          </w:p>
        </w:tc>
        <w:tc>
          <w:tcPr>
            <w:tcW w:w="3020" w:type="dxa"/>
            <w:vAlign w:val="center"/>
          </w:tcPr>
          <w:p w14:paraId="17F20041" w14:textId="77777777" w:rsidR="00FF4262" w:rsidRDefault="00FF4262" w:rsidP="00F64BF9">
            <w:pPr>
              <w:pStyle w:val="TABLES"/>
              <w:jc w:val="center"/>
            </w:pPr>
            <w:r>
              <w:t>CT</w:t>
            </w:r>
          </w:p>
          <w:p w14:paraId="3A008B64" w14:textId="77777777" w:rsidR="00FF4262" w:rsidRPr="00720ABB" w:rsidRDefault="00FF4262" w:rsidP="00F64BF9">
            <w:pPr>
              <w:pStyle w:val="TABLES"/>
              <w:jc w:val="center"/>
            </w:pPr>
            <w:r>
              <w:t>(n = 182)</w:t>
            </w:r>
          </w:p>
        </w:tc>
        <w:tc>
          <w:tcPr>
            <w:tcW w:w="3021" w:type="dxa"/>
            <w:vAlign w:val="center"/>
          </w:tcPr>
          <w:p w14:paraId="41F043A2" w14:textId="77777777" w:rsidR="00FF4262" w:rsidRDefault="00FF4262" w:rsidP="00F64BF9">
            <w:pPr>
              <w:pStyle w:val="TABLES"/>
              <w:jc w:val="center"/>
            </w:pPr>
            <w:r>
              <w:t>CT + BV</w:t>
            </w:r>
          </w:p>
          <w:p w14:paraId="395F828E" w14:textId="77777777" w:rsidR="00FF4262" w:rsidRPr="00720ABB" w:rsidRDefault="00FF4262" w:rsidP="00F64BF9">
            <w:pPr>
              <w:pStyle w:val="TABLES"/>
              <w:jc w:val="center"/>
            </w:pPr>
            <w:r>
              <w:t>(n = 179)</w:t>
            </w:r>
          </w:p>
        </w:tc>
      </w:tr>
      <w:tr w:rsidR="00FF4262" w14:paraId="63DDA54D" w14:textId="77777777" w:rsidTr="00F74068">
        <w:tc>
          <w:tcPr>
            <w:tcW w:w="3020" w:type="dxa"/>
          </w:tcPr>
          <w:p w14:paraId="15182DFF" w14:textId="77777777" w:rsidR="00FF4262" w:rsidRDefault="00FF4262" w:rsidP="00F64BF9">
            <w:pPr>
              <w:pStyle w:val="TABLES"/>
              <w:ind w:left="57" w:right="57"/>
            </w:pPr>
            <w:r>
              <w:t>Medián OS (mesiace)</w:t>
            </w:r>
          </w:p>
        </w:tc>
        <w:tc>
          <w:tcPr>
            <w:tcW w:w="3020" w:type="dxa"/>
            <w:vAlign w:val="center"/>
          </w:tcPr>
          <w:p w14:paraId="5BA94775" w14:textId="77777777" w:rsidR="00FF4262" w:rsidRPr="00720ABB" w:rsidRDefault="00FF4262" w:rsidP="00F64BF9">
            <w:pPr>
              <w:pStyle w:val="TABLES"/>
              <w:jc w:val="center"/>
            </w:pPr>
            <w:r>
              <w:t>13,3</w:t>
            </w:r>
          </w:p>
        </w:tc>
        <w:tc>
          <w:tcPr>
            <w:tcW w:w="3021" w:type="dxa"/>
            <w:vAlign w:val="center"/>
          </w:tcPr>
          <w:p w14:paraId="082739B6" w14:textId="77777777" w:rsidR="00FF4262" w:rsidRPr="00720ABB" w:rsidRDefault="00FF4262" w:rsidP="00F64BF9">
            <w:pPr>
              <w:pStyle w:val="TABLES"/>
              <w:jc w:val="center"/>
            </w:pPr>
            <w:r>
              <w:t>16,6</w:t>
            </w:r>
          </w:p>
        </w:tc>
      </w:tr>
      <w:tr w:rsidR="00FF4262" w14:paraId="02A6AF0A" w14:textId="77777777" w:rsidTr="00F74068">
        <w:trPr>
          <w:cantSplit/>
        </w:trPr>
        <w:tc>
          <w:tcPr>
            <w:tcW w:w="3020" w:type="dxa"/>
          </w:tcPr>
          <w:p w14:paraId="491B5EED" w14:textId="77777777" w:rsidR="00FF4262" w:rsidRDefault="00FF4262" w:rsidP="00F64BF9">
            <w:pPr>
              <w:pStyle w:val="TABLES"/>
              <w:ind w:left="57" w:right="57"/>
            </w:pPr>
            <w:r>
              <w:t>Miera rizika</w:t>
            </w:r>
          </w:p>
          <w:p w14:paraId="3A158FC7" w14:textId="77777777" w:rsidR="00FF4262" w:rsidRDefault="00FF4262" w:rsidP="00F64BF9">
            <w:pPr>
              <w:pStyle w:val="TABLES"/>
              <w:ind w:left="57" w:right="57"/>
            </w:pPr>
            <w:r>
              <w:t>(95 % I</w:t>
            </w:r>
            <w:r w:rsidR="00EA0BC3">
              <w:t>S</w:t>
            </w:r>
            <w:r>
              <w:t>)</w:t>
            </w:r>
          </w:p>
        </w:tc>
        <w:tc>
          <w:tcPr>
            <w:tcW w:w="6041" w:type="dxa"/>
            <w:gridSpan w:val="2"/>
            <w:vAlign w:val="center"/>
          </w:tcPr>
          <w:p w14:paraId="68398B6C" w14:textId="77777777" w:rsidR="00FF4262" w:rsidRPr="00720ABB" w:rsidRDefault="00FF4262" w:rsidP="00F64BF9">
            <w:pPr>
              <w:pStyle w:val="TABLES"/>
              <w:jc w:val="center"/>
            </w:pPr>
            <w:r>
              <w:t>0,870 [0,678; 1,116]</w:t>
            </w:r>
          </w:p>
        </w:tc>
      </w:tr>
      <w:tr w:rsidR="00FF4262" w14:paraId="3C68BC6A" w14:textId="77777777" w:rsidTr="00F74068">
        <w:trPr>
          <w:cantSplit/>
        </w:trPr>
        <w:tc>
          <w:tcPr>
            <w:tcW w:w="3020" w:type="dxa"/>
          </w:tcPr>
          <w:p w14:paraId="4F95CF53" w14:textId="77777777" w:rsidR="00FF4262" w:rsidRDefault="00FF4262" w:rsidP="00F64BF9">
            <w:pPr>
              <w:pStyle w:val="TABLES"/>
              <w:ind w:left="57" w:right="57"/>
            </w:pPr>
            <w:r>
              <w:t>p-hodnota</w:t>
            </w:r>
          </w:p>
        </w:tc>
        <w:tc>
          <w:tcPr>
            <w:tcW w:w="6041" w:type="dxa"/>
            <w:gridSpan w:val="2"/>
            <w:vAlign w:val="center"/>
          </w:tcPr>
          <w:p w14:paraId="413F81F0" w14:textId="77777777" w:rsidR="00FF4262" w:rsidRDefault="00FF4262" w:rsidP="00F64BF9">
            <w:pPr>
              <w:pStyle w:val="TABLES"/>
              <w:jc w:val="center"/>
            </w:pPr>
            <w:r>
              <w:t>0,2711</w:t>
            </w:r>
          </w:p>
        </w:tc>
      </w:tr>
    </w:tbl>
    <w:p w14:paraId="1910FB63" w14:textId="77777777" w:rsidR="00FF4262" w:rsidRPr="00FF4262" w:rsidRDefault="00FF4262" w:rsidP="00F64BF9">
      <w:pPr>
        <w:spacing w:line="240" w:lineRule="auto"/>
        <w:rPr>
          <w:sz w:val="20"/>
        </w:rPr>
      </w:pPr>
      <w:r>
        <w:rPr>
          <w:sz w:val="20"/>
        </w:rPr>
        <w:t>Všetky analýzy uvedené v tejto tabuľke sú stratifikované analýzy.</w:t>
      </w:r>
    </w:p>
    <w:p w14:paraId="3B88C661" w14:textId="77777777" w:rsidR="00FF4262" w:rsidRPr="00FF4262" w:rsidRDefault="00EA0BC3" w:rsidP="00F64BF9">
      <w:pPr>
        <w:spacing w:line="240" w:lineRule="auto"/>
        <w:rPr>
          <w:sz w:val="20"/>
        </w:rPr>
      </w:pPr>
      <w:r>
        <w:rPr>
          <w:sz w:val="20"/>
        </w:rPr>
        <w:t xml:space="preserve">* </w:t>
      </w:r>
      <w:r w:rsidR="00FF4262">
        <w:rPr>
          <w:sz w:val="20"/>
        </w:rPr>
        <w:t>Primárna analýza sa uskutočnila s dátumom ukončenia zhromažďovania údajov 14. november 2011.</w:t>
      </w:r>
    </w:p>
    <w:p w14:paraId="092F40AC" w14:textId="77777777" w:rsidR="00FF4262" w:rsidRPr="00FF4262" w:rsidRDefault="00FF4262" w:rsidP="00F64BF9">
      <w:pPr>
        <w:spacing w:line="240" w:lineRule="auto"/>
        <w:rPr>
          <w:sz w:val="20"/>
        </w:rPr>
      </w:pPr>
      <w:r>
        <w:rPr>
          <w:sz w:val="20"/>
        </w:rPr>
        <w:t>**</w:t>
      </w:r>
      <w:r w:rsidR="00EA0BC3">
        <w:rPr>
          <w:sz w:val="20"/>
        </w:rPr>
        <w:t xml:space="preserve"> </w:t>
      </w:r>
      <w:r>
        <w:rPr>
          <w:sz w:val="20"/>
        </w:rPr>
        <w:t>Randomizovaní pacienti s merateľným ochorením na začiatku štúdie.</w:t>
      </w:r>
    </w:p>
    <w:p w14:paraId="74D0BA42" w14:textId="77777777" w:rsidR="00FF4262" w:rsidRPr="00FF4262" w:rsidRDefault="00FF4262" w:rsidP="00F64BF9">
      <w:pPr>
        <w:spacing w:line="240" w:lineRule="auto"/>
        <w:rPr>
          <w:sz w:val="20"/>
        </w:rPr>
      </w:pPr>
      <w:r>
        <w:rPr>
          <w:sz w:val="20"/>
        </w:rPr>
        <w:t>***</w:t>
      </w:r>
      <w:r w:rsidR="00EA0BC3">
        <w:rPr>
          <w:sz w:val="20"/>
        </w:rPr>
        <w:t xml:space="preserve"> </w:t>
      </w:r>
      <w:r>
        <w:rPr>
          <w:sz w:val="20"/>
        </w:rPr>
        <w:t>Záverečná analýza celkového prežívania sa uskutočnila po zaznamenaní 266 úmrtí, čo predstavuje 73,7 % zaradených pacientov.</w:t>
      </w:r>
    </w:p>
    <w:p w14:paraId="06866387" w14:textId="77777777" w:rsidR="00FF4262" w:rsidRDefault="00FF4262" w:rsidP="00F64BF9">
      <w:pPr>
        <w:spacing w:line="240" w:lineRule="auto"/>
        <w:rPr>
          <w:szCs w:val="22"/>
        </w:rPr>
      </w:pPr>
    </w:p>
    <w:p w14:paraId="6CA4D4BB" w14:textId="77777777" w:rsidR="00FF4262" w:rsidRDefault="00FF4262" w:rsidP="00F64BF9">
      <w:pPr>
        <w:spacing w:line="240" w:lineRule="auto"/>
        <w:rPr>
          <w:szCs w:val="22"/>
        </w:rPr>
      </w:pPr>
      <w:r>
        <w:t>Klinické skúšanie splnilo svoj primárny cieľ, ktorým bolo zlepšenie PFS. V porovnaní s pacientmi s recidivujúcim ochorením rezistentným na platinu, ktorí boli liečení samotnou chemoterapiou (paklitaxel, topotekán alebo PLD), sa u pacientov, ktorí boli liečení bevacizumabom v dávke 10 mg/kg raz za 2 týždne (alebo 15 mg/kg raz za 3 týždne, ak sa používal v kombinácii s topotekánom v dávke 1,25 mg/m</w:t>
      </w:r>
      <w:r w:rsidRPr="0005771E">
        <w:rPr>
          <w:szCs w:val="22"/>
          <w:vertAlign w:val="superscript"/>
        </w:rPr>
        <w:t>2</w:t>
      </w:r>
      <w:r>
        <w:t xml:space="preserve"> v 1. - 5. deň každé 3 týždne) v kombinácii s chemoterapiou a ktorí pokračovali v liečbe bevacizumabom až do progresie ochorenia alebo do prejavov neprijateľnej toxicity, dosiahlo štatisticky významné zlepšenie PFS. Exploratívne analýzy prežívania bez progresie a OS analýzy v jednotlivých kohortách podľa chemoterapie (paklitaxel, topotekán alebo PLD) sú zhrnuté v tabuľke 24.</w:t>
      </w:r>
    </w:p>
    <w:p w14:paraId="0A820DF6" w14:textId="77777777" w:rsidR="00FF4262" w:rsidRDefault="00FF4262" w:rsidP="00755C59">
      <w:pPr>
        <w:widowControl w:val="0"/>
        <w:spacing w:line="240" w:lineRule="auto"/>
        <w:rPr>
          <w:szCs w:val="22"/>
        </w:rPr>
      </w:pPr>
    </w:p>
    <w:p w14:paraId="3A5E4BF1" w14:textId="77777777" w:rsidR="00FF4262" w:rsidRPr="00FF4262" w:rsidRDefault="00FF4262" w:rsidP="00755C59">
      <w:pPr>
        <w:widowControl w:val="0"/>
        <w:spacing w:line="240" w:lineRule="auto"/>
        <w:rPr>
          <w:b/>
          <w:bCs/>
          <w:szCs w:val="22"/>
        </w:rPr>
      </w:pPr>
      <w:r>
        <w:rPr>
          <w:b/>
        </w:rPr>
        <w:t>Tabuľka 24. Exploratívne analýzy prežívania bez progresie (PFS) a celkového prežitia (OS) podľa kohort chemoterapie</w:t>
      </w:r>
    </w:p>
    <w:p w14:paraId="4E943185" w14:textId="77777777" w:rsidR="00FF4262" w:rsidRPr="00FF4262" w:rsidRDefault="00FF4262" w:rsidP="00755C59">
      <w:pPr>
        <w:widowControl w:val="0"/>
        <w:spacing w:line="240" w:lineRule="auto"/>
      </w:pPr>
    </w:p>
    <w:tbl>
      <w:tblPr>
        <w:tblStyle w:val="TableGrid"/>
        <w:tblW w:w="5000" w:type="pct"/>
        <w:tblLook w:val="04A0" w:firstRow="1" w:lastRow="0" w:firstColumn="1" w:lastColumn="0" w:noHBand="0" w:noVBand="1"/>
      </w:tblPr>
      <w:tblGrid>
        <w:gridCol w:w="5005"/>
        <w:gridCol w:w="1555"/>
        <w:gridCol w:w="2501"/>
      </w:tblGrid>
      <w:tr w:rsidR="00FF4262" w:rsidRPr="00EB17A8" w14:paraId="18E0436E" w14:textId="77777777" w:rsidTr="00F74068">
        <w:trPr>
          <w:tblHeader/>
        </w:trPr>
        <w:tc>
          <w:tcPr>
            <w:tcW w:w="2762" w:type="pct"/>
          </w:tcPr>
          <w:p w14:paraId="263C9468" w14:textId="77777777" w:rsidR="00FF4262" w:rsidRPr="005973AB" w:rsidRDefault="00FF4262" w:rsidP="00755C59">
            <w:pPr>
              <w:pStyle w:val="TABLES"/>
              <w:ind w:left="57" w:right="57"/>
              <w:jc w:val="center"/>
              <w:rPr>
                <w:b/>
                <w:bCs/>
              </w:rPr>
            </w:pPr>
          </w:p>
        </w:tc>
        <w:tc>
          <w:tcPr>
            <w:tcW w:w="858" w:type="pct"/>
          </w:tcPr>
          <w:p w14:paraId="7D16327E" w14:textId="77777777" w:rsidR="00FF4262" w:rsidRPr="005973AB" w:rsidRDefault="00FF4262" w:rsidP="00755C59">
            <w:pPr>
              <w:pStyle w:val="TABLES"/>
              <w:ind w:left="57" w:right="57"/>
              <w:jc w:val="center"/>
              <w:rPr>
                <w:b/>
                <w:bCs/>
              </w:rPr>
            </w:pPr>
            <w:r>
              <w:rPr>
                <w:b/>
              </w:rPr>
              <w:t>CT</w:t>
            </w:r>
          </w:p>
        </w:tc>
        <w:tc>
          <w:tcPr>
            <w:tcW w:w="1380" w:type="pct"/>
          </w:tcPr>
          <w:p w14:paraId="579C0E5F" w14:textId="77777777" w:rsidR="00FF4262" w:rsidRPr="005973AB" w:rsidRDefault="00FF4262" w:rsidP="00755C59">
            <w:pPr>
              <w:pStyle w:val="TABLES"/>
              <w:ind w:left="57" w:right="57"/>
              <w:jc w:val="center"/>
              <w:rPr>
                <w:b/>
                <w:bCs/>
              </w:rPr>
            </w:pPr>
            <w:r>
              <w:rPr>
                <w:b/>
              </w:rPr>
              <w:t>CT + BV</w:t>
            </w:r>
          </w:p>
        </w:tc>
      </w:tr>
      <w:tr w:rsidR="00FF4262" w14:paraId="3332E7E3" w14:textId="77777777" w:rsidTr="00F74068">
        <w:tc>
          <w:tcPr>
            <w:tcW w:w="2762" w:type="pct"/>
          </w:tcPr>
          <w:p w14:paraId="6E87A288" w14:textId="77777777" w:rsidR="00FF4262" w:rsidRPr="0005771E" w:rsidRDefault="00FF4262" w:rsidP="00755C59">
            <w:pPr>
              <w:pStyle w:val="TABLES"/>
              <w:ind w:left="57" w:right="57"/>
              <w:jc w:val="center"/>
              <w:rPr>
                <w:b/>
                <w:bCs/>
              </w:rPr>
            </w:pPr>
            <w:r>
              <w:rPr>
                <w:b/>
              </w:rPr>
              <w:t>Paklitaxel</w:t>
            </w:r>
          </w:p>
        </w:tc>
        <w:tc>
          <w:tcPr>
            <w:tcW w:w="2238" w:type="pct"/>
            <w:gridSpan w:val="2"/>
          </w:tcPr>
          <w:p w14:paraId="647337DC" w14:textId="77777777" w:rsidR="00FF4262" w:rsidRDefault="00FF4262" w:rsidP="00755C59">
            <w:pPr>
              <w:pStyle w:val="TABLES"/>
              <w:ind w:left="57" w:right="57"/>
              <w:jc w:val="center"/>
            </w:pPr>
            <w:r>
              <w:t>n = 115</w:t>
            </w:r>
          </w:p>
        </w:tc>
      </w:tr>
      <w:tr w:rsidR="00FF4262" w14:paraId="7E807A78" w14:textId="77777777" w:rsidTr="00F74068">
        <w:tc>
          <w:tcPr>
            <w:tcW w:w="2762" w:type="pct"/>
          </w:tcPr>
          <w:p w14:paraId="42F6B7B2" w14:textId="77777777" w:rsidR="00FF4262" w:rsidRDefault="00FF4262" w:rsidP="00755C59">
            <w:pPr>
              <w:pStyle w:val="TABLES"/>
              <w:ind w:left="57" w:right="57"/>
              <w:jc w:val="center"/>
            </w:pPr>
            <w:r>
              <w:t>Medián PFS (mesiace)</w:t>
            </w:r>
          </w:p>
        </w:tc>
        <w:tc>
          <w:tcPr>
            <w:tcW w:w="858" w:type="pct"/>
          </w:tcPr>
          <w:p w14:paraId="0DF20567" w14:textId="77777777" w:rsidR="00FF4262" w:rsidRDefault="00FF4262" w:rsidP="00755C59">
            <w:pPr>
              <w:pStyle w:val="TABLES"/>
              <w:ind w:left="57" w:right="57"/>
              <w:jc w:val="center"/>
            </w:pPr>
            <w:r>
              <w:t>3,9</w:t>
            </w:r>
          </w:p>
        </w:tc>
        <w:tc>
          <w:tcPr>
            <w:tcW w:w="1380" w:type="pct"/>
          </w:tcPr>
          <w:p w14:paraId="18C5FCD0" w14:textId="77777777" w:rsidR="00FF4262" w:rsidRDefault="00FF4262" w:rsidP="00755C59">
            <w:pPr>
              <w:pStyle w:val="TABLES"/>
              <w:ind w:left="57" w:right="57"/>
              <w:jc w:val="center"/>
            </w:pPr>
            <w:r>
              <w:t>9,2</w:t>
            </w:r>
          </w:p>
        </w:tc>
      </w:tr>
      <w:tr w:rsidR="00FF4262" w14:paraId="7AF5AC90" w14:textId="77777777" w:rsidTr="00F74068">
        <w:tc>
          <w:tcPr>
            <w:tcW w:w="2762" w:type="pct"/>
          </w:tcPr>
          <w:p w14:paraId="21E755AA" w14:textId="77777777" w:rsidR="00FF4262" w:rsidRDefault="00FF4262" w:rsidP="00755C59">
            <w:pPr>
              <w:pStyle w:val="TABLES"/>
              <w:ind w:left="57" w:right="57"/>
              <w:jc w:val="center"/>
            </w:pPr>
            <w:r>
              <w:t>Miera rizika (95 % I</w:t>
            </w:r>
            <w:r w:rsidR="00EA0BC3">
              <w:t>S</w:t>
            </w:r>
            <w:r>
              <w:t>)</w:t>
            </w:r>
          </w:p>
        </w:tc>
        <w:tc>
          <w:tcPr>
            <w:tcW w:w="2238" w:type="pct"/>
            <w:gridSpan w:val="2"/>
          </w:tcPr>
          <w:p w14:paraId="42CE2F34" w14:textId="77777777" w:rsidR="00FF4262" w:rsidRDefault="00FF4262" w:rsidP="00755C59">
            <w:pPr>
              <w:pStyle w:val="TABLES"/>
              <w:ind w:left="57" w:right="57"/>
              <w:jc w:val="center"/>
            </w:pPr>
            <w:r>
              <w:t>0,47 [0,31; 0,72]</w:t>
            </w:r>
          </w:p>
        </w:tc>
      </w:tr>
      <w:tr w:rsidR="00FF4262" w14:paraId="4F649B47" w14:textId="77777777" w:rsidTr="00F74068">
        <w:tc>
          <w:tcPr>
            <w:tcW w:w="2762" w:type="pct"/>
          </w:tcPr>
          <w:p w14:paraId="3DEA05E0" w14:textId="77777777" w:rsidR="00FF4262" w:rsidRDefault="00FF4262" w:rsidP="00755C59">
            <w:pPr>
              <w:pStyle w:val="TABLES"/>
              <w:ind w:left="57" w:right="57"/>
              <w:jc w:val="center"/>
            </w:pPr>
            <w:r>
              <w:t>Medián OS (mesiace)</w:t>
            </w:r>
          </w:p>
        </w:tc>
        <w:tc>
          <w:tcPr>
            <w:tcW w:w="858" w:type="pct"/>
          </w:tcPr>
          <w:p w14:paraId="55F03C10" w14:textId="77777777" w:rsidR="00FF4262" w:rsidRDefault="00FF4262" w:rsidP="00755C59">
            <w:pPr>
              <w:pStyle w:val="TABLES"/>
              <w:ind w:left="57" w:right="57"/>
              <w:jc w:val="center"/>
            </w:pPr>
            <w:r>
              <w:t>13,2</w:t>
            </w:r>
          </w:p>
        </w:tc>
        <w:tc>
          <w:tcPr>
            <w:tcW w:w="1380" w:type="pct"/>
          </w:tcPr>
          <w:p w14:paraId="7C3D1BE8" w14:textId="77777777" w:rsidR="00FF4262" w:rsidRDefault="00FF4262" w:rsidP="00755C59">
            <w:pPr>
              <w:pStyle w:val="TABLES"/>
              <w:ind w:left="57" w:right="57"/>
              <w:jc w:val="center"/>
            </w:pPr>
            <w:r>
              <w:t>22,4</w:t>
            </w:r>
          </w:p>
        </w:tc>
      </w:tr>
      <w:tr w:rsidR="00FF4262" w14:paraId="1AD7FC01" w14:textId="77777777" w:rsidTr="00F74068">
        <w:tc>
          <w:tcPr>
            <w:tcW w:w="2762" w:type="pct"/>
          </w:tcPr>
          <w:p w14:paraId="61A5C058" w14:textId="77777777" w:rsidR="00FF4262" w:rsidRDefault="00FF4262" w:rsidP="00755C59">
            <w:pPr>
              <w:pStyle w:val="TABLES"/>
              <w:ind w:left="57" w:right="57"/>
              <w:jc w:val="center"/>
            </w:pPr>
            <w:r>
              <w:t>Miera rizika (95 % I</w:t>
            </w:r>
            <w:r w:rsidR="00EA0BC3">
              <w:t>S</w:t>
            </w:r>
            <w:r>
              <w:t>)</w:t>
            </w:r>
          </w:p>
        </w:tc>
        <w:tc>
          <w:tcPr>
            <w:tcW w:w="2238" w:type="pct"/>
            <w:gridSpan w:val="2"/>
          </w:tcPr>
          <w:p w14:paraId="2ED0C9BC" w14:textId="77777777" w:rsidR="00FF4262" w:rsidRDefault="00FF4262" w:rsidP="00755C59">
            <w:pPr>
              <w:pStyle w:val="TABLES"/>
              <w:ind w:left="57" w:right="57"/>
              <w:jc w:val="center"/>
            </w:pPr>
            <w:r>
              <w:t>0,64 [0,41; 0,99]</w:t>
            </w:r>
          </w:p>
        </w:tc>
      </w:tr>
      <w:tr w:rsidR="00FF4262" w14:paraId="5CBA8266" w14:textId="77777777" w:rsidTr="00F74068">
        <w:tc>
          <w:tcPr>
            <w:tcW w:w="2762" w:type="pct"/>
          </w:tcPr>
          <w:p w14:paraId="6AEB6982" w14:textId="77777777" w:rsidR="00FF4262" w:rsidRPr="00E6602C" w:rsidRDefault="00FF4262" w:rsidP="00755C59">
            <w:pPr>
              <w:pStyle w:val="TABLES"/>
              <w:ind w:left="57" w:right="57"/>
              <w:jc w:val="center"/>
              <w:rPr>
                <w:b/>
                <w:bCs/>
              </w:rPr>
            </w:pPr>
            <w:r>
              <w:rPr>
                <w:b/>
              </w:rPr>
              <w:t>Topotekán</w:t>
            </w:r>
          </w:p>
        </w:tc>
        <w:tc>
          <w:tcPr>
            <w:tcW w:w="2238" w:type="pct"/>
            <w:gridSpan w:val="2"/>
          </w:tcPr>
          <w:p w14:paraId="643B9470" w14:textId="77777777" w:rsidR="00FF4262" w:rsidRDefault="00FF4262" w:rsidP="00755C59">
            <w:pPr>
              <w:pStyle w:val="TABLES"/>
              <w:ind w:left="57" w:right="57"/>
              <w:jc w:val="center"/>
            </w:pPr>
            <w:r>
              <w:t>n = 120</w:t>
            </w:r>
          </w:p>
        </w:tc>
      </w:tr>
      <w:tr w:rsidR="00FF4262" w14:paraId="31DE290D" w14:textId="77777777" w:rsidTr="00F74068">
        <w:tc>
          <w:tcPr>
            <w:tcW w:w="2762" w:type="pct"/>
          </w:tcPr>
          <w:p w14:paraId="7A296A9A" w14:textId="77777777" w:rsidR="00FF4262" w:rsidRDefault="00FF4262" w:rsidP="00755C59">
            <w:pPr>
              <w:pStyle w:val="TABLES"/>
              <w:ind w:left="57" w:right="57"/>
              <w:jc w:val="center"/>
            </w:pPr>
            <w:r>
              <w:t>Medián PFS (mesiace)</w:t>
            </w:r>
          </w:p>
        </w:tc>
        <w:tc>
          <w:tcPr>
            <w:tcW w:w="858" w:type="pct"/>
          </w:tcPr>
          <w:p w14:paraId="21EB9733" w14:textId="77777777" w:rsidR="00FF4262" w:rsidRDefault="00FF4262" w:rsidP="00755C59">
            <w:pPr>
              <w:pStyle w:val="TABLES"/>
              <w:ind w:left="57" w:right="57"/>
              <w:jc w:val="center"/>
            </w:pPr>
            <w:r>
              <w:t>2,1</w:t>
            </w:r>
          </w:p>
        </w:tc>
        <w:tc>
          <w:tcPr>
            <w:tcW w:w="1380" w:type="pct"/>
          </w:tcPr>
          <w:p w14:paraId="66143FBD" w14:textId="77777777" w:rsidR="00FF4262" w:rsidRDefault="00FF4262" w:rsidP="00755C59">
            <w:pPr>
              <w:pStyle w:val="TABLES"/>
              <w:ind w:left="57" w:right="57"/>
              <w:jc w:val="center"/>
            </w:pPr>
            <w:r>
              <w:t>6,2</w:t>
            </w:r>
          </w:p>
        </w:tc>
      </w:tr>
      <w:tr w:rsidR="00FF4262" w14:paraId="76C65E3E" w14:textId="77777777" w:rsidTr="00F74068">
        <w:tc>
          <w:tcPr>
            <w:tcW w:w="2762" w:type="pct"/>
          </w:tcPr>
          <w:p w14:paraId="32D9A713" w14:textId="77777777" w:rsidR="00FF4262" w:rsidRDefault="00FF4262" w:rsidP="00755C59">
            <w:pPr>
              <w:pStyle w:val="TABLES"/>
              <w:ind w:left="57" w:right="57"/>
              <w:jc w:val="center"/>
            </w:pPr>
            <w:r>
              <w:t>Miera rizika (95 % I</w:t>
            </w:r>
            <w:r w:rsidR="00EA0BC3">
              <w:t>S</w:t>
            </w:r>
            <w:r>
              <w:t>)</w:t>
            </w:r>
          </w:p>
        </w:tc>
        <w:tc>
          <w:tcPr>
            <w:tcW w:w="2238" w:type="pct"/>
            <w:gridSpan w:val="2"/>
          </w:tcPr>
          <w:p w14:paraId="62EB4517" w14:textId="77777777" w:rsidR="00FF4262" w:rsidRDefault="00FF4262" w:rsidP="00755C59">
            <w:pPr>
              <w:pStyle w:val="TABLES"/>
              <w:ind w:left="57" w:right="57"/>
              <w:jc w:val="center"/>
            </w:pPr>
            <w:r>
              <w:t>0,28 [0,18; 0,44]</w:t>
            </w:r>
          </w:p>
        </w:tc>
      </w:tr>
      <w:tr w:rsidR="00FF4262" w14:paraId="33D149AF" w14:textId="77777777" w:rsidTr="00F74068">
        <w:tc>
          <w:tcPr>
            <w:tcW w:w="2762" w:type="pct"/>
          </w:tcPr>
          <w:p w14:paraId="331A5707" w14:textId="77777777" w:rsidR="00FF4262" w:rsidRDefault="00FF4262" w:rsidP="00755C59">
            <w:pPr>
              <w:pStyle w:val="TABLES"/>
              <w:ind w:left="57" w:right="57"/>
              <w:jc w:val="center"/>
            </w:pPr>
            <w:r>
              <w:lastRenderedPageBreak/>
              <w:t>Medián OS (mesiace)</w:t>
            </w:r>
          </w:p>
        </w:tc>
        <w:tc>
          <w:tcPr>
            <w:tcW w:w="858" w:type="pct"/>
          </w:tcPr>
          <w:p w14:paraId="14896D9B" w14:textId="77777777" w:rsidR="00FF4262" w:rsidRDefault="00FF4262" w:rsidP="00755C59">
            <w:pPr>
              <w:pStyle w:val="TABLES"/>
              <w:ind w:left="57" w:right="57"/>
              <w:jc w:val="center"/>
            </w:pPr>
            <w:r>
              <w:t>13,3</w:t>
            </w:r>
          </w:p>
        </w:tc>
        <w:tc>
          <w:tcPr>
            <w:tcW w:w="1380" w:type="pct"/>
          </w:tcPr>
          <w:p w14:paraId="773E806A" w14:textId="77777777" w:rsidR="00FF4262" w:rsidRDefault="00FF4262" w:rsidP="00755C59">
            <w:pPr>
              <w:pStyle w:val="TABLES"/>
              <w:ind w:left="57" w:right="57"/>
              <w:jc w:val="center"/>
            </w:pPr>
            <w:r>
              <w:t>13,8</w:t>
            </w:r>
          </w:p>
        </w:tc>
      </w:tr>
      <w:tr w:rsidR="00FF4262" w14:paraId="731A1F52" w14:textId="77777777" w:rsidTr="00F74068">
        <w:tc>
          <w:tcPr>
            <w:tcW w:w="2762" w:type="pct"/>
          </w:tcPr>
          <w:p w14:paraId="7F049D0E" w14:textId="77777777" w:rsidR="00FF4262" w:rsidRDefault="00FF4262" w:rsidP="00755C59">
            <w:pPr>
              <w:pStyle w:val="TABLES"/>
              <w:ind w:left="57" w:right="57"/>
              <w:jc w:val="center"/>
            </w:pPr>
            <w:r>
              <w:t>Miera rizika (95 % I</w:t>
            </w:r>
            <w:r w:rsidR="00EA0BC3">
              <w:t>S</w:t>
            </w:r>
            <w:r>
              <w:t>)</w:t>
            </w:r>
          </w:p>
        </w:tc>
        <w:tc>
          <w:tcPr>
            <w:tcW w:w="2238" w:type="pct"/>
            <w:gridSpan w:val="2"/>
          </w:tcPr>
          <w:p w14:paraId="6F0A2429" w14:textId="77777777" w:rsidR="00FF4262" w:rsidRDefault="00FF4262" w:rsidP="00755C59">
            <w:pPr>
              <w:pStyle w:val="TABLES"/>
              <w:ind w:left="57" w:right="57"/>
              <w:jc w:val="center"/>
            </w:pPr>
            <w:r>
              <w:t>1,07 [0,70; 1,63]</w:t>
            </w:r>
          </w:p>
        </w:tc>
      </w:tr>
      <w:tr w:rsidR="00FF4262" w14:paraId="4DA46519" w14:textId="77777777" w:rsidTr="00F74068">
        <w:tc>
          <w:tcPr>
            <w:tcW w:w="2762" w:type="pct"/>
          </w:tcPr>
          <w:p w14:paraId="4C307251" w14:textId="77777777" w:rsidR="00FF4262" w:rsidRPr="005973AB" w:rsidRDefault="00FF4262" w:rsidP="00755C59">
            <w:pPr>
              <w:pStyle w:val="TABLES"/>
              <w:ind w:left="57" w:right="57"/>
              <w:jc w:val="center"/>
              <w:rPr>
                <w:b/>
                <w:bCs/>
              </w:rPr>
            </w:pPr>
            <w:r>
              <w:rPr>
                <w:b/>
              </w:rPr>
              <w:t>PLD</w:t>
            </w:r>
          </w:p>
        </w:tc>
        <w:tc>
          <w:tcPr>
            <w:tcW w:w="2238" w:type="pct"/>
            <w:gridSpan w:val="2"/>
          </w:tcPr>
          <w:p w14:paraId="799E6C0F" w14:textId="77777777" w:rsidR="00FF4262" w:rsidRDefault="00FF4262" w:rsidP="00755C59">
            <w:pPr>
              <w:pStyle w:val="TABLES"/>
              <w:ind w:left="57" w:right="57"/>
              <w:jc w:val="center"/>
            </w:pPr>
            <w:r>
              <w:t>n = 126</w:t>
            </w:r>
          </w:p>
        </w:tc>
      </w:tr>
      <w:tr w:rsidR="00FF4262" w14:paraId="5D38D960" w14:textId="77777777" w:rsidTr="00F74068">
        <w:tc>
          <w:tcPr>
            <w:tcW w:w="2762" w:type="pct"/>
          </w:tcPr>
          <w:p w14:paraId="36C74E6B" w14:textId="77777777" w:rsidR="00FF4262" w:rsidRDefault="00FF4262" w:rsidP="00755C59">
            <w:pPr>
              <w:pStyle w:val="TABLES"/>
              <w:ind w:left="57" w:right="57"/>
              <w:jc w:val="center"/>
            </w:pPr>
            <w:r>
              <w:t>Medián PFS (mesiace)</w:t>
            </w:r>
          </w:p>
        </w:tc>
        <w:tc>
          <w:tcPr>
            <w:tcW w:w="858" w:type="pct"/>
          </w:tcPr>
          <w:p w14:paraId="17182CA6" w14:textId="77777777" w:rsidR="00FF4262" w:rsidRDefault="00FF4262" w:rsidP="00755C59">
            <w:pPr>
              <w:pStyle w:val="TABLES"/>
              <w:ind w:left="57" w:right="57"/>
              <w:jc w:val="center"/>
            </w:pPr>
            <w:r>
              <w:t>3,5</w:t>
            </w:r>
          </w:p>
        </w:tc>
        <w:tc>
          <w:tcPr>
            <w:tcW w:w="1380" w:type="pct"/>
          </w:tcPr>
          <w:p w14:paraId="1575A49D" w14:textId="77777777" w:rsidR="00FF4262" w:rsidRDefault="00FF4262" w:rsidP="00755C59">
            <w:pPr>
              <w:pStyle w:val="TABLES"/>
              <w:ind w:left="57" w:right="57"/>
              <w:jc w:val="center"/>
            </w:pPr>
            <w:r>
              <w:t>5,1</w:t>
            </w:r>
          </w:p>
        </w:tc>
      </w:tr>
      <w:tr w:rsidR="00FF4262" w14:paraId="41D2098F" w14:textId="77777777" w:rsidTr="00F74068">
        <w:tc>
          <w:tcPr>
            <w:tcW w:w="2762" w:type="pct"/>
          </w:tcPr>
          <w:p w14:paraId="68F81682" w14:textId="77777777" w:rsidR="00FF4262" w:rsidRDefault="00FF4262" w:rsidP="00755C59">
            <w:pPr>
              <w:pStyle w:val="TABLES"/>
              <w:ind w:left="57" w:right="57"/>
              <w:jc w:val="center"/>
            </w:pPr>
            <w:r>
              <w:t>Miera rizika (95 % I</w:t>
            </w:r>
            <w:r w:rsidR="00EA0BC3">
              <w:t>S</w:t>
            </w:r>
            <w:r>
              <w:t>)</w:t>
            </w:r>
          </w:p>
        </w:tc>
        <w:tc>
          <w:tcPr>
            <w:tcW w:w="2238" w:type="pct"/>
            <w:gridSpan w:val="2"/>
          </w:tcPr>
          <w:p w14:paraId="108462E1" w14:textId="77777777" w:rsidR="00FF4262" w:rsidRDefault="00FF4262" w:rsidP="00755C59">
            <w:pPr>
              <w:pStyle w:val="TABLES"/>
              <w:ind w:left="57" w:right="57"/>
              <w:jc w:val="center"/>
            </w:pPr>
            <w:r>
              <w:t>0,53 [0,36; 0,77]</w:t>
            </w:r>
          </w:p>
        </w:tc>
      </w:tr>
      <w:tr w:rsidR="00FF4262" w14:paraId="47B47D00" w14:textId="77777777" w:rsidTr="00F74068">
        <w:tc>
          <w:tcPr>
            <w:tcW w:w="2762" w:type="pct"/>
          </w:tcPr>
          <w:p w14:paraId="31C59927" w14:textId="77777777" w:rsidR="00FF4262" w:rsidRDefault="00FF4262" w:rsidP="00755C59">
            <w:pPr>
              <w:pStyle w:val="TABLES"/>
              <w:ind w:left="57" w:right="57"/>
              <w:jc w:val="center"/>
            </w:pPr>
            <w:r>
              <w:t>Medián OS (mesiace)</w:t>
            </w:r>
          </w:p>
        </w:tc>
        <w:tc>
          <w:tcPr>
            <w:tcW w:w="858" w:type="pct"/>
          </w:tcPr>
          <w:p w14:paraId="04913DB8" w14:textId="77777777" w:rsidR="00FF4262" w:rsidRDefault="00FF4262" w:rsidP="00755C59">
            <w:pPr>
              <w:pStyle w:val="TABLES"/>
              <w:ind w:left="57" w:right="57"/>
              <w:jc w:val="center"/>
            </w:pPr>
            <w:r>
              <w:t>14,1</w:t>
            </w:r>
          </w:p>
        </w:tc>
        <w:tc>
          <w:tcPr>
            <w:tcW w:w="1380" w:type="pct"/>
          </w:tcPr>
          <w:p w14:paraId="52F9796F" w14:textId="77777777" w:rsidR="00FF4262" w:rsidRDefault="00FF4262" w:rsidP="00755C59">
            <w:pPr>
              <w:pStyle w:val="TABLES"/>
              <w:ind w:left="57" w:right="57"/>
              <w:jc w:val="center"/>
            </w:pPr>
            <w:r>
              <w:t>13,7</w:t>
            </w:r>
          </w:p>
        </w:tc>
      </w:tr>
      <w:tr w:rsidR="00FF4262" w14:paraId="7BD3C187" w14:textId="77777777" w:rsidTr="00F74068">
        <w:tc>
          <w:tcPr>
            <w:tcW w:w="2762" w:type="pct"/>
          </w:tcPr>
          <w:p w14:paraId="722C557E" w14:textId="77777777" w:rsidR="00FF4262" w:rsidRDefault="00FF4262" w:rsidP="00755C59">
            <w:pPr>
              <w:pStyle w:val="TABLES"/>
              <w:ind w:left="57" w:right="57"/>
              <w:jc w:val="center"/>
            </w:pPr>
            <w:r>
              <w:t>Miera rizika (95 % I</w:t>
            </w:r>
            <w:r w:rsidR="00EA0BC3">
              <w:t>S</w:t>
            </w:r>
            <w:r>
              <w:t>)</w:t>
            </w:r>
          </w:p>
        </w:tc>
        <w:tc>
          <w:tcPr>
            <w:tcW w:w="2238" w:type="pct"/>
            <w:gridSpan w:val="2"/>
          </w:tcPr>
          <w:p w14:paraId="29D8C394" w14:textId="77777777" w:rsidR="00FF4262" w:rsidRDefault="00FF4262" w:rsidP="00755C59">
            <w:pPr>
              <w:pStyle w:val="TABLES"/>
              <w:ind w:left="57" w:right="57"/>
              <w:jc w:val="center"/>
            </w:pPr>
            <w:r>
              <w:t>0,91 [0,61; 1,35]</w:t>
            </w:r>
          </w:p>
        </w:tc>
      </w:tr>
    </w:tbl>
    <w:p w14:paraId="05B4642A" w14:textId="77777777" w:rsidR="00BA32BF" w:rsidRPr="00F37D4D" w:rsidRDefault="00BA32BF" w:rsidP="00755C59">
      <w:pPr>
        <w:widowControl w:val="0"/>
        <w:spacing w:line="240" w:lineRule="auto"/>
        <w:rPr>
          <w:i/>
          <w:iCs/>
          <w:szCs w:val="22"/>
        </w:rPr>
      </w:pPr>
    </w:p>
    <w:p w14:paraId="74734625" w14:textId="77777777" w:rsidR="009C4600" w:rsidRPr="006C53C7" w:rsidRDefault="00BE7CB1" w:rsidP="00F64BF9">
      <w:pPr>
        <w:keepNext/>
        <w:spacing w:line="240" w:lineRule="auto"/>
        <w:rPr>
          <w:i/>
          <w:iCs/>
          <w:szCs w:val="22"/>
          <w:u w:val="single"/>
        </w:rPr>
      </w:pPr>
      <w:r>
        <w:rPr>
          <w:i/>
          <w:u w:val="single"/>
        </w:rPr>
        <w:t>Karcinóm krčka maternice</w:t>
      </w:r>
    </w:p>
    <w:p w14:paraId="0556DDB3" w14:textId="77777777" w:rsidR="009C4600" w:rsidRPr="006C53C7" w:rsidRDefault="009C4600" w:rsidP="00F64BF9">
      <w:pPr>
        <w:keepNext/>
        <w:spacing w:line="240" w:lineRule="auto"/>
      </w:pPr>
    </w:p>
    <w:p w14:paraId="7083D100" w14:textId="77777777" w:rsidR="009C4600" w:rsidRDefault="00BE7CB1" w:rsidP="00F64BF9">
      <w:pPr>
        <w:keepNext/>
        <w:spacing w:line="240" w:lineRule="auto"/>
        <w:rPr>
          <w:i/>
          <w:iCs/>
          <w:szCs w:val="22"/>
        </w:rPr>
      </w:pPr>
      <w:r>
        <w:rPr>
          <w:i/>
        </w:rPr>
        <w:t>GOG-0240</w:t>
      </w:r>
    </w:p>
    <w:p w14:paraId="0BF5D6F4" w14:textId="77777777" w:rsidR="0018763F" w:rsidRPr="006C53C7" w:rsidRDefault="0018763F" w:rsidP="00F64BF9">
      <w:pPr>
        <w:keepNext/>
        <w:spacing w:line="240" w:lineRule="auto"/>
        <w:rPr>
          <w:i/>
          <w:iCs/>
          <w:szCs w:val="22"/>
        </w:rPr>
      </w:pPr>
    </w:p>
    <w:p w14:paraId="7143FC1F" w14:textId="77777777" w:rsidR="009C4600" w:rsidRPr="00F37D4D" w:rsidRDefault="00BE7CB1" w:rsidP="00F64BF9">
      <w:pPr>
        <w:autoSpaceDE w:val="0"/>
        <w:autoSpaceDN w:val="0"/>
        <w:adjustRightInd w:val="0"/>
        <w:spacing w:line="240" w:lineRule="auto"/>
        <w:rPr>
          <w:szCs w:val="22"/>
        </w:rPr>
      </w:pPr>
      <w:r>
        <w:t>Účinnosť a bezpečnosť bevacizumabu v kombinácii s chemoterapiou (paklitaxel a cisplatina alebo paklitaxel a topotekán) v liečbe pacientov s pretrvávajúcim, rekurentným alebo metastatickým karcinómom krčk</w:t>
      </w:r>
      <w:r w:rsidR="00EA0BC3">
        <w:t>a</w:t>
      </w:r>
      <w:r>
        <w:t xml:space="preserve"> maternice sa hodnotili v randomizovanej, 4-skupinovej, otvorenej, multicentrickej štúdii fázy III GOG -0240.</w:t>
      </w:r>
    </w:p>
    <w:p w14:paraId="582C14EA" w14:textId="77777777" w:rsidR="009C4600" w:rsidRPr="00F37D4D" w:rsidRDefault="009C4600" w:rsidP="00F64BF9">
      <w:pPr>
        <w:autoSpaceDE w:val="0"/>
        <w:autoSpaceDN w:val="0"/>
        <w:adjustRightInd w:val="0"/>
        <w:spacing w:line="240" w:lineRule="auto"/>
        <w:rPr>
          <w:szCs w:val="22"/>
        </w:rPr>
      </w:pPr>
    </w:p>
    <w:p w14:paraId="2E2B4554" w14:textId="77777777" w:rsidR="009C4600" w:rsidRPr="00F37D4D" w:rsidRDefault="00BE7CB1" w:rsidP="00F64BF9">
      <w:pPr>
        <w:pStyle w:val="Default"/>
        <w:rPr>
          <w:sz w:val="22"/>
          <w:szCs w:val="22"/>
        </w:rPr>
      </w:pPr>
      <w:r>
        <w:rPr>
          <w:sz w:val="22"/>
        </w:rPr>
        <w:t>Celkovo bolo randomizovaných do skupín 452 pacientov, kde dostávali:</w:t>
      </w:r>
    </w:p>
    <w:p w14:paraId="4D0F65B5" w14:textId="77777777" w:rsidR="009C4600" w:rsidRPr="00F37D4D" w:rsidRDefault="009C4600" w:rsidP="00F64BF9">
      <w:pPr>
        <w:pStyle w:val="Default"/>
        <w:rPr>
          <w:sz w:val="22"/>
          <w:szCs w:val="22"/>
        </w:rPr>
      </w:pPr>
    </w:p>
    <w:p w14:paraId="62BDA173" w14:textId="57CBF273" w:rsidR="009C4600" w:rsidRPr="006C53C7" w:rsidRDefault="00BE7CB1" w:rsidP="0033150F">
      <w:pPr>
        <w:pStyle w:val="ListParagraph"/>
        <w:numPr>
          <w:ilvl w:val="0"/>
          <w:numId w:val="18"/>
        </w:numPr>
        <w:ind w:left="567" w:hanging="567"/>
      </w:pPr>
      <w:r>
        <w:t>Paklitaxel v dávke 135 mg/m</w:t>
      </w:r>
      <w:r>
        <w:rPr>
          <w:vertAlign w:val="superscript"/>
        </w:rPr>
        <w:t>2</w:t>
      </w:r>
      <w:r>
        <w:t xml:space="preserve"> intravenózne počas 24 hodín na 1. deň a cisplatinu v dávke 50 mg/m</w:t>
      </w:r>
      <w:r>
        <w:rPr>
          <w:vertAlign w:val="superscript"/>
        </w:rPr>
        <w:t>2</w:t>
      </w:r>
      <w:r>
        <w:t xml:space="preserve"> intravenózne na 2. deň, každé 3 </w:t>
      </w:r>
      <w:r w:rsidR="00EA0BC3">
        <w:t>týždne</w:t>
      </w:r>
      <w:r>
        <w:t xml:space="preserve">; alebo </w:t>
      </w:r>
    </w:p>
    <w:p w14:paraId="1FE7AAAC" w14:textId="77777777" w:rsidR="009C4600" w:rsidRPr="006C53C7" w:rsidRDefault="00BE7CB1" w:rsidP="00F64BF9">
      <w:pPr>
        <w:pStyle w:val="ListParagraph"/>
        <w:ind w:left="567" w:firstLine="0"/>
      </w:pPr>
      <w:r>
        <w:t>Paklitaxel v dávke 175 mg/m</w:t>
      </w:r>
      <w:r>
        <w:rPr>
          <w:vertAlign w:val="superscript"/>
        </w:rPr>
        <w:t>2</w:t>
      </w:r>
      <w:r>
        <w:t xml:space="preserve"> intravenózne počas 3 hodín na 1. deň a cisplatinu v dávke 50 mg/m</w:t>
      </w:r>
      <w:r>
        <w:rPr>
          <w:vertAlign w:val="superscript"/>
        </w:rPr>
        <w:t>2</w:t>
      </w:r>
      <w:r>
        <w:t xml:space="preserve"> intravenózne na 2. deň; alebo</w:t>
      </w:r>
    </w:p>
    <w:p w14:paraId="158B3F8F" w14:textId="77777777" w:rsidR="009C4600" w:rsidRPr="006C53C7" w:rsidRDefault="00BE7CB1" w:rsidP="00F64BF9">
      <w:pPr>
        <w:pStyle w:val="ListParagraph"/>
        <w:ind w:left="567" w:firstLine="0"/>
      </w:pPr>
      <w:r>
        <w:t>Paklitaxel v dávke 175 mg/m</w:t>
      </w:r>
      <w:r>
        <w:rPr>
          <w:vertAlign w:val="superscript"/>
        </w:rPr>
        <w:t>2</w:t>
      </w:r>
      <w:r>
        <w:t xml:space="preserve"> intravenózne počas 3 hodín na 1. deň a cisplatinu v dávke 50 mg/m</w:t>
      </w:r>
      <w:r>
        <w:rPr>
          <w:vertAlign w:val="superscript"/>
        </w:rPr>
        <w:t>2</w:t>
      </w:r>
      <w:r>
        <w:t xml:space="preserve"> intravenózne na 1. deň </w:t>
      </w:r>
    </w:p>
    <w:p w14:paraId="1A1217D6" w14:textId="77777777" w:rsidR="009C4600" w:rsidRPr="006C53C7" w:rsidRDefault="009C4600" w:rsidP="00F64BF9">
      <w:pPr>
        <w:spacing w:line="240" w:lineRule="auto"/>
        <w:ind w:left="567" w:hanging="567"/>
      </w:pPr>
    </w:p>
    <w:p w14:paraId="432919C6" w14:textId="77777777" w:rsidR="009C4600" w:rsidRPr="006C53C7" w:rsidRDefault="00BE7CB1" w:rsidP="0033150F">
      <w:pPr>
        <w:pStyle w:val="ListParagraph"/>
        <w:numPr>
          <w:ilvl w:val="0"/>
          <w:numId w:val="18"/>
        </w:numPr>
        <w:ind w:left="567" w:hanging="567"/>
      </w:pPr>
      <w:r>
        <w:t>Paklitaxel v dávke 135 mg/m</w:t>
      </w:r>
      <w:r>
        <w:rPr>
          <w:vertAlign w:val="superscript"/>
        </w:rPr>
        <w:t>2</w:t>
      </w:r>
      <w:r>
        <w:t xml:space="preserve"> intravenózne počas 24 hodín na 1. deň a cisplatinu v dávke 50 mg/m</w:t>
      </w:r>
      <w:r>
        <w:rPr>
          <w:vertAlign w:val="superscript"/>
        </w:rPr>
        <w:t>2</w:t>
      </w:r>
      <w:r>
        <w:t xml:space="preserve"> intravenózne na 2. deň plus bevacizumab v dávke 15 mg/kg intravenózne na 2. deň; alebo </w:t>
      </w:r>
    </w:p>
    <w:p w14:paraId="1ACEA124" w14:textId="77777777" w:rsidR="009C4600" w:rsidRPr="006C53C7" w:rsidRDefault="00BE7CB1" w:rsidP="00F64BF9">
      <w:pPr>
        <w:pStyle w:val="ListParagraph"/>
        <w:ind w:left="567" w:firstLine="0"/>
      </w:pPr>
      <w:r>
        <w:t>Paklitaxel v dávke 175 mg/m</w:t>
      </w:r>
      <w:r>
        <w:rPr>
          <w:vertAlign w:val="superscript"/>
        </w:rPr>
        <w:t>2</w:t>
      </w:r>
      <w:r>
        <w:t xml:space="preserve"> intravenózne počas 3 hodín na 1. deň a cisplatinu v dávke 50 mg/m</w:t>
      </w:r>
      <w:r>
        <w:rPr>
          <w:vertAlign w:val="superscript"/>
        </w:rPr>
        <w:t>2</w:t>
      </w:r>
      <w:r>
        <w:t xml:space="preserve"> intravenózne na 2. deň plus bevacizumab v dávke 15 mg/kg intravenózne na 2. deň; alebo</w:t>
      </w:r>
    </w:p>
    <w:p w14:paraId="04089E40" w14:textId="2C80F72C" w:rsidR="009C4600" w:rsidRPr="006C53C7" w:rsidRDefault="00BE7CB1" w:rsidP="00F64BF9">
      <w:pPr>
        <w:pStyle w:val="ListParagraph"/>
        <w:ind w:left="567" w:firstLine="0"/>
      </w:pPr>
      <w:r>
        <w:t>Paklitaxel v dávke 175 mg/m</w:t>
      </w:r>
      <w:r>
        <w:rPr>
          <w:vertAlign w:val="superscript"/>
        </w:rPr>
        <w:t>2</w:t>
      </w:r>
      <w:r>
        <w:t xml:space="preserve"> intravenózne počas 3 hodín na 1. deň a cisplatinu v dávke 50 mg/m</w:t>
      </w:r>
      <w:r>
        <w:rPr>
          <w:vertAlign w:val="superscript"/>
        </w:rPr>
        <w:t>2</w:t>
      </w:r>
      <w:r>
        <w:t xml:space="preserve"> intravenózne na 1. deň plus bevacizumab v dávke 15 mg/kg intravenózne na 1. deň</w:t>
      </w:r>
    </w:p>
    <w:p w14:paraId="59ABAB41" w14:textId="77777777" w:rsidR="009C4600" w:rsidRPr="006C53C7" w:rsidRDefault="009C4600" w:rsidP="00F64BF9">
      <w:pPr>
        <w:spacing w:line="240" w:lineRule="auto"/>
        <w:ind w:left="567" w:hanging="567"/>
      </w:pPr>
    </w:p>
    <w:p w14:paraId="29D5CAAF" w14:textId="77777777" w:rsidR="009C4600" w:rsidRPr="006C53C7" w:rsidRDefault="00BE7CB1" w:rsidP="0033150F">
      <w:pPr>
        <w:pStyle w:val="ListParagraph"/>
        <w:numPr>
          <w:ilvl w:val="0"/>
          <w:numId w:val="18"/>
        </w:numPr>
        <w:ind w:left="567" w:hanging="567"/>
      </w:pPr>
      <w:r>
        <w:t>Paklitaxel v dávke 175 mg/m</w:t>
      </w:r>
      <w:r>
        <w:rPr>
          <w:vertAlign w:val="superscript"/>
        </w:rPr>
        <w:t>2</w:t>
      </w:r>
      <w:r>
        <w:t xml:space="preserve"> intravenózne počas 3 hodín v 1. deň a topotekán v dávke 0,75 mg/m</w:t>
      </w:r>
      <w:r>
        <w:rPr>
          <w:vertAlign w:val="superscript"/>
        </w:rPr>
        <w:t>2</w:t>
      </w:r>
      <w:r>
        <w:t xml:space="preserve"> intravenózne počas 30 minút na 1. – 3. deň </w:t>
      </w:r>
    </w:p>
    <w:p w14:paraId="09CD6EE6" w14:textId="77777777" w:rsidR="009C4600" w:rsidRPr="006C53C7" w:rsidRDefault="009C4600" w:rsidP="00F64BF9">
      <w:pPr>
        <w:spacing w:line="240" w:lineRule="auto"/>
        <w:ind w:left="567" w:hanging="567"/>
      </w:pPr>
    </w:p>
    <w:p w14:paraId="2924206F" w14:textId="77777777" w:rsidR="009C4600" w:rsidRPr="006C53C7" w:rsidRDefault="00BE7CB1" w:rsidP="0033150F">
      <w:pPr>
        <w:pStyle w:val="ListParagraph"/>
        <w:numPr>
          <w:ilvl w:val="0"/>
          <w:numId w:val="18"/>
        </w:numPr>
        <w:ind w:left="567" w:hanging="567"/>
      </w:pPr>
      <w:r>
        <w:t>Paklitaxel v dávke 175 mg/m</w:t>
      </w:r>
      <w:r>
        <w:rPr>
          <w:vertAlign w:val="superscript"/>
        </w:rPr>
        <w:t>2</w:t>
      </w:r>
      <w:r>
        <w:t xml:space="preserve"> intravenózne počas 3 hodím na 1. deň a topotekán v dávke 0,75 mg/m</w:t>
      </w:r>
      <w:r>
        <w:rPr>
          <w:vertAlign w:val="superscript"/>
        </w:rPr>
        <w:t>2</w:t>
      </w:r>
      <w:r>
        <w:t xml:space="preserve"> intravenózne počas 30 minút na 1. – 3. deň plus bevacizumab v dávke 15 mg/kg intravenózne na 1. deň</w:t>
      </w:r>
    </w:p>
    <w:p w14:paraId="69FD029C" w14:textId="77777777" w:rsidR="009C4600" w:rsidRPr="00F37D4D" w:rsidRDefault="009C4600" w:rsidP="00F64BF9">
      <w:pPr>
        <w:spacing w:line="240" w:lineRule="auto"/>
        <w:rPr>
          <w:szCs w:val="22"/>
        </w:rPr>
      </w:pPr>
    </w:p>
    <w:p w14:paraId="2A5A1508" w14:textId="77777777" w:rsidR="009C4600" w:rsidRPr="00F37D4D" w:rsidRDefault="00BE7CB1" w:rsidP="00F64BF9">
      <w:pPr>
        <w:spacing w:line="240" w:lineRule="auto"/>
        <w:rPr>
          <w:szCs w:val="22"/>
        </w:rPr>
      </w:pPr>
      <w:r>
        <w:t xml:space="preserve">Pacienti, ktorí spĺňali kritériá na zaradenie mali pretrvávajúci, rekurentný alebo metastatický nádor dlaždicových buniek, adenoskvamózny karcinóm alebo adenokarcinóm </w:t>
      </w:r>
      <w:r w:rsidR="00EA0BC3">
        <w:t xml:space="preserve">krčka </w:t>
      </w:r>
      <w:r>
        <w:t>maternice a nemohli podstúpiť liečbu chirurgickým zákrokom a/alebo radiačnú terapiu a tiež nedostávali predchádzajúcu liečbu bevacizumabom alebo inými inhibítormi VEGF alebo látkami cielenými na receptory VEGF.</w:t>
      </w:r>
    </w:p>
    <w:p w14:paraId="5CE59F22" w14:textId="77777777" w:rsidR="009C4600" w:rsidRPr="00F37D4D" w:rsidRDefault="009C4600" w:rsidP="00F64BF9">
      <w:pPr>
        <w:spacing w:line="240" w:lineRule="auto"/>
        <w:rPr>
          <w:szCs w:val="22"/>
        </w:rPr>
      </w:pPr>
    </w:p>
    <w:p w14:paraId="7016C346" w14:textId="77777777" w:rsidR="009C4600" w:rsidRPr="00F37D4D" w:rsidRDefault="00BE7CB1" w:rsidP="00F64BF9">
      <w:pPr>
        <w:spacing w:line="240" w:lineRule="auto"/>
        <w:rPr>
          <w:szCs w:val="22"/>
        </w:rPr>
      </w:pPr>
      <w:r>
        <w:t>Priemerný vek v skupine užívajúcej samotnú chemoterapiu bol 46,0 rokov (rozmedzie: 20-83) a 48,0 rokov (</w:t>
      </w:r>
      <w:r w:rsidR="00EA0BC3">
        <w:t>rozmedzie</w:t>
      </w:r>
      <w:r>
        <w:t>: 22-85) v skupine užívajúcej chemoterapiu + bevacizumab; s 9,3 % pacientov v skupine užívajúcej samotnú chemoterapiu a 7,5 % pacientov v skupine užívajúcej chemoterapiu + bevacizumab, ktoré boli vo veku nad 65 rokov.</w:t>
      </w:r>
    </w:p>
    <w:p w14:paraId="344E5229" w14:textId="77777777" w:rsidR="009C4600" w:rsidRPr="00F37D4D" w:rsidRDefault="009C4600" w:rsidP="00F64BF9">
      <w:pPr>
        <w:spacing w:line="240" w:lineRule="auto"/>
        <w:rPr>
          <w:szCs w:val="22"/>
        </w:rPr>
      </w:pPr>
    </w:p>
    <w:p w14:paraId="3BB2C0F1" w14:textId="77777777" w:rsidR="009C4600" w:rsidRPr="00F37D4D" w:rsidRDefault="00BE7CB1" w:rsidP="00F64BF9">
      <w:pPr>
        <w:spacing w:line="240" w:lineRule="auto"/>
        <w:rPr>
          <w:szCs w:val="22"/>
        </w:rPr>
      </w:pPr>
      <w:r>
        <w:t xml:space="preserve">Z celkového počtu 452 pacientov randomizovaných na začiatku bola väčšina pacientov belosi (80,0 % v skupine užívajúcej samotnú chemoterapiu a 75,3 % v skupine chemoterapia + bevacizumab), mala nádor dlaždicových buniek (67,1 % v skupine samotnej chemoterapie a 69,6 % v skupine </w:t>
      </w:r>
      <w:r>
        <w:lastRenderedPageBreak/>
        <w:t>chemoterapia + bevacizumab), mala pretrvávajúce/rekurentné ochorenie (83,6% v skupine samotnej chemoterapie a 82,8 % v skupine chemoterapia + bevacizumab), mala 1-2 metastatické ložiská (72 % v skupine samotnej chemoterapie a 76,2 % v skupine chemoterapia + bevacizumab), mala postihnuté lymfatické uzliny (50,2 % v skupine samotnej chemoterapie a 56,4% v skupine chemoterapia + bevacizumab) a neužívali platinu v období 6 mesiacov (72,5 % v skupine samotnej chemoterapie a 64,4 % v skupine chemoterapia + bevacizumab).</w:t>
      </w:r>
    </w:p>
    <w:p w14:paraId="53A0B36B" w14:textId="77777777" w:rsidR="009C4600" w:rsidRPr="00F37D4D" w:rsidRDefault="009C4600" w:rsidP="00F64BF9">
      <w:pPr>
        <w:spacing w:line="240" w:lineRule="auto"/>
        <w:rPr>
          <w:szCs w:val="22"/>
        </w:rPr>
      </w:pPr>
    </w:p>
    <w:p w14:paraId="570FEFDA" w14:textId="77777777" w:rsidR="009C4600" w:rsidRPr="00F37D4D" w:rsidRDefault="00BE7CB1" w:rsidP="00F64BF9">
      <w:pPr>
        <w:spacing w:line="240" w:lineRule="auto"/>
        <w:rPr>
          <w:szCs w:val="22"/>
        </w:rPr>
      </w:pPr>
      <w:r>
        <w:t>Primárnym koncovým ukazovateľom účinnosti bolo celkové prežívanie. Sekundárny koncový ukazovateľ zahŕňal prežívanie bez progresie ochorenia (PFS) a mieru objektív</w:t>
      </w:r>
      <w:r w:rsidR="00EA0BC3">
        <w:t>n</w:t>
      </w:r>
      <w:r>
        <w:t>ej odpovede. Výsledky primárnej a následnej analýzy liečby bevacizumabom a porovnanie druhov liečby v štúdii sú zobrazené v uvedenom poradí v tabuľke 25 a tabuľke 26.</w:t>
      </w:r>
    </w:p>
    <w:p w14:paraId="19717230" w14:textId="77777777" w:rsidR="009C4600" w:rsidRPr="00F37D4D" w:rsidRDefault="009C4600" w:rsidP="00F64BF9">
      <w:pPr>
        <w:spacing w:line="240" w:lineRule="auto"/>
        <w:rPr>
          <w:szCs w:val="22"/>
        </w:rPr>
      </w:pPr>
    </w:p>
    <w:p w14:paraId="303655CF" w14:textId="77777777" w:rsidR="009C4600" w:rsidRPr="006C53C7" w:rsidRDefault="00BE7CB1" w:rsidP="00F64BF9">
      <w:pPr>
        <w:keepNext/>
        <w:spacing w:line="240" w:lineRule="auto"/>
        <w:rPr>
          <w:b/>
          <w:bCs/>
        </w:rPr>
      </w:pPr>
      <w:r>
        <w:rPr>
          <w:b/>
        </w:rPr>
        <w:t>Tabuľka 25. Výsledky účinnosti liečby bevacizumabom zo štúdie GOG-0240</w:t>
      </w:r>
    </w:p>
    <w:p w14:paraId="2F86ACC8"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F37D4D" w14:paraId="7362E70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C9F528A" w14:textId="77777777" w:rsidR="009C4600" w:rsidRPr="00F37D4D" w:rsidRDefault="009C4600" w:rsidP="00F64BF9">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672E68D3" w14:textId="77777777" w:rsidR="009C4600" w:rsidRPr="00F37D4D" w:rsidRDefault="00BE7CB1" w:rsidP="00F64BF9">
            <w:pPr>
              <w:pStyle w:val="TABLES"/>
              <w:ind w:left="57" w:right="57"/>
              <w:jc w:val="center"/>
              <w:rPr>
                <w:b/>
              </w:rPr>
            </w:pPr>
            <w:r>
              <w:rPr>
                <w:b/>
              </w:rPr>
              <w:t>Chemotherapia</w:t>
            </w:r>
            <w:r w:rsidR="00F2743F" w:rsidRPr="00F37D4D">
              <w:rPr>
                <w:b/>
              </w:rPr>
              <w:br/>
            </w:r>
            <w:r>
              <w:rPr>
                <w:b/>
              </w:rPr>
              <w:t xml:space="preserve"> (n = 225)</w:t>
            </w:r>
          </w:p>
        </w:tc>
        <w:tc>
          <w:tcPr>
            <w:tcW w:w="1833" w:type="pct"/>
            <w:tcBorders>
              <w:top w:val="single" w:sz="4" w:space="0" w:color="000000"/>
              <w:left w:val="single" w:sz="4" w:space="0" w:color="000000"/>
              <w:bottom w:val="single" w:sz="4" w:space="0" w:color="000000"/>
              <w:right w:val="single" w:sz="4" w:space="0" w:color="000000"/>
            </w:tcBorders>
            <w:hideMark/>
          </w:tcPr>
          <w:p w14:paraId="7A7847AE" w14:textId="77777777" w:rsidR="009C4600" w:rsidRPr="00F37D4D" w:rsidRDefault="00BE7CB1" w:rsidP="00F64BF9">
            <w:pPr>
              <w:pStyle w:val="TABLES"/>
              <w:ind w:left="57" w:right="57"/>
              <w:jc w:val="center"/>
              <w:rPr>
                <w:b/>
              </w:rPr>
            </w:pPr>
            <w:r>
              <w:rPr>
                <w:b/>
              </w:rPr>
              <w:t>Chemotherapia + bevacizumab</w:t>
            </w:r>
            <w:r w:rsidR="00F2743F" w:rsidRPr="00F37D4D">
              <w:rPr>
                <w:b/>
              </w:rPr>
              <w:br/>
            </w:r>
            <w:r>
              <w:rPr>
                <w:b/>
              </w:rPr>
              <w:t>(n = 227)</w:t>
            </w:r>
          </w:p>
        </w:tc>
      </w:tr>
      <w:tr w:rsidR="00741586" w:rsidRPr="00F37D4D" w14:paraId="7966C15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45EB75" w14:textId="77777777" w:rsidR="009C4600" w:rsidRPr="00F37D4D" w:rsidRDefault="00BE7CB1" w:rsidP="00F64BF9">
            <w:pPr>
              <w:pStyle w:val="TABLES"/>
              <w:keepNext/>
              <w:ind w:left="57" w:right="57"/>
              <w:jc w:val="center"/>
            </w:pPr>
            <w:r>
              <w:t>Primárny koncový ukazovateľ</w:t>
            </w:r>
          </w:p>
        </w:tc>
      </w:tr>
      <w:tr w:rsidR="00741586" w:rsidRPr="00F37D4D" w14:paraId="7CE8531D"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6141EA3" w14:textId="77777777" w:rsidR="009C4600" w:rsidRPr="00F37D4D" w:rsidRDefault="00BE7CB1" w:rsidP="00F64BF9">
            <w:pPr>
              <w:pStyle w:val="TABLES"/>
              <w:ind w:left="57" w:right="57"/>
            </w:pPr>
            <w:r>
              <w:t>Celkové prežívanie – primárna analýza</w:t>
            </w:r>
            <w:r w:rsidR="00F2743F" w:rsidRPr="00F37D4D">
              <w:rPr>
                <w:vertAlign w:val="superscript"/>
              </w:rPr>
              <w:t>6</w:t>
            </w:r>
          </w:p>
        </w:tc>
      </w:tr>
      <w:tr w:rsidR="00741586" w:rsidRPr="00F37D4D" w14:paraId="1582B28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C98222" w14:textId="77777777" w:rsidR="009C4600" w:rsidRPr="00F37D4D" w:rsidRDefault="00BE7CB1" w:rsidP="00F64BF9">
            <w:pPr>
              <w:pStyle w:val="TABLES"/>
              <w:ind w:left="567" w:right="57"/>
            </w:pPr>
            <w:r>
              <w:t>Medián času (mesiace)</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08924346" w14:textId="77777777" w:rsidR="009C4600" w:rsidRPr="00F37D4D" w:rsidRDefault="00BE7CB1" w:rsidP="00F64BF9">
            <w:pPr>
              <w:pStyle w:val="TABLES"/>
              <w:ind w:left="57" w:right="57"/>
              <w:jc w:val="center"/>
            </w:pPr>
            <w:r>
              <w:t>12,9</w:t>
            </w:r>
          </w:p>
        </w:tc>
        <w:tc>
          <w:tcPr>
            <w:tcW w:w="1833" w:type="pct"/>
            <w:tcBorders>
              <w:top w:val="single" w:sz="4" w:space="0" w:color="000000"/>
              <w:left w:val="single" w:sz="4" w:space="0" w:color="000000"/>
              <w:bottom w:val="single" w:sz="4" w:space="0" w:color="000000"/>
              <w:right w:val="single" w:sz="4" w:space="0" w:color="000000"/>
            </w:tcBorders>
            <w:hideMark/>
          </w:tcPr>
          <w:p w14:paraId="6E2B7DB6" w14:textId="77777777" w:rsidR="009C4600" w:rsidRPr="00F37D4D" w:rsidRDefault="00BE7CB1" w:rsidP="00F64BF9">
            <w:pPr>
              <w:pStyle w:val="TABLES"/>
              <w:ind w:left="57" w:right="57"/>
              <w:jc w:val="center"/>
            </w:pPr>
            <w:r>
              <w:t>16,8</w:t>
            </w:r>
          </w:p>
        </w:tc>
      </w:tr>
      <w:tr w:rsidR="00741586" w:rsidRPr="00F37D4D" w14:paraId="2B6C3BE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208490D" w14:textId="77777777" w:rsidR="009C4600" w:rsidRPr="00F37D4D" w:rsidRDefault="00BE7CB1" w:rsidP="00F64BF9">
            <w:pPr>
              <w:pStyle w:val="TABLES"/>
              <w:ind w:left="567" w:right="57"/>
            </w:pPr>
            <w:r>
              <w:t>Miera rizika [95 % I</w:t>
            </w:r>
            <w:r w:rsidR="003D4E41">
              <w:t>S</w:t>
            </w:r>
            <w:r>
              <w: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22E7474C" w14:textId="77777777" w:rsidR="009C4600" w:rsidRPr="00F37D4D" w:rsidRDefault="00BE7CB1" w:rsidP="00F64BF9">
            <w:pPr>
              <w:pStyle w:val="TABLES"/>
              <w:ind w:left="57" w:right="57"/>
              <w:jc w:val="center"/>
            </w:pPr>
            <w:r>
              <w:t>0,74 [0,58; 0,94]</w:t>
            </w:r>
          </w:p>
          <w:p w14:paraId="1DA704B4" w14:textId="77777777" w:rsidR="009C4600" w:rsidRPr="00F37D4D" w:rsidRDefault="00BE7CB1" w:rsidP="00F64BF9">
            <w:pPr>
              <w:pStyle w:val="TABLES"/>
              <w:ind w:left="57" w:right="57"/>
              <w:jc w:val="center"/>
            </w:pPr>
            <w:r>
              <w:t>(p-hodnota</w:t>
            </w:r>
            <w:r>
              <w:rPr>
                <w:vertAlign w:val="superscript"/>
              </w:rPr>
              <w:t>5</w:t>
            </w:r>
            <w:r>
              <w:t xml:space="preserve"> = 0,0132)</w:t>
            </w:r>
          </w:p>
        </w:tc>
      </w:tr>
      <w:tr w:rsidR="00741586" w:rsidRPr="00F37D4D" w14:paraId="1EEB93B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24367A2" w14:textId="77777777" w:rsidR="009C4600" w:rsidRPr="00F37D4D" w:rsidRDefault="00BE7CB1" w:rsidP="00F64BF9">
            <w:pPr>
              <w:pStyle w:val="TABLES"/>
              <w:ind w:left="57" w:right="57"/>
            </w:pPr>
            <w:r>
              <w:t>Celkové prežívanie– následná analýza</w:t>
            </w:r>
            <w:r w:rsidR="00F2743F" w:rsidRPr="00F37D4D">
              <w:rPr>
                <w:vertAlign w:val="superscript"/>
              </w:rPr>
              <w:t>7</w:t>
            </w:r>
          </w:p>
        </w:tc>
      </w:tr>
      <w:tr w:rsidR="00741586" w:rsidRPr="00F37D4D" w14:paraId="5648361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E8E6949" w14:textId="77777777" w:rsidR="009C4600" w:rsidRPr="00F37D4D" w:rsidRDefault="00BE7CB1" w:rsidP="00F64BF9">
            <w:pPr>
              <w:pStyle w:val="TABLES"/>
              <w:ind w:left="567" w:right="57"/>
            </w:pPr>
            <w:r>
              <w:t>Medián času (mesiace)</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4869E9E3" w14:textId="77777777" w:rsidR="009C4600" w:rsidRPr="00F37D4D" w:rsidRDefault="00BE7CB1" w:rsidP="00F64BF9">
            <w:pPr>
              <w:pStyle w:val="TABLES"/>
              <w:ind w:left="57" w:right="57"/>
              <w:jc w:val="center"/>
            </w:pPr>
            <w:r>
              <w:t>13,3</w:t>
            </w:r>
          </w:p>
        </w:tc>
        <w:tc>
          <w:tcPr>
            <w:tcW w:w="1833" w:type="pct"/>
            <w:tcBorders>
              <w:top w:val="single" w:sz="4" w:space="0" w:color="000000"/>
              <w:left w:val="single" w:sz="4" w:space="0" w:color="000000"/>
              <w:bottom w:val="single" w:sz="4" w:space="0" w:color="000000"/>
              <w:right w:val="single" w:sz="4" w:space="0" w:color="000000"/>
            </w:tcBorders>
            <w:hideMark/>
          </w:tcPr>
          <w:p w14:paraId="223E9789" w14:textId="77777777" w:rsidR="009C4600" w:rsidRPr="00F37D4D" w:rsidRDefault="00BE7CB1" w:rsidP="00F64BF9">
            <w:pPr>
              <w:pStyle w:val="TABLES"/>
              <w:ind w:left="57" w:right="57"/>
              <w:jc w:val="center"/>
            </w:pPr>
            <w:r>
              <w:t>16,8</w:t>
            </w:r>
          </w:p>
        </w:tc>
      </w:tr>
      <w:tr w:rsidR="00741586" w:rsidRPr="00F37D4D" w14:paraId="62875CF4"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B4FE999" w14:textId="77777777" w:rsidR="009C4600" w:rsidRPr="00F37D4D" w:rsidRDefault="00BE7CB1" w:rsidP="00F64BF9">
            <w:pPr>
              <w:pStyle w:val="TABLES"/>
              <w:ind w:left="567" w:right="57"/>
            </w:pPr>
            <w:r>
              <w:t>Miera rizika [95 % I</w:t>
            </w:r>
            <w:r w:rsidR="003D4E41">
              <w:t>S</w:t>
            </w:r>
            <w:r>
              <w: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3C152DF" w14:textId="77777777" w:rsidR="009C4600" w:rsidRPr="00F37D4D" w:rsidRDefault="00BE7CB1" w:rsidP="00F64BF9">
            <w:pPr>
              <w:pStyle w:val="TABLES"/>
              <w:ind w:left="57" w:right="57"/>
              <w:jc w:val="center"/>
            </w:pPr>
            <w:r>
              <w:t>0,76 [0,62, 0,94]</w:t>
            </w:r>
          </w:p>
          <w:p w14:paraId="1A950902" w14:textId="77777777" w:rsidR="009C4600" w:rsidRPr="00F37D4D" w:rsidRDefault="00BE7CB1" w:rsidP="00F64BF9">
            <w:pPr>
              <w:pStyle w:val="TABLES"/>
              <w:ind w:left="57" w:right="57"/>
              <w:jc w:val="center"/>
            </w:pPr>
            <w:r>
              <w:t>(p-hodnota</w:t>
            </w:r>
            <w:r>
              <w:rPr>
                <w:vertAlign w:val="superscript"/>
              </w:rPr>
              <w:t>5,8</w:t>
            </w:r>
            <w:r>
              <w:t xml:space="preserve"> = 0,0126)</w:t>
            </w:r>
          </w:p>
        </w:tc>
      </w:tr>
      <w:tr w:rsidR="00741586" w:rsidRPr="00F37D4D" w14:paraId="431E660B"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E05E490" w14:textId="77777777" w:rsidR="009C4600" w:rsidRPr="00F37D4D" w:rsidRDefault="00BE7CB1" w:rsidP="00F64BF9">
            <w:pPr>
              <w:pStyle w:val="TABLES"/>
              <w:ind w:left="57" w:right="57"/>
              <w:jc w:val="center"/>
            </w:pPr>
            <w:r>
              <w:t>Sekundárne koncové ukazovatele</w:t>
            </w:r>
          </w:p>
        </w:tc>
      </w:tr>
      <w:tr w:rsidR="00741586" w:rsidRPr="00F37D4D" w14:paraId="534C29DD"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03D860C" w14:textId="77777777" w:rsidR="009C4600" w:rsidRPr="00F37D4D" w:rsidRDefault="00BE7CB1" w:rsidP="00F64BF9">
            <w:pPr>
              <w:pStyle w:val="TABLES"/>
              <w:ind w:left="57" w:right="57"/>
            </w:pPr>
            <w:r>
              <w:t>Prežívanie bez progresie – primárna analýza</w:t>
            </w:r>
            <w:r w:rsidR="00F2743F" w:rsidRPr="00F37D4D">
              <w:rPr>
                <w:vertAlign w:val="superscript"/>
              </w:rPr>
              <w:t>6</w:t>
            </w:r>
          </w:p>
        </w:tc>
      </w:tr>
      <w:tr w:rsidR="00741586" w:rsidRPr="00F37D4D" w14:paraId="5339A8D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BEEE345" w14:textId="77777777" w:rsidR="009C4600" w:rsidRPr="00F37D4D" w:rsidRDefault="00BE7CB1" w:rsidP="00F64BF9">
            <w:pPr>
              <w:pStyle w:val="TABLES"/>
              <w:ind w:left="567" w:right="57"/>
            </w:pPr>
            <w:r>
              <w:t>Medián PFS (mesiace)</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0691AA15" w14:textId="77777777" w:rsidR="009C4600" w:rsidRPr="00F37D4D" w:rsidRDefault="00BE7CB1" w:rsidP="00F64BF9">
            <w:pPr>
              <w:pStyle w:val="TABLES"/>
              <w:ind w:left="57" w:right="57"/>
              <w:jc w:val="center"/>
            </w:pPr>
            <w:r>
              <w:t>6,0</w:t>
            </w:r>
          </w:p>
        </w:tc>
        <w:tc>
          <w:tcPr>
            <w:tcW w:w="1833" w:type="pct"/>
            <w:tcBorders>
              <w:top w:val="single" w:sz="4" w:space="0" w:color="000000"/>
              <w:left w:val="single" w:sz="4" w:space="0" w:color="000000"/>
              <w:bottom w:val="single" w:sz="4" w:space="0" w:color="000000"/>
              <w:right w:val="single" w:sz="4" w:space="0" w:color="000000"/>
            </w:tcBorders>
            <w:hideMark/>
          </w:tcPr>
          <w:p w14:paraId="1D369D35" w14:textId="77777777" w:rsidR="009C4600" w:rsidRPr="00F37D4D" w:rsidRDefault="00BE7CB1" w:rsidP="00F64BF9">
            <w:pPr>
              <w:pStyle w:val="TABLES"/>
              <w:ind w:left="57" w:right="57"/>
              <w:jc w:val="center"/>
            </w:pPr>
            <w:r>
              <w:t>8,3</w:t>
            </w:r>
          </w:p>
        </w:tc>
      </w:tr>
      <w:tr w:rsidR="00741586" w:rsidRPr="00F37D4D" w14:paraId="355AB26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60FD902" w14:textId="77777777" w:rsidR="009C4600" w:rsidRPr="00F37D4D" w:rsidRDefault="00BE7CB1" w:rsidP="00F64BF9">
            <w:pPr>
              <w:pStyle w:val="TABLES"/>
              <w:ind w:left="567" w:right="57"/>
            </w:pPr>
            <w:r>
              <w:t>Miera rizika [95 % I</w:t>
            </w:r>
            <w:r w:rsidR="003D4E41">
              <w:t>S</w:t>
            </w:r>
            <w:r>
              <w: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90520CF" w14:textId="77777777" w:rsidR="009C4600" w:rsidRPr="00F37D4D" w:rsidRDefault="00BE7CB1" w:rsidP="00F64BF9">
            <w:pPr>
              <w:pStyle w:val="TABLES"/>
              <w:ind w:left="57" w:right="57"/>
              <w:jc w:val="center"/>
            </w:pPr>
            <w:r>
              <w:t>0,66 [0,54; 0,81]</w:t>
            </w:r>
          </w:p>
          <w:p w14:paraId="24C85B13" w14:textId="77777777" w:rsidR="009C4600" w:rsidRPr="00F37D4D" w:rsidRDefault="00BE7CB1" w:rsidP="00F64BF9">
            <w:pPr>
              <w:pStyle w:val="TABLES"/>
              <w:ind w:left="57" w:right="57"/>
              <w:jc w:val="center"/>
            </w:pPr>
            <w:r>
              <w:t>(p-hodnota</w:t>
            </w:r>
            <w:r>
              <w:rPr>
                <w:vertAlign w:val="superscript"/>
              </w:rPr>
              <w:t>5</w:t>
            </w:r>
            <w:r>
              <w:t xml:space="preserve"> &lt; 0,0001)</w:t>
            </w:r>
          </w:p>
        </w:tc>
      </w:tr>
      <w:tr w:rsidR="00741586" w:rsidRPr="00F37D4D" w14:paraId="2F7F2578"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37A2234" w14:textId="77777777" w:rsidR="009C4600" w:rsidRPr="00F37D4D" w:rsidRDefault="00BE7CB1" w:rsidP="00F64BF9">
            <w:pPr>
              <w:pStyle w:val="TABLES"/>
              <w:ind w:left="57" w:right="57"/>
            </w:pPr>
            <w:r>
              <w:t>Najlepšia celková odpoveď – primárna analýza</w:t>
            </w:r>
            <w:r w:rsidR="00F2743F" w:rsidRPr="00F37D4D">
              <w:rPr>
                <w:vertAlign w:val="superscript"/>
              </w:rPr>
              <w:t>6</w:t>
            </w:r>
          </w:p>
        </w:tc>
      </w:tr>
      <w:tr w:rsidR="00741586" w:rsidRPr="00F37D4D" w14:paraId="1F327424"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BCD3ABF" w14:textId="77777777" w:rsidR="009C4600" w:rsidRPr="00F37D4D" w:rsidRDefault="00BE7CB1" w:rsidP="00F64BF9">
            <w:pPr>
              <w:pStyle w:val="TABLES"/>
              <w:ind w:left="567" w:right="57"/>
            </w:pPr>
            <w:r>
              <w:t>Respondenti (miera odpovede</w:t>
            </w:r>
            <w:r w:rsidR="00F2743F" w:rsidRPr="00F37D4D">
              <w:rPr>
                <w:vertAlign w:val="superscript"/>
              </w:rPr>
              <w:t>2</w:t>
            </w:r>
            <w:r>
              <w:t>)</w:t>
            </w:r>
          </w:p>
        </w:tc>
        <w:tc>
          <w:tcPr>
            <w:tcW w:w="935" w:type="pct"/>
            <w:tcBorders>
              <w:top w:val="single" w:sz="4" w:space="0" w:color="000000"/>
              <w:left w:val="single" w:sz="4" w:space="0" w:color="000000"/>
              <w:bottom w:val="single" w:sz="4" w:space="0" w:color="000000"/>
              <w:right w:val="single" w:sz="4" w:space="0" w:color="000000"/>
            </w:tcBorders>
            <w:hideMark/>
          </w:tcPr>
          <w:p w14:paraId="4B53762C" w14:textId="77777777" w:rsidR="009C4600" w:rsidRPr="00F37D4D" w:rsidRDefault="00BE7CB1" w:rsidP="00F64BF9">
            <w:pPr>
              <w:pStyle w:val="TABLES"/>
              <w:ind w:left="57" w:right="57"/>
              <w:jc w:val="center"/>
            </w:pPr>
            <w:r>
              <w:t>76 (33,8 %)</w:t>
            </w:r>
          </w:p>
        </w:tc>
        <w:tc>
          <w:tcPr>
            <w:tcW w:w="1833" w:type="pct"/>
            <w:tcBorders>
              <w:top w:val="single" w:sz="4" w:space="0" w:color="000000"/>
              <w:left w:val="single" w:sz="4" w:space="0" w:color="000000"/>
              <w:bottom w:val="single" w:sz="4" w:space="0" w:color="000000"/>
              <w:right w:val="single" w:sz="4" w:space="0" w:color="000000"/>
            </w:tcBorders>
            <w:hideMark/>
          </w:tcPr>
          <w:p w14:paraId="5BE94615" w14:textId="77777777" w:rsidR="009C4600" w:rsidRPr="00F37D4D" w:rsidRDefault="00BE7CB1" w:rsidP="00F64BF9">
            <w:pPr>
              <w:pStyle w:val="TABLES"/>
              <w:ind w:left="57" w:right="57"/>
              <w:jc w:val="center"/>
            </w:pPr>
            <w:r>
              <w:t>103 (45,4 %)</w:t>
            </w:r>
          </w:p>
        </w:tc>
      </w:tr>
      <w:tr w:rsidR="00741586" w:rsidRPr="00F37D4D" w14:paraId="5B7B953F"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D9E3AC1" w14:textId="77777777" w:rsidR="009C4600" w:rsidRPr="00F37D4D" w:rsidRDefault="00BE7CB1" w:rsidP="00F64BF9">
            <w:pPr>
              <w:pStyle w:val="TABLES"/>
              <w:ind w:left="567" w:right="57"/>
            </w:pPr>
            <w:r>
              <w:t>95 % I</w:t>
            </w:r>
            <w:r w:rsidR="003D4E41">
              <w:t>S</w:t>
            </w:r>
            <w:r>
              <w:t xml:space="preserve"> pre mieru odpovede</w:t>
            </w:r>
            <w:r w:rsidR="00F2743F" w:rsidRPr="00F37D4D">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6A40E85C" w14:textId="77777777" w:rsidR="009C4600" w:rsidRPr="00F37D4D" w:rsidRDefault="00BE7CB1" w:rsidP="00F64BF9">
            <w:pPr>
              <w:pStyle w:val="TABLES"/>
              <w:ind w:left="57" w:right="57"/>
              <w:jc w:val="center"/>
            </w:pPr>
            <w:r>
              <w:t>[27,6 %; 40,4 %]</w:t>
            </w:r>
          </w:p>
        </w:tc>
        <w:tc>
          <w:tcPr>
            <w:tcW w:w="1833" w:type="pct"/>
            <w:tcBorders>
              <w:top w:val="single" w:sz="4" w:space="0" w:color="000000"/>
              <w:left w:val="single" w:sz="4" w:space="0" w:color="000000"/>
              <w:bottom w:val="single" w:sz="4" w:space="0" w:color="000000"/>
              <w:right w:val="single" w:sz="4" w:space="0" w:color="000000"/>
            </w:tcBorders>
            <w:hideMark/>
          </w:tcPr>
          <w:p w14:paraId="571F0124" w14:textId="77777777" w:rsidR="009C4600" w:rsidRPr="00F37D4D" w:rsidRDefault="00BE7CB1" w:rsidP="00F64BF9">
            <w:pPr>
              <w:pStyle w:val="TABLES"/>
              <w:ind w:left="57" w:right="57"/>
              <w:jc w:val="center"/>
            </w:pPr>
            <w:r>
              <w:t>[38,8 %; 52,1 %]</w:t>
            </w:r>
          </w:p>
        </w:tc>
      </w:tr>
      <w:tr w:rsidR="00741586" w:rsidRPr="00F37D4D" w14:paraId="128FFD26"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F19838E" w14:textId="77777777" w:rsidR="009C4600" w:rsidRPr="00F37D4D" w:rsidRDefault="00BE7CB1" w:rsidP="00F64BF9">
            <w:pPr>
              <w:pStyle w:val="TABLES"/>
              <w:ind w:left="567" w:right="57"/>
            </w:pPr>
            <w:r>
              <w:t>Rozdiel v miere odpovedí</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0D8A71F" w14:textId="77777777" w:rsidR="009C4600" w:rsidRPr="00F37D4D" w:rsidRDefault="00BE7CB1" w:rsidP="00F64BF9">
            <w:pPr>
              <w:pStyle w:val="TABLES"/>
              <w:ind w:left="57" w:right="57"/>
              <w:jc w:val="center"/>
            </w:pPr>
            <w:r>
              <w:t>11,60 %</w:t>
            </w:r>
          </w:p>
        </w:tc>
      </w:tr>
      <w:tr w:rsidR="00741586" w:rsidRPr="00F37D4D" w14:paraId="062DA0A3"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8EF46B7" w14:textId="77777777" w:rsidR="009C4600" w:rsidRPr="00F37D4D" w:rsidRDefault="00BE7CB1" w:rsidP="00F64BF9">
            <w:pPr>
              <w:pStyle w:val="TABLES"/>
              <w:ind w:left="567" w:right="57"/>
            </w:pPr>
            <w:r>
              <w:t>95 % I</w:t>
            </w:r>
            <w:r w:rsidR="003D4E41">
              <w:t>S</w:t>
            </w:r>
            <w:r>
              <w:t xml:space="preserve"> pre rozdiel v miere odpovedí </w:t>
            </w:r>
            <w:r w:rsidR="00F2743F" w:rsidRPr="00F37D4D">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4E78AA64" w14:textId="77777777" w:rsidR="009C4600" w:rsidRPr="00F37D4D" w:rsidRDefault="00BE7CB1" w:rsidP="00F64BF9">
            <w:pPr>
              <w:pStyle w:val="TABLES"/>
              <w:ind w:left="57" w:right="57"/>
              <w:jc w:val="center"/>
            </w:pPr>
            <w:r>
              <w:t>[2,4 %; 20,8 %]</w:t>
            </w:r>
          </w:p>
        </w:tc>
      </w:tr>
      <w:tr w:rsidR="00741586" w:rsidRPr="00F37D4D" w14:paraId="7813335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1F784CAE" w14:textId="77777777" w:rsidR="009C4600" w:rsidRPr="00F37D4D" w:rsidRDefault="00BE7CB1" w:rsidP="00F64BF9">
            <w:pPr>
              <w:pStyle w:val="TABLES"/>
              <w:ind w:left="567" w:right="57"/>
            </w:pPr>
            <w:r>
              <w:t>p-hodnota (Chi-kvadrát test)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5228347" w14:textId="77777777" w:rsidR="009C4600" w:rsidRPr="00F37D4D" w:rsidRDefault="00BE7CB1" w:rsidP="00F64BF9">
            <w:pPr>
              <w:pStyle w:val="TABLES"/>
              <w:ind w:left="57" w:right="57"/>
              <w:jc w:val="center"/>
            </w:pPr>
            <w:r>
              <w:t>0,0117</w:t>
            </w:r>
          </w:p>
        </w:tc>
      </w:tr>
    </w:tbl>
    <w:p w14:paraId="13A5E781" w14:textId="77777777" w:rsidR="009C4600" w:rsidRPr="006C53C7" w:rsidRDefault="00BE7CB1" w:rsidP="00F64BF9">
      <w:pPr>
        <w:tabs>
          <w:tab w:val="clear" w:pos="567"/>
          <w:tab w:val="left" w:pos="426"/>
        </w:tabs>
        <w:spacing w:line="240" w:lineRule="auto"/>
        <w:rPr>
          <w:sz w:val="20"/>
        </w:rPr>
      </w:pPr>
      <w:r>
        <w:rPr>
          <w:sz w:val="20"/>
          <w:vertAlign w:val="superscript"/>
        </w:rPr>
        <w:t>1</w:t>
      </w:r>
      <w:r>
        <w:rPr>
          <w:sz w:val="20"/>
        </w:rPr>
        <w:t xml:space="preserve"> Kaplanove-Meierove odhady.</w:t>
      </w:r>
    </w:p>
    <w:p w14:paraId="5EAEF13D" w14:textId="77777777" w:rsidR="009C4600" w:rsidRPr="006C53C7" w:rsidRDefault="00BE7CB1" w:rsidP="00F64BF9">
      <w:pPr>
        <w:tabs>
          <w:tab w:val="clear" w:pos="567"/>
          <w:tab w:val="left" w:pos="426"/>
        </w:tabs>
        <w:spacing w:line="240" w:lineRule="auto"/>
        <w:rPr>
          <w:sz w:val="20"/>
        </w:rPr>
      </w:pPr>
      <w:r>
        <w:rPr>
          <w:sz w:val="20"/>
          <w:vertAlign w:val="superscript"/>
        </w:rPr>
        <w:t>2</w:t>
      </w:r>
      <w:r>
        <w:rPr>
          <w:spacing w:val="-2"/>
          <w:sz w:val="20"/>
        </w:rPr>
        <w:t xml:space="preserve"> Pacienti a percento pacientov s celkovou najlepšou odpoveďou vo forme buď potvrdenej CR alebo PR; percento bolo vypočítané zo skupiny pacientov s merateľným ochorením pri vstupe do štúdie.</w:t>
      </w:r>
    </w:p>
    <w:p w14:paraId="7869A5E5" w14:textId="77777777" w:rsidR="009C4600" w:rsidRPr="006C53C7" w:rsidRDefault="00BE7CB1" w:rsidP="00F64BF9">
      <w:pPr>
        <w:tabs>
          <w:tab w:val="clear" w:pos="567"/>
          <w:tab w:val="left" w:pos="426"/>
        </w:tabs>
        <w:spacing w:line="240" w:lineRule="auto"/>
        <w:rPr>
          <w:sz w:val="20"/>
        </w:rPr>
      </w:pPr>
      <w:r>
        <w:rPr>
          <w:sz w:val="20"/>
          <w:vertAlign w:val="superscript"/>
        </w:rPr>
        <w:t>3</w:t>
      </w:r>
      <w:r>
        <w:rPr>
          <w:spacing w:val="-1"/>
          <w:sz w:val="20"/>
        </w:rPr>
        <w:t xml:space="preserve"> 95 % CI pre jednovzorkový binomický test pomocou použitia metódy Pearson-Clopper.</w:t>
      </w:r>
    </w:p>
    <w:p w14:paraId="080E423F" w14:textId="77777777" w:rsidR="009C4600" w:rsidRPr="006C53C7" w:rsidRDefault="00BE7CB1" w:rsidP="00F64BF9">
      <w:pPr>
        <w:tabs>
          <w:tab w:val="clear" w:pos="567"/>
          <w:tab w:val="left" w:pos="426"/>
        </w:tabs>
        <w:spacing w:line="240" w:lineRule="auto"/>
        <w:rPr>
          <w:sz w:val="20"/>
        </w:rPr>
      </w:pPr>
      <w:r>
        <w:rPr>
          <w:sz w:val="20"/>
          <w:vertAlign w:val="superscript"/>
        </w:rPr>
        <w:t>4</w:t>
      </w:r>
      <w:r>
        <w:rPr>
          <w:spacing w:val="-1"/>
          <w:sz w:val="20"/>
        </w:rPr>
        <w:t xml:space="preserve"> Približne 95 % I</w:t>
      </w:r>
      <w:r w:rsidR="003D4E41">
        <w:rPr>
          <w:spacing w:val="-1"/>
          <w:sz w:val="20"/>
        </w:rPr>
        <w:t>S</w:t>
      </w:r>
      <w:r>
        <w:rPr>
          <w:spacing w:val="-1"/>
          <w:sz w:val="20"/>
        </w:rPr>
        <w:t xml:space="preserve"> na určenie rozdielu dvoch hodnôt pomocou použitia metódy Hauck-Anderson.</w:t>
      </w:r>
    </w:p>
    <w:p w14:paraId="26102EB3" w14:textId="77777777" w:rsidR="009C4600" w:rsidRPr="006C53C7" w:rsidRDefault="00BE7CB1" w:rsidP="00F64BF9">
      <w:pPr>
        <w:tabs>
          <w:tab w:val="clear" w:pos="567"/>
          <w:tab w:val="left" w:pos="426"/>
        </w:tabs>
        <w:spacing w:line="240" w:lineRule="auto"/>
        <w:rPr>
          <w:sz w:val="20"/>
        </w:rPr>
      </w:pPr>
      <w:r>
        <w:rPr>
          <w:sz w:val="20"/>
          <w:vertAlign w:val="superscript"/>
        </w:rPr>
        <w:t>5</w:t>
      </w:r>
      <w:r>
        <w:rPr>
          <w:spacing w:val="-1"/>
          <w:sz w:val="20"/>
        </w:rPr>
        <w:t xml:space="preserve"> log-rank test (stratifikovaný).</w:t>
      </w:r>
    </w:p>
    <w:p w14:paraId="55DC4B43" w14:textId="77777777" w:rsidR="009C4600" w:rsidRPr="006C53C7" w:rsidRDefault="00BE7CB1" w:rsidP="00F64BF9">
      <w:pPr>
        <w:tabs>
          <w:tab w:val="clear" w:pos="567"/>
          <w:tab w:val="left" w:pos="426"/>
        </w:tabs>
        <w:spacing w:line="240" w:lineRule="auto"/>
        <w:rPr>
          <w:sz w:val="20"/>
        </w:rPr>
      </w:pPr>
      <w:r>
        <w:rPr>
          <w:sz w:val="20"/>
          <w:vertAlign w:val="superscript"/>
        </w:rPr>
        <w:t>6</w:t>
      </w:r>
      <w:r>
        <w:rPr>
          <w:sz w:val="20"/>
        </w:rPr>
        <w:t xml:space="preserve"> Primárna analýza sa uskutočnila s dátumom ukončenia zhromažďovania údajov 12. december 2012 a bola považovaná za konečnú.</w:t>
      </w:r>
    </w:p>
    <w:p w14:paraId="7F40390E" w14:textId="77777777" w:rsidR="009C4600" w:rsidRPr="006C53C7" w:rsidRDefault="00BE7CB1" w:rsidP="00F64BF9">
      <w:pPr>
        <w:tabs>
          <w:tab w:val="clear" w:pos="567"/>
          <w:tab w:val="left" w:pos="426"/>
        </w:tabs>
        <w:spacing w:line="240" w:lineRule="auto"/>
        <w:rPr>
          <w:sz w:val="20"/>
        </w:rPr>
      </w:pPr>
      <w:r>
        <w:rPr>
          <w:sz w:val="20"/>
          <w:vertAlign w:val="superscript"/>
        </w:rPr>
        <w:t>7</w:t>
      </w:r>
      <w:r>
        <w:rPr>
          <w:sz w:val="20"/>
        </w:rPr>
        <w:t xml:space="preserve"> Následná analýza sa uskutočnila s dátumom ukončenia zhromažďovania údajov 7. marec 2014.</w:t>
      </w:r>
    </w:p>
    <w:p w14:paraId="5DD9C79E" w14:textId="77777777" w:rsidR="009C4600" w:rsidRPr="006C53C7" w:rsidRDefault="00BE7CB1" w:rsidP="00F64BF9">
      <w:pPr>
        <w:tabs>
          <w:tab w:val="clear" w:pos="567"/>
          <w:tab w:val="left" w:pos="426"/>
        </w:tabs>
        <w:spacing w:line="240" w:lineRule="auto"/>
        <w:rPr>
          <w:sz w:val="20"/>
        </w:rPr>
      </w:pPr>
      <w:r>
        <w:rPr>
          <w:sz w:val="20"/>
          <w:vertAlign w:val="superscript"/>
        </w:rPr>
        <w:t>8</w:t>
      </w:r>
      <w:r w:rsidR="003D4E41">
        <w:rPr>
          <w:sz w:val="20"/>
          <w:vertAlign w:val="superscript"/>
        </w:rPr>
        <w:t xml:space="preserve"> </w:t>
      </w:r>
      <w:r>
        <w:rPr>
          <w:sz w:val="20"/>
        </w:rPr>
        <w:t>zobrazené p-hodnoty majú výlučne opisný charakter.</w:t>
      </w:r>
    </w:p>
    <w:p w14:paraId="06CBEA38" w14:textId="77777777" w:rsidR="009C4600" w:rsidRPr="006C53C7" w:rsidRDefault="009C4600" w:rsidP="00F64BF9">
      <w:pPr>
        <w:spacing w:line="240" w:lineRule="auto"/>
      </w:pPr>
    </w:p>
    <w:p w14:paraId="57E51672" w14:textId="77777777" w:rsidR="009C4600" w:rsidRPr="006C53C7" w:rsidRDefault="00BE7CB1" w:rsidP="00F64BF9">
      <w:pPr>
        <w:keepNext/>
        <w:spacing w:line="240" w:lineRule="auto"/>
        <w:rPr>
          <w:b/>
          <w:bCs/>
        </w:rPr>
      </w:pPr>
      <w:r>
        <w:rPr>
          <w:b/>
        </w:rPr>
        <w:lastRenderedPageBreak/>
        <w:t>Tabuľka 26. Výsledky celkového prežívania zo štúdie GOG-0240 podľa skúšanej liečby</w:t>
      </w:r>
    </w:p>
    <w:p w14:paraId="0A9B04C9"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2"/>
        <w:gridCol w:w="1737"/>
        <w:gridCol w:w="2216"/>
        <w:gridCol w:w="2296"/>
      </w:tblGrid>
      <w:tr w:rsidR="00741586" w:rsidRPr="00F37D4D" w14:paraId="2937A3F7" w14:textId="77777777" w:rsidTr="00755C59">
        <w:trPr>
          <w:cantSplit/>
          <w:trHeight w:val="20"/>
          <w:tblHeader/>
          <w:jc w:val="center"/>
        </w:trPr>
        <w:tc>
          <w:tcPr>
            <w:tcW w:w="1551" w:type="pct"/>
            <w:tcBorders>
              <w:top w:val="single" w:sz="4" w:space="0" w:color="000000"/>
              <w:left w:val="single" w:sz="4" w:space="0" w:color="000000"/>
              <w:bottom w:val="single" w:sz="4" w:space="0" w:color="000000"/>
              <w:right w:val="single" w:sz="4" w:space="0" w:color="000000"/>
            </w:tcBorders>
            <w:hideMark/>
          </w:tcPr>
          <w:p w14:paraId="78133FAC" w14:textId="77777777" w:rsidR="009C4600" w:rsidRPr="00F37D4D" w:rsidRDefault="00BE7CB1" w:rsidP="00F64BF9">
            <w:pPr>
              <w:pStyle w:val="TABLES"/>
              <w:keepNext/>
              <w:ind w:left="57" w:right="57"/>
              <w:rPr>
                <w:b/>
              </w:rPr>
            </w:pPr>
            <w:r>
              <w:rPr>
                <w:b/>
              </w:rPr>
              <w:t>Porovnanie liečby</w:t>
            </w:r>
          </w:p>
        </w:tc>
        <w:tc>
          <w:tcPr>
            <w:tcW w:w="958" w:type="pct"/>
            <w:tcBorders>
              <w:top w:val="single" w:sz="4" w:space="0" w:color="000000"/>
              <w:left w:val="single" w:sz="4" w:space="0" w:color="000000"/>
              <w:bottom w:val="single" w:sz="4" w:space="0" w:color="000000"/>
              <w:right w:val="single" w:sz="4" w:space="0" w:color="000000"/>
            </w:tcBorders>
          </w:tcPr>
          <w:p w14:paraId="157EB395" w14:textId="77777777" w:rsidR="009C4600" w:rsidRPr="00F37D4D" w:rsidRDefault="00BE7CB1" w:rsidP="00F64BF9">
            <w:pPr>
              <w:pStyle w:val="TABLES"/>
              <w:ind w:left="57" w:right="57"/>
              <w:rPr>
                <w:b/>
              </w:rPr>
            </w:pPr>
            <w:r>
              <w:rPr>
                <w:b/>
              </w:rPr>
              <w:t>Iný faktor</w:t>
            </w:r>
          </w:p>
        </w:tc>
        <w:tc>
          <w:tcPr>
            <w:tcW w:w="1223" w:type="pct"/>
            <w:tcBorders>
              <w:top w:val="single" w:sz="4" w:space="0" w:color="000000"/>
              <w:left w:val="single" w:sz="4" w:space="0" w:color="000000"/>
              <w:bottom w:val="single" w:sz="4" w:space="0" w:color="000000"/>
              <w:right w:val="single" w:sz="4" w:space="0" w:color="000000"/>
            </w:tcBorders>
            <w:hideMark/>
          </w:tcPr>
          <w:p w14:paraId="38BC059D" w14:textId="77777777" w:rsidR="009C4600" w:rsidRPr="00F37D4D" w:rsidRDefault="00BE7CB1" w:rsidP="00F64BF9">
            <w:pPr>
              <w:pStyle w:val="TABLES"/>
              <w:ind w:left="57" w:right="57"/>
              <w:jc w:val="center"/>
              <w:rPr>
                <w:b/>
              </w:rPr>
            </w:pPr>
            <w:r>
              <w:rPr>
                <w:b/>
              </w:rPr>
              <w:t>Celkové prežívanie – primárna analýza</w:t>
            </w:r>
            <w:r w:rsidR="00E37354" w:rsidRPr="00F37D4D">
              <w:rPr>
                <w:b/>
                <w:vertAlign w:val="superscript"/>
              </w:rPr>
              <w:t>1</w:t>
            </w:r>
          </w:p>
          <w:p w14:paraId="20303180" w14:textId="77777777" w:rsidR="009C4600" w:rsidRPr="00F37D4D" w:rsidRDefault="00BE7CB1" w:rsidP="00F64BF9">
            <w:pPr>
              <w:pStyle w:val="TABLES"/>
              <w:ind w:left="57" w:right="57"/>
              <w:jc w:val="center"/>
              <w:rPr>
                <w:b/>
              </w:rPr>
            </w:pPr>
            <w:r>
              <w:rPr>
                <w:b/>
              </w:rPr>
              <w:t>Miera rizika (95 % I</w:t>
            </w:r>
            <w:r w:rsidR="003D4E41">
              <w:rPr>
                <w:b/>
              </w:rPr>
              <w:t>S</w:t>
            </w:r>
            <w:r>
              <w:rPr>
                <w:b/>
              </w:rPr>
              <w:t>)</w:t>
            </w:r>
          </w:p>
        </w:tc>
        <w:tc>
          <w:tcPr>
            <w:tcW w:w="1267" w:type="pct"/>
            <w:tcBorders>
              <w:top w:val="single" w:sz="4" w:space="0" w:color="000000"/>
              <w:left w:val="single" w:sz="4" w:space="0" w:color="000000"/>
              <w:bottom w:val="single" w:sz="4" w:space="0" w:color="000000"/>
              <w:right w:val="single" w:sz="4" w:space="0" w:color="000000"/>
            </w:tcBorders>
            <w:hideMark/>
          </w:tcPr>
          <w:p w14:paraId="73E7D0B1" w14:textId="77777777" w:rsidR="009C4600" w:rsidRPr="00F37D4D" w:rsidRDefault="00BE7CB1" w:rsidP="00F64BF9">
            <w:pPr>
              <w:pStyle w:val="TABLES"/>
              <w:ind w:left="57" w:right="57"/>
              <w:jc w:val="center"/>
              <w:rPr>
                <w:b/>
              </w:rPr>
            </w:pPr>
            <w:r>
              <w:rPr>
                <w:b/>
              </w:rPr>
              <w:t>Celkové prežívanie – následná analýza</w:t>
            </w:r>
            <w:r w:rsidR="00E37354" w:rsidRPr="00F37D4D">
              <w:rPr>
                <w:b/>
                <w:vertAlign w:val="superscript"/>
              </w:rPr>
              <w:t>2</w:t>
            </w:r>
          </w:p>
          <w:p w14:paraId="1F3E044C" w14:textId="77777777" w:rsidR="009C4600" w:rsidRPr="00F37D4D" w:rsidRDefault="00BE7CB1" w:rsidP="00F64BF9">
            <w:pPr>
              <w:pStyle w:val="TABLES"/>
              <w:ind w:left="57" w:right="57"/>
              <w:jc w:val="center"/>
              <w:rPr>
                <w:b/>
              </w:rPr>
            </w:pPr>
            <w:r>
              <w:rPr>
                <w:b/>
              </w:rPr>
              <w:t>Miera rizika (95 % I</w:t>
            </w:r>
            <w:r w:rsidR="003D4E41">
              <w:rPr>
                <w:b/>
              </w:rPr>
              <w:t>S</w:t>
            </w:r>
            <w:r>
              <w:rPr>
                <w:b/>
              </w:rPr>
              <w:t>)</w:t>
            </w:r>
          </w:p>
        </w:tc>
      </w:tr>
      <w:tr w:rsidR="00741586" w:rsidRPr="00F37D4D" w14:paraId="37050C9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5699F1BA" w14:textId="77777777" w:rsidR="009C4600" w:rsidRPr="00F37D4D" w:rsidRDefault="00BE7CB1" w:rsidP="00F64BF9">
            <w:pPr>
              <w:pStyle w:val="TABLES"/>
              <w:ind w:left="57" w:right="57"/>
            </w:pPr>
            <w:r>
              <w:t>Bevacizumab vs. žiadny bevacizumab</w:t>
            </w:r>
          </w:p>
        </w:tc>
        <w:tc>
          <w:tcPr>
            <w:tcW w:w="958" w:type="pct"/>
            <w:tcBorders>
              <w:top w:val="single" w:sz="4" w:space="0" w:color="000000"/>
              <w:left w:val="single" w:sz="4" w:space="0" w:color="000000"/>
              <w:bottom w:val="single" w:sz="4" w:space="0" w:color="000000"/>
              <w:right w:val="single" w:sz="4" w:space="0" w:color="000000"/>
            </w:tcBorders>
            <w:hideMark/>
          </w:tcPr>
          <w:p w14:paraId="6ADB52D8" w14:textId="77777777" w:rsidR="009C4600" w:rsidRPr="00F37D4D" w:rsidRDefault="00BE7CB1" w:rsidP="00F64BF9">
            <w:pPr>
              <w:pStyle w:val="TABLES"/>
              <w:ind w:left="57" w:right="57"/>
            </w:pPr>
            <w:r>
              <w:t>cisplatina + paklitaxel</w:t>
            </w:r>
          </w:p>
        </w:tc>
        <w:tc>
          <w:tcPr>
            <w:tcW w:w="1223" w:type="pct"/>
            <w:tcBorders>
              <w:top w:val="single" w:sz="4" w:space="0" w:color="000000"/>
              <w:left w:val="single" w:sz="4" w:space="0" w:color="000000"/>
              <w:bottom w:val="single" w:sz="4" w:space="0" w:color="000000"/>
              <w:right w:val="single" w:sz="4" w:space="0" w:color="000000"/>
            </w:tcBorders>
            <w:hideMark/>
          </w:tcPr>
          <w:p w14:paraId="7B062658" w14:textId="77777777" w:rsidR="009C4600" w:rsidRPr="00F37D4D" w:rsidRDefault="00BE7CB1" w:rsidP="00F64BF9">
            <w:pPr>
              <w:pStyle w:val="TABLES"/>
              <w:ind w:left="57" w:right="57"/>
              <w:jc w:val="center"/>
            </w:pPr>
            <w:r>
              <w:t>0,72 (0,51; 1,02)</w:t>
            </w:r>
          </w:p>
          <w:p w14:paraId="35FA042B" w14:textId="77777777" w:rsidR="009C4600" w:rsidRPr="00F37D4D" w:rsidRDefault="00BE7CB1" w:rsidP="00F64BF9">
            <w:pPr>
              <w:pStyle w:val="TABLES"/>
              <w:ind w:left="57" w:right="57"/>
              <w:jc w:val="center"/>
            </w:pPr>
            <w:r>
              <w:t>(17,5 vs. 14,3 mesiacov; p = 0,0609)</w:t>
            </w:r>
          </w:p>
        </w:tc>
        <w:tc>
          <w:tcPr>
            <w:tcW w:w="1267" w:type="pct"/>
            <w:tcBorders>
              <w:top w:val="single" w:sz="4" w:space="0" w:color="000000"/>
              <w:left w:val="single" w:sz="4" w:space="0" w:color="000000"/>
              <w:bottom w:val="single" w:sz="4" w:space="0" w:color="000000"/>
              <w:right w:val="single" w:sz="4" w:space="0" w:color="000000"/>
            </w:tcBorders>
            <w:hideMark/>
          </w:tcPr>
          <w:p w14:paraId="537EA562" w14:textId="77777777" w:rsidR="009C4600" w:rsidRPr="00F37D4D" w:rsidRDefault="00BE7CB1" w:rsidP="00F64BF9">
            <w:pPr>
              <w:pStyle w:val="TABLES"/>
              <w:ind w:left="57" w:right="57"/>
              <w:jc w:val="center"/>
            </w:pPr>
            <w:r>
              <w:t>0,75 (0,55; 1,01)</w:t>
            </w:r>
          </w:p>
          <w:p w14:paraId="3C9B908C" w14:textId="77777777" w:rsidR="009C4600" w:rsidRPr="00F37D4D" w:rsidRDefault="00BE7CB1" w:rsidP="00F64BF9">
            <w:pPr>
              <w:pStyle w:val="TABLES"/>
              <w:ind w:left="57" w:right="57"/>
              <w:jc w:val="center"/>
            </w:pPr>
            <w:r>
              <w:t>(17,5 vs. 15,0 mesiacov; p = 0,0584)</w:t>
            </w:r>
          </w:p>
        </w:tc>
      </w:tr>
      <w:tr w:rsidR="00741586" w:rsidRPr="00F37D4D" w14:paraId="531CE8C6"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7C02257" w14:textId="77777777" w:rsidR="009C4600" w:rsidRPr="00F37D4D"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0F253A1" w14:textId="77777777" w:rsidR="009C4600" w:rsidRPr="00F37D4D" w:rsidRDefault="00BE7CB1" w:rsidP="00F64BF9">
            <w:pPr>
              <w:pStyle w:val="TABLES"/>
              <w:ind w:left="57" w:right="57"/>
            </w:pPr>
            <w:r>
              <w:t>Topotekán + paklitaxel</w:t>
            </w:r>
          </w:p>
        </w:tc>
        <w:tc>
          <w:tcPr>
            <w:tcW w:w="1223" w:type="pct"/>
            <w:tcBorders>
              <w:top w:val="single" w:sz="4" w:space="0" w:color="000000"/>
              <w:left w:val="single" w:sz="4" w:space="0" w:color="000000"/>
              <w:bottom w:val="single" w:sz="4" w:space="0" w:color="000000"/>
              <w:right w:val="single" w:sz="4" w:space="0" w:color="000000"/>
            </w:tcBorders>
            <w:hideMark/>
          </w:tcPr>
          <w:p w14:paraId="6B7EE9CE" w14:textId="77777777" w:rsidR="009C4600" w:rsidRPr="00F37D4D" w:rsidRDefault="00BE7CB1" w:rsidP="00F64BF9">
            <w:pPr>
              <w:pStyle w:val="TABLES"/>
              <w:ind w:left="57" w:right="57"/>
              <w:jc w:val="center"/>
            </w:pPr>
            <w:r>
              <w:t>0,76 (0,55; 1,06)</w:t>
            </w:r>
          </w:p>
          <w:p w14:paraId="7EDC6504" w14:textId="77777777" w:rsidR="009C4600" w:rsidRPr="00F37D4D" w:rsidRDefault="00BE7CB1" w:rsidP="00F64BF9">
            <w:pPr>
              <w:pStyle w:val="TABLES"/>
              <w:ind w:left="57" w:right="57"/>
              <w:jc w:val="center"/>
            </w:pPr>
            <w:r>
              <w:t>(14,9 vs. 11,9 mesiacov; p = 0,1061)</w:t>
            </w:r>
          </w:p>
        </w:tc>
        <w:tc>
          <w:tcPr>
            <w:tcW w:w="1267" w:type="pct"/>
            <w:tcBorders>
              <w:top w:val="single" w:sz="4" w:space="0" w:color="000000"/>
              <w:left w:val="single" w:sz="4" w:space="0" w:color="000000"/>
              <w:bottom w:val="single" w:sz="4" w:space="0" w:color="000000"/>
              <w:right w:val="single" w:sz="4" w:space="0" w:color="000000"/>
            </w:tcBorders>
            <w:hideMark/>
          </w:tcPr>
          <w:p w14:paraId="681C4675" w14:textId="77777777" w:rsidR="009C4600" w:rsidRPr="00F37D4D" w:rsidRDefault="00BE7CB1" w:rsidP="00F64BF9">
            <w:pPr>
              <w:pStyle w:val="TABLES"/>
              <w:ind w:left="57" w:right="57"/>
              <w:jc w:val="center"/>
            </w:pPr>
            <w:r>
              <w:t>0,79 (0,59; 1,07)</w:t>
            </w:r>
          </w:p>
          <w:p w14:paraId="1FC7E806" w14:textId="77777777" w:rsidR="009C4600" w:rsidRPr="00F37D4D" w:rsidRDefault="00BE7CB1" w:rsidP="00F64BF9">
            <w:pPr>
              <w:pStyle w:val="TABLES"/>
              <w:ind w:left="57" w:right="57"/>
              <w:jc w:val="center"/>
            </w:pPr>
            <w:r>
              <w:t>(16,2 vs.12,0 mesiacov; p = 0,1342)</w:t>
            </w:r>
          </w:p>
        </w:tc>
      </w:tr>
      <w:tr w:rsidR="00741586" w:rsidRPr="00F37D4D" w14:paraId="2F0F0429"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171ACF6C" w14:textId="77777777" w:rsidR="009C4600" w:rsidRPr="00F37D4D" w:rsidRDefault="00BE7CB1" w:rsidP="00F64BF9">
            <w:pPr>
              <w:pStyle w:val="TABLES"/>
              <w:ind w:left="57" w:right="57"/>
            </w:pPr>
            <w:r>
              <w:t>Topotekán + paklitaxel vs. cisplatina + paklitaxel</w:t>
            </w:r>
          </w:p>
        </w:tc>
        <w:tc>
          <w:tcPr>
            <w:tcW w:w="958" w:type="pct"/>
            <w:tcBorders>
              <w:top w:val="single" w:sz="4" w:space="0" w:color="000000"/>
              <w:left w:val="single" w:sz="4" w:space="0" w:color="000000"/>
              <w:bottom w:val="single" w:sz="4" w:space="0" w:color="000000"/>
              <w:right w:val="single" w:sz="4" w:space="0" w:color="000000"/>
            </w:tcBorders>
            <w:hideMark/>
          </w:tcPr>
          <w:p w14:paraId="7A940D64" w14:textId="77777777" w:rsidR="009C4600" w:rsidRPr="00F37D4D" w:rsidRDefault="00BE7CB1" w:rsidP="00F64BF9">
            <w:pPr>
              <w:pStyle w:val="TABLES"/>
              <w:ind w:left="57" w:right="57"/>
            </w:pPr>
            <w:r>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CD2A726" w14:textId="77777777" w:rsidR="009C4600" w:rsidRPr="00F37D4D" w:rsidRDefault="00BE7CB1" w:rsidP="00F64BF9">
            <w:pPr>
              <w:pStyle w:val="TABLES"/>
              <w:ind w:left="57" w:right="57"/>
              <w:jc w:val="center"/>
            </w:pPr>
            <w:r>
              <w:t>1,15 (0,82; 1,61)</w:t>
            </w:r>
          </w:p>
          <w:p w14:paraId="58630CFB" w14:textId="77777777" w:rsidR="009C4600" w:rsidRPr="00F37D4D" w:rsidRDefault="00BE7CB1" w:rsidP="00F64BF9">
            <w:pPr>
              <w:pStyle w:val="TABLES"/>
              <w:ind w:left="57" w:right="57"/>
              <w:jc w:val="center"/>
            </w:pPr>
            <w:r>
              <w:t>(14,9 vs. 17,5 mesiacov; p = 0,4146)</w:t>
            </w:r>
          </w:p>
        </w:tc>
        <w:tc>
          <w:tcPr>
            <w:tcW w:w="1267" w:type="pct"/>
            <w:tcBorders>
              <w:top w:val="single" w:sz="4" w:space="0" w:color="000000"/>
              <w:left w:val="single" w:sz="4" w:space="0" w:color="000000"/>
              <w:bottom w:val="single" w:sz="4" w:space="0" w:color="000000"/>
              <w:right w:val="single" w:sz="4" w:space="0" w:color="000000"/>
            </w:tcBorders>
            <w:hideMark/>
          </w:tcPr>
          <w:p w14:paraId="6AF5F184" w14:textId="77777777" w:rsidR="009C4600" w:rsidRPr="00F37D4D" w:rsidRDefault="00BE7CB1" w:rsidP="00F64BF9">
            <w:pPr>
              <w:pStyle w:val="TABLES"/>
              <w:ind w:left="57" w:right="57"/>
              <w:jc w:val="center"/>
            </w:pPr>
            <w:r>
              <w:t>1,15 (0,85; 1,56)</w:t>
            </w:r>
          </w:p>
          <w:p w14:paraId="783F4A36" w14:textId="77777777" w:rsidR="009C4600" w:rsidRPr="00F37D4D" w:rsidRDefault="00BE7CB1" w:rsidP="00F64BF9">
            <w:pPr>
              <w:pStyle w:val="TABLES"/>
              <w:ind w:left="57" w:right="57"/>
              <w:jc w:val="center"/>
            </w:pPr>
            <w:r>
              <w:t>(16,2 vs. 17,5 mesiacov; p = 0,3769)</w:t>
            </w:r>
          </w:p>
        </w:tc>
      </w:tr>
      <w:tr w:rsidR="00741586" w:rsidRPr="00F37D4D" w14:paraId="51CD510C"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6E1F6D30" w14:textId="77777777" w:rsidR="009C4600" w:rsidRPr="00F37D4D"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46ACB18A" w14:textId="77777777" w:rsidR="009C4600" w:rsidRPr="00F37D4D" w:rsidRDefault="00BE7CB1" w:rsidP="00F64BF9">
            <w:pPr>
              <w:pStyle w:val="TABLES"/>
              <w:ind w:left="57" w:right="57"/>
            </w:pPr>
            <w:r>
              <w:t>žiadny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6A23D292" w14:textId="77777777" w:rsidR="009C4600" w:rsidRPr="00F37D4D" w:rsidRDefault="00BE7CB1" w:rsidP="00F64BF9">
            <w:pPr>
              <w:pStyle w:val="TABLES"/>
              <w:ind w:left="57" w:right="57"/>
              <w:jc w:val="center"/>
            </w:pPr>
            <w:r>
              <w:t>1,13 (0,81; 1,57)</w:t>
            </w:r>
          </w:p>
          <w:p w14:paraId="7B522A44" w14:textId="77777777" w:rsidR="009C4600" w:rsidRPr="00F37D4D" w:rsidRDefault="00BE7CB1" w:rsidP="00F64BF9">
            <w:pPr>
              <w:pStyle w:val="TABLES"/>
              <w:ind w:left="57" w:right="57"/>
              <w:jc w:val="center"/>
            </w:pPr>
            <w:r>
              <w:t>(11,9 vs. 14,3 mesiacov; p = 0,4825)</w:t>
            </w:r>
          </w:p>
        </w:tc>
        <w:tc>
          <w:tcPr>
            <w:tcW w:w="1267" w:type="pct"/>
            <w:tcBorders>
              <w:top w:val="single" w:sz="4" w:space="0" w:color="000000"/>
              <w:left w:val="single" w:sz="4" w:space="0" w:color="000000"/>
              <w:bottom w:val="single" w:sz="4" w:space="0" w:color="000000"/>
              <w:right w:val="single" w:sz="4" w:space="0" w:color="000000"/>
            </w:tcBorders>
            <w:hideMark/>
          </w:tcPr>
          <w:p w14:paraId="1A2C5CE1" w14:textId="77777777" w:rsidR="009C4600" w:rsidRPr="00F37D4D" w:rsidRDefault="00BE7CB1" w:rsidP="00F64BF9">
            <w:pPr>
              <w:pStyle w:val="TABLES"/>
              <w:ind w:left="57" w:right="57"/>
              <w:jc w:val="center"/>
            </w:pPr>
            <w:r>
              <w:t>1,08 (0,80; 1,45)</w:t>
            </w:r>
          </w:p>
          <w:p w14:paraId="32F3E60D" w14:textId="77777777" w:rsidR="009C4600" w:rsidRPr="00F37D4D" w:rsidRDefault="00BE7CB1" w:rsidP="00F64BF9">
            <w:pPr>
              <w:pStyle w:val="TABLES"/>
              <w:ind w:left="57" w:right="57"/>
              <w:jc w:val="center"/>
            </w:pPr>
            <w:r>
              <w:t>(12,0 vs. 15,0 mesiacov; p = 0,6267)</w:t>
            </w:r>
          </w:p>
        </w:tc>
      </w:tr>
    </w:tbl>
    <w:p w14:paraId="4CAB0869" w14:textId="77777777" w:rsidR="009C4600" w:rsidRPr="006C53C7" w:rsidRDefault="00BE7CB1" w:rsidP="00F64BF9">
      <w:pPr>
        <w:tabs>
          <w:tab w:val="clear" w:pos="567"/>
          <w:tab w:val="left" w:pos="426"/>
        </w:tabs>
        <w:spacing w:line="240" w:lineRule="auto"/>
        <w:rPr>
          <w:sz w:val="20"/>
        </w:rPr>
      </w:pPr>
      <w:r>
        <w:rPr>
          <w:sz w:val="20"/>
          <w:vertAlign w:val="superscript"/>
        </w:rPr>
        <w:t>1</w:t>
      </w:r>
      <w:r>
        <w:rPr>
          <w:sz w:val="20"/>
        </w:rPr>
        <w:t xml:space="preserve"> Primárna analýza sa uskutočnila s dátumom ukončenia zhromažďovania údajov 12. december 2012 a bola považovaná za konečnú.</w:t>
      </w:r>
    </w:p>
    <w:p w14:paraId="586E6FD2" w14:textId="77777777" w:rsidR="009C4600" w:rsidRPr="006C53C7" w:rsidRDefault="00BE7CB1" w:rsidP="00F64BF9">
      <w:pPr>
        <w:tabs>
          <w:tab w:val="clear" w:pos="567"/>
          <w:tab w:val="left" w:pos="0"/>
        </w:tabs>
        <w:spacing w:line="240" w:lineRule="auto"/>
        <w:rPr>
          <w:sz w:val="20"/>
        </w:rPr>
      </w:pPr>
      <w:r>
        <w:rPr>
          <w:sz w:val="20"/>
          <w:vertAlign w:val="superscript"/>
        </w:rPr>
        <w:t>2</w:t>
      </w:r>
      <w:r>
        <w:rPr>
          <w:sz w:val="20"/>
        </w:rPr>
        <w:t xml:space="preserve"> Následná analýza sa uskutočnila s dátumom ukončenia zhromažďovania údajov 7. marec 2014 a všetky zobrazené p-hodnoty majú výlučne opisný charakter.</w:t>
      </w:r>
    </w:p>
    <w:p w14:paraId="1FC4B6AA" w14:textId="77777777" w:rsidR="009C4600" w:rsidRPr="00F37D4D" w:rsidRDefault="009C4600" w:rsidP="00F64BF9">
      <w:pPr>
        <w:autoSpaceDE w:val="0"/>
        <w:autoSpaceDN w:val="0"/>
        <w:adjustRightInd w:val="0"/>
        <w:spacing w:line="240" w:lineRule="auto"/>
        <w:rPr>
          <w:szCs w:val="22"/>
        </w:rPr>
      </w:pPr>
    </w:p>
    <w:p w14:paraId="58A05666" w14:textId="77777777" w:rsidR="009C4600" w:rsidRPr="006C53C7" w:rsidRDefault="00BE7CB1" w:rsidP="00F64BF9">
      <w:pPr>
        <w:keepNext/>
        <w:spacing w:line="240" w:lineRule="auto"/>
        <w:rPr>
          <w:i/>
          <w:iCs/>
          <w:szCs w:val="22"/>
          <w:u w:val="single"/>
        </w:rPr>
      </w:pPr>
      <w:r>
        <w:rPr>
          <w:i/>
          <w:u w:val="single"/>
        </w:rPr>
        <w:t>Pediatrická populácia</w:t>
      </w:r>
    </w:p>
    <w:p w14:paraId="1A1F5B34" w14:textId="77777777" w:rsidR="009C4600" w:rsidRPr="006C53C7" w:rsidRDefault="009C4600" w:rsidP="00F64BF9">
      <w:pPr>
        <w:keepNext/>
        <w:spacing w:line="240" w:lineRule="auto"/>
      </w:pPr>
    </w:p>
    <w:p w14:paraId="3FFA8CB1" w14:textId="77777777" w:rsidR="009C4600" w:rsidRPr="00F37D4D" w:rsidRDefault="00BE7CB1" w:rsidP="00F64BF9">
      <w:pPr>
        <w:spacing w:line="240" w:lineRule="auto"/>
        <w:rPr>
          <w:szCs w:val="22"/>
        </w:rPr>
      </w:pPr>
      <w:r>
        <w:t>Európska agentúra pre lieky udelila výnimku z povinnosti predložiť výsledky štúdií s bevacizumabom vo všetkých podskupinách pediatrickej populácie v indikáciách karcinómu prsníka, adenokarcinómu hrubého čreva a konečníka, karcinómu pľúc (malobunkový a nemalobunkový karcinóm), karcinómu obličiek a obličkovej panvičky (okrem nefroblastómu, nefroblastomatózy, sarkómu zo svetlých buniek, mezoblastického nefrómu, karcinómu obličkovej drene a rabdoidného nádoru obličky), karcinómu vaječníkov (okrem rabdoidného tumoru a tumorov zárodočných buniek), karcinómu vajíčkovodov (okrem rabdomyosarkómu tumoru a tumorov zo zárodočných buniek), peritoneálneho karcinómu (okrem blastómov a sarkómov), karcinómu krčku maternice a tela maternice.</w:t>
      </w:r>
    </w:p>
    <w:p w14:paraId="09F441FD" w14:textId="77777777" w:rsidR="009C4600" w:rsidRPr="00F37D4D" w:rsidRDefault="009C4600" w:rsidP="00F64BF9">
      <w:pPr>
        <w:spacing w:line="240" w:lineRule="auto"/>
        <w:rPr>
          <w:i/>
          <w:iCs/>
          <w:szCs w:val="22"/>
        </w:rPr>
      </w:pPr>
    </w:p>
    <w:p w14:paraId="7A9438A9" w14:textId="77777777" w:rsidR="009C4600" w:rsidRPr="006C53C7" w:rsidRDefault="00BE7CB1" w:rsidP="00F64BF9">
      <w:pPr>
        <w:keepNext/>
        <w:spacing w:line="240" w:lineRule="auto"/>
        <w:rPr>
          <w:i/>
          <w:iCs/>
          <w:szCs w:val="22"/>
        </w:rPr>
      </w:pPr>
      <w:r>
        <w:rPr>
          <w:i/>
        </w:rPr>
        <w:t>Glióm vysokého stupňa malignity</w:t>
      </w:r>
    </w:p>
    <w:p w14:paraId="234E9C9D" w14:textId="77777777" w:rsidR="009C4600" w:rsidRPr="00F37D4D" w:rsidRDefault="009C4600" w:rsidP="00F64BF9">
      <w:pPr>
        <w:keepNext/>
        <w:spacing w:line="240" w:lineRule="auto"/>
        <w:rPr>
          <w:szCs w:val="22"/>
        </w:rPr>
      </w:pPr>
    </w:p>
    <w:p w14:paraId="19DAF832" w14:textId="77777777" w:rsidR="009C4600" w:rsidRPr="00F37D4D" w:rsidRDefault="00BE7CB1" w:rsidP="00F64BF9">
      <w:pPr>
        <w:spacing w:line="240" w:lineRule="auto"/>
        <w:rPr>
          <w:szCs w:val="22"/>
        </w:rPr>
      </w:pPr>
      <w:r>
        <w:t>Protinádorová aktivita sa nepozorovala v dvoch predchádzajúcich štúdiách s celkovo 30 deťmi vo veku &gt; 3 roky s relapsom alebo progresívnym gliómom vysokého stupňa malignity pri liečbe bevacizumabom a irinotekánom (CPT-11). Nie sú dostatočné informácie na stanovenie bezpečnosti a účinnosti bevacizumabu u detí s novodiagnostikovaným gliómom vysokého stupňa malignity.</w:t>
      </w:r>
    </w:p>
    <w:p w14:paraId="007062BF" w14:textId="77777777" w:rsidR="009C4600" w:rsidRPr="00F37D4D" w:rsidRDefault="009C4600" w:rsidP="00F64BF9">
      <w:pPr>
        <w:spacing w:line="240" w:lineRule="auto"/>
        <w:rPr>
          <w:szCs w:val="22"/>
        </w:rPr>
      </w:pPr>
    </w:p>
    <w:p w14:paraId="7288DEEC" w14:textId="77777777" w:rsidR="009C4600" w:rsidRPr="006C53C7" w:rsidRDefault="00BE7CB1" w:rsidP="0033150F">
      <w:pPr>
        <w:pStyle w:val="ListParagraph"/>
        <w:numPr>
          <w:ilvl w:val="0"/>
          <w:numId w:val="19"/>
        </w:numPr>
        <w:ind w:left="567" w:hanging="567"/>
      </w:pPr>
      <w:r>
        <w:t>V štúdii s jednou skupinou (PBTC-022) bolo 18 detí s rekurentným alebo progresívnym nepontínnym gliómom vysokého stupňa malignity (vrátane 8 s glioblastómom [WHO stupeň IV], 9 s anaplastickým astrocytómom [stupeň III] a 1 s anaplastickým oligodendrogliómom [stupeň III]) liečených bevacizumabom (10 mg/kg) dva týždne a potom bevacizumabom</w:t>
      </w:r>
      <w:r w:rsidR="003D4E41">
        <w:t xml:space="preserve"> </w:t>
      </w:r>
      <w:r>
        <w:t>v kombinácii s CPT-11 (125-350 mg/m</w:t>
      </w:r>
      <w:r w:rsidRPr="006C53C7">
        <w:rPr>
          <w:vertAlign w:val="superscript"/>
        </w:rPr>
        <w:t>2</w:t>
      </w:r>
      <w:r>
        <w:t>) jedenkrát každé dva týždne až do progresie. Nezaznamenali sa žiadne objektívne (čiastočné alebo úplné) rádiologické odpovede (MacDonaldove kritériá). Toxicita a nežiaduce reakcie zahŕňali arteriálnu hypertenziu a únavu rovnako ako ischémiu CNS s akútnym neurologickým deficitom.</w:t>
      </w:r>
    </w:p>
    <w:p w14:paraId="07DD0404" w14:textId="77777777" w:rsidR="009C4600" w:rsidRPr="00F37D4D" w:rsidRDefault="009C4600" w:rsidP="00F64BF9">
      <w:pPr>
        <w:spacing w:line="240" w:lineRule="auto"/>
        <w:ind w:left="567" w:hanging="567"/>
        <w:rPr>
          <w:szCs w:val="22"/>
        </w:rPr>
      </w:pPr>
    </w:p>
    <w:p w14:paraId="44EFCB45" w14:textId="77777777" w:rsidR="009C4600" w:rsidRPr="006C53C7" w:rsidRDefault="00BE7CB1" w:rsidP="0033150F">
      <w:pPr>
        <w:pStyle w:val="ListParagraph"/>
        <w:numPr>
          <w:ilvl w:val="0"/>
          <w:numId w:val="19"/>
        </w:numPr>
        <w:ind w:left="567" w:hanging="567"/>
      </w:pPr>
      <w:r>
        <w:t>V skupine retrospektívnych jednorazových inštitúcií bolo postupne (2005 až 2008) 12 detí s relapsom alebo progresívnym gliómom vysokého stupňa malignity (3 s WHO stupňom IV, 9 so stupňom III) liečených bevacizumabom (10 mg/kg) a irinotekánom (125 mg/m</w:t>
      </w:r>
      <w:r w:rsidRPr="006C53C7">
        <w:rPr>
          <w:vertAlign w:val="superscript"/>
        </w:rPr>
        <w:t>2</w:t>
      </w:r>
      <w:r>
        <w:t xml:space="preserve">) každé </w:t>
      </w:r>
      <w:r>
        <w:lastRenderedPageBreak/>
        <w:t>2 týždne. Nepozorovali sa žiadne úplné odpovede a 2 čiastočné odpovede (MacDonaldove kritériá).</w:t>
      </w:r>
    </w:p>
    <w:p w14:paraId="3E55EA49" w14:textId="77777777" w:rsidR="009C4600" w:rsidRPr="00F37D4D" w:rsidRDefault="009C4600" w:rsidP="00F64BF9">
      <w:pPr>
        <w:spacing w:line="240" w:lineRule="auto"/>
        <w:rPr>
          <w:szCs w:val="22"/>
        </w:rPr>
      </w:pPr>
    </w:p>
    <w:p w14:paraId="0109D2A8" w14:textId="77777777" w:rsidR="009C4600" w:rsidRPr="00F37D4D" w:rsidRDefault="00BE7CB1" w:rsidP="00F64BF9">
      <w:pPr>
        <w:spacing w:line="240" w:lineRule="auto"/>
        <w:rPr>
          <w:szCs w:val="22"/>
        </w:rPr>
      </w:pPr>
      <w:r>
        <w:t>V randomizovanej štúdii II. fázy (BO25041), do ktorej bolo zaradených celkovo 121 pacientov vo veku ≥ 3 roky do &lt; 18 rokov s novodiagnostikovaným supratentoriálnym alebo infratentoriálnym cerebelárnym alebo pedunkulárnym gliómom vysokého stupňa malignity (HGG), liečených pooperačne rádioterapiou (RT) a adjuvantne temozolomidom (T) s bevacizumabom alebo bez neho, v dávke 10 mg/kg intravenózne každé dva týždne.</w:t>
      </w:r>
    </w:p>
    <w:p w14:paraId="70E32C3A" w14:textId="77777777" w:rsidR="009C4600" w:rsidRPr="00F37D4D" w:rsidRDefault="009C4600" w:rsidP="00F64BF9">
      <w:pPr>
        <w:spacing w:line="240" w:lineRule="auto"/>
        <w:rPr>
          <w:szCs w:val="22"/>
        </w:rPr>
      </w:pPr>
    </w:p>
    <w:p w14:paraId="5624ABED" w14:textId="77777777" w:rsidR="009C4600" w:rsidRPr="00F37D4D" w:rsidRDefault="00BE7CB1" w:rsidP="00F64BF9">
      <w:pPr>
        <w:spacing w:line="240" w:lineRule="auto"/>
        <w:rPr>
          <w:szCs w:val="22"/>
        </w:rPr>
      </w:pPr>
      <w:r>
        <w:t>Štúdia nedosiahla primárny koncový ukazovateľ preukázať významné predĺženie prežívania bez udalostí (EFS, event free survival) (hodnotené komisiou Central Radiology Review Committee (CRRC)), keď bol bevacizumab v jednej skupine liečby pridaný k RT/T alebo so samostatným RT/T (HR 1,44; 95 % I</w:t>
      </w:r>
      <w:r w:rsidR="003D4E41">
        <w:t>S</w:t>
      </w:r>
      <w:r>
        <w:t>: 0,90; 2,30). Tieto výsledky sa zhodovali s výsledkami získanými z iných analýz citlivosti a klinicky relevantných podskupín. Výsledky pre všetky sekundárne koncové ukazovatele (investigátormi hodnotené EFS, ORR a OS) boli konzistentné v tom, že nepreukázali zlepšenie v súvislosti s pridaním bevacizumabu do skupiny RT/T v porovnaní so skupinou so samotným RT/T.</w:t>
      </w:r>
    </w:p>
    <w:p w14:paraId="57E4760B" w14:textId="77777777" w:rsidR="009C4600" w:rsidRPr="00F37D4D" w:rsidRDefault="009C4600" w:rsidP="00F64BF9">
      <w:pPr>
        <w:spacing w:line="240" w:lineRule="auto"/>
        <w:rPr>
          <w:szCs w:val="22"/>
        </w:rPr>
      </w:pPr>
    </w:p>
    <w:p w14:paraId="729160C1" w14:textId="77777777" w:rsidR="009C4600" w:rsidRPr="00F37D4D" w:rsidRDefault="00BE7CB1" w:rsidP="00F64BF9">
      <w:pPr>
        <w:spacing w:line="240" w:lineRule="auto"/>
        <w:rPr>
          <w:szCs w:val="22"/>
        </w:rPr>
      </w:pPr>
      <w:r>
        <w:t>Pridanie bevacizumabu k RT/T nepreukázalo v štúdii BO25041 klinický prínos u 60 hodnotiteľných pacientov v detskom veku s novodiagnostikovaným supratentoriálnym alebo infratentoriálnym cerebelárnym alebo pedunkulárnym gliómom vysokého stupňa malignity (HGG) (informácie o použití v pediatrii pozri v časti 4.2).</w:t>
      </w:r>
    </w:p>
    <w:p w14:paraId="4E39C75F" w14:textId="77777777" w:rsidR="009C4600" w:rsidRPr="00F37D4D" w:rsidRDefault="009C4600" w:rsidP="00F64BF9">
      <w:pPr>
        <w:spacing w:line="240" w:lineRule="auto"/>
        <w:rPr>
          <w:i/>
          <w:iCs/>
          <w:szCs w:val="22"/>
        </w:rPr>
      </w:pPr>
    </w:p>
    <w:p w14:paraId="19A259B6" w14:textId="77777777" w:rsidR="009C4600" w:rsidRPr="009B3447" w:rsidRDefault="00BE7CB1" w:rsidP="00F64BF9">
      <w:pPr>
        <w:keepNext/>
        <w:spacing w:line="240" w:lineRule="auto"/>
        <w:rPr>
          <w:i/>
          <w:iCs/>
          <w:szCs w:val="22"/>
        </w:rPr>
      </w:pPr>
      <w:r>
        <w:rPr>
          <w:i/>
        </w:rPr>
        <w:t>Sarkóm mäkkého tkaniva</w:t>
      </w:r>
    </w:p>
    <w:p w14:paraId="04585890" w14:textId="77777777" w:rsidR="009C4600" w:rsidRPr="00F37D4D" w:rsidRDefault="009C4600" w:rsidP="00F64BF9">
      <w:pPr>
        <w:keepNext/>
        <w:spacing w:line="240" w:lineRule="auto"/>
        <w:rPr>
          <w:szCs w:val="22"/>
        </w:rPr>
      </w:pPr>
    </w:p>
    <w:p w14:paraId="79AA69D2" w14:textId="77777777" w:rsidR="00955010" w:rsidRDefault="00BE7CB1" w:rsidP="00F64BF9">
      <w:pPr>
        <w:spacing w:line="240" w:lineRule="auto"/>
      </w:pPr>
      <w:r>
        <w:t>V randomizovanej štúdii II. fázy (BO20924) bolo celkovo 154 pacientov, vo veku vyššom ako 6 mesiacov a menej ako 18 rokov s novodiagnostikovaným metastatickým rabdomyosarkómom a sarkómom mäkkého tkaniva okrem rabdomyosarkómu, liečených štandardnou liečbou (indukčná liečba IVADO/IVA s lokálnou liečbou alebo bez nej, s následnou udržiavacou liečbou vinorelbínom a cyklofosfamidom) a bevacizumabom alebo bez bevacizumabu (2,5 mg/kg/týždeň) s celkovým trvaním liečby približne 18 mesiacov. V čase finálnej primárnej analýzy nepreukázal primárny koncový ukazovateľ EFS, podľa nezávislého centrálneho posúdenia, štatisticky významný rozdiel medzi dvomi skupinami liečby s HR (miera rizika) 0,93 (95 % I</w:t>
      </w:r>
      <w:r w:rsidR="006E1907">
        <w:t>S</w:t>
      </w:r>
      <w:r>
        <w:t>: 0,61; 1,41; p-hodnota = 0,72). Podľa nezávislého centrálneho posúdenia bol rozdiel v ORR 18 % (I</w:t>
      </w:r>
      <w:r w:rsidR="006E1907">
        <w:t>S</w:t>
      </w:r>
      <w:r>
        <w:t>: 0,6 %; 35,3 %) medzi dvomi skupinami liečby v malom počte pacientov s hodnotiteľným tumorom na začiatku liečby, ktorí mali potvrdenú odpoveď na liečbu pred použitím akejkoľvek lokálnej liečby a to nasledovne: 27/75 pacientov (36,0 %; 95 % I</w:t>
      </w:r>
      <w:r w:rsidR="006E1907">
        <w:t>S</w:t>
      </w:r>
      <w:r>
        <w:t>: 25,2 %, 47,9 %) v skupine s chemoterapiou a 34/63 pacientov (54,0 %; 95 % I</w:t>
      </w:r>
      <w:r w:rsidR="006E1907">
        <w:t>S</w:t>
      </w:r>
      <w:r>
        <w:t xml:space="preserve">: 40,9 %; 66,6 %) v skupine s bevacizumabom a chemoterapiou. </w:t>
      </w:r>
      <w:r w:rsidRPr="00596761">
        <w:t xml:space="preserve">Sekundárny koncový ukazovateľ celkového prežívania nebol dosiahnutý. </w:t>
      </w:r>
      <w:r w:rsidR="00CD10E7" w:rsidRPr="00CD10E7">
        <w:t>Finálne anal</w:t>
      </w:r>
      <w:r w:rsidR="00CD10E7">
        <w:t>ýzy celkového prežívania (OS) u </w:t>
      </w:r>
      <w:r w:rsidR="00CD10E7" w:rsidRPr="00CD10E7">
        <w:t>tejto populácie pacientov nepreukázali žiadny významný klinický prínos pridania b</w:t>
      </w:r>
      <w:r w:rsidR="00CD10E7">
        <w:t>evacizumabu k </w:t>
      </w:r>
      <w:r w:rsidR="00CD10E7" w:rsidRPr="00CD10E7">
        <w:t>chemoterapii.</w:t>
      </w:r>
    </w:p>
    <w:p w14:paraId="572D7DAD" w14:textId="77777777" w:rsidR="009C4600" w:rsidRPr="00F37D4D" w:rsidRDefault="009C4600" w:rsidP="00F64BF9">
      <w:pPr>
        <w:spacing w:line="240" w:lineRule="auto"/>
        <w:rPr>
          <w:szCs w:val="22"/>
        </w:rPr>
      </w:pPr>
    </w:p>
    <w:p w14:paraId="073B2F8A" w14:textId="77777777" w:rsidR="009C4600" w:rsidRPr="00F37D4D" w:rsidRDefault="00BE7CB1" w:rsidP="00F64BF9">
      <w:pPr>
        <w:spacing w:line="240" w:lineRule="auto"/>
        <w:rPr>
          <w:szCs w:val="22"/>
        </w:rPr>
      </w:pPr>
      <w:r>
        <w:t>Pridanie bevacizumabu k štandardnej liečbe v klinickom skúšaní BO20924 nepreukázalo klinický prínos u 71 hodnotiteľných pacientov v detskom veku (vek od 6 mesiacov do menej ako 18 rokov) s metastatickým rabdomyosarkómom a sarkómom mäkkého tkaniva okrem rabdomyosarkómu (informácie o použití v pediatrii, pozri časť 4.2).</w:t>
      </w:r>
    </w:p>
    <w:p w14:paraId="049B84DF" w14:textId="77777777" w:rsidR="009C4600" w:rsidRPr="00F37D4D" w:rsidRDefault="009C4600" w:rsidP="00F64BF9">
      <w:pPr>
        <w:spacing w:line="240" w:lineRule="auto"/>
        <w:rPr>
          <w:szCs w:val="22"/>
        </w:rPr>
      </w:pPr>
    </w:p>
    <w:p w14:paraId="5D451A47" w14:textId="77777777" w:rsidR="009C4600" w:rsidRPr="00F37D4D" w:rsidRDefault="00BE7CB1" w:rsidP="00F64BF9">
      <w:pPr>
        <w:spacing w:line="240" w:lineRule="auto"/>
        <w:rPr>
          <w:szCs w:val="22"/>
        </w:rPr>
      </w:pPr>
      <w:r>
        <w:t>Výskyt nežiaducich udalostí vrátane nežiaducich a závažných nežiaducich udalostí 3. stupňa, bol podobný v oboch skupinách liečby. V žiadnej skupine sa nevyskytla nežiaduca udalosť, ktorá by viedla k úmrtiu; všetkým úmrtiam bola pripísaná súvislosť s progresiou ochorenia. Pridanie bevacizumabu k viacerých typom štandar</w:t>
      </w:r>
      <w:r w:rsidR="006E1907">
        <w:t>d</w:t>
      </w:r>
      <w:r>
        <w:t>nej liečby sa javilo v tejto pediatrickej populácii ako dobre znášané.</w:t>
      </w:r>
    </w:p>
    <w:p w14:paraId="3F0E09A2" w14:textId="77777777" w:rsidR="009C4600" w:rsidRPr="00F37D4D" w:rsidRDefault="009C4600" w:rsidP="00F64BF9">
      <w:pPr>
        <w:spacing w:line="240" w:lineRule="auto"/>
        <w:rPr>
          <w:szCs w:val="22"/>
        </w:rPr>
      </w:pPr>
    </w:p>
    <w:p w14:paraId="18945EA6" w14:textId="77777777" w:rsidR="00812D16" w:rsidRPr="009B3447" w:rsidRDefault="00BE7CB1" w:rsidP="00F64BF9">
      <w:pPr>
        <w:keepNext/>
        <w:spacing w:line="240" w:lineRule="auto"/>
        <w:rPr>
          <w:b/>
          <w:bCs/>
          <w:szCs w:val="22"/>
        </w:rPr>
      </w:pPr>
      <w:r>
        <w:rPr>
          <w:b/>
        </w:rPr>
        <w:t>5.2</w:t>
      </w:r>
      <w:r w:rsidRPr="009B3447">
        <w:rPr>
          <w:b/>
          <w:bCs/>
          <w:szCs w:val="22"/>
        </w:rPr>
        <w:tab/>
      </w:r>
      <w:r>
        <w:rPr>
          <w:b/>
        </w:rPr>
        <w:t>Farmakokinetické vlastnosti</w:t>
      </w:r>
    </w:p>
    <w:p w14:paraId="0EFFD522" w14:textId="77777777" w:rsidR="00812D16" w:rsidRPr="00F37D4D" w:rsidRDefault="00812D16" w:rsidP="00F64BF9">
      <w:pPr>
        <w:keepNext/>
        <w:spacing w:line="240" w:lineRule="auto"/>
      </w:pPr>
    </w:p>
    <w:p w14:paraId="07A03021" w14:textId="77777777" w:rsidR="009C4600" w:rsidRPr="00F37D4D" w:rsidRDefault="00BE7CB1" w:rsidP="00F64BF9">
      <w:pPr>
        <w:spacing w:line="240" w:lineRule="auto"/>
        <w:rPr>
          <w:szCs w:val="22"/>
        </w:rPr>
      </w:pPr>
      <w:r>
        <w:t>Farmakokinetické údaje pre bevacizumab sú dostupné z desiatich klinických skúšaní uskutočnených u pacientov so solídnymi nádormi. Vo všetkých klinických skúškach sa bevacizumab podával ako intravenózna infúzia. Rýchlosť infúzie bola založená na tolerovateľnosti s dĺžkou úvodnej infúzie 90 minút. Farmakokinetika bevacizumabu bola lineárna pri dávkach od 1 do 10 mg/kg.</w:t>
      </w:r>
    </w:p>
    <w:p w14:paraId="27630D00" w14:textId="77777777" w:rsidR="009C4600" w:rsidRPr="00F37D4D" w:rsidRDefault="009C4600" w:rsidP="00F64BF9">
      <w:pPr>
        <w:spacing w:line="240" w:lineRule="auto"/>
        <w:rPr>
          <w:szCs w:val="22"/>
        </w:rPr>
      </w:pPr>
    </w:p>
    <w:p w14:paraId="1DF67685" w14:textId="77777777" w:rsidR="009C4600" w:rsidRPr="009B3447" w:rsidRDefault="00BE7CB1" w:rsidP="00F64BF9">
      <w:pPr>
        <w:keepNext/>
        <w:spacing w:line="240" w:lineRule="auto"/>
        <w:rPr>
          <w:szCs w:val="22"/>
          <w:u w:val="single"/>
        </w:rPr>
      </w:pPr>
      <w:r>
        <w:rPr>
          <w:u w:val="single"/>
        </w:rPr>
        <w:t>Distribúcia</w:t>
      </w:r>
    </w:p>
    <w:p w14:paraId="132D84AA" w14:textId="77777777" w:rsidR="009C4600" w:rsidRPr="00F37D4D" w:rsidRDefault="009C4600" w:rsidP="00F64BF9">
      <w:pPr>
        <w:keepNext/>
        <w:spacing w:line="240" w:lineRule="auto"/>
        <w:rPr>
          <w:szCs w:val="22"/>
        </w:rPr>
      </w:pPr>
    </w:p>
    <w:p w14:paraId="54473803" w14:textId="77777777" w:rsidR="009C4600" w:rsidRPr="00F37D4D" w:rsidRDefault="00BE7CB1" w:rsidP="00F64BF9">
      <w:pPr>
        <w:spacing w:line="240" w:lineRule="auto"/>
        <w:rPr>
          <w:szCs w:val="22"/>
        </w:rPr>
      </w:pPr>
      <w:r>
        <w:t>Typická hodnota centrálneho objemu (V</w:t>
      </w:r>
      <w:r w:rsidRPr="00F37D4D">
        <w:rPr>
          <w:sz w:val="14"/>
          <w:szCs w:val="14"/>
        </w:rPr>
        <w:t>c</w:t>
      </w:r>
      <w:r>
        <w:t>) bola 2,73 l u pacientok a 3,28 l u pacientov a je v rozmedzí udávanom pri IgGs a iných monoklonálnych protilátkach. Typická hodnota periférneho objemu (V</w:t>
      </w:r>
      <w:r w:rsidRPr="00F37D4D">
        <w:rPr>
          <w:sz w:val="14"/>
          <w:szCs w:val="14"/>
        </w:rPr>
        <w:t>p</w:t>
      </w:r>
      <w:r>
        <w:t>) bola 1,69 l u pacientok a 2,35 l u pacientov, keď sa bevacizumab podával súbežne s antineoplastickými liekmi. Po úprave vzhľadom na telesnú hmotnosť mali pacienti väčší V</w:t>
      </w:r>
      <w:r>
        <w:rPr>
          <w:sz w:val="14"/>
        </w:rPr>
        <w:t>c</w:t>
      </w:r>
      <w:r>
        <w:t xml:space="preserve"> (+ 20 %) ako pacientky.</w:t>
      </w:r>
    </w:p>
    <w:p w14:paraId="4B3CA527" w14:textId="77777777" w:rsidR="009C4600" w:rsidRPr="00F37D4D" w:rsidRDefault="009C4600" w:rsidP="00F64BF9">
      <w:pPr>
        <w:spacing w:line="240" w:lineRule="auto"/>
        <w:rPr>
          <w:szCs w:val="22"/>
        </w:rPr>
      </w:pPr>
    </w:p>
    <w:p w14:paraId="7098AFBE" w14:textId="77777777" w:rsidR="009C4600" w:rsidRPr="009B3447" w:rsidRDefault="00BE7CB1" w:rsidP="00F64BF9">
      <w:pPr>
        <w:keepNext/>
        <w:spacing w:line="240" w:lineRule="auto"/>
        <w:rPr>
          <w:szCs w:val="22"/>
          <w:u w:val="single"/>
        </w:rPr>
      </w:pPr>
      <w:r>
        <w:rPr>
          <w:u w:val="single"/>
        </w:rPr>
        <w:t>Biotransformácia</w:t>
      </w:r>
    </w:p>
    <w:p w14:paraId="2C9AFF6A" w14:textId="77777777" w:rsidR="009C4600" w:rsidRPr="009B3447" w:rsidRDefault="009C4600" w:rsidP="00F64BF9">
      <w:pPr>
        <w:keepNext/>
        <w:spacing w:line="240" w:lineRule="auto"/>
      </w:pPr>
    </w:p>
    <w:p w14:paraId="514554DB" w14:textId="77777777" w:rsidR="009C4600" w:rsidRPr="009B3447" w:rsidRDefault="00BE7CB1" w:rsidP="00F64BF9">
      <w:pPr>
        <w:spacing w:line="240" w:lineRule="auto"/>
      </w:pPr>
      <w:r>
        <w:t>Stanovenie metabolizmu bevacizumabu u králikov po jednej intravenóznej dávke 125I-bevacizumabu naznačuje, že jeho metabolický profil je podobný profilu, ktorý sa očakáva u IgG molekuly, ktorá sa neviaže s VEGF. Metabolizmus a eliminácia bevacizumabu sú podobné endogénnemu IgG, to je hlavne prostredníctvom proteolytického katabolizmu v tele vrátane endoteliálnych buniek a nie je závislý primárne od eliminácie obličkami a pečeňou. Väzba IgG na FcRn receptor vedie k ochrane pred bunkovým metabolizmom a dlhým terminálnym polčasom.</w:t>
      </w:r>
    </w:p>
    <w:p w14:paraId="6BD53D1B" w14:textId="77777777" w:rsidR="009C4600" w:rsidRPr="009B3447" w:rsidRDefault="009C4600" w:rsidP="00F64BF9">
      <w:pPr>
        <w:spacing w:line="240" w:lineRule="auto"/>
      </w:pPr>
    </w:p>
    <w:p w14:paraId="6E96360F" w14:textId="77777777" w:rsidR="009C4600" w:rsidRPr="009B3447" w:rsidRDefault="00BE7CB1" w:rsidP="00F64BF9">
      <w:pPr>
        <w:keepNext/>
        <w:spacing w:line="240" w:lineRule="auto"/>
        <w:rPr>
          <w:szCs w:val="22"/>
          <w:u w:val="single"/>
        </w:rPr>
      </w:pPr>
      <w:r>
        <w:rPr>
          <w:u w:val="single"/>
        </w:rPr>
        <w:t>Eliminácia</w:t>
      </w:r>
    </w:p>
    <w:p w14:paraId="13A4C407" w14:textId="77777777" w:rsidR="009C4600" w:rsidRPr="009B3447" w:rsidRDefault="009C4600" w:rsidP="00F64BF9">
      <w:pPr>
        <w:keepNext/>
        <w:spacing w:line="240" w:lineRule="auto"/>
      </w:pPr>
    </w:p>
    <w:p w14:paraId="33010DA5" w14:textId="77777777" w:rsidR="009C4600" w:rsidRPr="009B3447" w:rsidRDefault="00BE7CB1" w:rsidP="00F64BF9">
      <w:pPr>
        <w:spacing w:line="240" w:lineRule="auto"/>
      </w:pPr>
      <w:r>
        <w:t>Hodnota klírensu sa v priemere rovná 0,188 l/deň u pacientok a 0,220 l/deň u pacientov. Po úprave vzhľadom na telesnú hmotnosť mali pacienti vyšší klírens bevacizumabu (+ 17 %) ako pacientky. Podľa dvojkompartmentového modelu je eliminačný polčas 18 dní u typickej pacientky a 20 dní u typického pacienta.</w:t>
      </w:r>
    </w:p>
    <w:p w14:paraId="4A754942" w14:textId="77777777" w:rsidR="009C4600" w:rsidRPr="009B3447" w:rsidRDefault="009C4600" w:rsidP="00F64BF9">
      <w:pPr>
        <w:spacing w:line="240" w:lineRule="auto"/>
      </w:pPr>
    </w:p>
    <w:p w14:paraId="10884C69" w14:textId="77777777" w:rsidR="009C4600" w:rsidRPr="009B3447" w:rsidRDefault="00BE7CB1" w:rsidP="00F64BF9">
      <w:pPr>
        <w:spacing w:line="240" w:lineRule="auto"/>
      </w:pPr>
      <w:r>
        <w:t>Nízka hodnota albumínu a vysoká nádorová záťaž zvyčajne svedčia o závažnosti ochorenia. Klírens bevacizumabu bol približne o 30 % rýchlejší u pacientov s nízkymi hladinami albumínu v sére a o 7 % rýchlejší u pacientov s vyššou nádorovou záťažou v porovnaní s typickým pacientom s priemernými hodnotami albumínu a nádorovej záťaže.</w:t>
      </w:r>
    </w:p>
    <w:p w14:paraId="57E80D0B" w14:textId="77777777" w:rsidR="009C4600" w:rsidRPr="009B3447" w:rsidRDefault="009C4600" w:rsidP="00F64BF9">
      <w:pPr>
        <w:spacing w:line="240" w:lineRule="auto"/>
      </w:pPr>
    </w:p>
    <w:p w14:paraId="7C4941F9" w14:textId="77777777" w:rsidR="009C4600" w:rsidRPr="009B3447" w:rsidRDefault="00BE7CB1" w:rsidP="00F64BF9">
      <w:pPr>
        <w:keepNext/>
        <w:spacing w:line="240" w:lineRule="auto"/>
        <w:rPr>
          <w:szCs w:val="22"/>
          <w:u w:val="single"/>
        </w:rPr>
      </w:pPr>
      <w:r>
        <w:rPr>
          <w:u w:val="single"/>
        </w:rPr>
        <w:t>Farmakokinetika u zvláštnych skupín pacientov</w:t>
      </w:r>
    </w:p>
    <w:p w14:paraId="2174EBA3" w14:textId="77777777" w:rsidR="009C4600" w:rsidRPr="009B3447" w:rsidRDefault="009C4600" w:rsidP="00F64BF9">
      <w:pPr>
        <w:keepNext/>
        <w:spacing w:line="240" w:lineRule="auto"/>
      </w:pPr>
    </w:p>
    <w:p w14:paraId="1D80A190" w14:textId="77777777" w:rsidR="009C4600" w:rsidRPr="009B3447" w:rsidRDefault="00BE7CB1" w:rsidP="00F64BF9">
      <w:pPr>
        <w:spacing w:line="240" w:lineRule="auto"/>
      </w:pPr>
      <w:r>
        <w:t xml:space="preserve">Farmakokinetika u dospelých a pediatrických pacientov sa analyzovala na vyhodnotenie vplyvu demografických charakteristík. U dospelých výsledky nepoukazovali na významný rozdiel vo farmakokinetike bevacizumabu vzhľadom na vek. </w:t>
      </w:r>
    </w:p>
    <w:p w14:paraId="6AC2C084" w14:textId="77777777" w:rsidR="009C4600" w:rsidRPr="009B3447" w:rsidRDefault="009C4600" w:rsidP="00F64BF9">
      <w:pPr>
        <w:spacing w:line="240" w:lineRule="auto"/>
      </w:pPr>
    </w:p>
    <w:p w14:paraId="4C60726D" w14:textId="77777777" w:rsidR="009C4600" w:rsidRPr="009B3447" w:rsidRDefault="00BE7CB1" w:rsidP="00F64BF9">
      <w:pPr>
        <w:keepNext/>
        <w:spacing w:line="240" w:lineRule="auto"/>
        <w:rPr>
          <w:i/>
          <w:iCs/>
        </w:rPr>
      </w:pPr>
      <w:r>
        <w:rPr>
          <w:i/>
        </w:rPr>
        <w:t>Porucha funkcie obličiek</w:t>
      </w:r>
    </w:p>
    <w:p w14:paraId="2B129DB6" w14:textId="77777777" w:rsidR="009C4600" w:rsidRPr="009B3447" w:rsidRDefault="009C4600" w:rsidP="00F64BF9">
      <w:pPr>
        <w:keepNext/>
        <w:spacing w:line="240" w:lineRule="auto"/>
      </w:pPr>
    </w:p>
    <w:p w14:paraId="043907FE" w14:textId="77777777" w:rsidR="009C4600" w:rsidRPr="009B3447" w:rsidRDefault="00BE7CB1" w:rsidP="00F64BF9">
      <w:pPr>
        <w:spacing w:line="240" w:lineRule="auto"/>
      </w:pPr>
      <w:r>
        <w:t>Neuskutočnili sa žiadne skúšania, ktoré by skúmali farmakokinetiku bevacizumabu u pacientov s poruchou funkcie obličiek, pretože obličky nie sú hlavný orgán metabolizmu alebo exkrécie bevacizumabu.</w:t>
      </w:r>
    </w:p>
    <w:p w14:paraId="1AF44995" w14:textId="77777777" w:rsidR="009C4600" w:rsidRPr="009B3447" w:rsidRDefault="009C4600" w:rsidP="00F64BF9">
      <w:pPr>
        <w:spacing w:line="240" w:lineRule="auto"/>
        <w:rPr>
          <w:rFonts w:eastAsia="SimSun"/>
        </w:rPr>
      </w:pPr>
    </w:p>
    <w:p w14:paraId="28B79659" w14:textId="77777777" w:rsidR="009C4600" w:rsidRPr="009B3447" w:rsidRDefault="00BE7CB1" w:rsidP="00F64BF9">
      <w:pPr>
        <w:keepNext/>
        <w:spacing w:line="240" w:lineRule="auto"/>
        <w:rPr>
          <w:rFonts w:eastAsia="SimSun"/>
          <w:i/>
          <w:iCs/>
        </w:rPr>
      </w:pPr>
      <w:r>
        <w:rPr>
          <w:i/>
        </w:rPr>
        <w:t>Porucha funkcie pečene</w:t>
      </w:r>
    </w:p>
    <w:p w14:paraId="260F972C" w14:textId="77777777" w:rsidR="009C4600" w:rsidRPr="009B3447" w:rsidRDefault="009C4600" w:rsidP="00F64BF9">
      <w:pPr>
        <w:keepNext/>
        <w:spacing w:line="240" w:lineRule="auto"/>
        <w:rPr>
          <w:rFonts w:eastAsia="SimSun"/>
        </w:rPr>
      </w:pPr>
    </w:p>
    <w:p w14:paraId="3F27275C" w14:textId="77777777" w:rsidR="009C4600" w:rsidRPr="009B3447" w:rsidRDefault="00BE7CB1" w:rsidP="00F64BF9">
      <w:pPr>
        <w:spacing w:line="240" w:lineRule="auto"/>
        <w:rPr>
          <w:rFonts w:eastAsia="SimSun"/>
        </w:rPr>
      </w:pPr>
      <w:r>
        <w:t>Neuskutočnili sa žiadne skúšania, ktoré by skúmali farmakokinetiku bevacizumabu u pacientov s poruchou funkcie pečene, pretože pečeň nie je hlavný orgán metabolizmu alebo exkrécie bevacizumabu.</w:t>
      </w:r>
    </w:p>
    <w:p w14:paraId="5C1DCCFC" w14:textId="77777777" w:rsidR="009C4600" w:rsidRPr="009B3447" w:rsidRDefault="009C4600" w:rsidP="00F64BF9">
      <w:pPr>
        <w:spacing w:line="240" w:lineRule="auto"/>
        <w:rPr>
          <w:rFonts w:eastAsia="SimSun"/>
        </w:rPr>
      </w:pPr>
    </w:p>
    <w:p w14:paraId="7E4DD435" w14:textId="77777777" w:rsidR="009C4600" w:rsidRPr="009B3447" w:rsidRDefault="00BE7CB1" w:rsidP="00F64BF9">
      <w:pPr>
        <w:keepNext/>
        <w:spacing w:line="240" w:lineRule="auto"/>
        <w:rPr>
          <w:rFonts w:eastAsia="SimSun"/>
          <w:i/>
          <w:iCs/>
        </w:rPr>
      </w:pPr>
      <w:r>
        <w:rPr>
          <w:i/>
        </w:rPr>
        <w:t>Pediatrická populácia</w:t>
      </w:r>
    </w:p>
    <w:p w14:paraId="0AD2EE57" w14:textId="77777777" w:rsidR="009C4600" w:rsidRPr="009B3447" w:rsidRDefault="009C4600" w:rsidP="00F64BF9">
      <w:pPr>
        <w:keepNext/>
        <w:spacing w:line="240" w:lineRule="auto"/>
        <w:rPr>
          <w:rFonts w:eastAsia="SimSun"/>
        </w:rPr>
      </w:pPr>
    </w:p>
    <w:p w14:paraId="590E4776" w14:textId="43D9153F" w:rsidR="009C4600" w:rsidRPr="009B3447" w:rsidRDefault="00BE7CB1" w:rsidP="00F64BF9">
      <w:pPr>
        <w:spacing w:line="240" w:lineRule="auto"/>
        <w:rPr>
          <w:rFonts w:eastAsia="SimSun"/>
        </w:rPr>
      </w:pPr>
      <w:r>
        <w:t xml:space="preserve">Farmakokinetika bevacizumabu bola hodnotená u 152 detí, dospievajúcich a mladých dospelých (vo veku 7 mesiacov až 21 rokov, s hmotnosťou 5,9 kg až 125 kg) v 4 klinických štúdiách s použitím populačného farmakokinetického modelu. Farmakokinetické výsledky preukazujú, že klírens a distribučný objem bevacizumabu, ak sa štandardizujú podľa telesnej hmotnosti, pri znižujúcej sa expozícii s poklesom telesnej hmotnosti, je porovnateľný medzi pediatrickými a mladými dospelými pacientmi. </w:t>
      </w:r>
      <w:r w:rsidRPr="00596761">
        <w:t xml:space="preserve">Vek </w:t>
      </w:r>
      <w:r w:rsidR="00596761">
        <w:t>nesúvisel</w:t>
      </w:r>
      <w:r w:rsidRPr="00596761">
        <w:t xml:space="preserve"> s farmakokinetikou bevacizumabu, keď sa brala do úvahy telesná hmotnosť.</w:t>
      </w:r>
    </w:p>
    <w:p w14:paraId="13D85B21" w14:textId="77777777" w:rsidR="009C4600" w:rsidRPr="009B3447" w:rsidRDefault="009C4600" w:rsidP="00F64BF9">
      <w:pPr>
        <w:spacing w:line="240" w:lineRule="auto"/>
        <w:rPr>
          <w:rFonts w:eastAsia="SimSun"/>
        </w:rPr>
      </w:pPr>
    </w:p>
    <w:p w14:paraId="6E2CAB9F" w14:textId="77777777" w:rsidR="009C4600" w:rsidRPr="009B3447" w:rsidRDefault="00BE7CB1" w:rsidP="00F64BF9">
      <w:pPr>
        <w:spacing w:line="240" w:lineRule="auto"/>
      </w:pPr>
      <w:r>
        <w:lastRenderedPageBreak/>
        <w:t>Farmakokinetika bevacizumabu bola v štúdii BO20924 dobre opísaná populačným PK modelom u 70 pediatrických pacientov (vo veku 1,4 až 17,6 rokov; s telesnou hmotnosťou 11,6 kg až 77,5 kg) a u 59 pacientov v štúdii BO25041 (vo veku 1 až 17 rokov; s telesnou hmotnosťou 11,2 až 82,3 kg). V štúdii BO20924 bola vo všeobecnosti expozícia bevacizumabu nižšia v porovnaní s typickými dospelými pacientmi pri rovnakej dávke. V štúdii BO25041 bola expozícia bevacizumabu v porovnaní s typickými dospelými pri rovnakej dávke podobná. V oboch štúdiách sa expozícia bevacizumabu znižovala s poklesom telesnej hmotnosti.</w:t>
      </w:r>
    </w:p>
    <w:p w14:paraId="42C0DA2A" w14:textId="77777777" w:rsidR="00812D16" w:rsidRPr="009B3447" w:rsidRDefault="00812D16" w:rsidP="00F64BF9">
      <w:pPr>
        <w:spacing w:line="240" w:lineRule="auto"/>
      </w:pPr>
    </w:p>
    <w:p w14:paraId="7B7E4A35" w14:textId="77777777" w:rsidR="00812D16" w:rsidRPr="009B3447" w:rsidRDefault="00BE7CB1" w:rsidP="00F64BF9">
      <w:pPr>
        <w:keepNext/>
        <w:spacing w:line="240" w:lineRule="auto"/>
        <w:rPr>
          <w:b/>
          <w:bCs/>
          <w:szCs w:val="22"/>
        </w:rPr>
      </w:pPr>
      <w:r>
        <w:rPr>
          <w:b/>
        </w:rPr>
        <w:t>5.3</w:t>
      </w:r>
      <w:r w:rsidRPr="009B3447">
        <w:rPr>
          <w:b/>
          <w:bCs/>
          <w:szCs w:val="22"/>
        </w:rPr>
        <w:tab/>
      </w:r>
      <w:r>
        <w:rPr>
          <w:b/>
        </w:rPr>
        <w:t>Predklinické údaje o bezpečnosti</w:t>
      </w:r>
    </w:p>
    <w:p w14:paraId="36F1C200" w14:textId="77777777" w:rsidR="00812D16" w:rsidRPr="00F37D4D" w:rsidRDefault="00812D16" w:rsidP="00F64BF9">
      <w:pPr>
        <w:keepNext/>
        <w:spacing w:line="240" w:lineRule="auto"/>
        <w:rPr>
          <w:szCs w:val="22"/>
        </w:rPr>
      </w:pPr>
    </w:p>
    <w:p w14:paraId="73AC3F75" w14:textId="77777777" w:rsidR="009C4600" w:rsidRPr="00F37D4D" w:rsidRDefault="00BE7CB1" w:rsidP="00F64BF9">
      <w:pPr>
        <w:spacing w:line="240" w:lineRule="auto"/>
        <w:rPr>
          <w:szCs w:val="22"/>
        </w:rPr>
      </w:pPr>
      <w:r>
        <w:t xml:space="preserve">V štúdiách na opiciach cynomolgus, ktoré trvali 26 týždňov, sa pozorovala dysplázia rastovej platničky u mladých zvierat s otvorenými rastovými platničkami, pri priemerných sérových koncentráciách bevacizumabu nižších ako sú očakávané terapeutické priemerné sérové koncentrácie u ľudí. U králikov bevacizumab inhiboval hojenie rán v dávkach nižších ako bola predpokladaná klinická dávka. Ukázalo sa, že účinky na hojenie rán sú úplne reverzibilné. </w:t>
      </w:r>
    </w:p>
    <w:p w14:paraId="320B53F5" w14:textId="77777777" w:rsidR="009C4600" w:rsidRPr="00F37D4D" w:rsidRDefault="009C4600" w:rsidP="00F64BF9">
      <w:pPr>
        <w:spacing w:line="240" w:lineRule="auto"/>
        <w:rPr>
          <w:szCs w:val="22"/>
        </w:rPr>
      </w:pPr>
    </w:p>
    <w:p w14:paraId="77A09992" w14:textId="77777777" w:rsidR="009C4600" w:rsidRPr="00F37D4D" w:rsidRDefault="00BE7CB1" w:rsidP="00F64BF9">
      <w:pPr>
        <w:spacing w:line="240" w:lineRule="auto"/>
        <w:rPr>
          <w:szCs w:val="22"/>
        </w:rPr>
      </w:pPr>
      <w:r>
        <w:t xml:space="preserve">Štúdie na vyhodnotenie mutagénneho a karcinogénneho potenciálu bevacizumabu neboli uskutočnené. </w:t>
      </w:r>
    </w:p>
    <w:p w14:paraId="67305F63" w14:textId="77777777" w:rsidR="009C4600" w:rsidRPr="00F37D4D" w:rsidRDefault="009C4600" w:rsidP="00F64BF9">
      <w:pPr>
        <w:spacing w:line="240" w:lineRule="auto"/>
        <w:rPr>
          <w:szCs w:val="22"/>
        </w:rPr>
      </w:pPr>
    </w:p>
    <w:p w14:paraId="45C841CA" w14:textId="77777777" w:rsidR="009C4600" w:rsidRPr="00F37D4D" w:rsidRDefault="00BE7CB1" w:rsidP="00F64BF9">
      <w:pPr>
        <w:spacing w:line="240" w:lineRule="auto"/>
        <w:rPr>
          <w:szCs w:val="22"/>
        </w:rPr>
      </w:pPr>
      <w:r>
        <w:t xml:space="preserve">Neuskutočnili sa žiadne špecifické štúdie na zvieratách na vyhodnotenie účinku na plodnosť. Môže sa však očakávať nežiaduci účinok na plodnosť žien, pretože štúdie toxicity opakovanej dávky na zvieratách dokázali inhibíciu dozrievania ovariálnych folikulov a pokles/absenciu žltého telieska a s tým spojený pokles hmotnosti vaječníkov a maternice, ako aj pokles počtu menštruačných cyklov. </w:t>
      </w:r>
    </w:p>
    <w:p w14:paraId="2E90C0A5" w14:textId="77777777" w:rsidR="009C4600" w:rsidRPr="00F37D4D" w:rsidRDefault="009C4600" w:rsidP="00F64BF9">
      <w:pPr>
        <w:spacing w:line="240" w:lineRule="auto"/>
        <w:rPr>
          <w:szCs w:val="22"/>
        </w:rPr>
      </w:pPr>
    </w:p>
    <w:p w14:paraId="023B40C1" w14:textId="77777777" w:rsidR="009C4600" w:rsidRPr="00F37D4D" w:rsidRDefault="00BE7CB1" w:rsidP="00F64BF9">
      <w:pPr>
        <w:spacing w:line="240" w:lineRule="auto"/>
        <w:rPr>
          <w:szCs w:val="22"/>
        </w:rPr>
      </w:pPr>
      <w:r>
        <w:t>Dokázalo sa, že bevacizumab je embryotoxický a teratogénny, keď sa podáva králikom. Pozorované účinky zahŕňali pokles v hmotnosti tela matky i plodu, zvýšený počet rezorpcií plodu a zvýšený výskyt špecifických celkových a skeletálnych malformácií plodu. Nežiaduci vplyv na plod sa pozoroval pri všetkých testovaných dávkach, pričom najnižšia dávka viedla k priemerným sérovým koncentráciám približne 3-krát vyšším ako u ľudí, ktorí dostávali 5 mg/kg každé 2 týždne. Informácie o malformáciách plodu pozorované po uvedení lieku na trh sú uvedené v častiach 4.6. a 4.8.</w:t>
      </w:r>
    </w:p>
    <w:p w14:paraId="362FD22E" w14:textId="77777777" w:rsidR="00812D16" w:rsidRPr="00F37D4D" w:rsidRDefault="00812D16" w:rsidP="00F64BF9">
      <w:pPr>
        <w:spacing w:line="240" w:lineRule="auto"/>
        <w:rPr>
          <w:szCs w:val="22"/>
        </w:rPr>
      </w:pPr>
    </w:p>
    <w:p w14:paraId="639EECAD" w14:textId="77777777" w:rsidR="00812D16" w:rsidRPr="00F37D4D" w:rsidRDefault="00812D16" w:rsidP="00F64BF9">
      <w:pPr>
        <w:spacing w:line="240" w:lineRule="auto"/>
        <w:rPr>
          <w:szCs w:val="22"/>
        </w:rPr>
      </w:pPr>
    </w:p>
    <w:p w14:paraId="62EAA201" w14:textId="77777777" w:rsidR="00812D16" w:rsidRPr="009B3447" w:rsidRDefault="00BE7CB1" w:rsidP="00F64BF9">
      <w:pPr>
        <w:keepNext/>
        <w:spacing w:line="240" w:lineRule="auto"/>
        <w:rPr>
          <w:b/>
          <w:bCs/>
          <w:szCs w:val="22"/>
        </w:rPr>
      </w:pPr>
      <w:r>
        <w:rPr>
          <w:b/>
        </w:rPr>
        <w:t>6.</w:t>
      </w:r>
      <w:r w:rsidRPr="009B3447">
        <w:rPr>
          <w:b/>
          <w:bCs/>
          <w:szCs w:val="22"/>
        </w:rPr>
        <w:tab/>
      </w:r>
      <w:r>
        <w:rPr>
          <w:b/>
        </w:rPr>
        <w:t>FARMACEUTICKÉ INFORMÁCIE</w:t>
      </w:r>
    </w:p>
    <w:p w14:paraId="5E55F58D" w14:textId="77777777" w:rsidR="00812D16" w:rsidRPr="00F37D4D" w:rsidRDefault="00812D16" w:rsidP="00F64BF9">
      <w:pPr>
        <w:keepNext/>
        <w:spacing w:line="240" w:lineRule="auto"/>
        <w:rPr>
          <w:szCs w:val="22"/>
        </w:rPr>
      </w:pPr>
    </w:p>
    <w:p w14:paraId="22B9FF5C" w14:textId="77777777" w:rsidR="00812D16" w:rsidRPr="009B3447" w:rsidRDefault="00BE7CB1" w:rsidP="00F64BF9">
      <w:pPr>
        <w:keepNext/>
        <w:spacing w:line="240" w:lineRule="auto"/>
        <w:rPr>
          <w:b/>
          <w:bCs/>
          <w:szCs w:val="22"/>
        </w:rPr>
      </w:pPr>
      <w:r>
        <w:rPr>
          <w:b/>
        </w:rPr>
        <w:t>6.1</w:t>
      </w:r>
      <w:r w:rsidRPr="009B3447">
        <w:rPr>
          <w:b/>
          <w:bCs/>
          <w:szCs w:val="22"/>
        </w:rPr>
        <w:tab/>
      </w:r>
      <w:r>
        <w:rPr>
          <w:b/>
        </w:rPr>
        <w:t>Zoznam pomocných látok</w:t>
      </w:r>
    </w:p>
    <w:p w14:paraId="54863DCB" w14:textId="77777777" w:rsidR="00812D16" w:rsidRPr="009B3447" w:rsidRDefault="00812D16" w:rsidP="00F64BF9">
      <w:pPr>
        <w:keepNext/>
        <w:spacing w:line="240" w:lineRule="auto"/>
      </w:pPr>
    </w:p>
    <w:p w14:paraId="3CFD78A0" w14:textId="77777777" w:rsidR="009C4600" w:rsidRPr="009B3447" w:rsidRDefault="00BE7CB1" w:rsidP="00F64BF9">
      <w:pPr>
        <w:spacing w:line="240" w:lineRule="auto"/>
      </w:pPr>
      <w:bookmarkStart w:id="7" w:name="_Hlk62646700"/>
      <w:r>
        <w:t>dihydrát trehalóz</w:t>
      </w:r>
      <w:r w:rsidR="00A9271A">
        <w:t>y</w:t>
      </w:r>
    </w:p>
    <w:p w14:paraId="630970D5" w14:textId="17183FC0" w:rsidR="00502937" w:rsidRPr="00596761" w:rsidRDefault="00BC5B9B" w:rsidP="00F64BF9">
      <w:pPr>
        <w:spacing w:line="240" w:lineRule="auto"/>
      </w:pPr>
      <w:r w:rsidRPr="00596761">
        <w:t xml:space="preserve">monohydrát </w:t>
      </w:r>
      <w:r w:rsidR="00691D6C">
        <w:t>dihydrogen</w:t>
      </w:r>
      <w:r w:rsidR="00502937" w:rsidRPr="00596761">
        <w:t>fosforečnan</w:t>
      </w:r>
      <w:r w:rsidRPr="00596761">
        <w:t>u</w:t>
      </w:r>
      <w:r w:rsidR="00502937" w:rsidRPr="00596761">
        <w:t xml:space="preserve"> sodn</w:t>
      </w:r>
      <w:r w:rsidRPr="00596761">
        <w:t>ého</w:t>
      </w:r>
    </w:p>
    <w:p w14:paraId="7C3A8BFE" w14:textId="77777777" w:rsidR="009C4600" w:rsidRPr="009B3447" w:rsidRDefault="00502937" w:rsidP="00F64BF9">
      <w:pPr>
        <w:spacing w:line="240" w:lineRule="auto"/>
      </w:pPr>
      <w:bookmarkStart w:id="8" w:name="_Hlk59466323"/>
      <w:r w:rsidRPr="00596761">
        <w:t>hydrogenfosforečnan sodný</w:t>
      </w:r>
    </w:p>
    <w:bookmarkEnd w:id="8"/>
    <w:p w14:paraId="6D198FB3" w14:textId="734F83DF" w:rsidR="009C4600" w:rsidRPr="009B3447" w:rsidRDefault="00BE7CB1" w:rsidP="00F64BF9">
      <w:pPr>
        <w:spacing w:line="240" w:lineRule="auto"/>
      </w:pPr>
      <w:r>
        <w:t>polysorbát 20</w:t>
      </w:r>
      <w:r w:rsidR="00FC4E5D">
        <w:t xml:space="preserve"> (E 432)</w:t>
      </w:r>
    </w:p>
    <w:p w14:paraId="08AAACC2" w14:textId="77777777" w:rsidR="009C4600" w:rsidRPr="009B3447" w:rsidRDefault="00BE7CB1" w:rsidP="00F64BF9">
      <w:pPr>
        <w:spacing w:line="240" w:lineRule="auto"/>
      </w:pPr>
      <w:r>
        <w:t>voda na injekcie</w:t>
      </w:r>
      <w:bookmarkEnd w:id="7"/>
    </w:p>
    <w:p w14:paraId="16B24327" w14:textId="77777777" w:rsidR="00812D16" w:rsidRPr="009B3447" w:rsidRDefault="00812D16" w:rsidP="00F64BF9">
      <w:pPr>
        <w:spacing w:line="240" w:lineRule="auto"/>
      </w:pPr>
    </w:p>
    <w:p w14:paraId="4FC6FD3E" w14:textId="77777777" w:rsidR="00812D16" w:rsidRPr="009B3447" w:rsidRDefault="00BE7CB1" w:rsidP="00F64BF9">
      <w:pPr>
        <w:keepNext/>
        <w:spacing w:line="240" w:lineRule="auto"/>
        <w:rPr>
          <w:b/>
          <w:bCs/>
          <w:szCs w:val="22"/>
        </w:rPr>
      </w:pPr>
      <w:r>
        <w:rPr>
          <w:b/>
        </w:rPr>
        <w:t>6.2</w:t>
      </w:r>
      <w:r w:rsidRPr="009B3447">
        <w:rPr>
          <w:b/>
          <w:bCs/>
          <w:szCs w:val="22"/>
        </w:rPr>
        <w:tab/>
      </w:r>
      <w:r>
        <w:rPr>
          <w:b/>
        </w:rPr>
        <w:t>Inkompatibility</w:t>
      </w:r>
    </w:p>
    <w:p w14:paraId="1FEE17B4" w14:textId="77777777" w:rsidR="00812D16" w:rsidRPr="00F37D4D" w:rsidRDefault="00812D16" w:rsidP="00F64BF9">
      <w:pPr>
        <w:keepNext/>
        <w:spacing w:line="240" w:lineRule="auto"/>
        <w:rPr>
          <w:szCs w:val="22"/>
        </w:rPr>
      </w:pPr>
    </w:p>
    <w:p w14:paraId="0C10289D" w14:textId="77777777" w:rsidR="009C4600" w:rsidRPr="00F37D4D" w:rsidRDefault="00BE7CB1" w:rsidP="00F64BF9">
      <w:pPr>
        <w:spacing w:line="240" w:lineRule="auto"/>
        <w:rPr>
          <w:szCs w:val="22"/>
        </w:rPr>
      </w:pPr>
      <w:r>
        <w:t>Tento liek sa nesmie miešať s inými liekmi okrem tých, ktoré sú uvedené v časti 6.6.</w:t>
      </w:r>
    </w:p>
    <w:p w14:paraId="62F2C8CE" w14:textId="77777777" w:rsidR="009C4600" w:rsidRPr="00F37D4D" w:rsidRDefault="009C4600" w:rsidP="00F64BF9">
      <w:pPr>
        <w:spacing w:line="240" w:lineRule="auto"/>
        <w:rPr>
          <w:szCs w:val="22"/>
        </w:rPr>
      </w:pPr>
    </w:p>
    <w:p w14:paraId="170E6267" w14:textId="77777777" w:rsidR="009C4600" w:rsidRPr="00F37D4D" w:rsidRDefault="00BE7CB1" w:rsidP="00F64BF9">
      <w:pPr>
        <w:spacing w:line="240" w:lineRule="auto"/>
        <w:rPr>
          <w:szCs w:val="22"/>
        </w:rPr>
      </w:pPr>
      <w:r>
        <w:t>Degradačný profil bevacizumabu závislý od koncentrácie sa pozoroval, keď sa liek riedil roztokmi glukózy (5 %).</w:t>
      </w:r>
    </w:p>
    <w:p w14:paraId="1DE1BB8C" w14:textId="77777777" w:rsidR="00812D16" w:rsidRPr="00F37D4D" w:rsidRDefault="00812D16" w:rsidP="00F64BF9">
      <w:pPr>
        <w:spacing w:line="240" w:lineRule="auto"/>
        <w:rPr>
          <w:szCs w:val="22"/>
        </w:rPr>
      </w:pPr>
    </w:p>
    <w:p w14:paraId="77E4B130" w14:textId="77777777" w:rsidR="00812D16" w:rsidRPr="009B3447" w:rsidRDefault="00BE7CB1" w:rsidP="00F64BF9">
      <w:pPr>
        <w:keepNext/>
        <w:spacing w:line="240" w:lineRule="auto"/>
        <w:rPr>
          <w:b/>
          <w:bCs/>
          <w:szCs w:val="22"/>
        </w:rPr>
      </w:pPr>
      <w:r>
        <w:rPr>
          <w:b/>
        </w:rPr>
        <w:t>6.3</w:t>
      </w:r>
      <w:r w:rsidRPr="009B3447">
        <w:rPr>
          <w:b/>
          <w:bCs/>
          <w:szCs w:val="22"/>
        </w:rPr>
        <w:tab/>
      </w:r>
      <w:r>
        <w:rPr>
          <w:b/>
        </w:rPr>
        <w:t>Čas použiteľnosti</w:t>
      </w:r>
    </w:p>
    <w:p w14:paraId="1B6E7BA5" w14:textId="77777777" w:rsidR="00812D16" w:rsidRPr="00F37D4D" w:rsidRDefault="00812D16" w:rsidP="00F64BF9">
      <w:pPr>
        <w:keepNext/>
        <w:spacing w:line="240" w:lineRule="auto"/>
        <w:rPr>
          <w:szCs w:val="22"/>
        </w:rPr>
      </w:pPr>
    </w:p>
    <w:p w14:paraId="788A307F" w14:textId="3FBDD363" w:rsidR="009C4600" w:rsidRPr="009B3447" w:rsidRDefault="004D6889" w:rsidP="00F64BF9">
      <w:pPr>
        <w:keepNext/>
        <w:spacing w:line="240" w:lineRule="auto"/>
        <w:rPr>
          <w:szCs w:val="22"/>
          <w:u w:val="single"/>
        </w:rPr>
      </w:pPr>
      <w:r>
        <w:rPr>
          <w:u w:val="single"/>
        </w:rPr>
        <w:t>Neot</w:t>
      </w:r>
      <w:r w:rsidR="00BE7CB1">
        <w:rPr>
          <w:u w:val="single"/>
        </w:rPr>
        <w:t>vorená injekčná liekovka</w:t>
      </w:r>
    </w:p>
    <w:p w14:paraId="687363E2" w14:textId="77777777" w:rsidR="009C4600" w:rsidRPr="00F37D4D" w:rsidRDefault="009C4600" w:rsidP="00F64BF9">
      <w:pPr>
        <w:keepNext/>
        <w:spacing w:line="240" w:lineRule="auto"/>
        <w:rPr>
          <w:szCs w:val="22"/>
        </w:rPr>
      </w:pPr>
    </w:p>
    <w:p w14:paraId="2DCBB6BC" w14:textId="72918B24" w:rsidR="009C4600" w:rsidRPr="00F37D4D" w:rsidRDefault="00BE7CB1" w:rsidP="00F64BF9">
      <w:pPr>
        <w:spacing w:line="240" w:lineRule="auto"/>
        <w:rPr>
          <w:szCs w:val="22"/>
        </w:rPr>
      </w:pPr>
      <w:r>
        <w:t>3</w:t>
      </w:r>
      <w:r w:rsidR="00AB0D3D">
        <w:t>6</w:t>
      </w:r>
      <w:r>
        <w:t> mesiacov</w:t>
      </w:r>
    </w:p>
    <w:p w14:paraId="7B2E17C5" w14:textId="77777777" w:rsidR="009C4600" w:rsidRPr="00F37D4D" w:rsidRDefault="009C4600" w:rsidP="00F64BF9">
      <w:pPr>
        <w:spacing w:line="240" w:lineRule="auto"/>
        <w:rPr>
          <w:szCs w:val="22"/>
        </w:rPr>
      </w:pPr>
    </w:p>
    <w:p w14:paraId="3252D9BA" w14:textId="77777777" w:rsidR="009C4600" w:rsidRPr="009B3447" w:rsidRDefault="00BE7CB1" w:rsidP="00F64BF9">
      <w:pPr>
        <w:keepNext/>
        <w:spacing w:line="240" w:lineRule="auto"/>
        <w:rPr>
          <w:szCs w:val="22"/>
          <w:u w:val="single"/>
        </w:rPr>
      </w:pPr>
      <w:r>
        <w:rPr>
          <w:u w:val="single"/>
        </w:rPr>
        <w:lastRenderedPageBreak/>
        <w:t>Nariedený liek</w:t>
      </w:r>
    </w:p>
    <w:p w14:paraId="2F778379" w14:textId="77777777" w:rsidR="009C4600" w:rsidRPr="00F37D4D" w:rsidRDefault="009C4600" w:rsidP="00F64BF9">
      <w:pPr>
        <w:keepNext/>
        <w:spacing w:line="240" w:lineRule="auto"/>
        <w:rPr>
          <w:szCs w:val="22"/>
        </w:rPr>
      </w:pPr>
    </w:p>
    <w:p w14:paraId="16FB76B3" w14:textId="70634BF0" w:rsidR="009C4600" w:rsidRPr="00F37D4D" w:rsidRDefault="00BE7CB1" w:rsidP="00F64BF9">
      <w:pPr>
        <w:spacing w:line="240" w:lineRule="auto"/>
        <w:rPr>
          <w:szCs w:val="22"/>
        </w:rPr>
      </w:pPr>
      <w:r>
        <w:t xml:space="preserve">Chemická a fyzikálna stabilita pripraveného lieku sa dokázala počas 30 dní pri teplote od 2 °C do 8 °C, plus dodatočných 48 hodín pri teplote </w:t>
      </w:r>
      <w:r w:rsidR="0079632A">
        <w:t>neprevyšujúcej</w:t>
      </w:r>
      <w:r w:rsidR="005910CD">
        <w:t xml:space="preserve"> </w:t>
      </w:r>
      <w:r>
        <w:t>30 °C v 9 mg/ml (0,9 %) roztoku chloridu sodného. Z mikrobiologického hľadiska sa má liek okamžite použiť. Ak sa liek nepoužije okamžite, za čas a podmienky uchovávania je zodpovedný užívateľ a za normálnych okolností takéto uchovávanie nesmie prekročiť 24 hodín pri teplote 2 °C až 8 °C, ak sa riedenie nevykonalo za kontrolovaných aseptických podmienok.</w:t>
      </w:r>
    </w:p>
    <w:p w14:paraId="48057E47" w14:textId="77777777" w:rsidR="00812D16" w:rsidRPr="00F37D4D" w:rsidRDefault="00812D16" w:rsidP="00F64BF9">
      <w:pPr>
        <w:spacing w:line="240" w:lineRule="auto"/>
        <w:rPr>
          <w:szCs w:val="22"/>
        </w:rPr>
      </w:pPr>
    </w:p>
    <w:p w14:paraId="15CA4E0D" w14:textId="77777777" w:rsidR="00812D16" w:rsidRPr="009B3447" w:rsidRDefault="00BE7CB1" w:rsidP="00F64BF9">
      <w:pPr>
        <w:keepNext/>
        <w:spacing w:line="240" w:lineRule="auto"/>
        <w:rPr>
          <w:b/>
          <w:bCs/>
          <w:szCs w:val="22"/>
        </w:rPr>
      </w:pPr>
      <w:r>
        <w:rPr>
          <w:b/>
        </w:rPr>
        <w:t>6.4</w:t>
      </w:r>
      <w:r w:rsidRPr="009B3447">
        <w:rPr>
          <w:b/>
          <w:bCs/>
          <w:szCs w:val="22"/>
        </w:rPr>
        <w:tab/>
      </w:r>
      <w:r>
        <w:rPr>
          <w:b/>
        </w:rPr>
        <w:t>Špeciálne upozornenia na uchovávanie</w:t>
      </w:r>
    </w:p>
    <w:p w14:paraId="0D20FD8D" w14:textId="77777777" w:rsidR="005108A3" w:rsidRPr="00F37D4D" w:rsidRDefault="005108A3" w:rsidP="00F64BF9">
      <w:pPr>
        <w:keepNext/>
        <w:spacing w:line="240" w:lineRule="auto"/>
      </w:pPr>
    </w:p>
    <w:p w14:paraId="45ABBFDF" w14:textId="77777777" w:rsidR="009C4600" w:rsidRPr="00F37D4D" w:rsidRDefault="00BE7CB1" w:rsidP="00F64BF9">
      <w:pPr>
        <w:spacing w:line="240" w:lineRule="auto"/>
        <w:rPr>
          <w:szCs w:val="22"/>
        </w:rPr>
      </w:pPr>
      <w:r>
        <w:t>Uchovávajte v chladničke (2 °C – 8 °C)</w:t>
      </w:r>
      <w:r w:rsidR="00480C5A">
        <w:t>.</w:t>
      </w:r>
    </w:p>
    <w:p w14:paraId="68ECA9F2" w14:textId="77777777" w:rsidR="009C4600" w:rsidRPr="00F37D4D" w:rsidRDefault="00BE7CB1" w:rsidP="00F64BF9">
      <w:pPr>
        <w:spacing w:line="240" w:lineRule="auto"/>
        <w:rPr>
          <w:szCs w:val="22"/>
        </w:rPr>
      </w:pPr>
      <w:r>
        <w:t>Neuchovávajte v mrazničke.</w:t>
      </w:r>
    </w:p>
    <w:p w14:paraId="5A40A43F" w14:textId="77777777" w:rsidR="009C4600" w:rsidRPr="00F37D4D" w:rsidRDefault="00BE7CB1" w:rsidP="00F64BF9">
      <w:pPr>
        <w:spacing w:line="240" w:lineRule="auto"/>
        <w:rPr>
          <w:szCs w:val="22"/>
        </w:rPr>
      </w:pPr>
      <w:r>
        <w:t>Injekčnú liekovku uchovávajte vo vonkajšom obale na ochranu pred svetlom.</w:t>
      </w:r>
    </w:p>
    <w:p w14:paraId="7CE9DDF9" w14:textId="77777777" w:rsidR="009C4600" w:rsidRPr="00F37D4D" w:rsidRDefault="009C4600" w:rsidP="00F64BF9">
      <w:pPr>
        <w:spacing w:line="240" w:lineRule="auto"/>
        <w:rPr>
          <w:szCs w:val="22"/>
        </w:rPr>
      </w:pPr>
    </w:p>
    <w:p w14:paraId="32F59889" w14:textId="704047F9" w:rsidR="009C4600" w:rsidRPr="00F37D4D" w:rsidRDefault="00BE7CB1" w:rsidP="00F64BF9">
      <w:pPr>
        <w:spacing w:line="240" w:lineRule="auto"/>
        <w:rPr>
          <w:i/>
          <w:szCs w:val="22"/>
        </w:rPr>
      </w:pPr>
      <w:r>
        <w:t>Podmienky na uchovávanie po zriedení lieku, pozri časť 6.3.</w:t>
      </w:r>
    </w:p>
    <w:p w14:paraId="12E99C02" w14:textId="77777777" w:rsidR="00812D16" w:rsidRPr="00F37D4D" w:rsidRDefault="00812D16" w:rsidP="00F64BF9">
      <w:pPr>
        <w:spacing w:line="240" w:lineRule="auto"/>
        <w:rPr>
          <w:szCs w:val="22"/>
        </w:rPr>
      </w:pPr>
    </w:p>
    <w:p w14:paraId="2712C335" w14:textId="77777777" w:rsidR="00812D16" w:rsidRPr="009B3447" w:rsidRDefault="00BE7CB1" w:rsidP="00F64BF9">
      <w:pPr>
        <w:keepNext/>
        <w:spacing w:line="240" w:lineRule="auto"/>
        <w:rPr>
          <w:b/>
          <w:bCs/>
          <w:szCs w:val="22"/>
        </w:rPr>
      </w:pPr>
      <w:r>
        <w:rPr>
          <w:b/>
        </w:rPr>
        <w:t>6.5</w:t>
      </w:r>
      <w:r w:rsidRPr="009B3447">
        <w:rPr>
          <w:b/>
          <w:bCs/>
          <w:szCs w:val="22"/>
        </w:rPr>
        <w:tab/>
      </w:r>
      <w:r>
        <w:rPr>
          <w:b/>
        </w:rPr>
        <w:t>Druh obalu a obsah balenia</w:t>
      </w:r>
    </w:p>
    <w:p w14:paraId="15D790DD" w14:textId="77777777" w:rsidR="00812D16" w:rsidRPr="00F37D4D" w:rsidRDefault="00812D16" w:rsidP="00F64BF9">
      <w:pPr>
        <w:keepNext/>
        <w:spacing w:line="240" w:lineRule="auto"/>
      </w:pPr>
    </w:p>
    <w:p w14:paraId="09DD2224" w14:textId="77777777" w:rsidR="009C4600" w:rsidRPr="00F37D4D" w:rsidRDefault="00BE7CB1" w:rsidP="00F64BF9">
      <w:pPr>
        <w:spacing w:line="240" w:lineRule="auto"/>
        <w:rPr>
          <w:rFonts w:eastAsia="SimSun"/>
          <w:szCs w:val="22"/>
        </w:rPr>
      </w:pPr>
      <w:r>
        <w:t>4 ml roztoku v injekčnej liekovke (sklo typu I) so zátkou (chlorobutylová guma) obsahuje 100 mg bevacizumabu.</w:t>
      </w:r>
    </w:p>
    <w:p w14:paraId="037366DE" w14:textId="77777777" w:rsidR="009C4600" w:rsidRPr="00F37D4D" w:rsidRDefault="00BE7CB1" w:rsidP="00F64BF9">
      <w:pPr>
        <w:spacing w:line="240" w:lineRule="auto"/>
        <w:rPr>
          <w:rFonts w:eastAsia="SimSun"/>
          <w:szCs w:val="22"/>
        </w:rPr>
      </w:pPr>
      <w:r>
        <w:t>16 ml roztoku v injekčnej liekovke (sklo typu I) so zátkou (chlorobutylová guma) obsahuje 400 mg bevacizumabu.</w:t>
      </w:r>
    </w:p>
    <w:p w14:paraId="7D3E176E" w14:textId="77777777" w:rsidR="009C4600" w:rsidRPr="00F37D4D" w:rsidRDefault="009C4600" w:rsidP="00F64BF9">
      <w:pPr>
        <w:spacing w:line="240" w:lineRule="auto"/>
        <w:rPr>
          <w:rFonts w:eastAsia="SimSun"/>
          <w:szCs w:val="22"/>
        </w:rPr>
      </w:pPr>
    </w:p>
    <w:p w14:paraId="5215CD6C" w14:textId="77777777" w:rsidR="009C4600" w:rsidRPr="00F37D4D" w:rsidRDefault="00BE7CB1" w:rsidP="00F64BF9">
      <w:pPr>
        <w:spacing w:line="240" w:lineRule="auto"/>
        <w:rPr>
          <w:szCs w:val="22"/>
        </w:rPr>
      </w:pPr>
      <w:r>
        <w:t>Balenie obsahuje 1 injekčnú liekovku.</w:t>
      </w:r>
    </w:p>
    <w:p w14:paraId="297688D2" w14:textId="77777777" w:rsidR="00812D16" w:rsidRPr="00F37D4D" w:rsidRDefault="00812D16" w:rsidP="00F64BF9">
      <w:pPr>
        <w:spacing w:line="240" w:lineRule="auto"/>
        <w:rPr>
          <w:szCs w:val="22"/>
        </w:rPr>
      </w:pPr>
    </w:p>
    <w:p w14:paraId="436B98EF" w14:textId="77777777" w:rsidR="00812D16" w:rsidRPr="009B3447" w:rsidRDefault="00BE7CB1" w:rsidP="00F64BF9">
      <w:pPr>
        <w:keepNext/>
        <w:spacing w:line="240" w:lineRule="auto"/>
        <w:rPr>
          <w:b/>
          <w:bCs/>
          <w:szCs w:val="22"/>
        </w:rPr>
      </w:pPr>
      <w:r>
        <w:rPr>
          <w:b/>
        </w:rPr>
        <w:t>6.6</w:t>
      </w:r>
      <w:r w:rsidRPr="009B3447">
        <w:rPr>
          <w:b/>
          <w:bCs/>
          <w:szCs w:val="22"/>
        </w:rPr>
        <w:tab/>
      </w:r>
      <w:r>
        <w:rPr>
          <w:b/>
        </w:rPr>
        <w:t>Špeciálne opatrenia na likvidáciu a iné zaobchádzanie s liekom</w:t>
      </w:r>
    </w:p>
    <w:p w14:paraId="11D6EEF4" w14:textId="7318FE54" w:rsidR="00812D16" w:rsidRDefault="00812D16" w:rsidP="00F64BF9">
      <w:pPr>
        <w:keepNext/>
        <w:spacing w:line="240" w:lineRule="auto"/>
        <w:rPr>
          <w:szCs w:val="22"/>
        </w:rPr>
      </w:pPr>
    </w:p>
    <w:p w14:paraId="20E1C618" w14:textId="514F00D0" w:rsidR="00C13D7B" w:rsidRDefault="00C13D7B" w:rsidP="00F64BF9">
      <w:pPr>
        <w:keepNext/>
        <w:spacing w:line="240" w:lineRule="auto"/>
        <w:rPr>
          <w:szCs w:val="22"/>
        </w:rPr>
      </w:pPr>
      <w:r>
        <w:rPr>
          <w:szCs w:val="22"/>
        </w:rPr>
        <w:t>Injekčnou liekovkou netraste.</w:t>
      </w:r>
    </w:p>
    <w:p w14:paraId="022AD1E2" w14:textId="77777777" w:rsidR="00C13D7B" w:rsidRPr="00F37D4D" w:rsidRDefault="00C13D7B" w:rsidP="00F64BF9">
      <w:pPr>
        <w:keepNext/>
        <w:spacing w:line="240" w:lineRule="auto"/>
        <w:rPr>
          <w:szCs w:val="22"/>
        </w:rPr>
      </w:pPr>
    </w:p>
    <w:p w14:paraId="7D99D037" w14:textId="2226C8FA" w:rsidR="009C4600" w:rsidRPr="00F37D4D" w:rsidRDefault="00BE7CB1" w:rsidP="00F64BF9">
      <w:pPr>
        <w:spacing w:line="240" w:lineRule="auto"/>
        <w:rPr>
          <w:szCs w:val="22"/>
        </w:rPr>
      </w:pPr>
      <w:r>
        <w:t>Alymsys musí pripravovať zdravotnícky pracovník pomocou aseptickej techniky, aby sa zabezpečila sterilita pripravovaného roztoku.</w:t>
      </w:r>
      <w:r w:rsidR="00CD10E7">
        <w:t xml:space="preserve"> </w:t>
      </w:r>
      <w:r w:rsidR="00CD10E7" w:rsidRPr="00CD10E7">
        <w:t>Na prípravu A</w:t>
      </w:r>
      <w:r w:rsidR="00CD10E7">
        <w:t>lymsysu</w:t>
      </w:r>
      <w:r w:rsidR="00CD10E7" w:rsidRPr="00CD10E7">
        <w:t xml:space="preserve"> sa má použiť sterilná ih</w:t>
      </w:r>
      <w:r w:rsidR="00CD10E7">
        <w:t>la a </w:t>
      </w:r>
      <w:r w:rsidR="00CD10E7" w:rsidRPr="00CD10E7">
        <w:t>injekčná striekačka.</w:t>
      </w:r>
    </w:p>
    <w:p w14:paraId="10D5DC6C" w14:textId="77777777" w:rsidR="009C4600" w:rsidRPr="00F37D4D" w:rsidRDefault="009C4600" w:rsidP="00F64BF9">
      <w:pPr>
        <w:spacing w:line="240" w:lineRule="auto"/>
        <w:rPr>
          <w:szCs w:val="22"/>
        </w:rPr>
      </w:pPr>
    </w:p>
    <w:p w14:paraId="7775DA3F" w14:textId="77777777" w:rsidR="009C4600" w:rsidRPr="00F37D4D" w:rsidRDefault="00BE7CB1" w:rsidP="00F64BF9">
      <w:pPr>
        <w:spacing w:line="240" w:lineRule="auto"/>
        <w:rPr>
          <w:szCs w:val="22"/>
        </w:rPr>
      </w:pPr>
      <w:r>
        <w:t xml:space="preserve">Potrebné množstvo bevacizumabu sa má odobrať a zriediť s injekčným roztokom chloridu sodného 9 mg/ml (0,9 %). Koncentrácia výsledného roztoku bevacizumabu sa musí pohybovať v rozmedzí 1,4 mg/ml až 16,5 mg/ml. Vo väčšine prípadov sa požadované množstvo Alymsysu riedi s injekčným roztokom 9 mg/ml (0,9 %) chloridu sodného na celkový objem 100 ml. </w:t>
      </w:r>
    </w:p>
    <w:p w14:paraId="7F4299DF" w14:textId="77777777" w:rsidR="00502937" w:rsidRPr="00F37D4D" w:rsidRDefault="00502937" w:rsidP="00F64BF9">
      <w:pPr>
        <w:spacing w:line="240" w:lineRule="auto"/>
        <w:rPr>
          <w:szCs w:val="22"/>
        </w:rPr>
      </w:pPr>
    </w:p>
    <w:p w14:paraId="3915EAEF" w14:textId="77777777" w:rsidR="00502937" w:rsidRPr="00F37D4D" w:rsidRDefault="00502937" w:rsidP="00F64BF9">
      <w:pPr>
        <w:spacing w:line="240" w:lineRule="auto"/>
        <w:rPr>
          <w:szCs w:val="22"/>
        </w:rPr>
      </w:pPr>
      <w:r>
        <w:t>Nepozorovali sa žiadne inkompatibility medzi Alymsysom a polyvinylchloridovými alebo polyolefínovými vreckami alebo infúznymi súpravami.</w:t>
      </w:r>
    </w:p>
    <w:p w14:paraId="18E2B475" w14:textId="77777777" w:rsidR="009C4600" w:rsidRPr="00F37D4D" w:rsidRDefault="009C4600" w:rsidP="00F64BF9">
      <w:pPr>
        <w:spacing w:line="240" w:lineRule="auto"/>
        <w:rPr>
          <w:szCs w:val="22"/>
        </w:rPr>
      </w:pPr>
    </w:p>
    <w:p w14:paraId="4C31B9FB" w14:textId="77777777" w:rsidR="009C4600" w:rsidRPr="00F37D4D" w:rsidRDefault="00BE7CB1" w:rsidP="00F64BF9">
      <w:pPr>
        <w:spacing w:line="240" w:lineRule="auto"/>
        <w:rPr>
          <w:szCs w:val="22"/>
        </w:rPr>
      </w:pPr>
      <w:r>
        <w:t xml:space="preserve">Parenterálne lieky sa majú pred podaním vizuálne skontrolovať, či neobsahujú pevné čiastočky alebo či nezmenili farbu. </w:t>
      </w:r>
    </w:p>
    <w:p w14:paraId="2AB8A4FB" w14:textId="77777777" w:rsidR="009C4600" w:rsidRPr="00F37D4D" w:rsidRDefault="009C4600" w:rsidP="00F64BF9">
      <w:pPr>
        <w:spacing w:line="240" w:lineRule="auto"/>
        <w:rPr>
          <w:szCs w:val="22"/>
        </w:rPr>
      </w:pPr>
    </w:p>
    <w:p w14:paraId="089E0003" w14:textId="77777777" w:rsidR="009C4600" w:rsidRPr="00F37D4D" w:rsidRDefault="00BE7CB1" w:rsidP="00F64BF9">
      <w:pPr>
        <w:spacing w:line="240" w:lineRule="auto"/>
        <w:rPr>
          <w:i/>
          <w:szCs w:val="22"/>
        </w:rPr>
      </w:pPr>
      <w:r>
        <w:t>Alymsys je iba na jednorazové použitie, pretože liek neobsahuje žiadne konzervačné látky. Všetok nepoužitý liek alebo odpad vzniknutý z lieku sa má zlikvidovať v súlade s národnými požiadavkami.</w:t>
      </w:r>
    </w:p>
    <w:p w14:paraId="307329DD" w14:textId="77777777" w:rsidR="00812D16" w:rsidRPr="00F37D4D" w:rsidRDefault="00812D16" w:rsidP="00F64BF9">
      <w:pPr>
        <w:spacing w:line="240" w:lineRule="auto"/>
      </w:pPr>
    </w:p>
    <w:p w14:paraId="4D19D4A8" w14:textId="77777777" w:rsidR="00812D16" w:rsidRPr="00F37D4D" w:rsidRDefault="00812D16" w:rsidP="00F64BF9">
      <w:pPr>
        <w:spacing w:line="240" w:lineRule="auto"/>
        <w:rPr>
          <w:szCs w:val="22"/>
        </w:rPr>
      </w:pPr>
    </w:p>
    <w:p w14:paraId="730014E8" w14:textId="77777777" w:rsidR="00812D16" w:rsidRPr="00F37D4D" w:rsidRDefault="00BE7CB1" w:rsidP="00F64BF9">
      <w:pPr>
        <w:keepNext/>
        <w:spacing w:line="240" w:lineRule="auto"/>
        <w:rPr>
          <w:szCs w:val="22"/>
        </w:rPr>
      </w:pPr>
      <w:r>
        <w:rPr>
          <w:b/>
        </w:rPr>
        <w:t>7.</w:t>
      </w:r>
      <w:r w:rsidRPr="009B3447">
        <w:rPr>
          <w:b/>
          <w:bCs/>
          <w:szCs w:val="22"/>
        </w:rPr>
        <w:tab/>
      </w:r>
      <w:r>
        <w:rPr>
          <w:b/>
        </w:rPr>
        <w:t>DRŽITEĽ ROZHODNUTIA O REGISTRÁCII</w:t>
      </w:r>
    </w:p>
    <w:p w14:paraId="652F0D5A" w14:textId="77777777" w:rsidR="009C4600" w:rsidRPr="00F37D4D" w:rsidRDefault="009C4600" w:rsidP="00F64BF9">
      <w:pPr>
        <w:keepNext/>
        <w:spacing w:line="240" w:lineRule="auto"/>
        <w:rPr>
          <w:szCs w:val="22"/>
        </w:rPr>
      </w:pPr>
    </w:p>
    <w:p w14:paraId="59202650" w14:textId="77777777" w:rsidR="005C10FD" w:rsidRPr="00F37D4D" w:rsidRDefault="00BE7CB1" w:rsidP="00F64BF9">
      <w:pPr>
        <w:spacing w:line="240" w:lineRule="auto"/>
        <w:rPr>
          <w:szCs w:val="22"/>
        </w:rPr>
      </w:pPr>
      <w:r>
        <w:t>Mabxience Research SL</w:t>
      </w:r>
    </w:p>
    <w:p w14:paraId="416AA520" w14:textId="2D94DAAF" w:rsidR="005C10FD" w:rsidRPr="00F37D4D" w:rsidRDefault="00BE7CB1" w:rsidP="00F64BF9">
      <w:pPr>
        <w:spacing w:line="240" w:lineRule="auto"/>
        <w:rPr>
          <w:szCs w:val="22"/>
        </w:rPr>
      </w:pPr>
      <w:r>
        <w:t>C/ Manuel Pombo Angulo 28</w:t>
      </w:r>
    </w:p>
    <w:p w14:paraId="334DA334" w14:textId="77777777" w:rsidR="00812D16" w:rsidRPr="00F37D4D" w:rsidRDefault="00BE7CB1" w:rsidP="00F64BF9">
      <w:pPr>
        <w:spacing w:line="240" w:lineRule="auto"/>
        <w:rPr>
          <w:szCs w:val="22"/>
        </w:rPr>
      </w:pPr>
      <w:r>
        <w:t>28050 Madrid</w:t>
      </w:r>
    </w:p>
    <w:p w14:paraId="447ACEEB" w14:textId="77777777" w:rsidR="005C10FD" w:rsidRPr="00F37D4D" w:rsidRDefault="00BE7CB1" w:rsidP="00F64BF9">
      <w:pPr>
        <w:spacing w:line="240" w:lineRule="auto"/>
        <w:rPr>
          <w:szCs w:val="22"/>
        </w:rPr>
      </w:pPr>
      <w:r>
        <w:t>Španielsko</w:t>
      </w:r>
    </w:p>
    <w:p w14:paraId="3660DCB9" w14:textId="77777777" w:rsidR="00812D16" w:rsidRPr="00F37D4D" w:rsidRDefault="00812D16" w:rsidP="00F64BF9">
      <w:pPr>
        <w:spacing w:line="240" w:lineRule="auto"/>
        <w:rPr>
          <w:szCs w:val="22"/>
        </w:rPr>
      </w:pPr>
    </w:p>
    <w:p w14:paraId="3D006665" w14:textId="77777777" w:rsidR="00376E05" w:rsidRPr="00F37D4D" w:rsidRDefault="00376E05" w:rsidP="00F64BF9">
      <w:pPr>
        <w:spacing w:line="240" w:lineRule="auto"/>
      </w:pPr>
    </w:p>
    <w:p w14:paraId="53650B94" w14:textId="77777777" w:rsidR="00812D16" w:rsidRPr="009B3447" w:rsidRDefault="00BE7CB1" w:rsidP="00F64BF9">
      <w:pPr>
        <w:keepNext/>
        <w:spacing w:line="240" w:lineRule="auto"/>
        <w:rPr>
          <w:b/>
          <w:bCs/>
          <w:szCs w:val="22"/>
        </w:rPr>
      </w:pPr>
      <w:r>
        <w:rPr>
          <w:b/>
        </w:rPr>
        <w:lastRenderedPageBreak/>
        <w:t>8.</w:t>
      </w:r>
      <w:r w:rsidRPr="009B3447">
        <w:rPr>
          <w:b/>
          <w:bCs/>
          <w:szCs w:val="22"/>
        </w:rPr>
        <w:tab/>
      </w:r>
      <w:r>
        <w:rPr>
          <w:b/>
        </w:rPr>
        <w:t>REGISTRAČNÉ ČÍSLO (ČÍSLA)</w:t>
      </w:r>
    </w:p>
    <w:p w14:paraId="667A1344" w14:textId="77777777" w:rsidR="00812D16" w:rsidRPr="00F37D4D" w:rsidRDefault="00812D16" w:rsidP="00F64BF9">
      <w:pPr>
        <w:keepNext/>
        <w:spacing w:line="240" w:lineRule="auto"/>
        <w:rPr>
          <w:szCs w:val="22"/>
        </w:rPr>
      </w:pPr>
    </w:p>
    <w:p w14:paraId="7442041F" w14:textId="3123A81D" w:rsidR="00E874AB" w:rsidRPr="00E874AB" w:rsidRDefault="00E874AB" w:rsidP="00E874AB">
      <w:pPr>
        <w:spacing w:line="240" w:lineRule="auto"/>
        <w:rPr>
          <w:szCs w:val="22"/>
        </w:rPr>
      </w:pPr>
      <w:r w:rsidRPr="00E874AB">
        <w:rPr>
          <w:szCs w:val="22"/>
        </w:rPr>
        <w:t>EU/1/20/1509/001</w:t>
      </w:r>
      <w:bookmarkStart w:id="9" w:name="_Hlk64915714"/>
      <w:r w:rsidR="00C01FA5" w:rsidRPr="00D13473">
        <w:rPr>
          <w:szCs w:val="22"/>
          <w:lang w:val="nl-NL"/>
        </w:rPr>
        <w:t xml:space="preserve"> – 100 mg/4 ml</w:t>
      </w:r>
      <w:bookmarkEnd w:id="9"/>
    </w:p>
    <w:p w14:paraId="23A51319" w14:textId="76CFFF48" w:rsidR="00376E05" w:rsidRDefault="00E874AB" w:rsidP="00E874AB">
      <w:pPr>
        <w:spacing w:line="240" w:lineRule="auto"/>
        <w:rPr>
          <w:szCs w:val="22"/>
        </w:rPr>
      </w:pPr>
      <w:r w:rsidRPr="00E874AB">
        <w:rPr>
          <w:szCs w:val="22"/>
        </w:rPr>
        <w:t>EU/1/20/1509/002</w:t>
      </w:r>
      <w:bookmarkStart w:id="10" w:name="_Hlk64915743"/>
      <w:r w:rsidR="00C01FA5" w:rsidRPr="00D13473">
        <w:rPr>
          <w:szCs w:val="22"/>
          <w:lang w:val="nl-NL"/>
        </w:rPr>
        <w:t xml:space="preserve"> </w:t>
      </w:r>
      <w:r w:rsidR="00C01FA5">
        <w:rPr>
          <w:szCs w:val="22"/>
        </w:rPr>
        <w:t>– 400 mg/16 ml</w:t>
      </w:r>
      <w:bookmarkEnd w:id="10"/>
    </w:p>
    <w:p w14:paraId="0EDA670C" w14:textId="77777777" w:rsidR="00E874AB" w:rsidRDefault="00E874AB" w:rsidP="00E874AB">
      <w:pPr>
        <w:spacing w:line="240" w:lineRule="auto"/>
        <w:rPr>
          <w:szCs w:val="22"/>
        </w:rPr>
      </w:pPr>
    </w:p>
    <w:p w14:paraId="6BAFFD57" w14:textId="77777777" w:rsidR="00E874AB" w:rsidRPr="00F37D4D" w:rsidRDefault="00E874AB" w:rsidP="00E874AB">
      <w:pPr>
        <w:spacing w:line="240" w:lineRule="auto"/>
        <w:rPr>
          <w:szCs w:val="22"/>
        </w:rPr>
      </w:pPr>
    </w:p>
    <w:p w14:paraId="5996E578" w14:textId="77777777" w:rsidR="00812D16" w:rsidRPr="009B3447" w:rsidRDefault="00BE7CB1" w:rsidP="00F64BF9">
      <w:pPr>
        <w:keepNext/>
        <w:spacing w:line="240" w:lineRule="auto"/>
        <w:rPr>
          <w:b/>
          <w:bCs/>
          <w:szCs w:val="22"/>
        </w:rPr>
      </w:pPr>
      <w:r>
        <w:rPr>
          <w:b/>
        </w:rPr>
        <w:t>9.</w:t>
      </w:r>
      <w:r w:rsidRPr="009B3447">
        <w:rPr>
          <w:b/>
          <w:bCs/>
          <w:szCs w:val="22"/>
        </w:rPr>
        <w:tab/>
      </w:r>
      <w:r>
        <w:rPr>
          <w:b/>
        </w:rPr>
        <w:t xml:space="preserve">DÁTUM PRVEJ REGISTRÁCIE/PREDĹŽENIA REGISTRÁCIE </w:t>
      </w:r>
    </w:p>
    <w:p w14:paraId="0CEE17F8" w14:textId="77777777" w:rsidR="00812D16" w:rsidRDefault="00812D16" w:rsidP="00F64BF9">
      <w:pPr>
        <w:keepNext/>
        <w:spacing w:line="240" w:lineRule="auto"/>
      </w:pPr>
    </w:p>
    <w:p w14:paraId="44F8E0FB" w14:textId="1AD5D9D3" w:rsidR="00CD10E7" w:rsidRDefault="00CD10E7" w:rsidP="00F64BF9">
      <w:pPr>
        <w:keepNext/>
        <w:spacing w:line="240" w:lineRule="auto"/>
        <w:rPr>
          <w:ins w:id="11" w:author="Author"/>
        </w:rPr>
      </w:pPr>
      <w:r w:rsidRPr="00CD10E7">
        <w:t>Dátum prvej registrácie:</w:t>
      </w:r>
      <w:r>
        <w:t xml:space="preserve"> 26. marca 2021</w:t>
      </w:r>
    </w:p>
    <w:p w14:paraId="3228A8FA" w14:textId="2B51F157" w:rsidR="00DC2EBD" w:rsidRDefault="00DC2EBD" w:rsidP="00F64BF9">
      <w:pPr>
        <w:keepNext/>
        <w:spacing w:line="240" w:lineRule="auto"/>
      </w:pPr>
      <w:ins w:id="12" w:author="Author">
        <w:r w:rsidRPr="00DC2EBD">
          <w:t>Dátum posledného predĺženia registrácie:</w:t>
        </w:r>
        <w:r>
          <w:t xml:space="preserve"> </w:t>
        </w:r>
        <w:r w:rsidRPr="00DC2EBD">
          <w:t>1</w:t>
        </w:r>
        <w:r>
          <w:t>9</w:t>
        </w:r>
        <w:r w:rsidRPr="00DC2EBD">
          <w:t>. januára 20</w:t>
        </w:r>
        <w:r>
          <w:t>26</w:t>
        </w:r>
      </w:ins>
    </w:p>
    <w:p w14:paraId="4300EA28" w14:textId="77777777" w:rsidR="00955010" w:rsidRPr="009B3447" w:rsidRDefault="00955010" w:rsidP="00F64BF9">
      <w:pPr>
        <w:keepNext/>
        <w:spacing w:line="240" w:lineRule="auto"/>
      </w:pPr>
    </w:p>
    <w:p w14:paraId="251A43BC" w14:textId="77777777" w:rsidR="00812D16" w:rsidRPr="009B3447" w:rsidRDefault="00812D16" w:rsidP="00F64BF9">
      <w:pPr>
        <w:spacing w:line="240" w:lineRule="auto"/>
      </w:pPr>
    </w:p>
    <w:p w14:paraId="7BA55770" w14:textId="77777777" w:rsidR="00812D16" w:rsidRPr="009B3447" w:rsidRDefault="00BE7CB1" w:rsidP="00F64BF9">
      <w:pPr>
        <w:keepNext/>
        <w:spacing w:line="240" w:lineRule="auto"/>
        <w:rPr>
          <w:b/>
          <w:bCs/>
          <w:szCs w:val="22"/>
        </w:rPr>
      </w:pPr>
      <w:r>
        <w:rPr>
          <w:b/>
        </w:rPr>
        <w:t>10.</w:t>
      </w:r>
      <w:r w:rsidRPr="009B3447">
        <w:rPr>
          <w:b/>
          <w:bCs/>
          <w:szCs w:val="22"/>
        </w:rPr>
        <w:tab/>
      </w:r>
      <w:r>
        <w:rPr>
          <w:b/>
        </w:rPr>
        <w:t xml:space="preserve">DÁTUM REVÍZIE TEXTU </w:t>
      </w:r>
    </w:p>
    <w:p w14:paraId="11186338" w14:textId="77777777" w:rsidR="00812D16" w:rsidRPr="009B3447" w:rsidRDefault="00812D16" w:rsidP="00F64BF9">
      <w:pPr>
        <w:keepNext/>
        <w:spacing w:line="240" w:lineRule="auto"/>
      </w:pPr>
    </w:p>
    <w:p w14:paraId="6FA314D0" w14:textId="77777777" w:rsidR="00502937" w:rsidRDefault="00BE7CB1" w:rsidP="00F64BF9">
      <w:pPr>
        <w:spacing w:line="240" w:lineRule="auto"/>
      </w:pPr>
      <w:r>
        <w:t xml:space="preserve">Podrobné informácie o tomto lieku sú dostupné na internetovej stránke Európskej agentúry pre lieky (EMA) </w:t>
      </w:r>
      <w:hyperlink r:id="rId10" w:history="1">
        <w:r>
          <w:rPr>
            <w:rStyle w:val="Hyperlink"/>
          </w:rPr>
          <w:t>http://www.ema.europa.eu</w:t>
        </w:r>
      </w:hyperlink>
      <w:r>
        <w:t>.</w:t>
      </w:r>
      <w:r w:rsidR="00502937">
        <w:br w:type="page"/>
      </w:r>
    </w:p>
    <w:p w14:paraId="5E62559D" w14:textId="77777777" w:rsidR="00502937" w:rsidRPr="00B3208E" w:rsidRDefault="00502937" w:rsidP="00F64BF9">
      <w:pPr>
        <w:spacing w:line="240" w:lineRule="auto"/>
        <w:jc w:val="center"/>
        <w:rPr>
          <w:szCs w:val="22"/>
        </w:rPr>
      </w:pPr>
    </w:p>
    <w:p w14:paraId="7D7B5128" w14:textId="77777777" w:rsidR="00502937" w:rsidRPr="008929AA" w:rsidRDefault="00502937" w:rsidP="00F64BF9">
      <w:pPr>
        <w:spacing w:line="240" w:lineRule="auto"/>
        <w:jc w:val="center"/>
        <w:rPr>
          <w:szCs w:val="22"/>
        </w:rPr>
      </w:pPr>
    </w:p>
    <w:p w14:paraId="7EE565A9" w14:textId="77777777" w:rsidR="00502937" w:rsidRPr="008929AA" w:rsidRDefault="00502937" w:rsidP="00F64BF9">
      <w:pPr>
        <w:spacing w:line="240" w:lineRule="auto"/>
        <w:jc w:val="center"/>
        <w:rPr>
          <w:szCs w:val="22"/>
        </w:rPr>
      </w:pPr>
    </w:p>
    <w:p w14:paraId="417A0798" w14:textId="77777777" w:rsidR="00502937" w:rsidRPr="008929AA" w:rsidRDefault="00502937" w:rsidP="00F64BF9">
      <w:pPr>
        <w:spacing w:line="240" w:lineRule="auto"/>
        <w:jc w:val="center"/>
        <w:rPr>
          <w:szCs w:val="22"/>
        </w:rPr>
      </w:pPr>
    </w:p>
    <w:p w14:paraId="01822E29" w14:textId="77777777" w:rsidR="00502937" w:rsidRPr="008929AA" w:rsidRDefault="00502937" w:rsidP="00F64BF9">
      <w:pPr>
        <w:spacing w:line="240" w:lineRule="auto"/>
        <w:jc w:val="center"/>
        <w:rPr>
          <w:szCs w:val="22"/>
        </w:rPr>
      </w:pPr>
    </w:p>
    <w:p w14:paraId="7A31897F" w14:textId="77777777" w:rsidR="00502937" w:rsidRPr="008929AA" w:rsidRDefault="00502937" w:rsidP="00F64BF9">
      <w:pPr>
        <w:spacing w:line="240" w:lineRule="auto"/>
        <w:jc w:val="center"/>
        <w:rPr>
          <w:szCs w:val="22"/>
        </w:rPr>
      </w:pPr>
    </w:p>
    <w:p w14:paraId="5974CC97" w14:textId="77777777" w:rsidR="00502937" w:rsidRPr="008929AA" w:rsidRDefault="00502937" w:rsidP="00F64BF9">
      <w:pPr>
        <w:spacing w:line="240" w:lineRule="auto"/>
        <w:jc w:val="center"/>
        <w:rPr>
          <w:szCs w:val="22"/>
        </w:rPr>
      </w:pPr>
    </w:p>
    <w:p w14:paraId="70D9A12F" w14:textId="77777777" w:rsidR="00502937" w:rsidRPr="008929AA" w:rsidRDefault="00502937" w:rsidP="00F64BF9">
      <w:pPr>
        <w:spacing w:line="240" w:lineRule="auto"/>
        <w:jc w:val="center"/>
        <w:rPr>
          <w:szCs w:val="22"/>
        </w:rPr>
      </w:pPr>
    </w:p>
    <w:p w14:paraId="68096A3A" w14:textId="77777777" w:rsidR="00502937" w:rsidRPr="008929AA" w:rsidRDefault="00502937" w:rsidP="00F64BF9">
      <w:pPr>
        <w:spacing w:line="240" w:lineRule="auto"/>
        <w:jc w:val="center"/>
        <w:rPr>
          <w:szCs w:val="22"/>
        </w:rPr>
      </w:pPr>
    </w:p>
    <w:p w14:paraId="4C3D3179" w14:textId="77777777" w:rsidR="00502937" w:rsidRPr="008929AA" w:rsidRDefault="00502937" w:rsidP="00F64BF9">
      <w:pPr>
        <w:spacing w:line="240" w:lineRule="auto"/>
        <w:jc w:val="center"/>
        <w:rPr>
          <w:szCs w:val="22"/>
        </w:rPr>
      </w:pPr>
    </w:p>
    <w:p w14:paraId="629FD934" w14:textId="77777777" w:rsidR="00502937" w:rsidRPr="008929AA" w:rsidRDefault="00502937" w:rsidP="00F64BF9">
      <w:pPr>
        <w:spacing w:line="240" w:lineRule="auto"/>
        <w:jc w:val="center"/>
        <w:rPr>
          <w:szCs w:val="22"/>
        </w:rPr>
      </w:pPr>
    </w:p>
    <w:p w14:paraId="295C8F76" w14:textId="77777777" w:rsidR="00502937" w:rsidRPr="008929AA" w:rsidRDefault="00502937" w:rsidP="00F64BF9">
      <w:pPr>
        <w:spacing w:line="240" w:lineRule="auto"/>
        <w:jc w:val="center"/>
        <w:rPr>
          <w:szCs w:val="22"/>
        </w:rPr>
      </w:pPr>
    </w:p>
    <w:p w14:paraId="5EF86719" w14:textId="77777777" w:rsidR="00502937" w:rsidRPr="008929AA" w:rsidRDefault="00502937" w:rsidP="00F64BF9">
      <w:pPr>
        <w:spacing w:line="240" w:lineRule="auto"/>
        <w:jc w:val="center"/>
        <w:rPr>
          <w:szCs w:val="22"/>
        </w:rPr>
      </w:pPr>
    </w:p>
    <w:p w14:paraId="7A9823FD" w14:textId="77777777" w:rsidR="00502937" w:rsidRPr="008929AA" w:rsidRDefault="00502937" w:rsidP="00F64BF9">
      <w:pPr>
        <w:spacing w:line="240" w:lineRule="auto"/>
        <w:jc w:val="center"/>
        <w:rPr>
          <w:szCs w:val="22"/>
        </w:rPr>
      </w:pPr>
    </w:p>
    <w:p w14:paraId="39A98F0E" w14:textId="77777777" w:rsidR="00502937" w:rsidRPr="008929AA" w:rsidRDefault="00502937" w:rsidP="00F64BF9">
      <w:pPr>
        <w:spacing w:line="240" w:lineRule="auto"/>
        <w:jc w:val="center"/>
        <w:rPr>
          <w:szCs w:val="22"/>
        </w:rPr>
      </w:pPr>
    </w:p>
    <w:p w14:paraId="38E1E686" w14:textId="77777777" w:rsidR="00502937" w:rsidRPr="008929AA" w:rsidRDefault="00502937" w:rsidP="00F64BF9">
      <w:pPr>
        <w:spacing w:line="240" w:lineRule="auto"/>
        <w:jc w:val="center"/>
        <w:rPr>
          <w:szCs w:val="22"/>
        </w:rPr>
      </w:pPr>
    </w:p>
    <w:p w14:paraId="4D5585BC" w14:textId="77777777" w:rsidR="00502937" w:rsidRPr="008929AA" w:rsidRDefault="00502937" w:rsidP="00F64BF9">
      <w:pPr>
        <w:spacing w:line="240" w:lineRule="auto"/>
        <w:jc w:val="center"/>
        <w:rPr>
          <w:szCs w:val="22"/>
        </w:rPr>
      </w:pPr>
    </w:p>
    <w:p w14:paraId="64F85C14" w14:textId="77777777" w:rsidR="00502937" w:rsidRPr="008929AA" w:rsidRDefault="00502937" w:rsidP="00F64BF9">
      <w:pPr>
        <w:spacing w:line="240" w:lineRule="auto"/>
        <w:jc w:val="center"/>
        <w:rPr>
          <w:szCs w:val="22"/>
        </w:rPr>
      </w:pPr>
    </w:p>
    <w:p w14:paraId="26F162DA" w14:textId="77777777" w:rsidR="00502937" w:rsidRPr="008929AA" w:rsidRDefault="00502937" w:rsidP="00F64BF9">
      <w:pPr>
        <w:spacing w:line="240" w:lineRule="auto"/>
        <w:jc w:val="center"/>
        <w:rPr>
          <w:szCs w:val="22"/>
        </w:rPr>
      </w:pPr>
    </w:p>
    <w:p w14:paraId="156A1B24" w14:textId="77777777" w:rsidR="00502937" w:rsidRPr="008929AA" w:rsidRDefault="00502937" w:rsidP="00F64BF9">
      <w:pPr>
        <w:spacing w:line="240" w:lineRule="auto"/>
        <w:jc w:val="center"/>
        <w:rPr>
          <w:szCs w:val="22"/>
        </w:rPr>
      </w:pPr>
    </w:p>
    <w:p w14:paraId="229FF4AB" w14:textId="77777777" w:rsidR="00502937" w:rsidRPr="008929AA" w:rsidRDefault="00502937" w:rsidP="00F64BF9">
      <w:pPr>
        <w:spacing w:line="240" w:lineRule="auto"/>
        <w:jc w:val="center"/>
        <w:rPr>
          <w:szCs w:val="22"/>
        </w:rPr>
      </w:pPr>
    </w:p>
    <w:p w14:paraId="6D7A0DA0" w14:textId="77777777" w:rsidR="00502937" w:rsidRDefault="00502937" w:rsidP="00F64BF9">
      <w:pPr>
        <w:spacing w:line="240" w:lineRule="auto"/>
        <w:jc w:val="center"/>
        <w:rPr>
          <w:szCs w:val="22"/>
        </w:rPr>
      </w:pPr>
    </w:p>
    <w:p w14:paraId="7E69943B" w14:textId="77777777" w:rsidR="00B325AE" w:rsidRPr="008929AA" w:rsidRDefault="00B325AE" w:rsidP="00F64BF9">
      <w:pPr>
        <w:spacing w:line="240" w:lineRule="auto"/>
        <w:jc w:val="center"/>
        <w:rPr>
          <w:szCs w:val="22"/>
        </w:rPr>
      </w:pPr>
    </w:p>
    <w:p w14:paraId="336884DC" w14:textId="77777777" w:rsidR="00376E05" w:rsidRDefault="00BE7CB1" w:rsidP="00F64BF9">
      <w:pPr>
        <w:spacing w:line="240" w:lineRule="auto"/>
        <w:jc w:val="center"/>
        <w:rPr>
          <w:b/>
        </w:rPr>
      </w:pPr>
      <w:r>
        <w:rPr>
          <w:b/>
        </w:rPr>
        <w:t>PRÍLOHA II</w:t>
      </w:r>
    </w:p>
    <w:p w14:paraId="4BBDB547" w14:textId="77777777" w:rsidR="00480C5A" w:rsidRPr="00F37D4D" w:rsidRDefault="00480C5A" w:rsidP="00F64BF9">
      <w:pPr>
        <w:spacing w:line="240" w:lineRule="auto"/>
        <w:jc w:val="center"/>
        <w:rPr>
          <w:b/>
          <w:bCs/>
          <w:szCs w:val="22"/>
        </w:rPr>
      </w:pPr>
    </w:p>
    <w:p w14:paraId="47E037F7" w14:textId="77777777" w:rsidR="00376E05" w:rsidRPr="00F37D4D" w:rsidRDefault="00BE7CB1" w:rsidP="0033150F">
      <w:pPr>
        <w:pStyle w:val="ListParagraph"/>
        <w:numPr>
          <w:ilvl w:val="0"/>
          <w:numId w:val="5"/>
        </w:numPr>
        <w:tabs>
          <w:tab w:val="left" w:pos="567"/>
        </w:tabs>
        <w:ind w:left="567" w:hanging="567"/>
        <w:rPr>
          <w:b/>
        </w:rPr>
      </w:pPr>
      <w:r>
        <w:rPr>
          <w:b/>
        </w:rPr>
        <w:t>VÝROBCA BIOLOGICKÉHO LIEČIVA A VÝROBCA ZODPOVEDNÝ ZA UVOĽNENIE ŠARŽE</w:t>
      </w:r>
    </w:p>
    <w:p w14:paraId="7FCFCA08" w14:textId="77777777" w:rsidR="00376E05" w:rsidRPr="00F37D4D" w:rsidRDefault="00376E05" w:rsidP="00F64BF9">
      <w:pPr>
        <w:pStyle w:val="ListParagraph"/>
        <w:tabs>
          <w:tab w:val="left" w:pos="567"/>
        </w:tabs>
        <w:ind w:left="567"/>
        <w:rPr>
          <w:b/>
        </w:rPr>
      </w:pPr>
    </w:p>
    <w:p w14:paraId="618683CC" w14:textId="77777777" w:rsidR="00376E05" w:rsidRPr="00F37D4D" w:rsidRDefault="00BE7CB1" w:rsidP="0033150F">
      <w:pPr>
        <w:pStyle w:val="ListParagraph"/>
        <w:numPr>
          <w:ilvl w:val="0"/>
          <w:numId w:val="5"/>
        </w:numPr>
        <w:tabs>
          <w:tab w:val="left" w:pos="567"/>
        </w:tabs>
        <w:ind w:left="567" w:hanging="567"/>
        <w:rPr>
          <w:b/>
        </w:rPr>
      </w:pPr>
      <w:r>
        <w:rPr>
          <w:b/>
        </w:rPr>
        <w:t>PODMIENKY ALEBO OBMEDZENIA TÝKAJÚCE SA VÝDAJA A POUŽITIA</w:t>
      </w:r>
    </w:p>
    <w:p w14:paraId="007B22B9" w14:textId="77777777" w:rsidR="00376E05" w:rsidRPr="00F37D4D" w:rsidRDefault="00376E05" w:rsidP="00F64BF9">
      <w:pPr>
        <w:spacing w:line="240" w:lineRule="auto"/>
        <w:ind w:left="567" w:hanging="567"/>
        <w:rPr>
          <w:b/>
        </w:rPr>
      </w:pPr>
    </w:p>
    <w:p w14:paraId="0EEFBF1E" w14:textId="77777777" w:rsidR="00376E05" w:rsidRPr="00F37D4D" w:rsidRDefault="00BE7CB1" w:rsidP="0033150F">
      <w:pPr>
        <w:pStyle w:val="ListParagraph"/>
        <w:numPr>
          <w:ilvl w:val="0"/>
          <w:numId w:val="5"/>
        </w:numPr>
        <w:tabs>
          <w:tab w:val="left" w:pos="567"/>
        </w:tabs>
        <w:ind w:left="567" w:hanging="567"/>
        <w:rPr>
          <w:b/>
        </w:rPr>
      </w:pPr>
      <w:r>
        <w:rPr>
          <w:b/>
        </w:rPr>
        <w:t>ĎALŠIE PODMIENKY A POŽIADAVKY REGISTRÁCIE</w:t>
      </w:r>
    </w:p>
    <w:p w14:paraId="1E83A650" w14:textId="77777777" w:rsidR="00376E05" w:rsidRPr="00F37D4D" w:rsidRDefault="00376E05" w:rsidP="00F64BF9">
      <w:pPr>
        <w:spacing w:line="240" w:lineRule="auto"/>
        <w:ind w:left="567" w:hanging="567"/>
        <w:rPr>
          <w:b/>
        </w:rPr>
      </w:pPr>
    </w:p>
    <w:p w14:paraId="3B9003D2" w14:textId="77777777" w:rsidR="00502937" w:rsidRDefault="00BE7CB1" w:rsidP="0033150F">
      <w:pPr>
        <w:pStyle w:val="ListParagraph"/>
        <w:numPr>
          <w:ilvl w:val="0"/>
          <w:numId w:val="5"/>
        </w:numPr>
        <w:tabs>
          <w:tab w:val="left" w:pos="567"/>
        </w:tabs>
        <w:ind w:left="567" w:hanging="567"/>
        <w:rPr>
          <w:b/>
        </w:rPr>
      </w:pPr>
      <w:r>
        <w:rPr>
          <w:b/>
        </w:rPr>
        <w:t>PODMIENKY ALEBO OBMEDZENIA TÝKAJÚCE SA BEZPEČNÉHO A ÚČINNÉHO POUŽÍVANIA LIEKU</w:t>
      </w:r>
      <w:r w:rsidR="00502937">
        <w:rPr>
          <w:b/>
        </w:rPr>
        <w:br w:type="page"/>
      </w:r>
    </w:p>
    <w:p w14:paraId="1EEF6CB1" w14:textId="77777777" w:rsidR="00376E05" w:rsidRPr="00F37D4D" w:rsidRDefault="00BE7CB1" w:rsidP="0033150F">
      <w:pPr>
        <w:pStyle w:val="ListParagraph"/>
        <w:numPr>
          <w:ilvl w:val="0"/>
          <w:numId w:val="4"/>
        </w:numPr>
        <w:ind w:left="567" w:hanging="567"/>
        <w:outlineLvl w:val="0"/>
        <w:rPr>
          <w:b/>
        </w:rPr>
      </w:pPr>
      <w:r>
        <w:rPr>
          <w:b/>
        </w:rPr>
        <w:lastRenderedPageBreak/>
        <w:t>VÝROBCA BIOLOGICKÉHO LIEČIVA A VÝROBCA ZODPOVEDNÝ ZA UVOĽNENIE ŠARŽE</w:t>
      </w:r>
    </w:p>
    <w:p w14:paraId="6229728E" w14:textId="77777777" w:rsidR="00376E05" w:rsidRPr="00F37D4D" w:rsidRDefault="00376E05" w:rsidP="00F64BF9">
      <w:pPr>
        <w:spacing w:line="240" w:lineRule="auto"/>
        <w:ind w:left="567" w:hanging="567"/>
        <w:rPr>
          <w:szCs w:val="22"/>
        </w:rPr>
      </w:pPr>
    </w:p>
    <w:p w14:paraId="6B1C8A86" w14:textId="77777777" w:rsidR="00AE3F7B" w:rsidRPr="00F37D4D" w:rsidRDefault="00BE7CB1" w:rsidP="00F64BF9">
      <w:pPr>
        <w:spacing w:line="240" w:lineRule="auto"/>
        <w:rPr>
          <w:u w:val="single"/>
        </w:rPr>
      </w:pPr>
      <w:r>
        <w:rPr>
          <w:u w:val="single"/>
        </w:rPr>
        <w:t>Názov a adresa výrobcu biologického liečiva</w:t>
      </w:r>
    </w:p>
    <w:p w14:paraId="40FB27D2" w14:textId="77777777" w:rsidR="00AE3F7B" w:rsidRPr="00F37D4D" w:rsidRDefault="00AE3F7B" w:rsidP="00F64BF9">
      <w:pPr>
        <w:spacing w:line="240" w:lineRule="auto"/>
        <w:ind w:right="1416"/>
        <w:rPr>
          <w:szCs w:val="22"/>
        </w:rPr>
      </w:pPr>
    </w:p>
    <w:p w14:paraId="7E3387EA" w14:textId="77777777" w:rsidR="00AE3F7B" w:rsidRPr="005973AB" w:rsidRDefault="00BE7CB1" w:rsidP="00F64BF9">
      <w:pPr>
        <w:tabs>
          <w:tab w:val="clear" w:pos="567"/>
          <w:tab w:val="left" w:pos="900"/>
          <w:tab w:val="left" w:pos="990"/>
        </w:tabs>
        <w:spacing w:line="240" w:lineRule="auto"/>
      </w:pPr>
      <w:r>
        <w:t>GH GENHELIX S.A.</w:t>
      </w:r>
    </w:p>
    <w:p w14:paraId="19F21A0A" w14:textId="77777777" w:rsidR="003749BC" w:rsidRPr="005973AB" w:rsidRDefault="00BE7CB1" w:rsidP="00F64BF9">
      <w:pPr>
        <w:tabs>
          <w:tab w:val="clear" w:pos="567"/>
          <w:tab w:val="left" w:pos="900"/>
          <w:tab w:val="left" w:pos="990"/>
        </w:tabs>
        <w:spacing w:line="240" w:lineRule="auto"/>
      </w:pPr>
      <w:r>
        <w:t>Parque Tecnológico de León</w:t>
      </w:r>
    </w:p>
    <w:p w14:paraId="77DDB930" w14:textId="77777777" w:rsidR="003749BC" w:rsidRPr="005973AB" w:rsidRDefault="00BE7CB1" w:rsidP="00F64BF9">
      <w:pPr>
        <w:tabs>
          <w:tab w:val="clear" w:pos="567"/>
          <w:tab w:val="left" w:pos="900"/>
          <w:tab w:val="left" w:pos="990"/>
        </w:tabs>
        <w:spacing w:line="240" w:lineRule="auto"/>
      </w:pPr>
      <w:r>
        <w:t>Edifício GENHELIX</w:t>
      </w:r>
    </w:p>
    <w:p w14:paraId="10165230" w14:textId="77777777" w:rsidR="003749BC" w:rsidRPr="005973AB" w:rsidRDefault="00BE7CB1" w:rsidP="00F64BF9">
      <w:pPr>
        <w:tabs>
          <w:tab w:val="clear" w:pos="567"/>
          <w:tab w:val="left" w:pos="900"/>
          <w:tab w:val="left" w:pos="990"/>
        </w:tabs>
        <w:spacing w:line="240" w:lineRule="auto"/>
      </w:pPr>
      <w:r>
        <w:t>C/Julia Morros, s/n</w:t>
      </w:r>
    </w:p>
    <w:p w14:paraId="435BB6B5" w14:textId="77777777" w:rsidR="00AE3F7B" w:rsidRPr="00F37D4D" w:rsidRDefault="00BE7CB1" w:rsidP="00F64BF9">
      <w:pPr>
        <w:tabs>
          <w:tab w:val="clear" w:pos="567"/>
          <w:tab w:val="left" w:pos="900"/>
          <w:tab w:val="left" w:pos="990"/>
        </w:tabs>
        <w:spacing w:line="240" w:lineRule="auto"/>
      </w:pPr>
      <w:r>
        <w:t>Armunia, 24009 León, Španielsko</w:t>
      </w:r>
    </w:p>
    <w:p w14:paraId="68AC2351" w14:textId="77777777" w:rsidR="00747F52" w:rsidRDefault="00747F52" w:rsidP="00747F52">
      <w:pPr>
        <w:tabs>
          <w:tab w:val="clear" w:pos="567"/>
          <w:tab w:val="left" w:pos="900"/>
          <w:tab w:val="left" w:pos="990"/>
        </w:tabs>
        <w:spacing w:before="240"/>
      </w:pPr>
      <w:r w:rsidRPr="00B53C65">
        <w:t>mAbxience S.A.U.</w:t>
      </w:r>
    </w:p>
    <w:p w14:paraId="2ED3C473" w14:textId="77777777" w:rsidR="00747F52" w:rsidRDefault="00747F52" w:rsidP="00747F52">
      <w:pPr>
        <w:tabs>
          <w:tab w:val="clear" w:pos="567"/>
          <w:tab w:val="left" w:pos="900"/>
          <w:tab w:val="left" w:pos="990"/>
        </w:tabs>
      </w:pPr>
      <w:r w:rsidRPr="00B53C65">
        <w:t>Calle Jose Zabala 1040</w:t>
      </w:r>
    </w:p>
    <w:p w14:paraId="0D244A72" w14:textId="77777777" w:rsidR="00747F52" w:rsidRDefault="00747F52" w:rsidP="00747F52">
      <w:pPr>
        <w:tabs>
          <w:tab w:val="clear" w:pos="567"/>
          <w:tab w:val="left" w:pos="900"/>
          <w:tab w:val="left" w:pos="990"/>
        </w:tabs>
      </w:pPr>
      <w:r w:rsidRPr="00B53C65">
        <w:t>Garin, B1619JNA</w:t>
      </w:r>
    </w:p>
    <w:p w14:paraId="4448A2A6" w14:textId="31424634" w:rsidR="00747F52" w:rsidRPr="00F37D4D" w:rsidRDefault="00747F52" w:rsidP="00747F52">
      <w:pPr>
        <w:spacing w:after="240" w:line="240" w:lineRule="auto"/>
        <w:rPr>
          <w:szCs w:val="22"/>
        </w:rPr>
      </w:pPr>
      <w:r w:rsidRPr="00B53C65">
        <w:t>Buenos Aires</w:t>
      </w:r>
      <w:r>
        <w:t xml:space="preserve">, </w:t>
      </w:r>
      <w:r w:rsidR="00BA37EA">
        <w:t>Argentína</w:t>
      </w:r>
    </w:p>
    <w:p w14:paraId="4824A93B" w14:textId="77777777" w:rsidR="00AE3F7B" w:rsidRPr="00F37D4D" w:rsidRDefault="00BE7CB1" w:rsidP="00F64BF9">
      <w:pPr>
        <w:spacing w:line="240" w:lineRule="auto"/>
        <w:rPr>
          <w:u w:val="single"/>
        </w:rPr>
      </w:pPr>
      <w:r>
        <w:rPr>
          <w:u w:val="single"/>
        </w:rPr>
        <w:t>Názov a adresa výrobcu zodpovedného za uvoľnenie šarže</w:t>
      </w:r>
    </w:p>
    <w:p w14:paraId="417D0B42" w14:textId="77777777" w:rsidR="00AE3F7B" w:rsidRPr="00F37D4D" w:rsidRDefault="00AE3F7B" w:rsidP="00F64BF9">
      <w:pPr>
        <w:spacing w:line="240" w:lineRule="auto"/>
        <w:rPr>
          <w:szCs w:val="22"/>
        </w:rPr>
      </w:pPr>
    </w:p>
    <w:p w14:paraId="7525C01C" w14:textId="77777777" w:rsidR="00AE3F7B" w:rsidRPr="005973AB" w:rsidRDefault="00BE7CB1" w:rsidP="00F64BF9">
      <w:pPr>
        <w:tabs>
          <w:tab w:val="clear" w:pos="567"/>
          <w:tab w:val="left" w:pos="900"/>
          <w:tab w:val="left" w:pos="990"/>
        </w:tabs>
        <w:spacing w:line="240" w:lineRule="auto"/>
      </w:pPr>
      <w:r>
        <w:t>GH GENHELIX S.A.</w:t>
      </w:r>
    </w:p>
    <w:p w14:paraId="4447E9E8" w14:textId="77777777" w:rsidR="003749BC" w:rsidRPr="005973AB" w:rsidRDefault="00BE7CB1" w:rsidP="00F64BF9">
      <w:pPr>
        <w:tabs>
          <w:tab w:val="clear" w:pos="567"/>
          <w:tab w:val="left" w:pos="900"/>
          <w:tab w:val="left" w:pos="990"/>
        </w:tabs>
        <w:spacing w:line="240" w:lineRule="auto"/>
      </w:pPr>
      <w:r>
        <w:t>Parque Tecnológico de León</w:t>
      </w:r>
    </w:p>
    <w:p w14:paraId="15E54D50" w14:textId="77777777" w:rsidR="003749BC" w:rsidRPr="005973AB" w:rsidRDefault="00BE7CB1" w:rsidP="00F64BF9">
      <w:pPr>
        <w:tabs>
          <w:tab w:val="clear" w:pos="567"/>
          <w:tab w:val="left" w:pos="900"/>
          <w:tab w:val="left" w:pos="990"/>
        </w:tabs>
        <w:spacing w:line="240" w:lineRule="auto"/>
      </w:pPr>
      <w:r>
        <w:t>Edifício GENHELIX</w:t>
      </w:r>
    </w:p>
    <w:p w14:paraId="18D3BC59" w14:textId="77777777" w:rsidR="003749BC" w:rsidRPr="005973AB" w:rsidRDefault="00BE7CB1" w:rsidP="00F64BF9">
      <w:pPr>
        <w:tabs>
          <w:tab w:val="clear" w:pos="567"/>
          <w:tab w:val="left" w:pos="900"/>
          <w:tab w:val="left" w:pos="990"/>
        </w:tabs>
        <w:spacing w:line="240" w:lineRule="auto"/>
      </w:pPr>
      <w:r>
        <w:t>C/Julia Morros, s/n</w:t>
      </w:r>
    </w:p>
    <w:p w14:paraId="0DED6459" w14:textId="77777777" w:rsidR="00AE3F7B" w:rsidRPr="00F37D4D" w:rsidRDefault="00BE7CB1" w:rsidP="00F64BF9">
      <w:pPr>
        <w:spacing w:line="240" w:lineRule="auto"/>
      </w:pPr>
      <w:r>
        <w:t>Armunia, 24009 León, Španielsko</w:t>
      </w:r>
    </w:p>
    <w:p w14:paraId="672F5EC8" w14:textId="77777777" w:rsidR="00812D16" w:rsidRPr="00F37D4D" w:rsidRDefault="00812D16" w:rsidP="00F64BF9">
      <w:pPr>
        <w:spacing w:line="240" w:lineRule="auto"/>
        <w:rPr>
          <w:szCs w:val="22"/>
        </w:rPr>
      </w:pPr>
    </w:p>
    <w:p w14:paraId="1F53FE31" w14:textId="77777777" w:rsidR="00812D16" w:rsidRPr="00F37D4D" w:rsidRDefault="00812D16" w:rsidP="00F64BF9">
      <w:pPr>
        <w:spacing w:line="240" w:lineRule="auto"/>
        <w:rPr>
          <w:szCs w:val="22"/>
        </w:rPr>
      </w:pPr>
    </w:p>
    <w:p w14:paraId="744B67FA" w14:textId="77777777" w:rsidR="00376E05" w:rsidRPr="00F37D4D" w:rsidRDefault="00BE7CB1" w:rsidP="0033150F">
      <w:pPr>
        <w:pStyle w:val="ListParagraph"/>
        <w:numPr>
          <w:ilvl w:val="0"/>
          <w:numId w:val="4"/>
        </w:numPr>
        <w:ind w:left="567" w:hanging="567"/>
        <w:outlineLvl w:val="0"/>
        <w:rPr>
          <w:b/>
        </w:rPr>
      </w:pPr>
      <w:r>
        <w:rPr>
          <w:b/>
        </w:rPr>
        <w:t>PODMIENKY ALEBO OBMEDZENIA TÝKAJÚCE SA VÝDAJA A POUŽITIA</w:t>
      </w:r>
    </w:p>
    <w:p w14:paraId="0BE0DB48" w14:textId="77777777" w:rsidR="00376E05" w:rsidRPr="00F37D4D" w:rsidRDefault="00376E05" w:rsidP="00F64BF9">
      <w:pPr>
        <w:spacing w:line="240" w:lineRule="auto"/>
        <w:rPr>
          <w:szCs w:val="22"/>
        </w:rPr>
      </w:pPr>
    </w:p>
    <w:p w14:paraId="4C491D91" w14:textId="3FB89A7E" w:rsidR="00AE3F7B" w:rsidRPr="00F37D4D" w:rsidRDefault="00BE7CB1" w:rsidP="00F64BF9">
      <w:pPr>
        <w:numPr>
          <w:ilvl w:val="12"/>
          <w:numId w:val="0"/>
        </w:numPr>
        <w:spacing w:line="240" w:lineRule="auto"/>
        <w:rPr>
          <w:szCs w:val="22"/>
        </w:rPr>
      </w:pPr>
      <w:r>
        <w:t>Výdaj lieku je viazaný na lekársky predpis s</w:t>
      </w:r>
      <w:r w:rsidR="00F46B0A">
        <w:t xml:space="preserve"> </w:t>
      </w:r>
      <w:r>
        <w:t>obmedzen</w:t>
      </w:r>
      <w:r w:rsidR="00410731">
        <w:t>í</w:t>
      </w:r>
      <w:r>
        <w:t>m predpisovan</w:t>
      </w:r>
      <w:r w:rsidR="00410731">
        <w:t>ia</w:t>
      </w:r>
      <w:r>
        <w:t xml:space="preserve"> (pozri Prílohu I: Súhrn charakteristických vlastností lieku, časť 4.2).</w:t>
      </w:r>
    </w:p>
    <w:p w14:paraId="2C00174C" w14:textId="77777777" w:rsidR="00812D16" w:rsidRPr="00F37D4D" w:rsidRDefault="00812D16" w:rsidP="00F64BF9">
      <w:pPr>
        <w:numPr>
          <w:ilvl w:val="12"/>
          <w:numId w:val="0"/>
        </w:numPr>
        <w:spacing w:line="240" w:lineRule="auto"/>
        <w:rPr>
          <w:szCs w:val="22"/>
        </w:rPr>
      </w:pPr>
    </w:p>
    <w:p w14:paraId="1A8A8D5D" w14:textId="77777777" w:rsidR="00C97C7F" w:rsidRPr="00F37D4D" w:rsidRDefault="00C97C7F" w:rsidP="00F64BF9">
      <w:pPr>
        <w:numPr>
          <w:ilvl w:val="12"/>
          <w:numId w:val="0"/>
        </w:numPr>
        <w:spacing w:line="240" w:lineRule="auto"/>
        <w:rPr>
          <w:szCs w:val="22"/>
        </w:rPr>
      </w:pPr>
    </w:p>
    <w:p w14:paraId="505DD897" w14:textId="77777777" w:rsidR="00376E05" w:rsidRPr="00F37D4D" w:rsidRDefault="00BE7CB1" w:rsidP="0033150F">
      <w:pPr>
        <w:pStyle w:val="ListParagraph"/>
        <w:numPr>
          <w:ilvl w:val="0"/>
          <w:numId w:val="4"/>
        </w:numPr>
        <w:ind w:left="567" w:hanging="567"/>
        <w:outlineLvl w:val="0"/>
        <w:rPr>
          <w:b/>
        </w:rPr>
      </w:pPr>
      <w:r>
        <w:rPr>
          <w:b/>
        </w:rPr>
        <w:t>ĎALŠIE PODMIENKY A POŽIADAVKY REGISTRÁCIE</w:t>
      </w:r>
    </w:p>
    <w:p w14:paraId="3B4AEE59" w14:textId="77777777" w:rsidR="00376E05" w:rsidRPr="00F37D4D" w:rsidRDefault="00376E05" w:rsidP="00F64BF9">
      <w:pPr>
        <w:numPr>
          <w:ilvl w:val="12"/>
          <w:numId w:val="0"/>
        </w:numPr>
        <w:spacing w:line="240" w:lineRule="auto"/>
        <w:rPr>
          <w:szCs w:val="22"/>
        </w:rPr>
      </w:pPr>
    </w:p>
    <w:p w14:paraId="44A6AFD6" w14:textId="77777777" w:rsidR="009B5C19" w:rsidRPr="00F37D4D" w:rsidRDefault="00BE7CB1" w:rsidP="00F64BF9">
      <w:pPr>
        <w:numPr>
          <w:ilvl w:val="0"/>
          <w:numId w:val="2"/>
        </w:numPr>
        <w:tabs>
          <w:tab w:val="clear" w:pos="720"/>
        </w:tabs>
        <w:spacing w:line="240" w:lineRule="auto"/>
        <w:ind w:left="567" w:right="-1" w:hanging="567"/>
        <w:rPr>
          <w:b/>
          <w:szCs w:val="22"/>
        </w:rPr>
      </w:pPr>
      <w:r>
        <w:rPr>
          <w:b/>
        </w:rPr>
        <w:t>Periodicky aktualizované správy o bezpečnosti (Periodic safety update reports, PSUR)</w:t>
      </w:r>
    </w:p>
    <w:p w14:paraId="49B486F9" w14:textId="77777777" w:rsidR="009B5C19" w:rsidRPr="00F37D4D" w:rsidRDefault="009B5C19" w:rsidP="00F64BF9">
      <w:pPr>
        <w:tabs>
          <w:tab w:val="left" w:pos="0"/>
        </w:tabs>
        <w:spacing w:line="240" w:lineRule="auto"/>
        <w:ind w:right="567"/>
      </w:pPr>
    </w:p>
    <w:p w14:paraId="2DAADD51" w14:textId="77777777" w:rsidR="009B5C19" w:rsidRPr="00F37D4D" w:rsidRDefault="00BE7CB1" w:rsidP="00F64BF9">
      <w:pPr>
        <w:tabs>
          <w:tab w:val="left" w:pos="0"/>
        </w:tabs>
        <w:spacing w:line="240" w:lineRule="auto"/>
        <w:ind w:right="567"/>
        <w:rPr>
          <w:iCs/>
          <w:szCs w:val="22"/>
        </w:rPr>
      </w:pPr>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0EF9449F" w14:textId="77777777" w:rsidR="00910624" w:rsidRPr="00F37D4D" w:rsidRDefault="00910624" w:rsidP="00F64BF9">
      <w:pPr>
        <w:spacing w:line="240" w:lineRule="auto"/>
        <w:ind w:right="-1"/>
        <w:rPr>
          <w:iCs/>
          <w:szCs w:val="22"/>
          <w:u w:val="single"/>
        </w:rPr>
      </w:pPr>
    </w:p>
    <w:p w14:paraId="0BCA3339" w14:textId="77777777" w:rsidR="00910624" w:rsidRPr="00F37D4D" w:rsidRDefault="00910624" w:rsidP="00F64BF9">
      <w:pPr>
        <w:spacing w:line="240" w:lineRule="auto"/>
        <w:ind w:right="-1"/>
        <w:rPr>
          <w:u w:val="single"/>
        </w:rPr>
      </w:pPr>
    </w:p>
    <w:p w14:paraId="671BD2AB" w14:textId="77777777" w:rsidR="00376E05" w:rsidRPr="00F37D4D" w:rsidRDefault="00BE7CB1" w:rsidP="0033150F">
      <w:pPr>
        <w:pStyle w:val="ListParagraph"/>
        <w:numPr>
          <w:ilvl w:val="0"/>
          <w:numId w:val="4"/>
        </w:numPr>
        <w:ind w:left="567" w:hanging="567"/>
        <w:outlineLvl w:val="0"/>
        <w:rPr>
          <w:b/>
        </w:rPr>
      </w:pPr>
      <w:r>
        <w:rPr>
          <w:b/>
        </w:rPr>
        <w:t>PODMIENKY ALEBO OBMEDZENIA TÝKAJÚCE SA BEZPEČNÉHO A ÚČINNÉHO POUŽÍVANIA LIEKU</w:t>
      </w:r>
    </w:p>
    <w:p w14:paraId="316DD678" w14:textId="77777777" w:rsidR="00376E05" w:rsidRPr="00F37D4D" w:rsidRDefault="00376E05" w:rsidP="00F64BF9">
      <w:pPr>
        <w:spacing w:line="240" w:lineRule="auto"/>
        <w:ind w:right="-1"/>
        <w:rPr>
          <w:u w:val="single"/>
        </w:rPr>
      </w:pPr>
    </w:p>
    <w:p w14:paraId="5DC98618" w14:textId="77777777" w:rsidR="00812D16" w:rsidRPr="00F37D4D" w:rsidRDefault="00BE7CB1" w:rsidP="00F64BF9">
      <w:pPr>
        <w:numPr>
          <w:ilvl w:val="0"/>
          <w:numId w:val="2"/>
        </w:numPr>
        <w:tabs>
          <w:tab w:val="clear" w:pos="720"/>
        </w:tabs>
        <w:spacing w:line="240" w:lineRule="auto"/>
        <w:ind w:left="567" w:right="-1" w:hanging="567"/>
        <w:rPr>
          <w:b/>
        </w:rPr>
      </w:pPr>
      <w:r>
        <w:rPr>
          <w:b/>
        </w:rPr>
        <w:t>Plán riadenia rizík (RMP)</w:t>
      </w:r>
    </w:p>
    <w:p w14:paraId="172A3205" w14:textId="77777777" w:rsidR="00CB31DA" w:rsidRPr="00F37D4D" w:rsidRDefault="00CB31DA" w:rsidP="00F64BF9">
      <w:pPr>
        <w:spacing w:line="240" w:lineRule="auto"/>
        <w:ind w:left="720" w:right="-1"/>
        <w:rPr>
          <w:b/>
        </w:rPr>
      </w:pPr>
    </w:p>
    <w:p w14:paraId="48CDA17D" w14:textId="280B9809" w:rsidR="00812D16" w:rsidRPr="00F37D4D" w:rsidRDefault="00BE7CB1" w:rsidP="00F64BF9">
      <w:pPr>
        <w:tabs>
          <w:tab w:val="left" w:pos="0"/>
        </w:tabs>
        <w:spacing w:line="240" w:lineRule="auto"/>
        <w:ind w:right="567"/>
        <w:rPr>
          <w:szCs w:val="22"/>
        </w:rPr>
      </w:pPr>
      <w:r>
        <w:t>Držiteľ rozhodnutia o registrácii vykoná požadované činnosti a zásahy v rámci dohľadu nad liekmi, ktoré sú podrobne opísané v odsúhlasenom RMP predloženom v module 1.8.2</w:t>
      </w:r>
      <w:r w:rsidR="00F46B0A">
        <w:t xml:space="preserve"> </w:t>
      </w:r>
      <w:r>
        <w:t>registračnej dokumentácie a vo všetkých ďalších odsúhlasených aktualizáciách RMP.</w:t>
      </w:r>
    </w:p>
    <w:p w14:paraId="13B910AE" w14:textId="77777777" w:rsidR="00812D16" w:rsidRPr="00F37D4D" w:rsidRDefault="00812D16" w:rsidP="00F64BF9">
      <w:pPr>
        <w:spacing w:line="240" w:lineRule="auto"/>
        <w:ind w:right="-1"/>
        <w:rPr>
          <w:iCs/>
          <w:szCs w:val="22"/>
        </w:rPr>
      </w:pPr>
    </w:p>
    <w:p w14:paraId="3DC195A3" w14:textId="77777777" w:rsidR="00812D16" w:rsidRPr="00F37D4D" w:rsidRDefault="00BE7CB1" w:rsidP="00F64BF9">
      <w:pPr>
        <w:spacing w:line="240" w:lineRule="auto"/>
        <w:ind w:right="-1"/>
        <w:rPr>
          <w:iCs/>
          <w:szCs w:val="22"/>
        </w:rPr>
      </w:pPr>
      <w:r>
        <w:t>Aktualizovaný RMP je potrebné predložiť:</w:t>
      </w:r>
    </w:p>
    <w:p w14:paraId="4696716B" w14:textId="77777777" w:rsidR="00660403" w:rsidRPr="00F37D4D" w:rsidRDefault="00BE7CB1" w:rsidP="00F64BF9">
      <w:pPr>
        <w:numPr>
          <w:ilvl w:val="0"/>
          <w:numId w:val="1"/>
        </w:numPr>
        <w:tabs>
          <w:tab w:val="clear" w:pos="720"/>
        </w:tabs>
        <w:spacing w:line="240" w:lineRule="auto"/>
        <w:ind w:left="567" w:right="-1" w:hanging="567"/>
        <w:rPr>
          <w:iCs/>
          <w:szCs w:val="22"/>
        </w:rPr>
      </w:pPr>
      <w:r>
        <w:t>na žiadosť Európskej agentúry pre lieky,</w:t>
      </w:r>
    </w:p>
    <w:p w14:paraId="148A0298" w14:textId="77777777" w:rsidR="00502937" w:rsidRDefault="00BE7CB1" w:rsidP="00F64BF9">
      <w:pPr>
        <w:numPr>
          <w:ilvl w:val="0"/>
          <w:numId w:val="1"/>
        </w:numPr>
        <w:tabs>
          <w:tab w:val="clear" w:pos="720"/>
        </w:tabs>
        <w:spacing w:line="240" w:lineRule="auto"/>
        <w:ind w:left="567" w:right="-1" w:hanging="567"/>
        <w:rPr>
          <w:iCs/>
          <w:szCs w:val="22"/>
        </w:rPr>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r w:rsidR="00502937">
        <w:rPr>
          <w:iCs/>
          <w:szCs w:val="22"/>
        </w:rPr>
        <w:br w:type="page"/>
      </w:r>
    </w:p>
    <w:p w14:paraId="0D924A34" w14:textId="77777777" w:rsidR="00E05DF2" w:rsidRPr="005973AB" w:rsidRDefault="00E05DF2" w:rsidP="00F64BF9">
      <w:pPr>
        <w:spacing w:line="240" w:lineRule="auto"/>
        <w:jc w:val="center"/>
      </w:pPr>
    </w:p>
    <w:p w14:paraId="40355D38" w14:textId="77777777" w:rsidR="00E05DF2" w:rsidRPr="005973AB" w:rsidRDefault="00E05DF2" w:rsidP="00F64BF9">
      <w:pPr>
        <w:spacing w:line="240" w:lineRule="auto"/>
        <w:jc w:val="center"/>
      </w:pPr>
    </w:p>
    <w:p w14:paraId="5A460D40" w14:textId="77777777" w:rsidR="00E05DF2" w:rsidRPr="005973AB" w:rsidRDefault="00E05DF2" w:rsidP="00F64BF9">
      <w:pPr>
        <w:spacing w:line="240" w:lineRule="auto"/>
        <w:jc w:val="center"/>
      </w:pPr>
    </w:p>
    <w:p w14:paraId="4C773D45" w14:textId="77777777" w:rsidR="00E05DF2" w:rsidRPr="005973AB" w:rsidRDefault="00E05DF2" w:rsidP="00F64BF9">
      <w:pPr>
        <w:spacing w:line="240" w:lineRule="auto"/>
        <w:jc w:val="center"/>
      </w:pPr>
    </w:p>
    <w:p w14:paraId="157664EC" w14:textId="77777777" w:rsidR="00E05DF2" w:rsidRPr="005973AB" w:rsidRDefault="00E05DF2" w:rsidP="00F64BF9">
      <w:pPr>
        <w:spacing w:line="240" w:lineRule="auto"/>
        <w:jc w:val="center"/>
      </w:pPr>
    </w:p>
    <w:p w14:paraId="7A0A77F0" w14:textId="77777777" w:rsidR="00E05DF2" w:rsidRPr="002F3218" w:rsidRDefault="00E05DF2" w:rsidP="00F64BF9">
      <w:pPr>
        <w:spacing w:line="240" w:lineRule="auto"/>
        <w:jc w:val="center"/>
      </w:pPr>
    </w:p>
    <w:p w14:paraId="7EA839F4" w14:textId="77777777" w:rsidR="00E05DF2" w:rsidRPr="002F3218" w:rsidRDefault="00E05DF2" w:rsidP="00F64BF9">
      <w:pPr>
        <w:spacing w:line="240" w:lineRule="auto"/>
        <w:jc w:val="center"/>
      </w:pPr>
    </w:p>
    <w:p w14:paraId="16C44AF1" w14:textId="77777777" w:rsidR="00E05DF2" w:rsidRPr="002F3218" w:rsidRDefault="00E05DF2" w:rsidP="00F64BF9">
      <w:pPr>
        <w:spacing w:line="240" w:lineRule="auto"/>
        <w:jc w:val="center"/>
      </w:pPr>
    </w:p>
    <w:p w14:paraId="037BB86D" w14:textId="77777777" w:rsidR="00E05DF2" w:rsidRPr="002F3218" w:rsidRDefault="00E05DF2" w:rsidP="00F64BF9">
      <w:pPr>
        <w:spacing w:line="240" w:lineRule="auto"/>
        <w:jc w:val="center"/>
      </w:pPr>
    </w:p>
    <w:p w14:paraId="3C5EDBE7" w14:textId="77777777" w:rsidR="00E05DF2" w:rsidRPr="002F3218" w:rsidRDefault="00E05DF2" w:rsidP="00F64BF9">
      <w:pPr>
        <w:spacing w:line="240" w:lineRule="auto"/>
        <w:jc w:val="center"/>
      </w:pPr>
    </w:p>
    <w:p w14:paraId="1E271080" w14:textId="77777777" w:rsidR="00E05DF2" w:rsidRPr="005973AB" w:rsidRDefault="00E05DF2" w:rsidP="00F64BF9">
      <w:pPr>
        <w:spacing w:line="240" w:lineRule="auto"/>
        <w:jc w:val="center"/>
      </w:pPr>
    </w:p>
    <w:p w14:paraId="5BB0C156" w14:textId="77777777" w:rsidR="00E05DF2" w:rsidRPr="005973AB" w:rsidRDefault="00E05DF2" w:rsidP="00F64BF9">
      <w:pPr>
        <w:spacing w:line="240" w:lineRule="auto"/>
        <w:jc w:val="center"/>
      </w:pPr>
    </w:p>
    <w:p w14:paraId="26F5DAFB" w14:textId="77777777" w:rsidR="00E05DF2" w:rsidRPr="005973AB" w:rsidRDefault="00E05DF2" w:rsidP="00F64BF9">
      <w:pPr>
        <w:spacing w:line="240" w:lineRule="auto"/>
        <w:jc w:val="center"/>
      </w:pPr>
    </w:p>
    <w:p w14:paraId="40DEA7C0" w14:textId="77777777" w:rsidR="00E05DF2" w:rsidRPr="005973AB" w:rsidRDefault="00E05DF2" w:rsidP="00F64BF9">
      <w:pPr>
        <w:spacing w:line="240" w:lineRule="auto"/>
        <w:jc w:val="center"/>
      </w:pPr>
    </w:p>
    <w:p w14:paraId="38D63F0D" w14:textId="77777777" w:rsidR="00E05DF2" w:rsidRPr="005973AB" w:rsidRDefault="00E05DF2" w:rsidP="00F64BF9">
      <w:pPr>
        <w:spacing w:line="240" w:lineRule="auto"/>
        <w:jc w:val="center"/>
      </w:pPr>
    </w:p>
    <w:p w14:paraId="0E3DA872" w14:textId="77777777" w:rsidR="00E05DF2" w:rsidRPr="005973AB" w:rsidRDefault="00E05DF2" w:rsidP="00F64BF9">
      <w:pPr>
        <w:spacing w:line="240" w:lineRule="auto"/>
        <w:jc w:val="center"/>
      </w:pPr>
    </w:p>
    <w:p w14:paraId="6E73E545" w14:textId="77777777" w:rsidR="00E05DF2" w:rsidRPr="005973AB" w:rsidRDefault="00E05DF2" w:rsidP="00F64BF9">
      <w:pPr>
        <w:spacing w:line="240" w:lineRule="auto"/>
        <w:jc w:val="center"/>
      </w:pPr>
    </w:p>
    <w:p w14:paraId="6F2F6952" w14:textId="77777777" w:rsidR="00E05DF2" w:rsidRPr="005973AB" w:rsidRDefault="00E05DF2" w:rsidP="00F64BF9">
      <w:pPr>
        <w:spacing w:line="240" w:lineRule="auto"/>
        <w:jc w:val="center"/>
      </w:pPr>
    </w:p>
    <w:p w14:paraId="08E8664E" w14:textId="77777777" w:rsidR="00E05DF2" w:rsidRPr="005973AB" w:rsidRDefault="00E05DF2" w:rsidP="00F64BF9">
      <w:pPr>
        <w:spacing w:line="240" w:lineRule="auto"/>
        <w:jc w:val="center"/>
      </w:pPr>
    </w:p>
    <w:p w14:paraId="56A96705" w14:textId="77777777" w:rsidR="00E05DF2" w:rsidRPr="005973AB" w:rsidRDefault="00E05DF2" w:rsidP="00F64BF9">
      <w:pPr>
        <w:spacing w:line="240" w:lineRule="auto"/>
        <w:jc w:val="center"/>
      </w:pPr>
    </w:p>
    <w:p w14:paraId="3BE21CDC" w14:textId="77777777" w:rsidR="00E05DF2" w:rsidRPr="005973AB" w:rsidRDefault="00E05DF2" w:rsidP="00F64BF9">
      <w:pPr>
        <w:spacing w:line="240" w:lineRule="auto"/>
        <w:jc w:val="center"/>
      </w:pPr>
    </w:p>
    <w:p w14:paraId="6C79E8EE" w14:textId="77777777" w:rsidR="00E05DF2" w:rsidRPr="005973AB" w:rsidRDefault="00E05DF2" w:rsidP="00F64BF9">
      <w:pPr>
        <w:spacing w:line="240" w:lineRule="auto"/>
        <w:jc w:val="center"/>
      </w:pPr>
    </w:p>
    <w:p w14:paraId="1BE9D778" w14:textId="77777777" w:rsidR="00E05DF2" w:rsidRPr="005973AB" w:rsidRDefault="00E05DF2" w:rsidP="00F64BF9">
      <w:pPr>
        <w:spacing w:line="240" w:lineRule="auto"/>
        <w:jc w:val="center"/>
      </w:pPr>
    </w:p>
    <w:p w14:paraId="74FBC45F" w14:textId="77777777" w:rsidR="00812D16" w:rsidRDefault="00BE7CB1" w:rsidP="00F64BF9">
      <w:pPr>
        <w:spacing w:line="240" w:lineRule="auto"/>
        <w:jc w:val="center"/>
        <w:rPr>
          <w:b/>
        </w:rPr>
      </w:pPr>
      <w:r>
        <w:rPr>
          <w:b/>
        </w:rPr>
        <w:t>PRÍLOHA III</w:t>
      </w:r>
    </w:p>
    <w:p w14:paraId="79A97009" w14:textId="77777777" w:rsidR="00480C5A" w:rsidRPr="00F37D4D" w:rsidRDefault="00480C5A" w:rsidP="00F64BF9">
      <w:pPr>
        <w:spacing w:line="240" w:lineRule="auto"/>
        <w:jc w:val="center"/>
        <w:rPr>
          <w:b/>
          <w:bCs/>
          <w:szCs w:val="22"/>
        </w:rPr>
      </w:pPr>
    </w:p>
    <w:p w14:paraId="743C0F77" w14:textId="77777777" w:rsidR="00E05DF2" w:rsidRDefault="00BE7CB1" w:rsidP="00F64BF9">
      <w:pPr>
        <w:spacing w:line="240" w:lineRule="auto"/>
        <w:jc w:val="center"/>
        <w:rPr>
          <w:b/>
          <w:bCs/>
          <w:szCs w:val="22"/>
        </w:rPr>
      </w:pPr>
      <w:r>
        <w:rPr>
          <w:b/>
        </w:rPr>
        <w:t>OZNAČENIE OBALU A PÍSOMNÁ INFORMÁCIA PRE POUŽÍVATEĽA</w:t>
      </w:r>
      <w:r w:rsidR="00E05DF2">
        <w:rPr>
          <w:b/>
          <w:bCs/>
          <w:szCs w:val="22"/>
        </w:rPr>
        <w:br w:type="page"/>
      </w:r>
    </w:p>
    <w:p w14:paraId="3F2A2E5C" w14:textId="77777777" w:rsidR="00E05DF2" w:rsidRPr="005973AB" w:rsidRDefault="00E05DF2" w:rsidP="00F64BF9">
      <w:pPr>
        <w:spacing w:line="240" w:lineRule="auto"/>
        <w:jc w:val="center"/>
      </w:pPr>
    </w:p>
    <w:p w14:paraId="50414913" w14:textId="77777777" w:rsidR="00E05DF2" w:rsidRPr="005973AB" w:rsidRDefault="00E05DF2" w:rsidP="00F64BF9">
      <w:pPr>
        <w:spacing w:line="240" w:lineRule="auto"/>
        <w:jc w:val="center"/>
      </w:pPr>
    </w:p>
    <w:p w14:paraId="739D4CF1" w14:textId="77777777" w:rsidR="00E05DF2" w:rsidRPr="005973AB" w:rsidRDefault="00E05DF2" w:rsidP="00F64BF9">
      <w:pPr>
        <w:spacing w:line="240" w:lineRule="auto"/>
        <w:jc w:val="center"/>
      </w:pPr>
    </w:p>
    <w:p w14:paraId="749DC118" w14:textId="77777777" w:rsidR="00E05DF2" w:rsidRPr="005973AB" w:rsidRDefault="00E05DF2" w:rsidP="00F64BF9">
      <w:pPr>
        <w:spacing w:line="240" w:lineRule="auto"/>
        <w:jc w:val="center"/>
      </w:pPr>
    </w:p>
    <w:p w14:paraId="6305A62F" w14:textId="77777777" w:rsidR="00E05DF2" w:rsidRPr="005973AB" w:rsidRDefault="00E05DF2" w:rsidP="00F64BF9">
      <w:pPr>
        <w:spacing w:line="240" w:lineRule="auto"/>
        <w:jc w:val="center"/>
      </w:pPr>
    </w:p>
    <w:p w14:paraId="6AC54BA3" w14:textId="77777777" w:rsidR="00E05DF2" w:rsidRPr="00E05DF2" w:rsidRDefault="00E05DF2" w:rsidP="00F64BF9">
      <w:pPr>
        <w:spacing w:line="240" w:lineRule="auto"/>
        <w:jc w:val="center"/>
      </w:pPr>
    </w:p>
    <w:p w14:paraId="2DF3A201" w14:textId="77777777" w:rsidR="00E05DF2" w:rsidRPr="00E05DF2" w:rsidRDefault="00E05DF2" w:rsidP="00F64BF9">
      <w:pPr>
        <w:spacing w:line="240" w:lineRule="auto"/>
        <w:jc w:val="center"/>
      </w:pPr>
    </w:p>
    <w:p w14:paraId="769AC884" w14:textId="77777777" w:rsidR="00E05DF2" w:rsidRPr="00E05DF2" w:rsidRDefault="00E05DF2" w:rsidP="00F64BF9">
      <w:pPr>
        <w:spacing w:line="240" w:lineRule="auto"/>
        <w:jc w:val="center"/>
      </w:pPr>
    </w:p>
    <w:p w14:paraId="2B0B6D16" w14:textId="77777777" w:rsidR="00E05DF2" w:rsidRPr="00E05DF2" w:rsidRDefault="00E05DF2" w:rsidP="00F64BF9">
      <w:pPr>
        <w:spacing w:line="240" w:lineRule="auto"/>
        <w:jc w:val="center"/>
      </w:pPr>
    </w:p>
    <w:p w14:paraId="7064A5A7" w14:textId="77777777" w:rsidR="00E05DF2" w:rsidRPr="00E05DF2" w:rsidRDefault="00E05DF2" w:rsidP="00F64BF9">
      <w:pPr>
        <w:spacing w:line="240" w:lineRule="auto"/>
        <w:jc w:val="center"/>
      </w:pPr>
    </w:p>
    <w:p w14:paraId="6033EE81" w14:textId="77777777" w:rsidR="00E05DF2" w:rsidRPr="005973AB" w:rsidRDefault="00E05DF2" w:rsidP="00F64BF9">
      <w:pPr>
        <w:spacing w:line="240" w:lineRule="auto"/>
        <w:jc w:val="center"/>
      </w:pPr>
    </w:p>
    <w:p w14:paraId="4351A800" w14:textId="77777777" w:rsidR="00E05DF2" w:rsidRPr="005973AB" w:rsidRDefault="00E05DF2" w:rsidP="00F64BF9">
      <w:pPr>
        <w:spacing w:line="240" w:lineRule="auto"/>
        <w:jc w:val="center"/>
      </w:pPr>
    </w:p>
    <w:p w14:paraId="2EA6D960" w14:textId="77777777" w:rsidR="00E05DF2" w:rsidRPr="005973AB" w:rsidRDefault="00E05DF2" w:rsidP="00F64BF9">
      <w:pPr>
        <w:spacing w:line="240" w:lineRule="auto"/>
        <w:jc w:val="center"/>
      </w:pPr>
    </w:p>
    <w:p w14:paraId="51EDF564" w14:textId="77777777" w:rsidR="00E05DF2" w:rsidRPr="005973AB" w:rsidRDefault="00E05DF2" w:rsidP="00F64BF9">
      <w:pPr>
        <w:spacing w:line="240" w:lineRule="auto"/>
        <w:jc w:val="center"/>
      </w:pPr>
    </w:p>
    <w:p w14:paraId="30EBDC0A" w14:textId="77777777" w:rsidR="00E05DF2" w:rsidRPr="005973AB" w:rsidRDefault="00E05DF2" w:rsidP="00F64BF9">
      <w:pPr>
        <w:spacing w:line="240" w:lineRule="auto"/>
        <w:jc w:val="center"/>
      </w:pPr>
    </w:p>
    <w:p w14:paraId="636535E3" w14:textId="77777777" w:rsidR="00E05DF2" w:rsidRPr="005973AB" w:rsidRDefault="00E05DF2" w:rsidP="00F64BF9">
      <w:pPr>
        <w:spacing w:line="240" w:lineRule="auto"/>
        <w:jc w:val="center"/>
      </w:pPr>
    </w:p>
    <w:p w14:paraId="3CD11F87" w14:textId="77777777" w:rsidR="00E05DF2" w:rsidRPr="005973AB" w:rsidRDefault="00E05DF2" w:rsidP="00F64BF9">
      <w:pPr>
        <w:spacing w:line="240" w:lineRule="auto"/>
        <w:jc w:val="center"/>
      </w:pPr>
    </w:p>
    <w:p w14:paraId="3DB3649F" w14:textId="77777777" w:rsidR="00E05DF2" w:rsidRPr="005973AB" w:rsidRDefault="00E05DF2" w:rsidP="00F64BF9">
      <w:pPr>
        <w:spacing w:line="240" w:lineRule="auto"/>
        <w:jc w:val="center"/>
      </w:pPr>
    </w:p>
    <w:p w14:paraId="2627F4CA" w14:textId="77777777" w:rsidR="00E05DF2" w:rsidRPr="005973AB" w:rsidRDefault="00E05DF2" w:rsidP="00F64BF9">
      <w:pPr>
        <w:spacing w:line="240" w:lineRule="auto"/>
        <w:jc w:val="center"/>
      </w:pPr>
    </w:p>
    <w:p w14:paraId="65E6B8BB" w14:textId="77777777" w:rsidR="00E05DF2" w:rsidRPr="005973AB" w:rsidRDefault="00E05DF2" w:rsidP="00F64BF9">
      <w:pPr>
        <w:spacing w:line="240" w:lineRule="auto"/>
        <w:jc w:val="center"/>
      </w:pPr>
    </w:p>
    <w:p w14:paraId="5F49C57C" w14:textId="77777777" w:rsidR="00E05DF2" w:rsidRPr="005973AB" w:rsidRDefault="00E05DF2" w:rsidP="00F64BF9">
      <w:pPr>
        <w:spacing w:line="240" w:lineRule="auto"/>
        <w:jc w:val="center"/>
      </w:pPr>
    </w:p>
    <w:p w14:paraId="2C2A00F0" w14:textId="77777777" w:rsidR="00E05DF2" w:rsidRPr="005973AB" w:rsidRDefault="00E05DF2" w:rsidP="00F64BF9">
      <w:pPr>
        <w:spacing w:line="240" w:lineRule="auto"/>
        <w:jc w:val="center"/>
      </w:pPr>
    </w:p>
    <w:p w14:paraId="6272B753" w14:textId="77777777" w:rsidR="00E05DF2" w:rsidRPr="005973AB" w:rsidRDefault="00E05DF2" w:rsidP="00F64BF9">
      <w:pPr>
        <w:spacing w:line="240" w:lineRule="auto"/>
        <w:jc w:val="center"/>
      </w:pPr>
    </w:p>
    <w:p w14:paraId="65EFD792" w14:textId="77777777" w:rsidR="00E05DF2" w:rsidRDefault="00BE7CB1" w:rsidP="00F64BF9">
      <w:pPr>
        <w:spacing w:line="240" w:lineRule="auto"/>
        <w:jc w:val="center"/>
        <w:outlineLvl w:val="0"/>
        <w:rPr>
          <w:b/>
          <w:szCs w:val="22"/>
        </w:rPr>
      </w:pPr>
      <w:r>
        <w:rPr>
          <w:b/>
        </w:rPr>
        <w:t>A. OZNAČENIE OBALU</w:t>
      </w:r>
      <w:r w:rsidR="00E05DF2">
        <w:rPr>
          <w:b/>
          <w:szCs w:val="22"/>
        </w:rPr>
        <w:br w:type="page"/>
      </w:r>
    </w:p>
    <w:p w14:paraId="3D2DF5DF" w14:textId="77777777" w:rsidR="00B40D1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pPr>
      <w:r>
        <w:rPr>
          <w:b/>
        </w:rPr>
        <w:lastRenderedPageBreak/>
        <w:t>ÚDAJE, KTORÉ MAJÚ BYŤ UVEDENÉ NA VONKAJŠOM OBALE</w:t>
      </w:r>
    </w:p>
    <w:p w14:paraId="273E5331" w14:textId="77777777" w:rsidR="00B40D17" w:rsidRPr="00F37D4D"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pPr>
    </w:p>
    <w:p w14:paraId="1D0A36D9" w14:textId="77777777" w:rsidR="00B40D1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Pr>
          <w:b/>
        </w:rPr>
        <w:t>ŠKATUĽKA</w:t>
      </w:r>
    </w:p>
    <w:p w14:paraId="2BE6F794" w14:textId="77777777" w:rsidR="006C6114" w:rsidRPr="00F37D4D" w:rsidRDefault="006C6114" w:rsidP="00F64BF9">
      <w:pPr>
        <w:spacing w:line="240" w:lineRule="auto"/>
        <w:rPr>
          <w:szCs w:val="22"/>
        </w:rPr>
      </w:pPr>
    </w:p>
    <w:p w14:paraId="56B4ACF3"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1.</w:t>
      </w:r>
      <w:r w:rsidRPr="00F37D4D">
        <w:rPr>
          <w:b/>
          <w:bCs/>
        </w:rPr>
        <w:tab/>
      </w:r>
      <w:r>
        <w:rPr>
          <w:b/>
        </w:rPr>
        <w:t>NÁZOV LIEKU</w:t>
      </w:r>
    </w:p>
    <w:p w14:paraId="6C5BCB5A" w14:textId="77777777" w:rsidR="00812D16" w:rsidRPr="00F37D4D" w:rsidRDefault="00812D16" w:rsidP="00F64BF9">
      <w:pPr>
        <w:spacing w:line="240" w:lineRule="auto"/>
        <w:rPr>
          <w:szCs w:val="22"/>
        </w:rPr>
      </w:pPr>
    </w:p>
    <w:p w14:paraId="18953D2D" w14:textId="5FD456F4" w:rsidR="007F5BBD" w:rsidRPr="00F37D4D" w:rsidRDefault="00BE7CB1" w:rsidP="00F64BF9">
      <w:pPr>
        <w:tabs>
          <w:tab w:val="clear" w:pos="567"/>
        </w:tabs>
        <w:autoSpaceDE w:val="0"/>
        <w:autoSpaceDN w:val="0"/>
        <w:adjustRightInd w:val="0"/>
        <w:spacing w:line="240" w:lineRule="auto"/>
        <w:rPr>
          <w:rFonts w:eastAsia="SimSun"/>
          <w:szCs w:val="22"/>
        </w:rPr>
      </w:pPr>
      <w:r>
        <w:t>Alymsys 25 mg/ml</w:t>
      </w:r>
      <w:r w:rsidR="00DE61A9">
        <w:t xml:space="preserve"> koncentrát</w:t>
      </w:r>
      <w:r w:rsidR="002F755C">
        <w:t xml:space="preserve"> na infúzny roztok</w:t>
      </w:r>
    </w:p>
    <w:p w14:paraId="30589607" w14:textId="77777777" w:rsidR="007F5BBD" w:rsidRPr="00F37D4D" w:rsidRDefault="00BE7CB1" w:rsidP="00F64BF9">
      <w:pPr>
        <w:spacing w:line="240" w:lineRule="auto"/>
        <w:rPr>
          <w:rFonts w:eastAsia="SimSun"/>
          <w:szCs w:val="22"/>
        </w:rPr>
      </w:pPr>
      <w:r>
        <w:t>bevacizumab</w:t>
      </w:r>
    </w:p>
    <w:p w14:paraId="51806A9A" w14:textId="77777777" w:rsidR="00812D16" w:rsidRPr="00F37D4D" w:rsidRDefault="00812D16" w:rsidP="00F64BF9">
      <w:pPr>
        <w:spacing w:line="240" w:lineRule="auto"/>
        <w:rPr>
          <w:szCs w:val="22"/>
        </w:rPr>
      </w:pPr>
    </w:p>
    <w:p w14:paraId="46866A8A" w14:textId="77777777" w:rsidR="00812D16" w:rsidRPr="00F37D4D" w:rsidRDefault="00812D16" w:rsidP="00F64BF9">
      <w:pPr>
        <w:spacing w:line="240" w:lineRule="auto"/>
        <w:rPr>
          <w:szCs w:val="22"/>
        </w:rPr>
      </w:pPr>
    </w:p>
    <w:p w14:paraId="2DB20CBF" w14:textId="120FA1B1"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LIEČIVO</w:t>
      </w:r>
      <w:r w:rsidR="00AD73DF">
        <w:rPr>
          <w:b/>
        </w:rPr>
        <w:t xml:space="preserve"> </w:t>
      </w:r>
      <w:r w:rsidR="00AD73DF" w:rsidRPr="00AD73DF">
        <w:rPr>
          <w:b/>
        </w:rPr>
        <w:t>(LIEČIVÁ)</w:t>
      </w:r>
    </w:p>
    <w:p w14:paraId="229FC259" w14:textId="77777777" w:rsidR="00812D16" w:rsidRPr="00F37D4D" w:rsidRDefault="00812D16" w:rsidP="00F64BF9">
      <w:pPr>
        <w:spacing w:line="240" w:lineRule="auto"/>
        <w:rPr>
          <w:szCs w:val="22"/>
        </w:rPr>
      </w:pPr>
    </w:p>
    <w:p w14:paraId="65EF8455" w14:textId="5DB8B4BE" w:rsidR="007F5BBD" w:rsidRPr="00F37D4D" w:rsidRDefault="00BE7CB1" w:rsidP="00F64BF9">
      <w:pPr>
        <w:spacing w:line="240" w:lineRule="auto"/>
        <w:rPr>
          <w:rFonts w:eastAsia="SimSun"/>
          <w:szCs w:val="22"/>
        </w:rPr>
      </w:pPr>
      <w:r>
        <w:t xml:space="preserve">Každá injekčná liekovka </w:t>
      </w:r>
      <w:r w:rsidR="006B393D">
        <w:t xml:space="preserve">koncentrátu </w:t>
      </w:r>
      <w:r>
        <w:t>obsahuje 100 mg bevacizumabu.</w:t>
      </w:r>
    </w:p>
    <w:p w14:paraId="30B48CF8" w14:textId="77777777" w:rsidR="00812D16" w:rsidRPr="00F37D4D" w:rsidRDefault="00812D16" w:rsidP="00F64BF9">
      <w:pPr>
        <w:spacing w:line="240" w:lineRule="auto"/>
        <w:rPr>
          <w:szCs w:val="22"/>
        </w:rPr>
      </w:pPr>
    </w:p>
    <w:p w14:paraId="1990C2A3" w14:textId="77777777" w:rsidR="00812D16" w:rsidRPr="00F37D4D" w:rsidRDefault="00812D16" w:rsidP="00F64BF9">
      <w:pPr>
        <w:spacing w:line="240" w:lineRule="auto"/>
        <w:rPr>
          <w:szCs w:val="22"/>
        </w:rPr>
      </w:pPr>
    </w:p>
    <w:p w14:paraId="6187B810"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ZOZNAM POMOCNÝCH LÁTOK</w:t>
      </w:r>
    </w:p>
    <w:p w14:paraId="2EAD1747" w14:textId="77777777" w:rsidR="00812D16" w:rsidRPr="00F37D4D" w:rsidRDefault="00812D16" w:rsidP="00F64BF9">
      <w:pPr>
        <w:spacing w:line="240" w:lineRule="auto"/>
        <w:rPr>
          <w:szCs w:val="22"/>
        </w:rPr>
      </w:pPr>
    </w:p>
    <w:p w14:paraId="4162D3FD" w14:textId="6E55B65F" w:rsidR="007F5BBD" w:rsidRPr="00F37D4D" w:rsidRDefault="008E0969" w:rsidP="001019FC">
      <w:pPr>
        <w:spacing w:line="240" w:lineRule="auto"/>
        <w:rPr>
          <w:rFonts w:eastAsia="SimSun"/>
          <w:szCs w:val="22"/>
        </w:rPr>
      </w:pPr>
      <w:r>
        <w:t xml:space="preserve">Dihydrát trehalózy, </w:t>
      </w:r>
      <w:r w:rsidR="001019FC" w:rsidRPr="00596761">
        <w:t xml:space="preserve">monohydrát </w:t>
      </w:r>
      <w:r w:rsidR="001019FC">
        <w:t>dihydrogen</w:t>
      </w:r>
      <w:r w:rsidR="001019FC" w:rsidRPr="00596761">
        <w:t>fosforečnanu sodného</w:t>
      </w:r>
      <w:r>
        <w:t>, hydrogenfosforečnan sodný, polysorbát 20, voda na injekcie</w:t>
      </w:r>
    </w:p>
    <w:p w14:paraId="076B588C" w14:textId="77777777" w:rsidR="007F5BBD" w:rsidRPr="00F37D4D" w:rsidRDefault="007F5BBD" w:rsidP="00F64BF9">
      <w:pPr>
        <w:spacing w:line="240" w:lineRule="auto"/>
        <w:rPr>
          <w:szCs w:val="22"/>
        </w:rPr>
      </w:pPr>
    </w:p>
    <w:p w14:paraId="3C3098D9" w14:textId="77777777" w:rsidR="00812D16" w:rsidRPr="00F37D4D" w:rsidRDefault="00812D16" w:rsidP="00F64BF9">
      <w:pPr>
        <w:spacing w:line="240" w:lineRule="auto"/>
        <w:rPr>
          <w:szCs w:val="22"/>
        </w:rPr>
      </w:pPr>
    </w:p>
    <w:p w14:paraId="2F649A3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4.</w:t>
      </w:r>
      <w:r w:rsidRPr="00F37D4D">
        <w:rPr>
          <w:b/>
          <w:bCs/>
          <w:szCs w:val="22"/>
        </w:rPr>
        <w:tab/>
      </w:r>
      <w:r>
        <w:rPr>
          <w:b/>
        </w:rPr>
        <w:t>LIEKOVÁ FORMA A OBSAH</w:t>
      </w:r>
    </w:p>
    <w:p w14:paraId="417C3014" w14:textId="77777777" w:rsidR="00812D16" w:rsidRPr="00F37D4D" w:rsidRDefault="00812D16" w:rsidP="00F64BF9">
      <w:pPr>
        <w:spacing w:line="240" w:lineRule="auto"/>
        <w:rPr>
          <w:szCs w:val="22"/>
        </w:rPr>
      </w:pPr>
    </w:p>
    <w:p w14:paraId="544D46C8" w14:textId="77777777" w:rsidR="007F5BBD" w:rsidRPr="00B5283D" w:rsidRDefault="0011215F" w:rsidP="00F64BF9">
      <w:pPr>
        <w:tabs>
          <w:tab w:val="clear" w:pos="567"/>
        </w:tabs>
        <w:autoSpaceDE w:val="0"/>
        <w:autoSpaceDN w:val="0"/>
        <w:adjustRightInd w:val="0"/>
        <w:spacing w:line="240" w:lineRule="auto"/>
        <w:rPr>
          <w:rFonts w:eastAsia="SimSun"/>
          <w:bCs/>
          <w:szCs w:val="22"/>
        </w:rPr>
      </w:pPr>
      <w:r w:rsidRPr="00F933B6">
        <w:rPr>
          <w:bCs/>
          <w:highlight w:val="lightGray"/>
        </w:rPr>
        <w:t>Koncentrát na infúzny roztok</w:t>
      </w:r>
    </w:p>
    <w:p w14:paraId="33A1467E" w14:textId="77777777" w:rsidR="007F5BBD" w:rsidRPr="00F37D4D" w:rsidRDefault="00BE7CB1" w:rsidP="00F64BF9">
      <w:pPr>
        <w:tabs>
          <w:tab w:val="clear" w:pos="567"/>
        </w:tabs>
        <w:autoSpaceDE w:val="0"/>
        <w:autoSpaceDN w:val="0"/>
        <w:adjustRightInd w:val="0"/>
        <w:spacing w:line="240" w:lineRule="auto"/>
        <w:rPr>
          <w:rFonts w:eastAsia="SimSun"/>
          <w:szCs w:val="22"/>
        </w:rPr>
      </w:pPr>
      <w:r>
        <w:t>1 injekčná liekovka s objemom 4 ml</w:t>
      </w:r>
    </w:p>
    <w:p w14:paraId="4D1A0F76" w14:textId="77777777" w:rsidR="007F5BBD" w:rsidRPr="00F37D4D" w:rsidRDefault="00BE7CB1" w:rsidP="00F64BF9">
      <w:pPr>
        <w:spacing w:line="240" w:lineRule="auto"/>
        <w:rPr>
          <w:rFonts w:eastAsia="SimSun"/>
          <w:szCs w:val="22"/>
        </w:rPr>
      </w:pPr>
      <w:r>
        <w:t>100 mg/4 ml</w:t>
      </w:r>
    </w:p>
    <w:p w14:paraId="7BD00AD7" w14:textId="77777777" w:rsidR="007F5BBD" w:rsidRPr="00F37D4D" w:rsidRDefault="007F5BBD" w:rsidP="00F64BF9">
      <w:pPr>
        <w:spacing w:line="240" w:lineRule="auto"/>
        <w:rPr>
          <w:szCs w:val="22"/>
        </w:rPr>
      </w:pPr>
    </w:p>
    <w:p w14:paraId="773CC64D" w14:textId="77777777" w:rsidR="00812D16" w:rsidRPr="00F37D4D" w:rsidRDefault="00812D16" w:rsidP="00F64BF9">
      <w:pPr>
        <w:spacing w:line="240" w:lineRule="auto"/>
        <w:rPr>
          <w:szCs w:val="22"/>
        </w:rPr>
      </w:pPr>
    </w:p>
    <w:p w14:paraId="71905CE6" w14:textId="5D2F230F"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 xml:space="preserve">SPÔSOB A CESTA </w:t>
      </w:r>
      <w:r w:rsidR="00AD73DF" w:rsidRPr="00AD73DF">
        <w:rPr>
          <w:b/>
        </w:rPr>
        <w:t xml:space="preserve">(CESTY) </w:t>
      </w:r>
      <w:r>
        <w:rPr>
          <w:b/>
        </w:rPr>
        <w:t>PODÁVANIA</w:t>
      </w:r>
    </w:p>
    <w:p w14:paraId="4A48D72B" w14:textId="77777777" w:rsidR="00812D16" w:rsidRPr="00F37D4D" w:rsidRDefault="00812D16" w:rsidP="00F64BF9">
      <w:pPr>
        <w:spacing w:line="240" w:lineRule="auto"/>
        <w:rPr>
          <w:szCs w:val="22"/>
        </w:rPr>
      </w:pPr>
    </w:p>
    <w:p w14:paraId="677370F3" w14:textId="77777777" w:rsidR="007F5BBD" w:rsidRPr="00F37D4D" w:rsidRDefault="00BE7CB1" w:rsidP="00F64BF9">
      <w:pPr>
        <w:spacing w:line="240" w:lineRule="auto"/>
        <w:rPr>
          <w:rFonts w:eastAsia="SimSun"/>
          <w:szCs w:val="22"/>
        </w:rPr>
      </w:pPr>
      <w:r w:rsidRPr="00061311">
        <w:t>Na intravenózne podanie</w:t>
      </w:r>
      <w:r>
        <w:t xml:space="preserve"> po zriedení</w:t>
      </w:r>
    </w:p>
    <w:p w14:paraId="52C0FC6F" w14:textId="77777777" w:rsidR="00812D16" w:rsidRPr="00F37D4D" w:rsidRDefault="00BE7CB1" w:rsidP="00F64BF9">
      <w:pPr>
        <w:spacing w:line="240" w:lineRule="auto"/>
        <w:rPr>
          <w:szCs w:val="22"/>
        </w:rPr>
      </w:pPr>
      <w:r>
        <w:t>Pred použitím si prečítajte písomnú informáciu pre používateľa.</w:t>
      </w:r>
    </w:p>
    <w:p w14:paraId="50A10637" w14:textId="77777777" w:rsidR="00812D16" w:rsidRPr="00F37D4D" w:rsidRDefault="00812D16" w:rsidP="00F64BF9">
      <w:pPr>
        <w:spacing w:line="240" w:lineRule="auto"/>
        <w:rPr>
          <w:szCs w:val="22"/>
        </w:rPr>
      </w:pPr>
    </w:p>
    <w:p w14:paraId="4C78484B" w14:textId="77777777" w:rsidR="00812D16" w:rsidRPr="00F37D4D" w:rsidRDefault="00812D16" w:rsidP="00F64BF9">
      <w:pPr>
        <w:spacing w:line="240" w:lineRule="auto"/>
        <w:rPr>
          <w:szCs w:val="22"/>
        </w:rPr>
      </w:pPr>
    </w:p>
    <w:p w14:paraId="3D7A36B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ŠPECIÁLNE UPOZORNENIE, ŽE LIEK SA MUSÍ UCHOVÁVAŤ MIMO DOHĽADU A DOSAHU DETÍ</w:t>
      </w:r>
    </w:p>
    <w:p w14:paraId="14910F27" w14:textId="77777777" w:rsidR="00812D16" w:rsidRPr="00F37D4D" w:rsidRDefault="00812D16" w:rsidP="00F64BF9">
      <w:pPr>
        <w:spacing w:line="240" w:lineRule="auto"/>
        <w:rPr>
          <w:szCs w:val="22"/>
        </w:rPr>
      </w:pPr>
    </w:p>
    <w:p w14:paraId="1BFEFF65" w14:textId="77777777" w:rsidR="00812D16" w:rsidRPr="00F37D4D" w:rsidRDefault="00BE7CB1" w:rsidP="00F64BF9">
      <w:pPr>
        <w:spacing w:line="240" w:lineRule="auto"/>
      </w:pPr>
      <w:r>
        <w:t>Uchovávajte mimo dohľadu a dosahu detí.</w:t>
      </w:r>
    </w:p>
    <w:p w14:paraId="20989052" w14:textId="77777777" w:rsidR="00812D16" w:rsidRPr="00F37D4D" w:rsidRDefault="00812D16" w:rsidP="00F64BF9">
      <w:pPr>
        <w:spacing w:line="240" w:lineRule="auto"/>
        <w:rPr>
          <w:szCs w:val="22"/>
        </w:rPr>
      </w:pPr>
    </w:p>
    <w:p w14:paraId="17E57056" w14:textId="77777777" w:rsidR="00812D16" w:rsidRPr="00F37D4D" w:rsidRDefault="00812D16" w:rsidP="00F64BF9">
      <w:pPr>
        <w:spacing w:line="240" w:lineRule="auto"/>
        <w:rPr>
          <w:szCs w:val="22"/>
        </w:rPr>
      </w:pPr>
    </w:p>
    <w:p w14:paraId="58133ED9" w14:textId="09787CFD"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7.</w:t>
      </w:r>
      <w:r w:rsidRPr="00F37D4D">
        <w:rPr>
          <w:b/>
          <w:bCs/>
          <w:szCs w:val="22"/>
        </w:rPr>
        <w:tab/>
      </w:r>
      <w:r>
        <w:rPr>
          <w:b/>
        </w:rPr>
        <w:t xml:space="preserve">INÉ ŠPECIÁLNE </w:t>
      </w:r>
      <w:r w:rsidR="00AD73DF" w:rsidRPr="00AD73DF">
        <w:rPr>
          <w:b/>
        </w:rPr>
        <w:t>UPOZORNENIE (UPOZORNENIA)</w:t>
      </w:r>
      <w:r>
        <w:rPr>
          <w:b/>
        </w:rPr>
        <w:t>, AK JE TO POTREBNÉ</w:t>
      </w:r>
    </w:p>
    <w:p w14:paraId="755F0018" w14:textId="77777777" w:rsidR="00812D16" w:rsidRPr="00F37D4D" w:rsidRDefault="00812D16" w:rsidP="00F64BF9">
      <w:pPr>
        <w:tabs>
          <w:tab w:val="left" w:pos="749"/>
        </w:tabs>
        <w:spacing w:line="240" w:lineRule="auto"/>
      </w:pPr>
    </w:p>
    <w:p w14:paraId="58937CD2" w14:textId="77777777" w:rsidR="00812D16" w:rsidRPr="00F37D4D" w:rsidRDefault="00812D16" w:rsidP="00F64BF9">
      <w:pPr>
        <w:tabs>
          <w:tab w:val="left" w:pos="749"/>
        </w:tabs>
        <w:spacing w:line="240" w:lineRule="auto"/>
      </w:pPr>
    </w:p>
    <w:p w14:paraId="2D2877E8"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8.</w:t>
      </w:r>
      <w:r w:rsidRPr="00F37D4D">
        <w:rPr>
          <w:b/>
          <w:bCs/>
        </w:rPr>
        <w:tab/>
      </w:r>
      <w:r>
        <w:rPr>
          <w:b/>
        </w:rPr>
        <w:t>DÁTUM EXSPIRÁCIE</w:t>
      </w:r>
    </w:p>
    <w:p w14:paraId="048CBD2D" w14:textId="77777777" w:rsidR="00812D16" w:rsidRPr="00F37D4D" w:rsidRDefault="00812D16" w:rsidP="00F64BF9">
      <w:pPr>
        <w:spacing w:line="240" w:lineRule="auto"/>
      </w:pPr>
    </w:p>
    <w:p w14:paraId="26421C2D" w14:textId="77777777" w:rsidR="007F5BBD" w:rsidRPr="00F37D4D" w:rsidRDefault="00BE7CB1" w:rsidP="00F64BF9">
      <w:pPr>
        <w:spacing w:line="240" w:lineRule="auto"/>
        <w:rPr>
          <w:rFonts w:eastAsia="SimSun"/>
          <w:szCs w:val="22"/>
        </w:rPr>
      </w:pPr>
      <w:r>
        <w:t>EXP</w:t>
      </w:r>
    </w:p>
    <w:p w14:paraId="513F9FFF" w14:textId="77777777" w:rsidR="007F5BBD" w:rsidRPr="00F37D4D" w:rsidRDefault="007F5BBD" w:rsidP="00F64BF9">
      <w:pPr>
        <w:spacing w:line="240" w:lineRule="auto"/>
      </w:pPr>
    </w:p>
    <w:p w14:paraId="10E9D594" w14:textId="77777777" w:rsidR="00812D16" w:rsidRPr="00F37D4D" w:rsidRDefault="00812D16" w:rsidP="00F64BF9">
      <w:pPr>
        <w:spacing w:line="240" w:lineRule="auto"/>
        <w:rPr>
          <w:szCs w:val="22"/>
        </w:rPr>
      </w:pPr>
    </w:p>
    <w:p w14:paraId="75B33D5E"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9.</w:t>
      </w:r>
      <w:r w:rsidRPr="00F37D4D">
        <w:rPr>
          <w:b/>
          <w:bCs/>
          <w:szCs w:val="22"/>
        </w:rPr>
        <w:tab/>
      </w:r>
      <w:r>
        <w:rPr>
          <w:b/>
        </w:rPr>
        <w:t>ŠPECIÁLNE PODMIENKY NA UCHOVÁVANIE</w:t>
      </w:r>
    </w:p>
    <w:p w14:paraId="78463E99" w14:textId="77777777" w:rsidR="00812D16" w:rsidRPr="00F37D4D" w:rsidRDefault="00812D16" w:rsidP="00F64BF9">
      <w:pPr>
        <w:spacing w:line="240" w:lineRule="auto"/>
        <w:rPr>
          <w:szCs w:val="22"/>
        </w:rPr>
      </w:pPr>
    </w:p>
    <w:p w14:paraId="39DC72BC" w14:textId="77777777" w:rsidR="007F5BBD" w:rsidRPr="00F37D4D" w:rsidRDefault="00BE7CB1" w:rsidP="00F64BF9">
      <w:pPr>
        <w:spacing w:line="240" w:lineRule="auto"/>
        <w:ind w:right="4751"/>
      </w:pPr>
      <w:r>
        <w:t>Uchovávajte v chladničke.</w:t>
      </w:r>
    </w:p>
    <w:p w14:paraId="592A7993" w14:textId="77777777" w:rsidR="007F5BBD" w:rsidRPr="00F37D4D" w:rsidRDefault="00BE7CB1" w:rsidP="00F64BF9">
      <w:pPr>
        <w:spacing w:line="240" w:lineRule="auto"/>
        <w:ind w:right="5903"/>
      </w:pPr>
      <w:r>
        <w:rPr>
          <w:spacing w:val="-1"/>
        </w:rPr>
        <w:t>Neuchovávajte v mrazničke.</w:t>
      </w:r>
    </w:p>
    <w:p w14:paraId="4D86F017" w14:textId="77777777" w:rsidR="007F5BBD" w:rsidRPr="00F37D4D" w:rsidRDefault="00BE7CB1" w:rsidP="00F64BF9">
      <w:pPr>
        <w:spacing w:line="240" w:lineRule="auto"/>
        <w:ind w:right="-20"/>
      </w:pPr>
      <w:r>
        <w:rPr>
          <w:spacing w:val="1"/>
        </w:rPr>
        <w:t>Injekčnú liekovku uchovávajte vo vonkajšom obale na ochranu pred svetlom.</w:t>
      </w:r>
    </w:p>
    <w:p w14:paraId="4CB58D94" w14:textId="77777777" w:rsidR="00812D16" w:rsidRPr="00F37D4D" w:rsidRDefault="00812D16" w:rsidP="00F64BF9">
      <w:pPr>
        <w:spacing w:line="240" w:lineRule="auto"/>
        <w:ind w:left="567" w:hanging="567"/>
        <w:rPr>
          <w:szCs w:val="22"/>
        </w:rPr>
      </w:pPr>
    </w:p>
    <w:p w14:paraId="6C053DD4" w14:textId="77777777" w:rsidR="007F5BBD" w:rsidRPr="00F37D4D" w:rsidRDefault="007F5BBD" w:rsidP="00F64BF9">
      <w:pPr>
        <w:spacing w:line="240" w:lineRule="auto"/>
        <w:ind w:left="567" w:hanging="567"/>
        <w:rPr>
          <w:szCs w:val="22"/>
        </w:rPr>
      </w:pPr>
    </w:p>
    <w:p w14:paraId="2021F0C5"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lastRenderedPageBreak/>
        <w:t>10.</w:t>
      </w:r>
      <w:r w:rsidRPr="00F37D4D">
        <w:rPr>
          <w:b/>
          <w:bCs/>
          <w:szCs w:val="22"/>
        </w:rPr>
        <w:tab/>
      </w:r>
      <w:r>
        <w:rPr>
          <w:b/>
        </w:rPr>
        <w:t>ŠPECIÁLNE UPOZORNENIA NA LIKVIDÁCIU NEPOUŽITÝCH LIEKOV ALEBO ODPADOV Z NICH VZNIKNUTÝCH, AK JE TO VHODNÉ</w:t>
      </w:r>
    </w:p>
    <w:p w14:paraId="511E67B1" w14:textId="77777777" w:rsidR="00812D16" w:rsidRPr="00F37D4D" w:rsidRDefault="00812D16" w:rsidP="00F64BF9">
      <w:pPr>
        <w:spacing w:line="240" w:lineRule="auto"/>
        <w:rPr>
          <w:szCs w:val="22"/>
        </w:rPr>
      </w:pPr>
    </w:p>
    <w:p w14:paraId="167CDF00" w14:textId="77777777" w:rsidR="00812D16" w:rsidRPr="00F37D4D" w:rsidRDefault="00812D16" w:rsidP="00F64BF9">
      <w:pPr>
        <w:spacing w:line="240" w:lineRule="auto"/>
        <w:rPr>
          <w:szCs w:val="22"/>
        </w:rPr>
      </w:pPr>
    </w:p>
    <w:p w14:paraId="4F83B37A"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11.</w:t>
      </w:r>
      <w:r w:rsidRPr="00F37D4D">
        <w:rPr>
          <w:b/>
          <w:bCs/>
          <w:szCs w:val="22"/>
        </w:rPr>
        <w:tab/>
      </w:r>
      <w:r>
        <w:rPr>
          <w:b/>
        </w:rPr>
        <w:t>NÁZOV A ADRESA DRŽITEĽA ROZHODNUTIA O REGISTRÁCII</w:t>
      </w:r>
    </w:p>
    <w:p w14:paraId="0A893D2B" w14:textId="77777777" w:rsidR="00812D16" w:rsidRPr="00F37D4D" w:rsidRDefault="00812D16" w:rsidP="00F64BF9">
      <w:pPr>
        <w:spacing w:line="240" w:lineRule="auto"/>
        <w:rPr>
          <w:szCs w:val="22"/>
        </w:rPr>
      </w:pPr>
    </w:p>
    <w:p w14:paraId="4DFC5909" w14:textId="77777777" w:rsidR="005C10FD" w:rsidRPr="00F37D4D" w:rsidRDefault="00BE7CB1" w:rsidP="00F64BF9">
      <w:pPr>
        <w:spacing w:line="240" w:lineRule="auto"/>
      </w:pPr>
      <w:r>
        <w:t>Mabxience Research SL</w:t>
      </w:r>
    </w:p>
    <w:p w14:paraId="64F093DF" w14:textId="5E418BDF" w:rsidR="005C10FD" w:rsidRPr="00F37D4D" w:rsidRDefault="00BE7CB1" w:rsidP="00F64BF9">
      <w:pPr>
        <w:spacing w:line="240" w:lineRule="auto"/>
      </w:pPr>
      <w:r>
        <w:t>C/ Manuel Pombo Angulo 28</w:t>
      </w:r>
    </w:p>
    <w:p w14:paraId="7C65B789" w14:textId="77777777" w:rsidR="00812D16" w:rsidRPr="00F37D4D" w:rsidRDefault="00BE7CB1" w:rsidP="00F64BF9">
      <w:pPr>
        <w:spacing w:line="240" w:lineRule="auto"/>
      </w:pPr>
      <w:r>
        <w:t>28050 Madrid</w:t>
      </w:r>
    </w:p>
    <w:p w14:paraId="653F07B1" w14:textId="77777777" w:rsidR="005C10FD" w:rsidRPr="00F37D4D" w:rsidRDefault="00BE7CB1" w:rsidP="00F64BF9">
      <w:pPr>
        <w:spacing w:line="240" w:lineRule="auto"/>
        <w:rPr>
          <w:szCs w:val="22"/>
        </w:rPr>
      </w:pPr>
      <w:r>
        <w:t>Španielsko</w:t>
      </w:r>
    </w:p>
    <w:p w14:paraId="3E16F422" w14:textId="77777777" w:rsidR="00812D16" w:rsidRDefault="00812D16" w:rsidP="00F64BF9">
      <w:pPr>
        <w:spacing w:line="240" w:lineRule="auto"/>
        <w:rPr>
          <w:szCs w:val="22"/>
        </w:rPr>
      </w:pPr>
    </w:p>
    <w:p w14:paraId="11A0863C" w14:textId="77777777" w:rsidR="00E874AB" w:rsidRPr="00F37D4D" w:rsidRDefault="00E874AB" w:rsidP="00F64BF9">
      <w:pPr>
        <w:spacing w:line="240" w:lineRule="auto"/>
        <w:rPr>
          <w:szCs w:val="22"/>
        </w:rPr>
      </w:pPr>
    </w:p>
    <w:p w14:paraId="564A6305"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12.</w:t>
      </w:r>
      <w:r w:rsidRPr="00F37D4D">
        <w:rPr>
          <w:b/>
          <w:bCs/>
          <w:szCs w:val="22"/>
        </w:rPr>
        <w:tab/>
      </w:r>
      <w:r>
        <w:rPr>
          <w:b/>
        </w:rPr>
        <w:t>REGISTRAČNÉ ČÍSLO (ČÍSLA)</w:t>
      </w:r>
    </w:p>
    <w:p w14:paraId="7EC58BA2" w14:textId="77777777" w:rsidR="00812D16" w:rsidRDefault="00812D16" w:rsidP="00F64BF9">
      <w:pPr>
        <w:spacing w:line="240" w:lineRule="auto"/>
        <w:rPr>
          <w:szCs w:val="22"/>
        </w:rPr>
      </w:pPr>
    </w:p>
    <w:p w14:paraId="7B8AB75D" w14:textId="77777777" w:rsidR="00E874AB" w:rsidRPr="00E874AB" w:rsidRDefault="00E874AB" w:rsidP="00E874AB">
      <w:pPr>
        <w:spacing w:line="240" w:lineRule="auto"/>
        <w:rPr>
          <w:szCs w:val="22"/>
        </w:rPr>
      </w:pPr>
      <w:r w:rsidRPr="00E874AB">
        <w:rPr>
          <w:szCs w:val="22"/>
        </w:rPr>
        <w:t>EU/1/20/1509/001</w:t>
      </w:r>
    </w:p>
    <w:p w14:paraId="13A9722F" w14:textId="77777777" w:rsidR="00E874AB" w:rsidRPr="00F37D4D" w:rsidRDefault="00E874AB" w:rsidP="00E874AB">
      <w:pPr>
        <w:spacing w:line="240" w:lineRule="auto"/>
        <w:rPr>
          <w:szCs w:val="22"/>
        </w:rPr>
      </w:pPr>
    </w:p>
    <w:p w14:paraId="668E313D" w14:textId="77777777" w:rsidR="00812D16" w:rsidRPr="00F37D4D" w:rsidRDefault="00812D16" w:rsidP="00F64BF9">
      <w:pPr>
        <w:spacing w:line="240" w:lineRule="auto"/>
        <w:rPr>
          <w:szCs w:val="22"/>
        </w:rPr>
      </w:pPr>
    </w:p>
    <w:p w14:paraId="7803EBE4"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13.</w:t>
      </w:r>
      <w:r w:rsidRPr="00F37D4D">
        <w:rPr>
          <w:b/>
          <w:bCs/>
          <w:szCs w:val="22"/>
        </w:rPr>
        <w:tab/>
      </w:r>
      <w:r>
        <w:rPr>
          <w:b/>
        </w:rPr>
        <w:t>ČÍSLO VÝROBNEJ ŠARŽE</w:t>
      </w:r>
    </w:p>
    <w:p w14:paraId="497D77E6" w14:textId="77777777" w:rsidR="00812D16" w:rsidRPr="00F37D4D" w:rsidRDefault="00812D16" w:rsidP="00F64BF9">
      <w:pPr>
        <w:spacing w:line="240" w:lineRule="auto"/>
        <w:rPr>
          <w:i/>
          <w:szCs w:val="22"/>
        </w:rPr>
      </w:pPr>
    </w:p>
    <w:p w14:paraId="6D6D85F3" w14:textId="77777777" w:rsidR="007F5BBD" w:rsidRPr="00F37D4D" w:rsidRDefault="00BE7CB1" w:rsidP="00F64BF9">
      <w:pPr>
        <w:spacing w:line="240" w:lineRule="auto"/>
        <w:rPr>
          <w:rFonts w:eastAsia="SimSun"/>
          <w:szCs w:val="22"/>
        </w:rPr>
      </w:pPr>
      <w:r>
        <w:t>Lot</w:t>
      </w:r>
    </w:p>
    <w:p w14:paraId="1DB89B7D" w14:textId="77777777" w:rsidR="00812D16" w:rsidRPr="00F37D4D" w:rsidRDefault="00812D16" w:rsidP="00F64BF9">
      <w:pPr>
        <w:spacing w:line="240" w:lineRule="auto"/>
        <w:rPr>
          <w:szCs w:val="22"/>
        </w:rPr>
      </w:pPr>
    </w:p>
    <w:p w14:paraId="4E31C694" w14:textId="77777777" w:rsidR="007F5BBD" w:rsidRPr="00F37D4D" w:rsidRDefault="007F5BBD" w:rsidP="00F64BF9">
      <w:pPr>
        <w:spacing w:line="240" w:lineRule="auto"/>
        <w:rPr>
          <w:szCs w:val="22"/>
        </w:rPr>
      </w:pPr>
    </w:p>
    <w:p w14:paraId="669BF02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14.</w:t>
      </w:r>
      <w:r w:rsidRPr="00F37D4D">
        <w:rPr>
          <w:b/>
          <w:bCs/>
          <w:szCs w:val="22"/>
        </w:rPr>
        <w:tab/>
      </w:r>
      <w:r>
        <w:rPr>
          <w:b/>
        </w:rPr>
        <w:t>ZATRIEDENIE LIEKU PODĽA SPÔSOBU VÝDAJA</w:t>
      </w:r>
    </w:p>
    <w:p w14:paraId="0758366D" w14:textId="77777777" w:rsidR="00812D16" w:rsidRPr="00F37D4D" w:rsidRDefault="00812D16" w:rsidP="00F64BF9">
      <w:pPr>
        <w:spacing w:line="240" w:lineRule="auto"/>
        <w:rPr>
          <w:i/>
          <w:szCs w:val="22"/>
        </w:rPr>
      </w:pPr>
    </w:p>
    <w:p w14:paraId="5E2CA08E" w14:textId="77777777" w:rsidR="00812D16" w:rsidRPr="00F37D4D" w:rsidRDefault="00812D16" w:rsidP="00F64BF9">
      <w:pPr>
        <w:spacing w:line="240" w:lineRule="auto"/>
        <w:rPr>
          <w:szCs w:val="22"/>
        </w:rPr>
      </w:pPr>
    </w:p>
    <w:p w14:paraId="711840D3"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15.</w:t>
      </w:r>
      <w:r w:rsidRPr="00F37D4D">
        <w:rPr>
          <w:b/>
          <w:bCs/>
          <w:szCs w:val="22"/>
        </w:rPr>
        <w:tab/>
      </w:r>
      <w:r>
        <w:rPr>
          <w:b/>
        </w:rPr>
        <w:t>POKYNY NA POUŽITIE</w:t>
      </w:r>
    </w:p>
    <w:p w14:paraId="4A7BC54E" w14:textId="77777777" w:rsidR="00812D16" w:rsidRPr="00F37D4D" w:rsidRDefault="00812D16" w:rsidP="00F64BF9">
      <w:pPr>
        <w:spacing w:line="240" w:lineRule="auto"/>
        <w:rPr>
          <w:szCs w:val="22"/>
        </w:rPr>
      </w:pPr>
    </w:p>
    <w:p w14:paraId="094D157C" w14:textId="77777777" w:rsidR="00812D16" w:rsidRPr="00F37D4D" w:rsidRDefault="00812D16" w:rsidP="00F64BF9">
      <w:pPr>
        <w:spacing w:line="240" w:lineRule="auto"/>
        <w:rPr>
          <w:szCs w:val="22"/>
        </w:rPr>
      </w:pPr>
    </w:p>
    <w:p w14:paraId="6D3DE8D9"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16.</w:t>
      </w:r>
      <w:r w:rsidRPr="00F37D4D">
        <w:rPr>
          <w:b/>
          <w:bCs/>
          <w:szCs w:val="22"/>
        </w:rPr>
        <w:tab/>
      </w:r>
      <w:r>
        <w:rPr>
          <w:b/>
        </w:rPr>
        <w:t>INFORMÁCIE V BRAILLOVOM PÍSME</w:t>
      </w:r>
    </w:p>
    <w:p w14:paraId="7B1AAC83" w14:textId="77777777" w:rsidR="00812D16" w:rsidRPr="00F37D4D" w:rsidRDefault="00812D16" w:rsidP="00F64BF9">
      <w:pPr>
        <w:spacing w:line="240" w:lineRule="auto"/>
        <w:rPr>
          <w:szCs w:val="22"/>
        </w:rPr>
      </w:pPr>
    </w:p>
    <w:p w14:paraId="49591C25" w14:textId="77777777" w:rsidR="00812D16" w:rsidRPr="00F37D4D" w:rsidRDefault="00BE7CB1" w:rsidP="00F64BF9">
      <w:pPr>
        <w:spacing w:line="240" w:lineRule="auto"/>
        <w:rPr>
          <w:szCs w:val="22"/>
          <w:shd w:val="clear" w:color="auto" w:fill="CCCCCC"/>
        </w:rPr>
      </w:pPr>
      <w:r>
        <w:rPr>
          <w:shd w:val="clear" w:color="auto" w:fill="CCCCCC"/>
        </w:rPr>
        <w:t>Zdôvodnenie neuvádzať informáciu v Braillovom písme sa akceptuje.</w:t>
      </w:r>
    </w:p>
    <w:p w14:paraId="7A998956" w14:textId="77777777" w:rsidR="005C71E4" w:rsidRPr="00F37D4D" w:rsidRDefault="005C71E4" w:rsidP="00F64BF9">
      <w:pPr>
        <w:spacing w:line="240" w:lineRule="auto"/>
        <w:rPr>
          <w:szCs w:val="22"/>
          <w:shd w:val="clear" w:color="auto" w:fill="CCCCCC"/>
        </w:rPr>
      </w:pPr>
    </w:p>
    <w:p w14:paraId="6F369689" w14:textId="77777777" w:rsidR="005C71E4" w:rsidRPr="00F37D4D" w:rsidRDefault="005C71E4" w:rsidP="00F64BF9">
      <w:pPr>
        <w:spacing w:line="240" w:lineRule="auto"/>
        <w:rPr>
          <w:szCs w:val="22"/>
          <w:shd w:val="clear" w:color="auto" w:fill="CCCCCC"/>
        </w:rPr>
      </w:pPr>
    </w:p>
    <w:p w14:paraId="1C39EDFF"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17.</w:t>
      </w:r>
      <w:r w:rsidRPr="00F37D4D">
        <w:rPr>
          <w:b/>
          <w:bCs/>
          <w:szCs w:val="22"/>
        </w:rPr>
        <w:tab/>
      </w:r>
      <w:r>
        <w:rPr>
          <w:b/>
        </w:rPr>
        <w:t>ŠPECIFICKÝ IDENTIFIKÁTOR – DVOJROZMERNÝ ČIAROVÝ KÓD</w:t>
      </w:r>
    </w:p>
    <w:p w14:paraId="756C1C96" w14:textId="77777777" w:rsidR="005C71E4" w:rsidRPr="00F37D4D" w:rsidRDefault="005C71E4" w:rsidP="00F64BF9">
      <w:pPr>
        <w:tabs>
          <w:tab w:val="clear" w:pos="567"/>
        </w:tabs>
        <w:spacing w:line="240" w:lineRule="auto"/>
      </w:pPr>
    </w:p>
    <w:p w14:paraId="4F91953C" w14:textId="69423FF6" w:rsidR="005C71E4" w:rsidRPr="00F37D4D" w:rsidRDefault="00BE7CB1" w:rsidP="00F64BF9">
      <w:pPr>
        <w:spacing w:line="240" w:lineRule="auto"/>
        <w:rPr>
          <w:szCs w:val="22"/>
          <w:shd w:val="clear" w:color="auto" w:fill="CCCCCC"/>
        </w:rPr>
      </w:pPr>
      <w:r>
        <w:rPr>
          <w:highlight w:val="lightGray"/>
        </w:rPr>
        <w:t>Dvojrozmerný čiarový kód s</w:t>
      </w:r>
      <w:r w:rsidR="002F755C">
        <w:rPr>
          <w:highlight w:val="lightGray"/>
        </w:rPr>
        <w:t>o</w:t>
      </w:r>
      <w:r>
        <w:rPr>
          <w:highlight w:val="lightGray"/>
        </w:rPr>
        <w:t xml:space="preserve"> </w:t>
      </w:r>
      <w:r w:rsidR="002F755C">
        <w:rPr>
          <w:highlight w:val="lightGray"/>
        </w:rPr>
        <w:t>špecifick</w:t>
      </w:r>
      <w:r>
        <w:rPr>
          <w:highlight w:val="lightGray"/>
        </w:rPr>
        <w:t>ým identifikátorom.</w:t>
      </w:r>
    </w:p>
    <w:p w14:paraId="1F170A9F" w14:textId="77777777" w:rsidR="005C71E4" w:rsidRPr="00F37D4D" w:rsidRDefault="005C71E4" w:rsidP="00F64BF9">
      <w:pPr>
        <w:spacing w:line="240" w:lineRule="auto"/>
        <w:rPr>
          <w:szCs w:val="22"/>
          <w:shd w:val="clear" w:color="auto" w:fill="CCCCCC"/>
        </w:rPr>
      </w:pPr>
    </w:p>
    <w:p w14:paraId="51FF37D9" w14:textId="77777777" w:rsidR="005C71E4" w:rsidRPr="00F37D4D" w:rsidRDefault="005C71E4" w:rsidP="00F64BF9">
      <w:pPr>
        <w:tabs>
          <w:tab w:val="clear" w:pos="567"/>
        </w:tabs>
        <w:spacing w:line="240" w:lineRule="auto"/>
      </w:pPr>
    </w:p>
    <w:p w14:paraId="470E619D"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18.</w:t>
      </w:r>
      <w:r w:rsidRPr="00F37D4D">
        <w:rPr>
          <w:b/>
          <w:bCs/>
          <w:szCs w:val="22"/>
        </w:rPr>
        <w:tab/>
      </w:r>
      <w:r>
        <w:rPr>
          <w:b/>
        </w:rPr>
        <w:t>ŠPECIFICKÝ IDENTIFIKÁTOR – ÚDAJE ČITATEĽNÉ ĽUDSKÝM OKOM</w:t>
      </w:r>
    </w:p>
    <w:p w14:paraId="0DC39F73" w14:textId="77777777" w:rsidR="005C71E4" w:rsidRPr="00F37D4D" w:rsidRDefault="005C71E4" w:rsidP="00F64BF9">
      <w:pPr>
        <w:tabs>
          <w:tab w:val="clear" w:pos="567"/>
        </w:tabs>
        <w:spacing w:line="240" w:lineRule="auto"/>
      </w:pPr>
    </w:p>
    <w:p w14:paraId="24C8C955" w14:textId="77777777" w:rsidR="007F5BBD" w:rsidRPr="00F37D4D" w:rsidRDefault="00BE7CB1" w:rsidP="00F64BF9">
      <w:pPr>
        <w:spacing w:line="240" w:lineRule="auto"/>
        <w:rPr>
          <w:szCs w:val="22"/>
        </w:rPr>
      </w:pPr>
      <w:r>
        <w:t>PC</w:t>
      </w:r>
    </w:p>
    <w:p w14:paraId="45E09174" w14:textId="77777777" w:rsidR="007F5BBD" w:rsidRPr="00F37D4D" w:rsidRDefault="00BE7CB1" w:rsidP="00F64BF9">
      <w:pPr>
        <w:spacing w:line="240" w:lineRule="auto"/>
        <w:rPr>
          <w:szCs w:val="22"/>
        </w:rPr>
      </w:pPr>
      <w:r>
        <w:t>SN</w:t>
      </w:r>
    </w:p>
    <w:p w14:paraId="5338E53B" w14:textId="77777777" w:rsidR="007F5BBD" w:rsidRPr="00F37D4D" w:rsidRDefault="00BE7CB1" w:rsidP="00F64BF9">
      <w:pPr>
        <w:spacing w:line="240" w:lineRule="auto"/>
        <w:rPr>
          <w:b/>
          <w:szCs w:val="22"/>
        </w:rPr>
      </w:pPr>
      <w:r>
        <w:t>NN</w:t>
      </w:r>
      <w:r w:rsidR="00B674D6" w:rsidRPr="00F37D4D">
        <w:rPr>
          <w:szCs w:val="22"/>
          <w:shd w:val="clear" w:color="auto" w:fill="CCCCCC"/>
        </w:rPr>
        <w:br w:type="page"/>
      </w:r>
    </w:p>
    <w:p w14:paraId="48BEFD52" w14:textId="77777777" w:rsidR="00A27A3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lastRenderedPageBreak/>
        <w:t>MINIMÁLNE ÚDAJE, KTORÉ MAJÚ BYŤ UVEDENÉ NA MALOM VNÚTORNOM OBALE</w:t>
      </w:r>
    </w:p>
    <w:p w14:paraId="62091A6A" w14:textId="77777777" w:rsidR="00812D16" w:rsidRPr="00F37D4D"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247365E"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INJEKČNÁ LIEKOVKA</w:t>
      </w:r>
    </w:p>
    <w:p w14:paraId="50FD702A" w14:textId="77777777" w:rsidR="00812D16" w:rsidRPr="00F37D4D" w:rsidRDefault="00812D16" w:rsidP="00F64BF9">
      <w:pPr>
        <w:spacing w:line="240" w:lineRule="auto"/>
        <w:rPr>
          <w:szCs w:val="22"/>
        </w:rPr>
      </w:pPr>
    </w:p>
    <w:p w14:paraId="25C4E80E" w14:textId="77777777" w:rsidR="00812D16" w:rsidRPr="00F37D4D" w:rsidRDefault="00812D16" w:rsidP="00F64BF9">
      <w:pPr>
        <w:spacing w:line="240" w:lineRule="auto"/>
        <w:rPr>
          <w:szCs w:val="22"/>
        </w:rPr>
      </w:pPr>
    </w:p>
    <w:p w14:paraId="0E07310A" w14:textId="7B505922"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w:t>
      </w:r>
      <w:r w:rsidRPr="00F37D4D">
        <w:rPr>
          <w:b/>
          <w:bCs/>
          <w:szCs w:val="22"/>
        </w:rPr>
        <w:tab/>
      </w:r>
      <w:r>
        <w:rPr>
          <w:b/>
        </w:rPr>
        <w:t xml:space="preserve">NÁZOV LIEKU A CESTA </w:t>
      </w:r>
      <w:r w:rsidR="00AD73DF" w:rsidRPr="00AD73DF">
        <w:rPr>
          <w:b/>
        </w:rPr>
        <w:t xml:space="preserve">(CESTY) </w:t>
      </w:r>
      <w:r>
        <w:rPr>
          <w:b/>
        </w:rPr>
        <w:t>POD</w:t>
      </w:r>
      <w:r w:rsidR="002F755C">
        <w:rPr>
          <w:b/>
        </w:rPr>
        <w:t>ÁV</w:t>
      </w:r>
      <w:r>
        <w:rPr>
          <w:b/>
        </w:rPr>
        <w:t>ANIA</w:t>
      </w:r>
    </w:p>
    <w:p w14:paraId="44F0F8D7" w14:textId="77777777" w:rsidR="00812D16" w:rsidRPr="00F37D4D" w:rsidRDefault="00812D16" w:rsidP="00F64BF9">
      <w:pPr>
        <w:spacing w:line="240" w:lineRule="auto"/>
        <w:ind w:left="567" w:hanging="567"/>
        <w:rPr>
          <w:szCs w:val="22"/>
        </w:rPr>
      </w:pPr>
    </w:p>
    <w:p w14:paraId="6B873063" w14:textId="5CAC1C36" w:rsidR="007F5BBD" w:rsidRPr="00F37D4D" w:rsidRDefault="00BE7CB1" w:rsidP="00F64BF9">
      <w:pPr>
        <w:tabs>
          <w:tab w:val="clear" w:pos="567"/>
        </w:tabs>
        <w:autoSpaceDE w:val="0"/>
        <w:autoSpaceDN w:val="0"/>
        <w:adjustRightInd w:val="0"/>
        <w:spacing w:line="240" w:lineRule="auto"/>
        <w:rPr>
          <w:rFonts w:eastAsia="SimSun"/>
          <w:szCs w:val="22"/>
        </w:rPr>
      </w:pPr>
      <w:r>
        <w:t>Alymsys 25 mg/ml</w:t>
      </w:r>
      <w:r w:rsidR="003F10AD" w:rsidRPr="003F10AD">
        <w:t xml:space="preserve"> </w:t>
      </w:r>
      <w:r w:rsidR="003F10AD">
        <w:t>sterilný</w:t>
      </w:r>
      <w:r>
        <w:t xml:space="preserve"> </w:t>
      </w:r>
      <w:r w:rsidRPr="00061311">
        <w:t>koncentrát</w:t>
      </w:r>
      <w:r w:rsidR="00AD73DF" w:rsidRPr="00AD73DF">
        <w:t xml:space="preserve"> </w:t>
      </w:r>
    </w:p>
    <w:p w14:paraId="3C582F77" w14:textId="77777777" w:rsidR="007F5BBD" w:rsidRPr="00F37D4D" w:rsidRDefault="00BE7CB1" w:rsidP="00F64BF9">
      <w:pPr>
        <w:tabs>
          <w:tab w:val="clear" w:pos="567"/>
        </w:tabs>
        <w:autoSpaceDE w:val="0"/>
        <w:autoSpaceDN w:val="0"/>
        <w:adjustRightInd w:val="0"/>
        <w:spacing w:line="240" w:lineRule="auto"/>
        <w:rPr>
          <w:rFonts w:eastAsia="SimSun"/>
          <w:szCs w:val="22"/>
        </w:rPr>
      </w:pPr>
      <w:r>
        <w:t>bevacizumab</w:t>
      </w:r>
    </w:p>
    <w:p w14:paraId="1E21B87B" w14:textId="77777777" w:rsidR="007F5BBD" w:rsidRPr="00F37D4D" w:rsidRDefault="00BE7CB1" w:rsidP="00F64BF9">
      <w:pPr>
        <w:spacing w:line="240" w:lineRule="auto"/>
        <w:rPr>
          <w:szCs w:val="22"/>
        </w:rPr>
      </w:pPr>
      <w:r>
        <w:t>i.v. po zriedení</w:t>
      </w:r>
    </w:p>
    <w:p w14:paraId="0EAF0EC5" w14:textId="77777777" w:rsidR="00812D16" w:rsidRPr="00F37D4D" w:rsidRDefault="00812D16" w:rsidP="00F64BF9">
      <w:pPr>
        <w:spacing w:line="240" w:lineRule="auto"/>
        <w:rPr>
          <w:szCs w:val="22"/>
        </w:rPr>
      </w:pPr>
    </w:p>
    <w:p w14:paraId="6CD64500" w14:textId="77777777" w:rsidR="00812D16" w:rsidRPr="00F37D4D" w:rsidRDefault="00812D16" w:rsidP="00F64BF9">
      <w:pPr>
        <w:spacing w:line="240" w:lineRule="auto"/>
        <w:rPr>
          <w:szCs w:val="22"/>
        </w:rPr>
      </w:pPr>
    </w:p>
    <w:p w14:paraId="7321FBFF"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SPÔSOB PODÁVANIA</w:t>
      </w:r>
    </w:p>
    <w:p w14:paraId="79CD4E29" w14:textId="77777777" w:rsidR="00812D16" w:rsidRPr="00F37D4D" w:rsidRDefault="00812D16" w:rsidP="00F64BF9">
      <w:pPr>
        <w:spacing w:line="240" w:lineRule="auto"/>
        <w:rPr>
          <w:szCs w:val="22"/>
        </w:rPr>
      </w:pPr>
    </w:p>
    <w:p w14:paraId="543C63B8" w14:textId="77777777" w:rsidR="00812D16" w:rsidRPr="00F37D4D" w:rsidRDefault="00812D16" w:rsidP="00F64BF9">
      <w:pPr>
        <w:spacing w:line="240" w:lineRule="auto"/>
        <w:rPr>
          <w:szCs w:val="22"/>
        </w:rPr>
      </w:pPr>
    </w:p>
    <w:p w14:paraId="2BCA682E"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DÁTUM EXSPIRÁCIE</w:t>
      </w:r>
    </w:p>
    <w:p w14:paraId="0F0B7A7D" w14:textId="77777777" w:rsidR="00812D16" w:rsidRPr="00F37D4D" w:rsidRDefault="00812D16" w:rsidP="00F64BF9">
      <w:pPr>
        <w:spacing w:line="240" w:lineRule="auto"/>
      </w:pPr>
    </w:p>
    <w:p w14:paraId="4666D5B7" w14:textId="77777777" w:rsidR="007F5BBD" w:rsidRPr="00F37D4D" w:rsidRDefault="00BE7CB1" w:rsidP="00F64BF9">
      <w:pPr>
        <w:spacing w:line="240" w:lineRule="auto"/>
        <w:rPr>
          <w:rFonts w:eastAsia="SimSun"/>
          <w:szCs w:val="22"/>
        </w:rPr>
      </w:pPr>
      <w:r>
        <w:t>EXP</w:t>
      </w:r>
    </w:p>
    <w:p w14:paraId="7221B22E" w14:textId="77777777" w:rsidR="00812D16" w:rsidRPr="00F37D4D" w:rsidRDefault="00812D16" w:rsidP="00F64BF9">
      <w:pPr>
        <w:spacing w:line="240" w:lineRule="auto"/>
      </w:pPr>
    </w:p>
    <w:p w14:paraId="11BD93B6" w14:textId="77777777" w:rsidR="007F5BBD" w:rsidRPr="00F37D4D" w:rsidRDefault="007F5BBD" w:rsidP="00F64BF9">
      <w:pPr>
        <w:spacing w:line="240" w:lineRule="auto"/>
      </w:pPr>
    </w:p>
    <w:p w14:paraId="30D8707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4.</w:t>
      </w:r>
      <w:r w:rsidRPr="00F37D4D">
        <w:rPr>
          <w:b/>
          <w:bCs/>
        </w:rPr>
        <w:tab/>
      </w:r>
      <w:r>
        <w:rPr>
          <w:b/>
        </w:rPr>
        <w:t>ČÍSLO VÝROBNEJ ŠARŽE</w:t>
      </w:r>
    </w:p>
    <w:p w14:paraId="7A5FDD78" w14:textId="77777777" w:rsidR="00812D16" w:rsidRPr="00F37D4D" w:rsidRDefault="00812D16" w:rsidP="00F64BF9">
      <w:pPr>
        <w:spacing w:line="240" w:lineRule="auto"/>
        <w:ind w:right="113"/>
      </w:pPr>
    </w:p>
    <w:p w14:paraId="4AC04D0A" w14:textId="77777777" w:rsidR="007F5BBD" w:rsidRPr="00F37D4D" w:rsidRDefault="00BE7CB1" w:rsidP="00F64BF9">
      <w:pPr>
        <w:spacing w:line="240" w:lineRule="auto"/>
        <w:ind w:right="113"/>
        <w:rPr>
          <w:rFonts w:eastAsia="SimSun"/>
          <w:szCs w:val="22"/>
        </w:rPr>
      </w:pPr>
      <w:r>
        <w:t>Lot</w:t>
      </w:r>
    </w:p>
    <w:p w14:paraId="4E5849A1" w14:textId="77777777" w:rsidR="00812D16" w:rsidRPr="00F37D4D" w:rsidRDefault="00812D16" w:rsidP="00F64BF9">
      <w:pPr>
        <w:spacing w:line="240" w:lineRule="auto"/>
        <w:ind w:right="113"/>
      </w:pPr>
    </w:p>
    <w:p w14:paraId="2C0D8CE4" w14:textId="77777777" w:rsidR="007F5BBD" w:rsidRPr="00F37D4D" w:rsidRDefault="007F5BBD" w:rsidP="00F64BF9">
      <w:pPr>
        <w:spacing w:line="240" w:lineRule="auto"/>
        <w:ind w:right="113"/>
      </w:pPr>
    </w:p>
    <w:p w14:paraId="1EE2D3C8"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OBSAH V HMOTNOSTNÝCH, OBJEMOVÝCH ALEBO V KUSOVÝCH JEDNOTKÁCH</w:t>
      </w:r>
    </w:p>
    <w:p w14:paraId="7EE36809" w14:textId="77777777" w:rsidR="00812D16" w:rsidRPr="00F37D4D" w:rsidRDefault="00812D16" w:rsidP="00F64BF9">
      <w:pPr>
        <w:spacing w:line="240" w:lineRule="auto"/>
        <w:ind w:right="113"/>
        <w:rPr>
          <w:szCs w:val="22"/>
        </w:rPr>
      </w:pPr>
    </w:p>
    <w:p w14:paraId="751B0CF0" w14:textId="77777777" w:rsidR="007F5BBD" w:rsidRPr="00F37D4D" w:rsidRDefault="00BE7CB1" w:rsidP="00F64BF9">
      <w:pPr>
        <w:spacing w:line="240" w:lineRule="auto"/>
        <w:ind w:right="113"/>
        <w:rPr>
          <w:rFonts w:eastAsia="SimSun"/>
          <w:szCs w:val="22"/>
        </w:rPr>
      </w:pPr>
      <w:r>
        <w:t>100 mg/4 ml</w:t>
      </w:r>
    </w:p>
    <w:p w14:paraId="29CC5424" w14:textId="77777777" w:rsidR="00812D16" w:rsidRPr="00F37D4D" w:rsidRDefault="00812D16" w:rsidP="00F64BF9">
      <w:pPr>
        <w:spacing w:line="240" w:lineRule="auto"/>
        <w:ind w:right="113"/>
        <w:rPr>
          <w:szCs w:val="22"/>
        </w:rPr>
      </w:pPr>
    </w:p>
    <w:p w14:paraId="1EC4B3C9" w14:textId="77777777" w:rsidR="007F5BBD" w:rsidRPr="00F37D4D" w:rsidRDefault="007F5BBD" w:rsidP="00F64BF9">
      <w:pPr>
        <w:spacing w:line="240" w:lineRule="auto"/>
        <w:ind w:right="113"/>
        <w:rPr>
          <w:szCs w:val="22"/>
        </w:rPr>
      </w:pPr>
    </w:p>
    <w:p w14:paraId="7B31DD2A"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INÉ</w:t>
      </w:r>
    </w:p>
    <w:p w14:paraId="42FE8879" w14:textId="77777777" w:rsidR="00812D16" w:rsidRPr="00F37D4D" w:rsidRDefault="00812D16" w:rsidP="00F64BF9">
      <w:pPr>
        <w:spacing w:line="240" w:lineRule="auto"/>
        <w:ind w:right="113"/>
        <w:rPr>
          <w:szCs w:val="22"/>
        </w:rPr>
      </w:pPr>
    </w:p>
    <w:p w14:paraId="39C6594F" w14:textId="77777777" w:rsidR="00812D16" w:rsidRPr="00F37D4D" w:rsidRDefault="00812D16" w:rsidP="00F64BF9">
      <w:pPr>
        <w:spacing w:line="240" w:lineRule="auto"/>
        <w:ind w:right="113"/>
      </w:pPr>
    </w:p>
    <w:p w14:paraId="095CECE4" w14:textId="77777777" w:rsidR="007F5BBD" w:rsidRPr="00F37D4D" w:rsidRDefault="00BE7CB1" w:rsidP="00F64BF9">
      <w:pPr>
        <w:shd w:val="clear" w:color="auto" w:fill="FFFFFF"/>
        <w:spacing w:line="240" w:lineRule="auto"/>
        <w:rPr>
          <w:szCs w:val="22"/>
        </w:rPr>
      </w:pPr>
      <w:r w:rsidRPr="00F37D4D">
        <w:rPr>
          <w:b/>
        </w:rPr>
        <w:br w:type="page"/>
      </w:r>
    </w:p>
    <w:p w14:paraId="4CF89B5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lastRenderedPageBreak/>
        <w:t>ÚDAJE, KTORÉ MAJÚ BYŤ UVEDENÉ NA VONKAJŠOM OBALE</w:t>
      </w:r>
    </w:p>
    <w:p w14:paraId="786CB232" w14:textId="77777777" w:rsidR="007F5BBD" w:rsidRPr="00F37D4D"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7CFD1495"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ŠKATUĽKA</w:t>
      </w:r>
    </w:p>
    <w:p w14:paraId="140B920A" w14:textId="77777777" w:rsidR="007F5BBD" w:rsidRPr="00F37D4D" w:rsidRDefault="007F5BBD" w:rsidP="00F64BF9">
      <w:pPr>
        <w:spacing w:line="240" w:lineRule="auto"/>
      </w:pPr>
    </w:p>
    <w:p w14:paraId="1AEE517E" w14:textId="77777777" w:rsidR="007F5BBD" w:rsidRPr="00F37D4D" w:rsidRDefault="007F5BBD" w:rsidP="00F64BF9">
      <w:pPr>
        <w:spacing w:line="240" w:lineRule="auto"/>
        <w:rPr>
          <w:szCs w:val="22"/>
        </w:rPr>
      </w:pPr>
    </w:p>
    <w:p w14:paraId="43B909A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1.</w:t>
      </w:r>
      <w:r w:rsidRPr="00F37D4D">
        <w:rPr>
          <w:b/>
          <w:bCs/>
        </w:rPr>
        <w:tab/>
      </w:r>
      <w:r>
        <w:rPr>
          <w:b/>
        </w:rPr>
        <w:t>NÁZOV LIEKU</w:t>
      </w:r>
    </w:p>
    <w:p w14:paraId="2CB4B61F" w14:textId="77777777" w:rsidR="007F5BBD" w:rsidRPr="00F37D4D" w:rsidRDefault="007F5BBD" w:rsidP="00F64BF9">
      <w:pPr>
        <w:spacing w:line="240" w:lineRule="auto"/>
        <w:rPr>
          <w:szCs w:val="22"/>
        </w:rPr>
      </w:pPr>
    </w:p>
    <w:p w14:paraId="2BBB844D" w14:textId="77777777" w:rsidR="007F5BBD" w:rsidRPr="00F37D4D" w:rsidRDefault="00BE7CB1" w:rsidP="00F64BF9">
      <w:pPr>
        <w:tabs>
          <w:tab w:val="clear" w:pos="567"/>
        </w:tabs>
        <w:autoSpaceDE w:val="0"/>
        <w:autoSpaceDN w:val="0"/>
        <w:adjustRightInd w:val="0"/>
        <w:spacing w:line="240" w:lineRule="auto"/>
        <w:rPr>
          <w:rFonts w:eastAsia="SimSun"/>
          <w:szCs w:val="22"/>
        </w:rPr>
      </w:pPr>
      <w:r>
        <w:t>Alymsys 25 mg/ml koncentrát na infúzny roztok</w:t>
      </w:r>
    </w:p>
    <w:p w14:paraId="53CF4AEC" w14:textId="77777777" w:rsidR="007F5BBD" w:rsidRPr="00F37D4D" w:rsidRDefault="00BE7CB1" w:rsidP="00F64BF9">
      <w:pPr>
        <w:spacing w:line="240" w:lineRule="auto"/>
        <w:rPr>
          <w:rFonts w:eastAsia="SimSun"/>
          <w:szCs w:val="22"/>
        </w:rPr>
      </w:pPr>
      <w:r>
        <w:t>bevacizumab</w:t>
      </w:r>
    </w:p>
    <w:p w14:paraId="527A2E7A" w14:textId="77777777" w:rsidR="007F5BBD" w:rsidRPr="00F37D4D" w:rsidRDefault="007F5BBD" w:rsidP="00F64BF9">
      <w:pPr>
        <w:spacing w:line="240" w:lineRule="auto"/>
        <w:rPr>
          <w:szCs w:val="22"/>
        </w:rPr>
      </w:pPr>
    </w:p>
    <w:p w14:paraId="3455E9FE" w14:textId="77777777" w:rsidR="007F5BBD" w:rsidRPr="00F37D4D" w:rsidRDefault="007F5BBD" w:rsidP="00F64BF9">
      <w:pPr>
        <w:spacing w:line="240" w:lineRule="auto"/>
        <w:rPr>
          <w:szCs w:val="22"/>
        </w:rPr>
      </w:pPr>
    </w:p>
    <w:p w14:paraId="5EFE8FC9" w14:textId="36A81CCD"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LIEČIVO</w:t>
      </w:r>
      <w:r w:rsidR="00AD73DF">
        <w:rPr>
          <w:b/>
        </w:rPr>
        <w:t xml:space="preserve"> </w:t>
      </w:r>
      <w:r w:rsidR="00AD73DF" w:rsidRPr="00AD73DF">
        <w:rPr>
          <w:b/>
        </w:rPr>
        <w:t>(LIEČIVÁ)</w:t>
      </w:r>
    </w:p>
    <w:p w14:paraId="66DEFC0B" w14:textId="77777777" w:rsidR="007F5BBD" w:rsidRPr="00F37D4D" w:rsidRDefault="007F5BBD" w:rsidP="00F64BF9">
      <w:pPr>
        <w:spacing w:line="240" w:lineRule="auto"/>
        <w:rPr>
          <w:szCs w:val="22"/>
        </w:rPr>
      </w:pPr>
    </w:p>
    <w:p w14:paraId="13780CAA" w14:textId="77777777" w:rsidR="007F5BBD" w:rsidRPr="00F37D4D" w:rsidRDefault="00BE7CB1" w:rsidP="00F64BF9">
      <w:pPr>
        <w:spacing w:line="240" w:lineRule="auto"/>
        <w:rPr>
          <w:rFonts w:eastAsia="SimSun"/>
          <w:szCs w:val="22"/>
        </w:rPr>
      </w:pPr>
      <w:r>
        <w:t xml:space="preserve">Každá injekčná liekovka </w:t>
      </w:r>
      <w:r w:rsidR="006B393D">
        <w:t xml:space="preserve">koncentrátu </w:t>
      </w:r>
      <w:r>
        <w:t>obsahuje 400 mg bevacizumabu.</w:t>
      </w:r>
    </w:p>
    <w:p w14:paraId="7F8A80FD" w14:textId="77777777" w:rsidR="007F5BBD" w:rsidRPr="00F37D4D" w:rsidRDefault="007F5BBD" w:rsidP="00F64BF9">
      <w:pPr>
        <w:spacing w:line="240" w:lineRule="auto"/>
        <w:rPr>
          <w:szCs w:val="22"/>
        </w:rPr>
      </w:pPr>
    </w:p>
    <w:p w14:paraId="7F8362B1" w14:textId="77777777" w:rsidR="007F5BBD" w:rsidRPr="00F37D4D" w:rsidRDefault="007F5BBD" w:rsidP="00F64BF9">
      <w:pPr>
        <w:spacing w:line="240" w:lineRule="auto"/>
        <w:rPr>
          <w:szCs w:val="22"/>
        </w:rPr>
      </w:pPr>
    </w:p>
    <w:p w14:paraId="6E6E190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ZOZNAM POMOCNÝCH LÁTOK</w:t>
      </w:r>
    </w:p>
    <w:p w14:paraId="10C2538C" w14:textId="77777777" w:rsidR="007F5BBD" w:rsidRPr="00F37D4D" w:rsidRDefault="007F5BBD" w:rsidP="00F64BF9">
      <w:pPr>
        <w:spacing w:line="240" w:lineRule="auto"/>
        <w:rPr>
          <w:szCs w:val="22"/>
        </w:rPr>
      </w:pPr>
    </w:p>
    <w:p w14:paraId="0A0BD20B" w14:textId="4073956F" w:rsidR="007F5BBD" w:rsidRPr="00F37D4D" w:rsidRDefault="003F1A69" w:rsidP="001019FC">
      <w:pPr>
        <w:spacing w:line="240" w:lineRule="auto"/>
        <w:rPr>
          <w:rFonts w:eastAsia="SimSun"/>
          <w:szCs w:val="22"/>
        </w:rPr>
      </w:pPr>
      <w:r>
        <w:t xml:space="preserve">Dihydrát trehalózy, </w:t>
      </w:r>
      <w:r w:rsidR="001019FC" w:rsidRPr="00596761">
        <w:t xml:space="preserve">monohydrát </w:t>
      </w:r>
      <w:r w:rsidR="001019FC">
        <w:t>dihydrogen</w:t>
      </w:r>
      <w:r w:rsidR="001019FC" w:rsidRPr="00596761">
        <w:t>fosforečnanu sodného</w:t>
      </w:r>
      <w:r>
        <w:t>, hydrogenfosforečnan sodný, polysorbát 20, voda na injekcie</w:t>
      </w:r>
    </w:p>
    <w:p w14:paraId="02859B9C" w14:textId="77777777" w:rsidR="007F5BBD" w:rsidRPr="00F37D4D" w:rsidRDefault="007F5BBD" w:rsidP="00F64BF9">
      <w:pPr>
        <w:spacing w:line="240" w:lineRule="auto"/>
        <w:rPr>
          <w:szCs w:val="22"/>
        </w:rPr>
      </w:pPr>
    </w:p>
    <w:p w14:paraId="5AAF5835" w14:textId="77777777" w:rsidR="007F5BBD" w:rsidRPr="00F37D4D" w:rsidRDefault="007F5BBD" w:rsidP="00F64BF9">
      <w:pPr>
        <w:spacing w:line="240" w:lineRule="auto"/>
        <w:rPr>
          <w:szCs w:val="22"/>
        </w:rPr>
      </w:pPr>
    </w:p>
    <w:p w14:paraId="13D7CD5D"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4.</w:t>
      </w:r>
      <w:r w:rsidRPr="00F37D4D">
        <w:rPr>
          <w:b/>
          <w:bCs/>
          <w:szCs w:val="22"/>
        </w:rPr>
        <w:tab/>
      </w:r>
      <w:r>
        <w:rPr>
          <w:b/>
        </w:rPr>
        <w:t>LIEKOVÁ FORMA A OBSAH</w:t>
      </w:r>
    </w:p>
    <w:p w14:paraId="58EE26AD" w14:textId="77777777" w:rsidR="007F5BBD" w:rsidRPr="00F37D4D" w:rsidRDefault="007F5BBD" w:rsidP="00F64BF9">
      <w:pPr>
        <w:spacing w:line="240" w:lineRule="auto"/>
        <w:rPr>
          <w:szCs w:val="22"/>
        </w:rPr>
      </w:pPr>
    </w:p>
    <w:p w14:paraId="434E9609" w14:textId="77777777" w:rsidR="007F5BBD" w:rsidRPr="00B5283D" w:rsidRDefault="0011215F" w:rsidP="00F64BF9">
      <w:pPr>
        <w:tabs>
          <w:tab w:val="clear" w:pos="567"/>
        </w:tabs>
        <w:autoSpaceDE w:val="0"/>
        <w:autoSpaceDN w:val="0"/>
        <w:adjustRightInd w:val="0"/>
        <w:spacing w:line="240" w:lineRule="auto"/>
        <w:rPr>
          <w:rFonts w:eastAsia="SimSun"/>
          <w:bCs/>
          <w:szCs w:val="22"/>
        </w:rPr>
      </w:pPr>
      <w:r w:rsidRPr="00F933B6">
        <w:rPr>
          <w:bCs/>
          <w:highlight w:val="lightGray"/>
        </w:rPr>
        <w:t>Koncentrát na infúzny roztok</w:t>
      </w:r>
    </w:p>
    <w:p w14:paraId="38DEB348" w14:textId="77777777" w:rsidR="00A72679" w:rsidRPr="00F37D4D" w:rsidRDefault="00BE7CB1" w:rsidP="00F64BF9">
      <w:pPr>
        <w:tabs>
          <w:tab w:val="clear" w:pos="567"/>
        </w:tabs>
        <w:autoSpaceDE w:val="0"/>
        <w:autoSpaceDN w:val="0"/>
        <w:adjustRightInd w:val="0"/>
        <w:spacing w:line="240" w:lineRule="auto"/>
        <w:rPr>
          <w:rFonts w:eastAsia="SimSun"/>
          <w:szCs w:val="22"/>
        </w:rPr>
      </w:pPr>
      <w:r>
        <w:t>1 injekčná liekovka s objemom 16 ml</w:t>
      </w:r>
    </w:p>
    <w:p w14:paraId="5290AD18" w14:textId="77777777" w:rsidR="00A72679" w:rsidRPr="00F37D4D" w:rsidRDefault="00BE7CB1" w:rsidP="00F64BF9">
      <w:pPr>
        <w:spacing w:line="240" w:lineRule="auto"/>
        <w:rPr>
          <w:rFonts w:eastAsia="SimSun"/>
          <w:szCs w:val="22"/>
        </w:rPr>
      </w:pPr>
      <w:r>
        <w:t>400 mg/16 ml</w:t>
      </w:r>
    </w:p>
    <w:p w14:paraId="134D46B1" w14:textId="77777777" w:rsidR="007F5BBD" w:rsidRPr="00F37D4D" w:rsidRDefault="007F5BBD" w:rsidP="00F64BF9">
      <w:pPr>
        <w:spacing w:line="240" w:lineRule="auto"/>
        <w:rPr>
          <w:szCs w:val="22"/>
        </w:rPr>
      </w:pPr>
    </w:p>
    <w:p w14:paraId="169DA708" w14:textId="77777777" w:rsidR="007F5BBD" w:rsidRPr="00F37D4D" w:rsidRDefault="007F5BBD" w:rsidP="00F64BF9">
      <w:pPr>
        <w:spacing w:line="240" w:lineRule="auto"/>
        <w:rPr>
          <w:szCs w:val="22"/>
        </w:rPr>
      </w:pPr>
    </w:p>
    <w:p w14:paraId="391D9042" w14:textId="39407915"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 xml:space="preserve">SPÔSOB A CESTA </w:t>
      </w:r>
      <w:r w:rsidR="00AD73DF" w:rsidRPr="00AD73DF">
        <w:rPr>
          <w:b/>
        </w:rPr>
        <w:t xml:space="preserve">(CESTY) </w:t>
      </w:r>
      <w:r>
        <w:rPr>
          <w:b/>
        </w:rPr>
        <w:t>PODÁVANIA</w:t>
      </w:r>
    </w:p>
    <w:p w14:paraId="3E341037" w14:textId="77777777" w:rsidR="007F5BBD" w:rsidRPr="00F37D4D" w:rsidRDefault="007F5BBD" w:rsidP="00F64BF9">
      <w:pPr>
        <w:spacing w:line="240" w:lineRule="auto"/>
        <w:rPr>
          <w:szCs w:val="22"/>
        </w:rPr>
      </w:pPr>
    </w:p>
    <w:p w14:paraId="6E5ED875" w14:textId="77777777" w:rsidR="007F5BBD" w:rsidRPr="00F37D4D" w:rsidRDefault="00BE7CB1" w:rsidP="00F64BF9">
      <w:pPr>
        <w:spacing w:line="240" w:lineRule="auto"/>
        <w:rPr>
          <w:rFonts w:eastAsia="SimSun"/>
          <w:szCs w:val="22"/>
        </w:rPr>
      </w:pPr>
      <w:r>
        <w:t>Na intravenózne podanie po zriedení</w:t>
      </w:r>
    </w:p>
    <w:p w14:paraId="47A2EF79" w14:textId="77777777" w:rsidR="007F5BBD" w:rsidRPr="00F37D4D" w:rsidRDefault="00BE7CB1" w:rsidP="00F64BF9">
      <w:pPr>
        <w:spacing w:line="240" w:lineRule="auto"/>
        <w:rPr>
          <w:szCs w:val="22"/>
        </w:rPr>
      </w:pPr>
      <w:r>
        <w:t>Pred použitím si prečítajte písomnú informáciu pre používateľa.</w:t>
      </w:r>
    </w:p>
    <w:p w14:paraId="50C9CF3F" w14:textId="77777777" w:rsidR="007F5BBD" w:rsidRPr="00F37D4D" w:rsidRDefault="007F5BBD" w:rsidP="00F64BF9">
      <w:pPr>
        <w:spacing w:line="240" w:lineRule="auto"/>
        <w:rPr>
          <w:szCs w:val="22"/>
        </w:rPr>
      </w:pPr>
    </w:p>
    <w:p w14:paraId="69207901" w14:textId="77777777" w:rsidR="007F5BBD" w:rsidRPr="00F37D4D" w:rsidRDefault="007F5BBD" w:rsidP="00F64BF9">
      <w:pPr>
        <w:spacing w:line="240" w:lineRule="auto"/>
        <w:rPr>
          <w:szCs w:val="22"/>
        </w:rPr>
      </w:pPr>
    </w:p>
    <w:p w14:paraId="1DCF0264"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ŠPECIÁLNE UPOZORNENIE, ŽE LIEK SA MUSÍ UCHOVÁVAŤ MIMO DOHĽADU A DOSAHU DETÍ</w:t>
      </w:r>
    </w:p>
    <w:p w14:paraId="299B86CE" w14:textId="77777777" w:rsidR="007F5BBD" w:rsidRPr="00F37D4D" w:rsidRDefault="007F5BBD" w:rsidP="00F64BF9">
      <w:pPr>
        <w:spacing w:line="240" w:lineRule="auto"/>
        <w:rPr>
          <w:szCs w:val="22"/>
        </w:rPr>
      </w:pPr>
    </w:p>
    <w:p w14:paraId="4E8F4375" w14:textId="77777777" w:rsidR="007F5BBD" w:rsidRPr="00F37D4D" w:rsidRDefault="00BE7CB1" w:rsidP="00F64BF9">
      <w:pPr>
        <w:spacing w:line="240" w:lineRule="auto"/>
      </w:pPr>
      <w:r>
        <w:t>Uchovávajte mimo dohľadu a dosahu detí.</w:t>
      </w:r>
    </w:p>
    <w:p w14:paraId="691BC94D" w14:textId="77777777" w:rsidR="007F5BBD" w:rsidRPr="00F37D4D" w:rsidRDefault="007F5BBD" w:rsidP="00F64BF9">
      <w:pPr>
        <w:spacing w:line="240" w:lineRule="auto"/>
        <w:rPr>
          <w:szCs w:val="22"/>
        </w:rPr>
      </w:pPr>
    </w:p>
    <w:p w14:paraId="6A067B18" w14:textId="77777777" w:rsidR="007F5BBD" w:rsidRPr="00F37D4D" w:rsidRDefault="007F5BBD" w:rsidP="00F64BF9">
      <w:pPr>
        <w:spacing w:line="240" w:lineRule="auto"/>
        <w:rPr>
          <w:szCs w:val="22"/>
        </w:rPr>
      </w:pPr>
    </w:p>
    <w:p w14:paraId="15AD25AF" w14:textId="6BD93B3D"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7.</w:t>
      </w:r>
      <w:r w:rsidRPr="00F37D4D">
        <w:rPr>
          <w:b/>
          <w:bCs/>
          <w:szCs w:val="22"/>
        </w:rPr>
        <w:tab/>
      </w:r>
      <w:r>
        <w:rPr>
          <w:b/>
        </w:rPr>
        <w:t xml:space="preserve">INÉ ŠPECIÁLNE </w:t>
      </w:r>
      <w:r w:rsidR="00AD73DF" w:rsidRPr="00AD73DF">
        <w:rPr>
          <w:b/>
        </w:rPr>
        <w:t>UPOZORNENIE (</w:t>
      </w:r>
      <w:r>
        <w:rPr>
          <w:b/>
        </w:rPr>
        <w:t>UPOZORNENIA</w:t>
      </w:r>
      <w:r w:rsidR="00AD73DF">
        <w:rPr>
          <w:b/>
        </w:rPr>
        <w:t>)</w:t>
      </w:r>
      <w:r>
        <w:rPr>
          <w:b/>
        </w:rPr>
        <w:t>, AK JE TO POTREBNÉ</w:t>
      </w:r>
    </w:p>
    <w:p w14:paraId="2E8B5582" w14:textId="77777777" w:rsidR="007F5BBD" w:rsidRPr="00F37D4D" w:rsidRDefault="007F5BBD" w:rsidP="00F64BF9">
      <w:pPr>
        <w:spacing w:line="240" w:lineRule="auto"/>
        <w:rPr>
          <w:szCs w:val="22"/>
        </w:rPr>
      </w:pPr>
    </w:p>
    <w:p w14:paraId="325C3924" w14:textId="77777777" w:rsidR="007F5BBD" w:rsidRPr="00F37D4D" w:rsidRDefault="007F5BBD" w:rsidP="00F64BF9">
      <w:pPr>
        <w:tabs>
          <w:tab w:val="left" w:pos="749"/>
        </w:tabs>
        <w:spacing w:line="240" w:lineRule="auto"/>
      </w:pPr>
    </w:p>
    <w:p w14:paraId="1708D68C"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8.</w:t>
      </w:r>
      <w:r w:rsidRPr="00F37D4D">
        <w:rPr>
          <w:b/>
          <w:bCs/>
        </w:rPr>
        <w:tab/>
      </w:r>
      <w:r>
        <w:rPr>
          <w:b/>
        </w:rPr>
        <w:t>DÁTUM EXSPIRÁCIE</w:t>
      </w:r>
    </w:p>
    <w:p w14:paraId="491B82BD" w14:textId="77777777" w:rsidR="007F5BBD" w:rsidRPr="00F37D4D" w:rsidRDefault="007F5BBD" w:rsidP="00F64BF9">
      <w:pPr>
        <w:spacing w:line="240" w:lineRule="auto"/>
      </w:pPr>
    </w:p>
    <w:p w14:paraId="3F736A3F" w14:textId="77777777" w:rsidR="007F5BBD" w:rsidRPr="00F37D4D" w:rsidRDefault="00BE7CB1" w:rsidP="00F64BF9">
      <w:pPr>
        <w:spacing w:line="240" w:lineRule="auto"/>
        <w:rPr>
          <w:rFonts w:eastAsia="SimSun"/>
          <w:szCs w:val="22"/>
        </w:rPr>
      </w:pPr>
      <w:r>
        <w:t>EXP</w:t>
      </w:r>
    </w:p>
    <w:p w14:paraId="49BFC7B5" w14:textId="77777777" w:rsidR="007F5BBD" w:rsidRPr="00F37D4D" w:rsidRDefault="007F5BBD" w:rsidP="00F64BF9">
      <w:pPr>
        <w:spacing w:line="240" w:lineRule="auto"/>
      </w:pPr>
    </w:p>
    <w:p w14:paraId="5D5D35E8" w14:textId="77777777" w:rsidR="007F5BBD" w:rsidRPr="00F37D4D" w:rsidRDefault="007F5BBD" w:rsidP="00F64BF9">
      <w:pPr>
        <w:spacing w:line="240" w:lineRule="auto"/>
        <w:rPr>
          <w:szCs w:val="22"/>
        </w:rPr>
      </w:pPr>
    </w:p>
    <w:p w14:paraId="5BE9E63D"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9.</w:t>
      </w:r>
      <w:r w:rsidRPr="00F37D4D">
        <w:rPr>
          <w:b/>
          <w:bCs/>
          <w:szCs w:val="22"/>
        </w:rPr>
        <w:tab/>
      </w:r>
      <w:r>
        <w:rPr>
          <w:b/>
        </w:rPr>
        <w:t>ŠPECIÁLNE PODMIENKY NA UCHOVÁVANIE</w:t>
      </w:r>
    </w:p>
    <w:p w14:paraId="37328DA6" w14:textId="77777777" w:rsidR="007F5BBD" w:rsidRPr="00F37D4D" w:rsidRDefault="007F5BBD" w:rsidP="00F64BF9">
      <w:pPr>
        <w:spacing w:line="240" w:lineRule="auto"/>
        <w:rPr>
          <w:szCs w:val="22"/>
        </w:rPr>
      </w:pPr>
    </w:p>
    <w:p w14:paraId="2970EAD4" w14:textId="77777777" w:rsidR="007F5BBD" w:rsidRPr="00F37D4D" w:rsidRDefault="00BE7CB1" w:rsidP="00F64BF9">
      <w:pPr>
        <w:spacing w:line="240" w:lineRule="auto"/>
        <w:ind w:right="4751"/>
      </w:pPr>
      <w:r>
        <w:t>Uchovávajte v chladničke.</w:t>
      </w:r>
    </w:p>
    <w:p w14:paraId="6BED9277" w14:textId="77777777" w:rsidR="007F5BBD" w:rsidRPr="00F37D4D" w:rsidRDefault="00BE7CB1" w:rsidP="00F64BF9">
      <w:pPr>
        <w:spacing w:line="240" w:lineRule="auto"/>
        <w:ind w:right="5903"/>
      </w:pPr>
      <w:r>
        <w:rPr>
          <w:spacing w:val="-1"/>
        </w:rPr>
        <w:t>Neuchovávajte v mrazničke.</w:t>
      </w:r>
    </w:p>
    <w:p w14:paraId="1418DC10" w14:textId="77777777" w:rsidR="007F5BBD" w:rsidRPr="00F37D4D" w:rsidRDefault="00BE7CB1" w:rsidP="00F64BF9">
      <w:pPr>
        <w:spacing w:line="240" w:lineRule="auto"/>
        <w:ind w:right="-20"/>
      </w:pPr>
      <w:r>
        <w:rPr>
          <w:spacing w:val="1"/>
        </w:rPr>
        <w:t>Injekčnú liekovku uchovávajte vo vonkajšom obale na ochranu pred svetlom.</w:t>
      </w:r>
    </w:p>
    <w:p w14:paraId="18BF1CF8" w14:textId="77777777" w:rsidR="007F5BBD" w:rsidRPr="00F37D4D" w:rsidRDefault="007F5BBD" w:rsidP="00F64BF9">
      <w:pPr>
        <w:spacing w:line="240" w:lineRule="auto"/>
        <w:rPr>
          <w:szCs w:val="22"/>
        </w:rPr>
      </w:pPr>
    </w:p>
    <w:p w14:paraId="76C710AF" w14:textId="77777777" w:rsidR="007F5BBD" w:rsidRPr="00F37D4D" w:rsidRDefault="007F5BBD" w:rsidP="00F64BF9">
      <w:pPr>
        <w:spacing w:line="240" w:lineRule="auto"/>
        <w:ind w:left="567" w:hanging="567"/>
        <w:rPr>
          <w:szCs w:val="22"/>
        </w:rPr>
      </w:pPr>
    </w:p>
    <w:p w14:paraId="4DD80B6D"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10.</w:t>
      </w:r>
      <w:r w:rsidRPr="00F37D4D">
        <w:rPr>
          <w:b/>
          <w:bCs/>
          <w:szCs w:val="22"/>
        </w:rPr>
        <w:tab/>
      </w:r>
      <w:r>
        <w:rPr>
          <w:b/>
        </w:rPr>
        <w:t>ŠPECIÁLNE UPOZORNENIA NA LIKVIDÁCIU NEPOUŽITÝCH LIEKOV ALEBO ODPADOV Z NICH VZNIKNUTÝCH, AK JE TO VHODNÉ</w:t>
      </w:r>
    </w:p>
    <w:p w14:paraId="743B2631" w14:textId="77777777" w:rsidR="007F5BBD" w:rsidRPr="00F37D4D" w:rsidRDefault="007F5BBD" w:rsidP="00F64BF9">
      <w:pPr>
        <w:spacing w:line="240" w:lineRule="auto"/>
        <w:rPr>
          <w:szCs w:val="22"/>
        </w:rPr>
      </w:pPr>
    </w:p>
    <w:p w14:paraId="1C351E96" w14:textId="77777777" w:rsidR="007F5BBD" w:rsidRPr="00F37D4D" w:rsidRDefault="007F5BBD" w:rsidP="00F64BF9">
      <w:pPr>
        <w:spacing w:line="240" w:lineRule="auto"/>
        <w:rPr>
          <w:szCs w:val="22"/>
        </w:rPr>
      </w:pPr>
    </w:p>
    <w:p w14:paraId="3CE332D7"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11.</w:t>
      </w:r>
      <w:r w:rsidRPr="00F37D4D">
        <w:rPr>
          <w:b/>
          <w:bCs/>
          <w:szCs w:val="22"/>
        </w:rPr>
        <w:tab/>
      </w:r>
      <w:r>
        <w:rPr>
          <w:b/>
        </w:rPr>
        <w:t>NÁZOV A ADRESA DRŽITEĽA ROZHODNUTIA O REGISTRÁCII</w:t>
      </w:r>
    </w:p>
    <w:p w14:paraId="73222D7B" w14:textId="77777777" w:rsidR="007F5BBD" w:rsidRPr="00F37D4D" w:rsidRDefault="007F5BBD" w:rsidP="00F64BF9">
      <w:pPr>
        <w:spacing w:line="240" w:lineRule="auto"/>
        <w:rPr>
          <w:szCs w:val="22"/>
        </w:rPr>
      </w:pPr>
    </w:p>
    <w:p w14:paraId="0137BD8D" w14:textId="77777777" w:rsidR="005C10FD" w:rsidRPr="00F37D4D" w:rsidRDefault="00BE7CB1" w:rsidP="00F64BF9">
      <w:pPr>
        <w:spacing w:line="240" w:lineRule="auto"/>
      </w:pPr>
      <w:r>
        <w:t>Mabxience Research SL</w:t>
      </w:r>
    </w:p>
    <w:p w14:paraId="526F730F" w14:textId="6B90C1F8" w:rsidR="005C10FD" w:rsidRPr="00F37D4D" w:rsidRDefault="00BE7CB1" w:rsidP="00F64BF9">
      <w:pPr>
        <w:spacing w:line="240" w:lineRule="auto"/>
      </w:pPr>
      <w:r>
        <w:t>C/ Manuel Pombo Angulo 28</w:t>
      </w:r>
    </w:p>
    <w:p w14:paraId="189DE011" w14:textId="77777777" w:rsidR="005C10FD" w:rsidRPr="00F37D4D" w:rsidRDefault="00BE7CB1" w:rsidP="00F64BF9">
      <w:pPr>
        <w:spacing w:line="240" w:lineRule="auto"/>
      </w:pPr>
      <w:r>
        <w:t>28050 Madrid</w:t>
      </w:r>
    </w:p>
    <w:p w14:paraId="7BA9B467" w14:textId="77777777" w:rsidR="005C10FD" w:rsidRPr="00F37D4D" w:rsidRDefault="00BE7CB1" w:rsidP="00F64BF9">
      <w:pPr>
        <w:spacing w:line="240" w:lineRule="auto"/>
      </w:pPr>
      <w:r>
        <w:t>Španielsko</w:t>
      </w:r>
    </w:p>
    <w:p w14:paraId="387AD784" w14:textId="77777777" w:rsidR="007F5BBD" w:rsidRPr="00F37D4D" w:rsidRDefault="007F5BBD" w:rsidP="00F64BF9">
      <w:pPr>
        <w:spacing w:line="240" w:lineRule="auto"/>
        <w:rPr>
          <w:szCs w:val="22"/>
        </w:rPr>
      </w:pPr>
    </w:p>
    <w:p w14:paraId="5BAAC5C8" w14:textId="77777777" w:rsidR="007F5BBD" w:rsidRPr="00F37D4D" w:rsidRDefault="007F5BBD" w:rsidP="00F64BF9">
      <w:pPr>
        <w:spacing w:line="240" w:lineRule="auto"/>
        <w:rPr>
          <w:szCs w:val="22"/>
        </w:rPr>
      </w:pPr>
    </w:p>
    <w:p w14:paraId="417279E6"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12.</w:t>
      </w:r>
      <w:r w:rsidRPr="00F37D4D">
        <w:rPr>
          <w:b/>
          <w:bCs/>
          <w:szCs w:val="22"/>
        </w:rPr>
        <w:tab/>
      </w:r>
      <w:r>
        <w:rPr>
          <w:b/>
        </w:rPr>
        <w:t xml:space="preserve">REGISTRAČNÉ ČÍSLO (ČÍSLA) </w:t>
      </w:r>
    </w:p>
    <w:p w14:paraId="5FBB4A23" w14:textId="77777777" w:rsidR="007F5BBD" w:rsidRDefault="007F5BBD" w:rsidP="00F64BF9">
      <w:pPr>
        <w:spacing w:line="240" w:lineRule="auto"/>
        <w:rPr>
          <w:szCs w:val="22"/>
        </w:rPr>
      </w:pPr>
    </w:p>
    <w:p w14:paraId="2F181BE6" w14:textId="77777777" w:rsidR="00E874AB" w:rsidRDefault="00E874AB" w:rsidP="00E874AB">
      <w:pPr>
        <w:spacing w:line="240" w:lineRule="auto"/>
        <w:rPr>
          <w:szCs w:val="22"/>
        </w:rPr>
      </w:pPr>
      <w:r w:rsidRPr="00E874AB">
        <w:rPr>
          <w:szCs w:val="22"/>
        </w:rPr>
        <w:t>EU/1/20/1509/002</w:t>
      </w:r>
    </w:p>
    <w:p w14:paraId="4AF311B5" w14:textId="77777777" w:rsidR="00E874AB" w:rsidRPr="00F37D4D" w:rsidRDefault="00E874AB" w:rsidP="00E874AB">
      <w:pPr>
        <w:spacing w:line="240" w:lineRule="auto"/>
        <w:rPr>
          <w:szCs w:val="22"/>
        </w:rPr>
      </w:pPr>
    </w:p>
    <w:p w14:paraId="69FB2DB5" w14:textId="77777777" w:rsidR="007F5BBD" w:rsidRPr="00F37D4D" w:rsidRDefault="007F5BBD" w:rsidP="00F64BF9">
      <w:pPr>
        <w:spacing w:line="240" w:lineRule="auto"/>
        <w:rPr>
          <w:szCs w:val="22"/>
        </w:rPr>
      </w:pPr>
    </w:p>
    <w:p w14:paraId="64157A9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13.</w:t>
      </w:r>
      <w:r w:rsidRPr="00F37D4D">
        <w:rPr>
          <w:b/>
          <w:bCs/>
          <w:szCs w:val="22"/>
        </w:rPr>
        <w:tab/>
      </w:r>
      <w:r>
        <w:rPr>
          <w:b/>
        </w:rPr>
        <w:t>ČÍSLO VÝROBNEJ ŠARŽE</w:t>
      </w:r>
    </w:p>
    <w:p w14:paraId="270D5DD5" w14:textId="77777777" w:rsidR="007F5BBD" w:rsidRPr="00F37D4D" w:rsidRDefault="007F5BBD" w:rsidP="00F64BF9">
      <w:pPr>
        <w:spacing w:line="240" w:lineRule="auto"/>
        <w:rPr>
          <w:i/>
          <w:szCs w:val="22"/>
        </w:rPr>
      </w:pPr>
    </w:p>
    <w:p w14:paraId="46D57FD5" w14:textId="77777777" w:rsidR="007F5BBD" w:rsidRPr="00F37D4D" w:rsidRDefault="00BE7CB1" w:rsidP="00F64BF9">
      <w:pPr>
        <w:spacing w:line="240" w:lineRule="auto"/>
        <w:rPr>
          <w:rFonts w:eastAsia="SimSun"/>
          <w:szCs w:val="22"/>
        </w:rPr>
      </w:pPr>
      <w:r>
        <w:t>Lot</w:t>
      </w:r>
    </w:p>
    <w:p w14:paraId="0795E4DA" w14:textId="77777777" w:rsidR="007F5BBD" w:rsidRPr="00F37D4D" w:rsidRDefault="007F5BBD" w:rsidP="00F64BF9">
      <w:pPr>
        <w:spacing w:line="240" w:lineRule="auto"/>
        <w:rPr>
          <w:szCs w:val="22"/>
        </w:rPr>
      </w:pPr>
    </w:p>
    <w:p w14:paraId="1C7923D6" w14:textId="77777777" w:rsidR="007F5BBD" w:rsidRPr="00F37D4D" w:rsidRDefault="007F5BBD" w:rsidP="00F64BF9">
      <w:pPr>
        <w:spacing w:line="240" w:lineRule="auto"/>
        <w:rPr>
          <w:szCs w:val="22"/>
        </w:rPr>
      </w:pPr>
    </w:p>
    <w:p w14:paraId="6E609BC3"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14.</w:t>
      </w:r>
      <w:r w:rsidRPr="00F37D4D">
        <w:rPr>
          <w:b/>
          <w:bCs/>
          <w:szCs w:val="22"/>
        </w:rPr>
        <w:tab/>
      </w:r>
      <w:r>
        <w:rPr>
          <w:b/>
        </w:rPr>
        <w:t>ZATRIEDENIE LIEKU PODĽA SPÔSOBU VÝDAJA</w:t>
      </w:r>
    </w:p>
    <w:p w14:paraId="0B446B93" w14:textId="77777777" w:rsidR="007F5BBD" w:rsidRPr="00F37D4D" w:rsidRDefault="007F5BBD" w:rsidP="00F64BF9">
      <w:pPr>
        <w:spacing w:line="240" w:lineRule="auto"/>
        <w:rPr>
          <w:i/>
          <w:szCs w:val="22"/>
        </w:rPr>
      </w:pPr>
    </w:p>
    <w:p w14:paraId="5ADF90E3" w14:textId="77777777" w:rsidR="007F5BBD" w:rsidRPr="00F37D4D" w:rsidRDefault="007F5BBD" w:rsidP="00F64BF9">
      <w:pPr>
        <w:spacing w:line="240" w:lineRule="auto"/>
        <w:rPr>
          <w:szCs w:val="22"/>
        </w:rPr>
      </w:pPr>
    </w:p>
    <w:p w14:paraId="4DC62DEE"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15.</w:t>
      </w:r>
      <w:r w:rsidRPr="00F37D4D">
        <w:rPr>
          <w:b/>
          <w:bCs/>
          <w:szCs w:val="22"/>
        </w:rPr>
        <w:tab/>
      </w:r>
      <w:r>
        <w:rPr>
          <w:b/>
        </w:rPr>
        <w:t>POKYNY NA POUŽITIE</w:t>
      </w:r>
    </w:p>
    <w:p w14:paraId="46DCD8A8" w14:textId="77777777" w:rsidR="007F5BBD" w:rsidRPr="00F37D4D" w:rsidRDefault="007F5BBD" w:rsidP="00F64BF9">
      <w:pPr>
        <w:spacing w:line="240" w:lineRule="auto"/>
        <w:rPr>
          <w:szCs w:val="22"/>
        </w:rPr>
      </w:pPr>
    </w:p>
    <w:p w14:paraId="21706CAA" w14:textId="77777777" w:rsidR="007F5BBD" w:rsidRPr="00F37D4D" w:rsidRDefault="007F5BBD" w:rsidP="00F64BF9">
      <w:pPr>
        <w:spacing w:line="240" w:lineRule="auto"/>
        <w:rPr>
          <w:szCs w:val="22"/>
        </w:rPr>
      </w:pPr>
    </w:p>
    <w:p w14:paraId="7105821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16.</w:t>
      </w:r>
      <w:r w:rsidRPr="00F37D4D">
        <w:rPr>
          <w:b/>
          <w:bCs/>
        </w:rPr>
        <w:tab/>
      </w:r>
      <w:r>
        <w:rPr>
          <w:b/>
        </w:rPr>
        <w:t>INFORMÁCIE V BRAILLOVOM PÍSME</w:t>
      </w:r>
      <w:r w:rsidRPr="00F37D4D">
        <w:rPr>
          <w:b/>
          <w:bCs/>
          <w:szCs w:val="22"/>
        </w:rPr>
        <w:tab/>
      </w:r>
    </w:p>
    <w:p w14:paraId="7B5D4987" w14:textId="77777777" w:rsidR="007F5BBD" w:rsidRPr="00F37D4D" w:rsidRDefault="007F5BBD" w:rsidP="00F64BF9">
      <w:pPr>
        <w:spacing w:line="240" w:lineRule="auto"/>
        <w:rPr>
          <w:szCs w:val="22"/>
        </w:rPr>
      </w:pPr>
    </w:p>
    <w:p w14:paraId="44DACCD5" w14:textId="77777777" w:rsidR="007F5BBD" w:rsidRPr="00F37D4D" w:rsidRDefault="00BE7CB1" w:rsidP="00F64BF9">
      <w:pPr>
        <w:spacing w:line="240" w:lineRule="auto"/>
        <w:rPr>
          <w:szCs w:val="22"/>
          <w:shd w:val="clear" w:color="auto" w:fill="CCCCCC"/>
        </w:rPr>
      </w:pPr>
      <w:r>
        <w:rPr>
          <w:shd w:val="clear" w:color="auto" w:fill="CCCCCC"/>
        </w:rPr>
        <w:t>Zdôvodnenie neuvádzať informáciu v Braillovom písme sa akceptuje.</w:t>
      </w:r>
    </w:p>
    <w:p w14:paraId="18F0ECE9" w14:textId="77777777" w:rsidR="007F5BBD" w:rsidRPr="00F37D4D" w:rsidRDefault="007F5BBD" w:rsidP="00F64BF9">
      <w:pPr>
        <w:spacing w:line="240" w:lineRule="auto"/>
        <w:rPr>
          <w:szCs w:val="22"/>
          <w:shd w:val="clear" w:color="auto" w:fill="CCCCCC"/>
        </w:rPr>
      </w:pPr>
    </w:p>
    <w:p w14:paraId="6DBD5ED7" w14:textId="77777777" w:rsidR="007F5BBD" w:rsidRPr="00F37D4D" w:rsidRDefault="007F5BBD" w:rsidP="00F64BF9">
      <w:pPr>
        <w:spacing w:line="240" w:lineRule="auto"/>
        <w:rPr>
          <w:szCs w:val="22"/>
          <w:shd w:val="clear" w:color="auto" w:fill="CCCCCC"/>
        </w:rPr>
      </w:pPr>
    </w:p>
    <w:p w14:paraId="14EC40C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Pr>
          <w:b/>
        </w:rPr>
        <w:t>17.</w:t>
      </w:r>
      <w:r w:rsidRPr="00F37D4D">
        <w:rPr>
          <w:b/>
          <w:bCs/>
        </w:rPr>
        <w:tab/>
      </w:r>
      <w:r>
        <w:rPr>
          <w:b/>
        </w:rPr>
        <w:t>ŠPECIFICKÝ IDENTIFIKÁTOR – DVOJROZMERNÝ ČIAROVÝ KÓD</w:t>
      </w:r>
    </w:p>
    <w:p w14:paraId="467E4166" w14:textId="77777777" w:rsidR="007F5BBD" w:rsidRPr="00F37D4D" w:rsidRDefault="007F5BBD" w:rsidP="00F64BF9">
      <w:pPr>
        <w:tabs>
          <w:tab w:val="clear" w:pos="567"/>
        </w:tabs>
        <w:spacing w:line="240" w:lineRule="auto"/>
      </w:pPr>
    </w:p>
    <w:p w14:paraId="749FD2D9" w14:textId="2D388CAE" w:rsidR="007F5BBD" w:rsidRPr="00F37D4D" w:rsidRDefault="00BE7CB1" w:rsidP="00F64BF9">
      <w:pPr>
        <w:spacing w:line="240" w:lineRule="auto"/>
        <w:rPr>
          <w:szCs w:val="22"/>
          <w:shd w:val="clear" w:color="auto" w:fill="CCCCCC"/>
        </w:rPr>
      </w:pPr>
      <w:r>
        <w:rPr>
          <w:highlight w:val="lightGray"/>
        </w:rPr>
        <w:t>Dvojrozmerný čiarový kód s</w:t>
      </w:r>
      <w:r w:rsidR="00A50ED4">
        <w:rPr>
          <w:highlight w:val="lightGray"/>
        </w:rPr>
        <w:t> o špecifickým</w:t>
      </w:r>
      <w:r>
        <w:rPr>
          <w:highlight w:val="lightGray"/>
        </w:rPr>
        <w:t xml:space="preserve"> identifikátorom.</w:t>
      </w:r>
    </w:p>
    <w:p w14:paraId="3268C525" w14:textId="77777777" w:rsidR="007F5BBD" w:rsidRPr="00F37D4D" w:rsidRDefault="007F5BBD" w:rsidP="00F64BF9">
      <w:pPr>
        <w:spacing w:line="240" w:lineRule="auto"/>
        <w:rPr>
          <w:szCs w:val="22"/>
          <w:shd w:val="clear" w:color="auto" w:fill="CCCCCC"/>
        </w:rPr>
      </w:pPr>
    </w:p>
    <w:p w14:paraId="785FEF16" w14:textId="77777777" w:rsidR="00A27A37" w:rsidRPr="00F37D4D" w:rsidRDefault="00A27A37" w:rsidP="00F64BF9">
      <w:pPr>
        <w:spacing w:line="240" w:lineRule="auto"/>
        <w:rPr>
          <w:szCs w:val="22"/>
          <w:shd w:val="clear" w:color="auto" w:fill="CCCCCC"/>
        </w:rPr>
      </w:pPr>
    </w:p>
    <w:p w14:paraId="1364063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Pr>
          <w:b/>
        </w:rPr>
        <w:t>18.</w:t>
      </w:r>
      <w:r w:rsidRPr="00F37D4D">
        <w:rPr>
          <w:b/>
          <w:bCs/>
        </w:rPr>
        <w:tab/>
      </w:r>
      <w:r>
        <w:rPr>
          <w:b/>
        </w:rPr>
        <w:t>ŠPECIFICKÝ IDENTIFIKÁTOR – ÚDAJE ČITATEĽNÉ ĽUDSKÝM OKOM</w:t>
      </w:r>
    </w:p>
    <w:p w14:paraId="7F505E0C" w14:textId="77777777" w:rsidR="007F5BBD" w:rsidRPr="00F37D4D" w:rsidRDefault="007F5BBD" w:rsidP="00F64BF9">
      <w:pPr>
        <w:tabs>
          <w:tab w:val="clear" w:pos="567"/>
        </w:tabs>
        <w:spacing w:line="240" w:lineRule="auto"/>
      </w:pPr>
    </w:p>
    <w:p w14:paraId="4934F748" w14:textId="77777777" w:rsidR="007F5BBD" w:rsidRPr="00F37D4D" w:rsidRDefault="00BE7CB1" w:rsidP="00F64BF9">
      <w:pPr>
        <w:spacing w:line="240" w:lineRule="auto"/>
        <w:rPr>
          <w:szCs w:val="22"/>
        </w:rPr>
      </w:pPr>
      <w:r>
        <w:t>PC</w:t>
      </w:r>
    </w:p>
    <w:p w14:paraId="0FFF67FD" w14:textId="77777777" w:rsidR="007F5BBD" w:rsidRPr="00F37D4D" w:rsidRDefault="00BE7CB1" w:rsidP="00F64BF9">
      <w:pPr>
        <w:spacing w:line="240" w:lineRule="auto"/>
        <w:rPr>
          <w:szCs w:val="22"/>
        </w:rPr>
      </w:pPr>
      <w:r>
        <w:t>SN</w:t>
      </w:r>
    </w:p>
    <w:p w14:paraId="54451ECA" w14:textId="77777777" w:rsidR="007F5BBD" w:rsidRPr="00F37D4D" w:rsidRDefault="00BE7CB1" w:rsidP="00F64BF9">
      <w:pPr>
        <w:spacing w:line="240" w:lineRule="auto"/>
        <w:rPr>
          <w:b/>
          <w:szCs w:val="22"/>
        </w:rPr>
      </w:pPr>
      <w:r>
        <w:t>NN</w:t>
      </w:r>
      <w:r w:rsidRPr="00F37D4D">
        <w:rPr>
          <w:szCs w:val="22"/>
          <w:shd w:val="clear" w:color="auto" w:fill="CCCCCC"/>
        </w:rPr>
        <w:br w:type="page"/>
      </w:r>
    </w:p>
    <w:p w14:paraId="7ABB08F7" w14:textId="77777777" w:rsidR="00A27A37"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lastRenderedPageBreak/>
        <w:t>MINIMÁLNE ÚDAJE, KTORÉ MAJÚ BYŤ UVEDENÉ NA MALOM VNÚTORNOM OBALE</w:t>
      </w:r>
    </w:p>
    <w:p w14:paraId="7453E6E9" w14:textId="77777777" w:rsidR="007F5BBD" w:rsidRPr="00F37D4D"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1CE6A29"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INJEKČNÁ LIEKOVKA</w:t>
      </w:r>
    </w:p>
    <w:p w14:paraId="76CB87EC" w14:textId="77777777" w:rsidR="007F5BBD" w:rsidRPr="00F37D4D" w:rsidRDefault="007F5BBD" w:rsidP="00F64BF9">
      <w:pPr>
        <w:spacing w:line="240" w:lineRule="auto"/>
        <w:rPr>
          <w:szCs w:val="22"/>
        </w:rPr>
      </w:pPr>
    </w:p>
    <w:p w14:paraId="792A718D" w14:textId="77777777" w:rsidR="007F5BBD" w:rsidRPr="00F37D4D" w:rsidRDefault="007F5BBD" w:rsidP="00F64BF9">
      <w:pPr>
        <w:spacing w:line="240" w:lineRule="auto"/>
        <w:rPr>
          <w:szCs w:val="22"/>
        </w:rPr>
      </w:pPr>
    </w:p>
    <w:p w14:paraId="6C532222" w14:textId="0DB99170"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w:t>
      </w:r>
      <w:r w:rsidRPr="00F37D4D">
        <w:rPr>
          <w:b/>
          <w:bCs/>
          <w:szCs w:val="22"/>
        </w:rPr>
        <w:tab/>
      </w:r>
      <w:r>
        <w:rPr>
          <w:b/>
        </w:rPr>
        <w:t xml:space="preserve">NÁZOV LIEKU A CESTA </w:t>
      </w:r>
      <w:r w:rsidR="00AD73DF" w:rsidRPr="00AD73DF">
        <w:rPr>
          <w:b/>
        </w:rPr>
        <w:t xml:space="preserve">(CESTY) </w:t>
      </w:r>
      <w:r>
        <w:rPr>
          <w:b/>
        </w:rPr>
        <w:t>POD</w:t>
      </w:r>
      <w:r w:rsidR="003B440B">
        <w:rPr>
          <w:b/>
        </w:rPr>
        <w:t>ÁV</w:t>
      </w:r>
      <w:r>
        <w:rPr>
          <w:b/>
        </w:rPr>
        <w:t>ANIA</w:t>
      </w:r>
    </w:p>
    <w:p w14:paraId="4C51728E" w14:textId="77777777" w:rsidR="007F5BBD" w:rsidRPr="00F37D4D" w:rsidRDefault="007F5BBD" w:rsidP="00F64BF9">
      <w:pPr>
        <w:spacing w:line="240" w:lineRule="auto"/>
        <w:ind w:left="567" w:hanging="567"/>
        <w:rPr>
          <w:szCs w:val="22"/>
        </w:rPr>
      </w:pPr>
    </w:p>
    <w:p w14:paraId="6BA48355" w14:textId="51C331FC" w:rsidR="007F5BBD" w:rsidRPr="00F37D4D" w:rsidRDefault="00BE7CB1" w:rsidP="00F64BF9">
      <w:pPr>
        <w:tabs>
          <w:tab w:val="clear" w:pos="567"/>
        </w:tabs>
        <w:autoSpaceDE w:val="0"/>
        <w:autoSpaceDN w:val="0"/>
        <w:adjustRightInd w:val="0"/>
        <w:spacing w:line="240" w:lineRule="auto"/>
        <w:rPr>
          <w:rFonts w:eastAsia="SimSun"/>
          <w:szCs w:val="22"/>
        </w:rPr>
      </w:pPr>
      <w:r>
        <w:t>Alymsys 25 mg/ml</w:t>
      </w:r>
      <w:r w:rsidR="003F10AD" w:rsidRPr="003F10AD">
        <w:t xml:space="preserve"> </w:t>
      </w:r>
      <w:r w:rsidR="003F10AD">
        <w:t>sterilný</w:t>
      </w:r>
      <w:r>
        <w:t xml:space="preserve"> koncentrát </w:t>
      </w:r>
    </w:p>
    <w:p w14:paraId="214F343D" w14:textId="77777777" w:rsidR="007F5BBD" w:rsidRPr="00F37D4D" w:rsidRDefault="00BE7CB1" w:rsidP="00F64BF9">
      <w:pPr>
        <w:tabs>
          <w:tab w:val="clear" w:pos="567"/>
        </w:tabs>
        <w:autoSpaceDE w:val="0"/>
        <w:autoSpaceDN w:val="0"/>
        <w:adjustRightInd w:val="0"/>
        <w:spacing w:line="240" w:lineRule="auto"/>
        <w:rPr>
          <w:rFonts w:eastAsia="SimSun"/>
          <w:szCs w:val="22"/>
        </w:rPr>
      </w:pPr>
      <w:r>
        <w:t>bevacizumab</w:t>
      </w:r>
    </w:p>
    <w:p w14:paraId="7693D269" w14:textId="77777777" w:rsidR="007F5BBD" w:rsidRPr="00F37D4D" w:rsidRDefault="00BE7CB1" w:rsidP="00F64BF9">
      <w:pPr>
        <w:spacing w:line="240" w:lineRule="auto"/>
        <w:rPr>
          <w:szCs w:val="22"/>
        </w:rPr>
      </w:pPr>
      <w:r>
        <w:t>i.v. po zriedení</w:t>
      </w:r>
    </w:p>
    <w:p w14:paraId="1FFC0693" w14:textId="77777777" w:rsidR="007F5BBD" w:rsidRPr="00F37D4D" w:rsidRDefault="007F5BBD" w:rsidP="00F64BF9">
      <w:pPr>
        <w:spacing w:line="240" w:lineRule="auto"/>
        <w:rPr>
          <w:szCs w:val="22"/>
        </w:rPr>
      </w:pPr>
    </w:p>
    <w:p w14:paraId="2294F5C5" w14:textId="77777777" w:rsidR="007F5BBD" w:rsidRPr="00F37D4D" w:rsidRDefault="007F5BBD" w:rsidP="00F64BF9">
      <w:pPr>
        <w:spacing w:line="240" w:lineRule="auto"/>
        <w:rPr>
          <w:szCs w:val="22"/>
        </w:rPr>
      </w:pPr>
    </w:p>
    <w:p w14:paraId="47A53B2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SPÔSOB PODÁVANIA</w:t>
      </w:r>
    </w:p>
    <w:p w14:paraId="28DBA7BB" w14:textId="77777777" w:rsidR="007F5BBD" w:rsidRPr="00F37D4D" w:rsidRDefault="007F5BBD" w:rsidP="00F64BF9">
      <w:pPr>
        <w:spacing w:line="240" w:lineRule="auto"/>
        <w:rPr>
          <w:szCs w:val="22"/>
        </w:rPr>
      </w:pPr>
    </w:p>
    <w:p w14:paraId="0DBE72E0" w14:textId="77777777" w:rsidR="007F5BBD" w:rsidRPr="00F37D4D" w:rsidRDefault="007F5BBD" w:rsidP="00F64BF9">
      <w:pPr>
        <w:spacing w:line="240" w:lineRule="auto"/>
        <w:rPr>
          <w:szCs w:val="22"/>
        </w:rPr>
      </w:pPr>
    </w:p>
    <w:p w14:paraId="5E49A8D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DÁTUM EXSPIRÁCIE</w:t>
      </w:r>
    </w:p>
    <w:p w14:paraId="4ADFBD36" w14:textId="77777777" w:rsidR="007F5BBD" w:rsidRPr="00F37D4D" w:rsidRDefault="007F5BBD" w:rsidP="00F64BF9">
      <w:pPr>
        <w:spacing w:line="240" w:lineRule="auto"/>
      </w:pPr>
    </w:p>
    <w:p w14:paraId="046AB0CA" w14:textId="77777777" w:rsidR="007F5BBD" w:rsidRPr="00F37D4D" w:rsidRDefault="00BE7CB1" w:rsidP="00F64BF9">
      <w:pPr>
        <w:spacing w:line="240" w:lineRule="auto"/>
        <w:rPr>
          <w:rFonts w:eastAsia="SimSun"/>
          <w:szCs w:val="22"/>
        </w:rPr>
      </w:pPr>
      <w:r>
        <w:t>EXP</w:t>
      </w:r>
    </w:p>
    <w:p w14:paraId="0C0CE5A4" w14:textId="77777777" w:rsidR="007F5BBD" w:rsidRPr="00F37D4D" w:rsidRDefault="007F5BBD" w:rsidP="00F64BF9">
      <w:pPr>
        <w:spacing w:line="240" w:lineRule="auto"/>
      </w:pPr>
    </w:p>
    <w:p w14:paraId="65D27727" w14:textId="77777777" w:rsidR="007F5BBD" w:rsidRPr="00F37D4D" w:rsidRDefault="007F5BBD" w:rsidP="00F64BF9">
      <w:pPr>
        <w:spacing w:line="240" w:lineRule="auto"/>
      </w:pPr>
    </w:p>
    <w:p w14:paraId="5632044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4.</w:t>
      </w:r>
      <w:r w:rsidRPr="00F37D4D">
        <w:rPr>
          <w:b/>
          <w:bCs/>
        </w:rPr>
        <w:tab/>
      </w:r>
      <w:r>
        <w:rPr>
          <w:b/>
        </w:rPr>
        <w:t>ČÍSLO VÝROBNEJ ŠARŽE</w:t>
      </w:r>
    </w:p>
    <w:p w14:paraId="57DC2F2D" w14:textId="77777777" w:rsidR="007F5BBD" w:rsidRPr="00F37D4D" w:rsidRDefault="007F5BBD" w:rsidP="00F64BF9">
      <w:pPr>
        <w:spacing w:line="240" w:lineRule="auto"/>
        <w:ind w:right="113"/>
      </w:pPr>
    </w:p>
    <w:p w14:paraId="350AC171" w14:textId="77777777" w:rsidR="007F5BBD" w:rsidRPr="00F37D4D" w:rsidRDefault="00BE7CB1" w:rsidP="00F64BF9">
      <w:pPr>
        <w:spacing w:line="240" w:lineRule="auto"/>
        <w:ind w:right="113"/>
        <w:rPr>
          <w:rFonts w:eastAsia="SimSun"/>
          <w:szCs w:val="22"/>
        </w:rPr>
      </w:pPr>
      <w:r>
        <w:t>Lot</w:t>
      </w:r>
    </w:p>
    <w:p w14:paraId="78ABDBB2" w14:textId="77777777" w:rsidR="007F5BBD" w:rsidRPr="00F37D4D" w:rsidRDefault="007F5BBD" w:rsidP="00F64BF9">
      <w:pPr>
        <w:spacing w:line="240" w:lineRule="auto"/>
        <w:ind w:right="113"/>
      </w:pPr>
    </w:p>
    <w:p w14:paraId="74183F16" w14:textId="77777777" w:rsidR="007F5BBD" w:rsidRPr="00F37D4D" w:rsidRDefault="007F5BBD" w:rsidP="00F64BF9">
      <w:pPr>
        <w:spacing w:line="240" w:lineRule="auto"/>
        <w:ind w:right="113"/>
      </w:pPr>
    </w:p>
    <w:p w14:paraId="61391FE8"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OBSAH V HMOTNOSTNÝCH, OBJEMOVÝCH ALEBO V KUSOVÝCH JEDNOTKÁCH</w:t>
      </w:r>
    </w:p>
    <w:p w14:paraId="6789FD4B" w14:textId="77777777" w:rsidR="007F5BBD" w:rsidRPr="00F37D4D" w:rsidRDefault="007F5BBD" w:rsidP="00F64BF9">
      <w:pPr>
        <w:spacing w:line="240" w:lineRule="auto"/>
        <w:ind w:right="113"/>
        <w:rPr>
          <w:szCs w:val="22"/>
        </w:rPr>
      </w:pPr>
    </w:p>
    <w:p w14:paraId="33C7034F" w14:textId="77777777" w:rsidR="00A72679" w:rsidRPr="00F37D4D" w:rsidRDefault="00BE7CB1" w:rsidP="00F64BF9">
      <w:pPr>
        <w:spacing w:line="240" w:lineRule="auto"/>
        <w:ind w:right="113"/>
        <w:rPr>
          <w:rFonts w:eastAsia="SimSun"/>
          <w:szCs w:val="22"/>
        </w:rPr>
      </w:pPr>
      <w:r>
        <w:t>400 mg/16 ml</w:t>
      </w:r>
    </w:p>
    <w:p w14:paraId="74D6B81A" w14:textId="77777777" w:rsidR="007F5BBD" w:rsidRPr="00F37D4D" w:rsidRDefault="007F5BBD" w:rsidP="00F64BF9">
      <w:pPr>
        <w:spacing w:line="240" w:lineRule="auto"/>
        <w:ind w:right="113"/>
        <w:rPr>
          <w:szCs w:val="22"/>
        </w:rPr>
      </w:pPr>
    </w:p>
    <w:p w14:paraId="6C61A572" w14:textId="77777777" w:rsidR="007F5BBD" w:rsidRPr="00F37D4D" w:rsidRDefault="007F5BBD" w:rsidP="00F64BF9">
      <w:pPr>
        <w:spacing w:line="240" w:lineRule="auto"/>
        <w:ind w:right="113"/>
        <w:rPr>
          <w:szCs w:val="22"/>
        </w:rPr>
      </w:pPr>
    </w:p>
    <w:p w14:paraId="7914E4B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INÉ</w:t>
      </w:r>
    </w:p>
    <w:p w14:paraId="3198679A" w14:textId="77777777" w:rsidR="007F5BBD" w:rsidRPr="00F37D4D" w:rsidRDefault="007F5BBD" w:rsidP="00F64BF9">
      <w:pPr>
        <w:spacing w:line="240" w:lineRule="auto"/>
        <w:ind w:right="113"/>
        <w:rPr>
          <w:szCs w:val="22"/>
        </w:rPr>
      </w:pPr>
    </w:p>
    <w:p w14:paraId="3ECB4E4B" w14:textId="77777777" w:rsidR="007F5BBD" w:rsidRPr="00F37D4D" w:rsidRDefault="007F5BBD" w:rsidP="00F64BF9">
      <w:pPr>
        <w:spacing w:line="240" w:lineRule="auto"/>
        <w:ind w:right="113"/>
      </w:pPr>
    </w:p>
    <w:p w14:paraId="18877ACD" w14:textId="77777777" w:rsidR="003003A4" w:rsidRPr="00F37D4D" w:rsidRDefault="003003A4" w:rsidP="00F64BF9">
      <w:pPr>
        <w:spacing w:line="240" w:lineRule="auto"/>
        <w:jc w:val="center"/>
        <w:outlineLvl w:val="0"/>
        <w:rPr>
          <w:b/>
        </w:rPr>
        <w:sectPr w:rsidR="003003A4" w:rsidRPr="00F37D4D" w:rsidSect="00BE7CB1">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pPr>
    </w:p>
    <w:p w14:paraId="207EBF00" w14:textId="77777777" w:rsidR="003F1A69" w:rsidRPr="003F1A69" w:rsidRDefault="003F1A69" w:rsidP="00F64BF9">
      <w:pPr>
        <w:spacing w:line="240" w:lineRule="auto"/>
        <w:jc w:val="center"/>
      </w:pPr>
    </w:p>
    <w:p w14:paraId="39722324" w14:textId="77777777" w:rsidR="003F1A69" w:rsidRPr="005973AB" w:rsidRDefault="003F1A69" w:rsidP="00F64BF9">
      <w:pPr>
        <w:spacing w:line="240" w:lineRule="auto"/>
        <w:jc w:val="center"/>
      </w:pPr>
    </w:p>
    <w:p w14:paraId="6ABAE222" w14:textId="77777777" w:rsidR="003F1A69" w:rsidRPr="005973AB" w:rsidRDefault="003F1A69" w:rsidP="00F64BF9">
      <w:pPr>
        <w:spacing w:line="240" w:lineRule="auto"/>
        <w:jc w:val="center"/>
      </w:pPr>
    </w:p>
    <w:p w14:paraId="1E822C30" w14:textId="77777777" w:rsidR="003F1A69" w:rsidRPr="005973AB" w:rsidRDefault="003F1A69" w:rsidP="00F64BF9">
      <w:pPr>
        <w:spacing w:line="240" w:lineRule="auto"/>
        <w:jc w:val="center"/>
      </w:pPr>
    </w:p>
    <w:p w14:paraId="02E5EE41" w14:textId="77777777" w:rsidR="003F1A69" w:rsidRPr="005973AB" w:rsidRDefault="003F1A69" w:rsidP="00F64BF9">
      <w:pPr>
        <w:spacing w:line="240" w:lineRule="auto"/>
        <w:jc w:val="center"/>
      </w:pPr>
    </w:p>
    <w:p w14:paraId="49F1EBA9" w14:textId="77777777" w:rsidR="003F1A69" w:rsidRPr="005973AB" w:rsidRDefault="003F1A69" w:rsidP="00F64BF9">
      <w:pPr>
        <w:spacing w:line="240" w:lineRule="auto"/>
        <w:jc w:val="center"/>
      </w:pPr>
    </w:p>
    <w:p w14:paraId="60EA8724" w14:textId="77777777" w:rsidR="003F1A69" w:rsidRPr="005973AB" w:rsidRDefault="003F1A69" w:rsidP="00F64BF9">
      <w:pPr>
        <w:spacing w:line="240" w:lineRule="auto"/>
        <w:jc w:val="center"/>
      </w:pPr>
    </w:p>
    <w:p w14:paraId="204F4B45" w14:textId="77777777" w:rsidR="003F1A69" w:rsidRPr="005973AB" w:rsidRDefault="003F1A69" w:rsidP="00F64BF9">
      <w:pPr>
        <w:spacing w:line="240" w:lineRule="auto"/>
        <w:jc w:val="center"/>
      </w:pPr>
    </w:p>
    <w:p w14:paraId="1D074BB8" w14:textId="77777777" w:rsidR="003F1A69" w:rsidRPr="005973AB" w:rsidRDefault="003F1A69" w:rsidP="00F64BF9">
      <w:pPr>
        <w:spacing w:line="240" w:lineRule="auto"/>
        <w:jc w:val="center"/>
      </w:pPr>
    </w:p>
    <w:p w14:paraId="3BF0876B" w14:textId="77777777" w:rsidR="003F1A69" w:rsidRPr="005973AB" w:rsidRDefault="003F1A69" w:rsidP="00F64BF9">
      <w:pPr>
        <w:spacing w:line="240" w:lineRule="auto"/>
        <w:jc w:val="center"/>
      </w:pPr>
    </w:p>
    <w:p w14:paraId="1587E8D8" w14:textId="77777777" w:rsidR="003F1A69" w:rsidRPr="005973AB" w:rsidRDefault="003F1A69" w:rsidP="00F64BF9">
      <w:pPr>
        <w:spacing w:line="240" w:lineRule="auto"/>
        <w:jc w:val="center"/>
      </w:pPr>
    </w:p>
    <w:p w14:paraId="19FC5933" w14:textId="77777777" w:rsidR="003F1A69" w:rsidRPr="005973AB" w:rsidRDefault="003F1A69" w:rsidP="00F64BF9">
      <w:pPr>
        <w:spacing w:line="240" w:lineRule="auto"/>
        <w:jc w:val="center"/>
      </w:pPr>
    </w:p>
    <w:p w14:paraId="00F6ABE2" w14:textId="77777777" w:rsidR="003F1A69" w:rsidRPr="005973AB" w:rsidRDefault="003F1A69" w:rsidP="00F64BF9">
      <w:pPr>
        <w:spacing w:line="240" w:lineRule="auto"/>
        <w:jc w:val="center"/>
      </w:pPr>
    </w:p>
    <w:p w14:paraId="122CB2FA" w14:textId="77777777" w:rsidR="003F1A69" w:rsidRPr="005973AB" w:rsidRDefault="003F1A69" w:rsidP="00F64BF9">
      <w:pPr>
        <w:spacing w:line="240" w:lineRule="auto"/>
        <w:jc w:val="center"/>
      </w:pPr>
    </w:p>
    <w:p w14:paraId="57DAEB4D" w14:textId="77777777" w:rsidR="003F1A69" w:rsidRPr="005973AB" w:rsidRDefault="003F1A69" w:rsidP="00F64BF9">
      <w:pPr>
        <w:spacing w:line="240" w:lineRule="auto"/>
        <w:jc w:val="center"/>
      </w:pPr>
    </w:p>
    <w:p w14:paraId="0481BD15" w14:textId="77777777" w:rsidR="003F1A69" w:rsidRPr="005973AB" w:rsidRDefault="003F1A69" w:rsidP="00F64BF9">
      <w:pPr>
        <w:spacing w:line="240" w:lineRule="auto"/>
        <w:jc w:val="center"/>
      </w:pPr>
    </w:p>
    <w:p w14:paraId="003F912B" w14:textId="77777777" w:rsidR="003F1A69" w:rsidRPr="005973AB" w:rsidRDefault="003F1A69" w:rsidP="00F64BF9">
      <w:pPr>
        <w:spacing w:line="240" w:lineRule="auto"/>
        <w:jc w:val="center"/>
      </w:pPr>
    </w:p>
    <w:p w14:paraId="21B0DD7D" w14:textId="77777777" w:rsidR="003F1A69" w:rsidRPr="005973AB" w:rsidRDefault="003F1A69" w:rsidP="00F64BF9">
      <w:pPr>
        <w:spacing w:line="240" w:lineRule="auto"/>
        <w:jc w:val="center"/>
      </w:pPr>
    </w:p>
    <w:p w14:paraId="192DC71A" w14:textId="77777777" w:rsidR="003F1A69" w:rsidRPr="005973AB" w:rsidRDefault="003F1A69" w:rsidP="00F64BF9">
      <w:pPr>
        <w:spacing w:line="240" w:lineRule="auto"/>
        <w:jc w:val="center"/>
      </w:pPr>
    </w:p>
    <w:p w14:paraId="0C3BE546" w14:textId="77777777" w:rsidR="003F1A69" w:rsidRPr="005973AB" w:rsidRDefault="003F1A69" w:rsidP="00F64BF9">
      <w:pPr>
        <w:spacing w:line="240" w:lineRule="auto"/>
        <w:jc w:val="center"/>
      </w:pPr>
    </w:p>
    <w:p w14:paraId="70D76413" w14:textId="77777777" w:rsidR="003F1A69" w:rsidRPr="005973AB" w:rsidRDefault="003F1A69" w:rsidP="00F64BF9">
      <w:pPr>
        <w:spacing w:line="240" w:lineRule="auto"/>
        <w:jc w:val="center"/>
      </w:pPr>
    </w:p>
    <w:p w14:paraId="12272F35" w14:textId="77777777" w:rsidR="003F1A69" w:rsidRPr="005973AB" w:rsidRDefault="003F1A69" w:rsidP="00F64BF9">
      <w:pPr>
        <w:spacing w:line="240" w:lineRule="auto"/>
        <w:jc w:val="center"/>
      </w:pPr>
    </w:p>
    <w:p w14:paraId="044AB2F0" w14:textId="77777777" w:rsidR="003F1A69" w:rsidRPr="005973AB" w:rsidRDefault="003F1A69" w:rsidP="00F64BF9">
      <w:pPr>
        <w:spacing w:line="240" w:lineRule="auto"/>
        <w:jc w:val="center"/>
      </w:pPr>
    </w:p>
    <w:p w14:paraId="40BF5AE2" w14:textId="77777777" w:rsidR="003F1A69" w:rsidRDefault="00BE7CB1" w:rsidP="00F64BF9">
      <w:pPr>
        <w:spacing w:line="240" w:lineRule="auto"/>
        <w:jc w:val="center"/>
        <w:outlineLvl w:val="0"/>
        <w:rPr>
          <w:b/>
        </w:rPr>
      </w:pPr>
      <w:r>
        <w:rPr>
          <w:b/>
        </w:rPr>
        <w:t>B. PÍSOMNÁ INFORMÁCIA PRE POUŽÍVATEĽA</w:t>
      </w:r>
      <w:r w:rsidR="003F1A69">
        <w:rPr>
          <w:b/>
        </w:rPr>
        <w:br w:type="page"/>
      </w:r>
    </w:p>
    <w:p w14:paraId="080E64B3" w14:textId="77777777" w:rsidR="00812D16" w:rsidRPr="00F37D4D" w:rsidRDefault="00BE7CB1" w:rsidP="000F7B10">
      <w:pPr>
        <w:spacing w:line="240" w:lineRule="auto"/>
        <w:jc w:val="center"/>
        <w:rPr>
          <w:b/>
          <w:bCs/>
        </w:rPr>
      </w:pPr>
      <w:r w:rsidRPr="00D265CE">
        <w:rPr>
          <w:b/>
        </w:rPr>
        <w:lastRenderedPageBreak/>
        <w:t>Písomná informácia pre používateľa</w:t>
      </w:r>
    </w:p>
    <w:p w14:paraId="2B39DD47" w14:textId="77777777" w:rsidR="00812D16" w:rsidRPr="00F37D4D" w:rsidRDefault="00812D16" w:rsidP="000F7B10">
      <w:pPr>
        <w:numPr>
          <w:ilvl w:val="12"/>
          <w:numId w:val="0"/>
        </w:numPr>
        <w:shd w:val="clear" w:color="auto" w:fill="FFFFFF"/>
        <w:tabs>
          <w:tab w:val="clear" w:pos="567"/>
        </w:tabs>
        <w:spacing w:line="240" w:lineRule="auto"/>
        <w:jc w:val="center"/>
      </w:pPr>
    </w:p>
    <w:p w14:paraId="65EAB3C0" w14:textId="77777777" w:rsidR="00A72679" w:rsidRPr="00F37D4D" w:rsidRDefault="00BE7CB1" w:rsidP="000F7B10">
      <w:pPr>
        <w:spacing w:line="240" w:lineRule="auto"/>
        <w:jc w:val="center"/>
        <w:rPr>
          <w:b/>
        </w:rPr>
      </w:pPr>
      <w:r>
        <w:rPr>
          <w:b/>
        </w:rPr>
        <w:t>Alymsys 25 mg/ml koncentrát na infúzny roztok</w:t>
      </w:r>
    </w:p>
    <w:p w14:paraId="77FEA71C" w14:textId="77777777" w:rsidR="00A72679" w:rsidRPr="00F37D4D" w:rsidRDefault="00BE7CB1" w:rsidP="000F7B10">
      <w:pPr>
        <w:numPr>
          <w:ilvl w:val="12"/>
          <w:numId w:val="0"/>
        </w:numPr>
        <w:tabs>
          <w:tab w:val="clear" w:pos="567"/>
        </w:tabs>
        <w:spacing w:line="240" w:lineRule="auto"/>
        <w:jc w:val="center"/>
      </w:pPr>
      <w:r>
        <w:t>bevacizumab</w:t>
      </w:r>
    </w:p>
    <w:p w14:paraId="7F5DDF9E" w14:textId="77777777" w:rsidR="00A72679" w:rsidRPr="00F37D4D" w:rsidRDefault="00A72679" w:rsidP="00F64BF9">
      <w:pPr>
        <w:tabs>
          <w:tab w:val="clear" w:pos="567"/>
        </w:tabs>
        <w:spacing w:line="240" w:lineRule="auto"/>
      </w:pPr>
    </w:p>
    <w:p w14:paraId="6F503E51" w14:textId="77777777" w:rsidR="00A72679" w:rsidRPr="00AA7FDF" w:rsidRDefault="00BE7CB1" w:rsidP="00F64BF9">
      <w:pPr>
        <w:spacing w:line="240" w:lineRule="auto"/>
        <w:rPr>
          <w:b/>
          <w:bCs/>
        </w:rPr>
      </w:pPr>
      <w:r>
        <w:rPr>
          <w:b/>
        </w:rPr>
        <w:t>Pozorne si prečítajte celú písomnú informáciu predtým, ako začnete používať tento liek, pretože obsahuje pre vás dôležité informácie.</w:t>
      </w:r>
    </w:p>
    <w:p w14:paraId="7473A13C" w14:textId="7322F4E7" w:rsidR="00A72679" w:rsidRPr="00F37D4D" w:rsidRDefault="00BE7CB1" w:rsidP="0033150F">
      <w:pPr>
        <w:pStyle w:val="ListParagraph"/>
        <w:numPr>
          <w:ilvl w:val="0"/>
          <w:numId w:val="20"/>
        </w:numPr>
        <w:ind w:left="567" w:hanging="567"/>
      </w:pPr>
      <w:r>
        <w:t>Túto písomnú informáciu si uschovajte. Možno bude potrebné, aby ste si ju znovu prečítali.</w:t>
      </w:r>
    </w:p>
    <w:p w14:paraId="12FD65B9" w14:textId="77777777" w:rsidR="00A72679" w:rsidRPr="00F37D4D" w:rsidRDefault="00BE7CB1" w:rsidP="0033150F">
      <w:pPr>
        <w:pStyle w:val="ListParagraph"/>
        <w:numPr>
          <w:ilvl w:val="0"/>
          <w:numId w:val="20"/>
        </w:numPr>
        <w:ind w:left="567" w:hanging="567"/>
      </w:pPr>
      <w:r>
        <w:t>Ak máte akékoľvek ďalšie otázky, obráťte sa na svojho lekára, lekárnika alebo zdravotnú sestru.</w:t>
      </w:r>
    </w:p>
    <w:p w14:paraId="1E34257A" w14:textId="77777777" w:rsidR="00A72679" w:rsidRPr="00F37D4D" w:rsidRDefault="00BE7CB1" w:rsidP="0033150F">
      <w:pPr>
        <w:pStyle w:val="ListParagraph"/>
        <w:numPr>
          <w:ilvl w:val="0"/>
          <w:numId w:val="20"/>
        </w:numPr>
        <w:ind w:left="567" w:hanging="567"/>
      </w:pPr>
      <w:r>
        <w:t>Ak sa u vás vyskytne akýkoľvek vedľajší účinok, obráťte sa na svojho lekára, lekárnika alebo zdravotnú sestru. To sa týka aj akýchkoľvek vedľajších účinkov, ktoré nie sú uvedené v tejto písomnej informácii. Pozri časť 4.</w:t>
      </w:r>
    </w:p>
    <w:p w14:paraId="518E86CC" w14:textId="77777777" w:rsidR="00812D16" w:rsidRPr="00AA7FDF" w:rsidRDefault="00812D16" w:rsidP="00F64BF9">
      <w:pPr>
        <w:spacing w:line="240" w:lineRule="auto"/>
      </w:pPr>
    </w:p>
    <w:p w14:paraId="63D612E7" w14:textId="77777777" w:rsidR="00F11B81" w:rsidRPr="00AA7FDF" w:rsidRDefault="00BE7CB1" w:rsidP="00F64BF9">
      <w:pPr>
        <w:spacing w:line="240" w:lineRule="auto"/>
        <w:rPr>
          <w:b/>
          <w:bCs/>
        </w:rPr>
      </w:pPr>
      <w:r>
        <w:rPr>
          <w:b/>
        </w:rPr>
        <w:t>V tejto písomnej informácii sa dozviete:</w:t>
      </w:r>
    </w:p>
    <w:p w14:paraId="26A01D1C" w14:textId="77777777" w:rsidR="00812D16" w:rsidRPr="00F37D4D" w:rsidRDefault="00812D16" w:rsidP="00F64BF9">
      <w:pPr>
        <w:spacing w:line="240" w:lineRule="auto"/>
      </w:pPr>
    </w:p>
    <w:p w14:paraId="678971F1" w14:textId="1F1A30E4" w:rsidR="00A72679" w:rsidRPr="00F37D4D" w:rsidRDefault="00BE7CB1" w:rsidP="00F64BF9">
      <w:pPr>
        <w:spacing w:line="240" w:lineRule="auto"/>
      </w:pPr>
      <w:r>
        <w:t>1.</w:t>
      </w:r>
      <w:r w:rsidRPr="00F37D4D">
        <w:tab/>
      </w:r>
      <w:r>
        <w:t>Čo je Alymsys a na čo sa používa</w:t>
      </w:r>
    </w:p>
    <w:p w14:paraId="1EE5224A" w14:textId="77777777" w:rsidR="00A72679" w:rsidRPr="00F37D4D" w:rsidRDefault="00BE7CB1" w:rsidP="00F64BF9">
      <w:pPr>
        <w:spacing w:line="240" w:lineRule="auto"/>
      </w:pPr>
      <w:r>
        <w:t>2.</w:t>
      </w:r>
      <w:r w:rsidRPr="00F37D4D">
        <w:tab/>
      </w:r>
      <w:r>
        <w:t>Čo potrebujete vedieť predtým, ako použijete Alymsys</w:t>
      </w:r>
    </w:p>
    <w:p w14:paraId="57612E66" w14:textId="77777777" w:rsidR="00A72679" w:rsidRPr="00F37D4D" w:rsidRDefault="00BE7CB1" w:rsidP="00F64BF9">
      <w:pPr>
        <w:spacing w:line="240" w:lineRule="auto"/>
      </w:pPr>
      <w:r>
        <w:t>3.</w:t>
      </w:r>
      <w:r w:rsidRPr="00F37D4D">
        <w:tab/>
      </w:r>
      <w:r>
        <w:t>Ako používať Alymsys</w:t>
      </w:r>
    </w:p>
    <w:p w14:paraId="463DDDC4" w14:textId="4AD24EC1" w:rsidR="00A72679" w:rsidRPr="00F37D4D" w:rsidRDefault="00BE7CB1" w:rsidP="00F64BF9">
      <w:pPr>
        <w:spacing w:line="240" w:lineRule="auto"/>
      </w:pPr>
      <w:r>
        <w:t>4.</w:t>
      </w:r>
      <w:r w:rsidRPr="00F37D4D">
        <w:tab/>
      </w:r>
      <w:r>
        <w:t>Možné vedľajšie účinky</w:t>
      </w:r>
    </w:p>
    <w:p w14:paraId="4E717275" w14:textId="77777777" w:rsidR="00A72679" w:rsidRPr="00F37D4D" w:rsidRDefault="00BE7CB1" w:rsidP="00F64BF9">
      <w:pPr>
        <w:spacing w:line="240" w:lineRule="auto"/>
      </w:pPr>
      <w:r>
        <w:t>5.</w:t>
      </w:r>
      <w:r w:rsidRPr="00F37D4D">
        <w:tab/>
      </w:r>
      <w:r>
        <w:t>Ako uchovávať Alymsys</w:t>
      </w:r>
    </w:p>
    <w:p w14:paraId="7140CC91" w14:textId="77777777" w:rsidR="00A72679" w:rsidRPr="00F37D4D" w:rsidRDefault="00BE7CB1" w:rsidP="00F64BF9">
      <w:pPr>
        <w:spacing w:line="240" w:lineRule="auto"/>
      </w:pPr>
      <w:r>
        <w:t>6.</w:t>
      </w:r>
      <w:r w:rsidRPr="00F37D4D">
        <w:tab/>
      </w:r>
      <w:r>
        <w:t>Obsah balenia a ďalšie informácie</w:t>
      </w:r>
    </w:p>
    <w:p w14:paraId="5DF4BD40" w14:textId="77777777" w:rsidR="009B6496" w:rsidRPr="00F37D4D" w:rsidRDefault="009B6496" w:rsidP="00F64BF9">
      <w:pPr>
        <w:numPr>
          <w:ilvl w:val="12"/>
          <w:numId w:val="0"/>
        </w:numPr>
        <w:tabs>
          <w:tab w:val="clear" w:pos="567"/>
        </w:tabs>
        <w:spacing w:line="240" w:lineRule="auto"/>
        <w:rPr>
          <w:szCs w:val="22"/>
        </w:rPr>
      </w:pPr>
    </w:p>
    <w:p w14:paraId="110D33B8" w14:textId="77777777" w:rsidR="00A72679" w:rsidRPr="00F37D4D" w:rsidRDefault="00A72679" w:rsidP="00F64BF9">
      <w:pPr>
        <w:numPr>
          <w:ilvl w:val="12"/>
          <w:numId w:val="0"/>
        </w:numPr>
        <w:tabs>
          <w:tab w:val="clear" w:pos="567"/>
        </w:tabs>
        <w:spacing w:line="240" w:lineRule="auto"/>
        <w:rPr>
          <w:szCs w:val="22"/>
        </w:rPr>
      </w:pPr>
    </w:p>
    <w:p w14:paraId="4285C9CC" w14:textId="77777777" w:rsidR="00F11B81" w:rsidRPr="00011E6E" w:rsidRDefault="00BE7CB1" w:rsidP="0033150F">
      <w:pPr>
        <w:pStyle w:val="ListParagraph"/>
        <w:keepNext/>
        <w:numPr>
          <w:ilvl w:val="0"/>
          <w:numId w:val="21"/>
        </w:numPr>
        <w:ind w:left="567" w:hanging="567"/>
        <w:rPr>
          <w:b/>
          <w:bCs/>
        </w:rPr>
      </w:pPr>
      <w:r>
        <w:rPr>
          <w:b/>
        </w:rPr>
        <w:t>Čo je Alymsys a na čo sa používa</w:t>
      </w:r>
    </w:p>
    <w:p w14:paraId="219B7A8B" w14:textId="77777777" w:rsidR="00F11B81" w:rsidRPr="00F37D4D" w:rsidRDefault="00F11B81" w:rsidP="00F64BF9">
      <w:pPr>
        <w:keepNext/>
        <w:spacing w:line="240" w:lineRule="auto"/>
        <w:rPr>
          <w:rFonts w:eastAsia="SimSun"/>
          <w:szCs w:val="22"/>
        </w:rPr>
      </w:pPr>
    </w:p>
    <w:p w14:paraId="64B8DB65" w14:textId="0124173C" w:rsidR="00A72679" w:rsidRPr="00F37D4D" w:rsidRDefault="00BE7CB1" w:rsidP="00F64BF9">
      <w:pPr>
        <w:spacing w:line="240" w:lineRule="auto"/>
        <w:rPr>
          <w:rFonts w:eastAsia="SimSun"/>
          <w:szCs w:val="22"/>
        </w:rPr>
      </w:pPr>
      <w:r>
        <w:t xml:space="preserve">Alymsys obsahuje liečivo bevacizumab, čo je humanizovaná monoklonálna protilátka (druh bielkoviny, ktorú zvyčajne produkuje imunitný systém na pomoc v boji proti infekcii alebo rakovine). Bevacizumab sa selektívne viaže na bielkovinu, ktorá sa nazýva ľudský </w:t>
      </w:r>
      <w:r w:rsidR="001014C2">
        <w:t>vaskulárny</w:t>
      </w:r>
      <w:r>
        <w:t xml:space="preserve"> endoteliálny rastový faktor (VEGF) nachádzajúci sa vo výstelke krvných a lymfatických ciev v tele. Bielkovina VEGF spôsobuje rast krvných ciev v nádoroch, ktoré poskytujú nádoru živiny a kyslík. Keď sa bevacizumab naviaže na VEGF, zabraňuje rastu nádorov zablokovaním rastu krvných ciev, ktoré nádoru poskytujú živiny a kyslík.</w:t>
      </w:r>
    </w:p>
    <w:p w14:paraId="22C594AC" w14:textId="77777777" w:rsidR="00A72679" w:rsidRPr="00F37D4D" w:rsidRDefault="00A72679" w:rsidP="00F64BF9">
      <w:pPr>
        <w:spacing w:line="240" w:lineRule="auto"/>
        <w:rPr>
          <w:rFonts w:eastAsia="SimSun"/>
          <w:szCs w:val="22"/>
        </w:rPr>
      </w:pPr>
    </w:p>
    <w:p w14:paraId="10E5624E" w14:textId="609C1975" w:rsidR="00A72679" w:rsidRPr="00F37D4D" w:rsidRDefault="00BE7CB1" w:rsidP="00F64BF9">
      <w:pPr>
        <w:spacing w:line="240" w:lineRule="auto"/>
        <w:rPr>
          <w:rFonts w:eastAsia="SimSun"/>
          <w:szCs w:val="22"/>
        </w:rPr>
      </w:pPr>
      <w:r>
        <w:t>Alymsys je liek, ktorý sa používa u dospelých pacientov na liečbu pokročilej rakoviny hrubého čreva alebo konečníka. Alymsys sa podáva v kombinácii s chemoterapeutickou liečbou obsahujúcou liek, ktorý sa nazýva fluórpyrimidín.</w:t>
      </w:r>
    </w:p>
    <w:p w14:paraId="4AF8F951" w14:textId="77777777" w:rsidR="00A72679" w:rsidRPr="00F37D4D" w:rsidRDefault="00A72679" w:rsidP="00F64BF9">
      <w:pPr>
        <w:spacing w:line="240" w:lineRule="auto"/>
        <w:rPr>
          <w:rFonts w:eastAsia="SimSun"/>
          <w:szCs w:val="22"/>
        </w:rPr>
      </w:pPr>
    </w:p>
    <w:p w14:paraId="4C816DFE" w14:textId="77777777" w:rsidR="00A72679" w:rsidRPr="00F37D4D" w:rsidRDefault="00BE7CB1" w:rsidP="00F64BF9">
      <w:pPr>
        <w:spacing w:line="240" w:lineRule="auto"/>
        <w:rPr>
          <w:rFonts w:eastAsia="SimSun"/>
          <w:szCs w:val="22"/>
        </w:rPr>
      </w:pPr>
      <w:r>
        <w:t>Alymsys sa používa u dospelých pacientov aj na liečbu rakoviny prsníka s tvorbou metastáz (nových ložísk rakoviny). Keď sa používa u pacientov s rakovinou prsníka, podáva sa s chemoterapeutickými liekmi, ktoré sa nazývajú paklitaxel alebo kapecitabín.</w:t>
      </w:r>
    </w:p>
    <w:p w14:paraId="1C6593C0" w14:textId="77777777" w:rsidR="00A72679" w:rsidRPr="00F37D4D" w:rsidRDefault="00A72679" w:rsidP="00F64BF9">
      <w:pPr>
        <w:spacing w:line="240" w:lineRule="auto"/>
        <w:rPr>
          <w:rFonts w:eastAsia="SimSun"/>
          <w:szCs w:val="22"/>
        </w:rPr>
      </w:pPr>
    </w:p>
    <w:p w14:paraId="7FE1E47E" w14:textId="77777777" w:rsidR="00A72679" w:rsidRPr="00F37D4D" w:rsidRDefault="00BE7CB1" w:rsidP="00F64BF9">
      <w:pPr>
        <w:spacing w:line="240" w:lineRule="auto"/>
        <w:rPr>
          <w:rFonts w:eastAsia="SimSun"/>
          <w:szCs w:val="22"/>
        </w:rPr>
      </w:pPr>
      <w:r>
        <w:t>Alymsys sa používa u dospelých pacientov aj na liečbu pokročilého nemalobunkového karcinómu (rakoviny) pľúc. Alymsys sa bude podávať spolu s chemoterapiou s obsahom platiny.</w:t>
      </w:r>
    </w:p>
    <w:p w14:paraId="1807BB60" w14:textId="77777777" w:rsidR="00A72679" w:rsidRPr="00F37D4D" w:rsidRDefault="00A72679" w:rsidP="00F64BF9">
      <w:pPr>
        <w:spacing w:line="240" w:lineRule="auto"/>
        <w:rPr>
          <w:rFonts w:eastAsia="SimSun"/>
          <w:szCs w:val="22"/>
        </w:rPr>
      </w:pPr>
    </w:p>
    <w:p w14:paraId="7BAC0041" w14:textId="77777777" w:rsidR="00A72679" w:rsidRPr="00F37D4D" w:rsidRDefault="00BE7CB1" w:rsidP="00F64BF9">
      <w:pPr>
        <w:spacing w:line="240" w:lineRule="auto"/>
        <w:rPr>
          <w:rFonts w:eastAsia="SimSun"/>
          <w:szCs w:val="22"/>
        </w:rPr>
      </w:pPr>
      <w:r>
        <w:t>Alymsys sa používa u dospelých pacientov aj na liečbu pokročilého nemalobunkového karcinómu pľúc, keď majú rakovinové bunky špecifické mutácie proteínu zvaného receptor pre epidermálny rastový faktor (EGFR). Alymsys bude podávaný v kombinácii s erlotinibom.</w:t>
      </w:r>
    </w:p>
    <w:p w14:paraId="1092A82A" w14:textId="77777777" w:rsidR="00A72679" w:rsidRPr="00F37D4D" w:rsidRDefault="00A72679" w:rsidP="00F64BF9">
      <w:pPr>
        <w:spacing w:line="240" w:lineRule="auto"/>
        <w:rPr>
          <w:rFonts w:eastAsia="SimSun"/>
          <w:szCs w:val="22"/>
        </w:rPr>
      </w:pPr>
    </w:p>
    <w:p w14:paraId="654A121F" w14:textId="77777777" w:rsidR="00A72679" w:rsidRPr="00F37D4D" w:rsidRDefault="00BE7CB1" w:rsidP="00F64BF9">
      <w:pPr>
        <w:spacing w:line="240" w:lineRule="auto"/>
        <w:rPr>
          <w:rFonts w:eastAsia="SimSun"/>
          <w:szCs w:val="22"/>
        </w:rPr>
      </w:pPr>
      <w:r>
        <w:t>Alymsys sa používa u dospelých pacientov aj na liečbu pokročilej rakoviny obličiek. Keď sa používa u pacientov s rakovinou obličiek, podáva sa spolu s iným druhom lieku, ktorý sa nazýva interferón.</w:t>
      </w:r>
    </w:p>
    <w:p w14:paraId="65A6184F" w14:textId="77777777" w:rsidR="00A72679" w:rsidRPr="00F37D4D" w:rsidRDefault="00A72679" w:rsidP="00F64BF9">
      <w:pPr>
        <w:spacing w:line="240" w:lineRule="auto"/>
        <w:rPr>
          <w:rFonts w:eastAsia="SimSun"/>
          <w:szCs w:val="22"/>
        </w:rPr>
      </w:pPr>
    </w:p>
    <w:p w14:paraId="2FFF81DE" w14:textId="77777777" w:rsidR="00A72679" w:rsidRPr="00F37D4D" w:rsidRDefault="00BE7CB1" w:rsidP="00F64BF9">
      <w:pPr>
        <w:spacing w:line="240" w:lineRule="auto"/>
        <w:rPr>
          <w:rFonts w:eastAsia="SimSun"/>
          <w:szCs w:val="22"/>
        </w:rPr>
      </w:pPr>
      <w:r>
        <w:t>Alymsys sa používa u dospelých pacientov tiež na liečbu pokročilého epiteliálneho karcinómu vaječníkov, Fallopiovej trubice alebo primárneho peritoneálneho karcinómu. Pri použití u pacientov s epiteliálnym karcinómom vaječníkov, Fallopiovej trubice alebo primárnym peritoneálnym karcinómom sa bude podávať v kombinácii s karboplatinou a paklitaxelom.</w:t>
      </w:r>
    </w:p>
    <w:p w14:paraId="7825DC17" w14:textId="77777777" w:rsidR="00A72679" w:rsidRPr="00F37D4D" w:rsidRDefault="00A72679" w:rsidP="00F64BF9">
      <w:pPr>
        <w:spacing w:line="240" w:lineRule="auto"/>
        <w:rPr>
          <w:rFonts w:eastAsia="SimSun"/>
          <w:szCs w:val="22"/>
        </w:rPr>
      </w:pPr>
    </w:p>
    <w:p w14:paraId="5F795245" w14:textId="77777777" w:rsidR="00A72679" w:rsidRPr="00F37D4D" w:rsidRDefault="00BE7CB1" w:rsidP="00F64BF9">
      <w:pPr>
        <w:spacing w:line="240" w:lineRule="auto"/>
        <w:rPr>
          <w:rFonts w:eastAsia="SimSun"/>
          <w:szCs w:val="22"/>
        </w:rPr>
      </w:pPr>
      <w:r>
        <w:lastRenderedPageBreak/>
        <w:t>Alymsys sa bude podávať v kombinácii s karboplatinou a gemcitabínom alebo s karboplatinou a paklitaxelom u tých dospelých pacientov s pokročilým epiteliálnym karcinómom vaječníkov, Fallopiovej trubice alebo primárnym peritoneálnym karcinómom, ktorých ochorenie sa objavilo znovu v priebehu minimálne 6 mesiacov po poslednom podaní chemoterapie obsahujúcej liek s liečivom platina.</w:t>
      </w:r>
    </w:p>
    <w:p w14:paraId="4C55FAE8" w14:textId="77777777" w:rsidR="00494FF1" w:rsidRDefault="00494FF1" w:rsidP="00F64BF9">
      <w:pPr>
        <w:tabs>
          <w:tab w:val="clear" w:pos="567"/>
        </w:tabs>
        <w:autoSpaceDE w:val="0"/>
        <w:autoSpaceDN w:val="0"/>
        <w:adjustRightInd w:val="0"/>
        <w:spacing w:line="240" w:lineRule="auto"/>
        <w:rPr>
          <w:rFonts w:eastAsia="SimSun"/>
          <w:szCs w:val="22"/>
        </w:rPr>
      </w:pPr>
    </w:p>
    <w:p w14:paraId="198767F5" w14:textId="1B8AD721" w:rsidR="00A72679" w:rsidRPr="00F37D4D" w:rsidRDefault="00494FF1" w:rsidP="00F64BF9">
      <w:pPr>
        <w:spacing w:line="240" w:lineRule="auto"/>
        <w:rPr>
          <w:rFonts w:eastAsia="SimSun"/>
          <w:szCs w:val="22"/>
        </w:rPr>
      </w:pPr>
      <w:r>
        <w:t xml:space="preserve">Alymsys sa bude podávať v kombinácii s </w:t>
      </w:r>
      <w:r w:rsidR="00613BC4" w:rsidRPr="003C42D1">
        <w:t>paklitaxelom,</w:t>
      </w:r>
      <w:r w:rsidR="00613BC4">
        <w:t xml:space="preserve"> </w:t>
      </w:r>
      <w:r>
        <w:t>topotekánom alebo pegylovaným lipozomálnym doxorubicínom u tých dospelých pacientov s pokročilým epiteliálnym karcinómom vaječníkov, Fallopiovej trubice alebo primárnym peritoneálnym karcinómom, ktorých ochorenie sa objavilo znovu skôr ako 6 mesiacov po poslednom podaní chemoterapie obsahujúcej liek s liečivom platina.</w:t>
      </w:r>
    </w:p>
    <w:p w14:paraId="7AABD507" w14:textId="77777777" w:rsidR="00A72679" w:rsidRPr="00F37D4D" w:rsidRDefault="00BE7CB1" w:rsidP="00F64BF9">
      <w:pPr>
        <w:spacing w:line="240" w:lineRule="auto"/>
        <w:rPr>
          <w:szCs w:val="22"/>
        </w:rPr>
      </w:pPr>
      <w:r>
        <w:t>Alymsys sa tiež používa na liečbu dospelých pacientov s pretrvávajúcim, rekurentným alebo metastatickým karcinómom krčka maternice. Alymsys bude podávaný v kombinácii s paklitaxelom a cisplatinou alebo alternatívne s paklitaxelom a topotekánom u pacientov, u ktorých nie je vhodná liečba platinou.</w:t>
      </w:r>
    </w:p>
    <w:p w14:paraId="2D186222" w14:textId="77777777" w:rsidR="009B6496" w:rsidRPr="00F37D4D" w:rsidRDefault="009B6496" w:rsidP="00F64BF9">
      <w:pPr>
        <w:spacing w:line="240" w:lineRule="auto"/>
        <w:rPr>
          <w:szCs w:val="22"/>
        </w:rPr>
      </w:pPr>
    </w:p>
    <w:p w14:paraId="1B797E1B" w14:textId="77777777" w:rsidR="00896658" w:rsidRPr="00F37D4D" w:rsidRDefault="00896658" w:rsidP="00F64BF9">
      <w:pPr>
        <w:spacing w:line="240" w:lineRule="auto"/>
        <w:rPr>
          <w:szCs w:val="22"/>
        </w:rPr>
      </w:pPr>
    </w:p>
    <w:p w14:paraId="1EE79DCA" w14:textId="77777777" w:rsidR="009B6496" w:rsidRPr="00011E6E" w:rsidRDefault="00BE7CB1" w:rsidP="0033150F">
      <w:pPr>
        <w:pStyle w:val="ListParagraph"/>
        <w:keepNext/>
        <w:numPr>
          <w:ilvl w:val="0"/>
          <w:numId w:val="21"/>
        </w:numPr>
        <w:ind w:left="567" w:hanging="567"/>
        <w:rPr>
          <w:b/>
          <w:bCs/>
        </w:rPr>
      </w:pPr>
      <w:r>
        <w:rPr>
          <w:b/>
        </w:rPr>
        <w:t>Čo potrebujete vedieť predtým, ako použijete Alymsys</w:t>
      </w:r>
    </w:p>
    <w:p w14:paraId="369D08E7" w14:textId="77777777" w:rsidR="009B6496" w:rsidRPr="00F37D4D" w:rsidRDefault="009B6496" w:rsidP="00F64BF9">
      <w:pPr>
        <w:keepNext/>
        <w:spacing w:line="240" w:lineRule="auto"/>
      </w:pPr>
    </w:p>
    <w:p w14:paraId="416B5A70" w14:textId="77777777" w:rsidR="00A72679" w:rsidRPr="00011E6E" w:rsidRDefault="00BE7CB1" w:rsidP="00F64BF9">
      <w:pPr>
        <w:keepNext/>
        <w:spacing w:line="240" w:lineRule="auto"/>
        <w:rPr>
          <w:b/>
          <w:bCs/>
        </w:rPr>
      </w:pPr>
      <w:r>
        <w:rPr>
          <w:b/>
        </w:rPr>
        <w:t>Nepoužívajte Alymsys:</w:t>
      </w:r>
    </w:p>
    <w:p w14:paraId="4E795054" w14:textId="5F899457" w:rsidR="00A72679" w:rsidRPr="00F37D4D" w:rsidRDefault="00BE7CB1" w:rsidP="0033150F">
      <w:pPr>
        <w:pStyle w:val="ListParagraph"/>
        <w:numPr>
          <w:ilvl w:val="0"/>
          <w:numId w:val="22"/>
        </w:numPr>
        <w:ind w:left="567" w:hanging="567"/>
      </w:pPr>
      <w:r>
        <w:rPr>
          <w:spacing w:val="-2"/>
        </w:rPr>
        <w:t>ak ste alergický na bevacizumab alebo na ktorúkoľvek z ďalších zložiek tohto lieku (uvedených v časti 6).</w:t>
      </w:r>
    </w:p>
    <w:p w14:paraId="1F0B97F6" w14:textId="3C0CB60E" w:rsidR="00A72679" w:rsidRPr="00F37D4D" w:rsidRDefault="00BE7CB1" w:rsidP="0033150F">
      <w:pPr>
        <w:pStyle w:val="ListParagraph"/>
        <w:numPr>
          <w:ilvl w:val="0"/>
          <w:numId w:val="22"/>
        </w:numPr>
        <w:ind w:left="567" w:hanging="567"/>
      </w:pPr>
      <w:r>
        <w:rPr>
          <w:spacing w:val="-2"/>
        </w:rPr>
        <w:t>ak ste alergický na bunkové produkty ovárií čínskeho škrečka (CHO) alebo na iné rekombinantné ľudské alebo humanizované protilátky.</w:t>
      </w:r>
    </w:p>
    <w:p w14:paraId="1AD16BFF" w14:textId="77777777" w:rsidR="00A72679" w:rsidRPr="00F37D4D" w:rsidRDefault="00BE7CB1" w:rsidP="0033150F">
      <w:pPr>
        <w:pStyle w:val="ListParagraph"/>
        <w:numPr>
          <w:ilvl w:val="0"/>
          <w:numId w:val="22"/>
        </w:numPr>
        <w:ind w:left="567" w:hanging="567"/>
      </w:pPr>
      <w:r>
        <w:rPr>
          <w:spacing w:val="-2"/>
        </w:rPr>
        <w:t>ak ste tehotná.</w:t>
      </w:r>
    </w:p>
    <w:p w14:paraId="6F28CEE1" w14:textId="77777777" w:rsidR="00A72679" w:rsidRPr="00F37D4D" w:rsidRDefault="00A72679" w:rsidP="00F64BF9">
      <w:pPr>
        <w:spacing w:line="240" w:lineRule="auto"/>
        <w:rPr>
          <w:szCs w:val="22"/>
        </w:rPr>
      </w:pPr>
    </w:p>
    <w:p w14:paraId="0B958541" w14:textId="77777777" w:rsidR="00A72679" w:rsidRPr="00011E6E" w:rsidRDefault="00BE7CB1" w:rsidP="00F64BF9">
      <w:pPr>
        <w:keepNext/>
        <w:spacing w:line="240" w:lineRule="auto"/>
        <w:rPr>
          <w:b/>
          <w:bCs/>
        </w:rPr>
      </w:pPr>
      <w:r>
        <w:rPr>
          <w:b/>
        </w:rPr>
        <w:t>Upozornenia a opatrenia</w:t>
      </w:r>
    </w:p>
    <w:p w14:paraId="0225B74E" w14:textId="77777777" w:rsidR="00A72679" w:rsidRPr="00011E6E" w:rsidRDefault="00BE7CB1" w:rsidP="00F64BF9">
      <w:pPr>
        <w:keepNext/>
        <w:spacing w:line="240" w:lineRule="auto"/>
      </w:pPr>
      <w:r>
        <w:t>Predtým, ako začnete používať Alymsys, obráťte sa na svojho lekára, lekárnika alebo zdravotnú sestru.</w:t>
      </w:r>
    </w:p>
    <w:p w14:paraId="7BF5D0A6" w14:textId="77777777" w:rsidR="00A72679" w:rsidRPr="00011E6E" w:rsidRDefault="00A72679" w:rsidP="00F64BF9">
      <w:pPr>
        <w:keepNext/>
        <w:spacing w:line="240" w:lineRule="auto"/>
      </w:pPr>
    </w:p>
    <w:p w14:paraId="20525BAE" w14:textId="77777777" w:rsidR="00A72679" w:rsidRPr="00011E6E" w:rsidRDefault="007C2001" w:rsidP="0033150F">
      <w:pPr>
        <w:pStyle w:val="ListParagraph"/>
        <w:numPr>
          <w:ilvl w:val="0"/>
          <w:numId w:val="23"/>
        </w:numPr>
        <w:ind w:left="567" w:hanging="567"/>
      </w:pPr>
      <w:r>
        <w:t>Je možné, že Alymsys môže zvýšiť riziko vzniku otvorov v črevnej stene. Ak máte ochorenia spôsobujúce zápal vo vnútri brušnej dutiny (napr. divertikulitídu, žalúdočné vredy, kolitídu spojenú s chemoterapiou), porozprávajte sa o tom so svojím lekárom.</w:t>
      </w:r>
    </w:p>
    <w:p w14:paraId="1293F7DB" w14:textId="77777777" w:rsidR="00A72679" w:rsidRPr="00011E6E" w:rsidRDefault="00A72679" w:rsidP="00F64BF9">
      <w:pPr>
        <w:spacing w:line="240" w:lineRule="auto"/>
        <w:ind w:left="567" w:hanging="567"/>
      </w:pPr>
    </w:p>
    <w:p w14:paraId="519857A3" w14:textId="77777777" w:rsidR="00A72679" w:rsidRPr="00011E6E" w:rsidRDefault="007C2001" w:rsidP="0033150F">
      <w:pPr>
        <w:pStyle w:val="ListParagraph"/>
        <w:numPr>
          <w:ilvl w:val="0"/>
          <w:numId w:val="23"/>
        </w:numPr>
        <w:ind w:left="567" w:hanging="567"/>
      </w:pPr>
      <w:r>
        <w:t>Alymsys môže zvýšiť riziko vzniku nezvyčajného prepojenia alebo priechodu medzi dvoma orgánmi alebo cievami. Riziko vzniku prepojenia medzi vagínou a ktoroukoľvek časťou čreva sa môže zvýšiť, ak máte pretrvávajúci, rekurentný alebo metastatický nádor krčka maternice.</w:t>
      </w:r>
    </w:p>
    <w:p w14:paraId="5C66E234" w14:textId="77777777" w:rsidR="00A72679" w:rsidRPr="00011E6E" w:rsidRDefault="00A72679" w:rsidP="00F64BF9">
      <w:pPr>
        <w:spacing w:line="240" w:lineRule="auto"/>
        <w:ind w:left="567" w:hanging="567"/>
      </w:pPr>
    </w:p>
    <w:p w14:paraId="7200C47F" w14:textId="7B13D80F" w:rsidR="00A72679" w:rsidRPr="00011E6E" w:rsidRDefault="003F1A69" w:rsidP="0033150F">
      <w:pPr>
        <w:pStyle w:val="ListParagraph"/>
        <w:numPr>
          <w:ilvl w:val="0"/>
          <w:numId w:val="23"/>
        </w:numPr>
        <w:ind w:left="567" w:hanging="567"/>
      </w:pPr>
      <w:r>
        <w:t>Alymsys môže zvýšiť riziko krvácania alebo môže zvýšiť riziko problémov pri hojení rán po operácii. Ak máte ísť na operáciu, ak ste za posledných 28 dní podstúpili rozsiahlu operáciu alebo ak máte nezahojenú ranu po operácii, tento liek ne</w:t>
      </w:r>
      <w:r w:rsidR="009010EB">
        <w:t xml:space="preserve">máte </w:t>
      </w:r>
      <w:r>
        <w:t>používa</w:t>
      </w:r>
      <w:r w:rsidR="009010EB">
        <w:t>ť</w:t>
      </w:r>
      <w:r>
        <w:t>.</w:t>
      </w:r>
    </w:p>
    <w:p w14:paraId="227F33A6" w14:textId="77777777" w:rsidR="00A72679" w:rsidRPr="00011E6E" w:rsidRDefault="00A72679" w:rsidP="00F64BF9">
      <w:pPr>
        <w:spacing w:line="240" w:lineRule="auto"/>
        <w:ind w:left="567" w:hanging="567"/>
      </w:pPr>
    </w:p>
    <w:p w14:paraId="04ED365C" w14:textId="77777777" w:rsidR="00A72679" w:rsidRPr="00011E6E" w:rsidRDefault="00011E6E" w:rsidP="0033150F">
      <w:pPr>
        <w:pStyle w:val="ListParagraph"/>
        <w:numPr>
          <w:ilvl w:val="0"/>
          <w:numId w:val="23"/>
        </w:numPr>
        <w:ind w:left="567" w:hanging="567"/>
      </w:pPr>
      <w:r>
        <w:t>Alymsys môže zvýšiť riziko vývoja závažných infekcií kože alebo hlbších vrstiev pod kožou, najmä ak ste mali otvory v črevnej stene alebo problémy s hojením rán.</w:t>
      </w:r>
    </w:p>
    <w:p w14:paraId="1B4B0CBD" w14:textId="77777777" w:rsidR="00A72679" w:rsidRPr="00011E6E" w:rsidRDefault="00A72679" w:rsidP="00F64BF9">
      <w:pPr>
        <w:spacing w:line="240" w:lineRule="auto"/>
        <w:ind w:left="567" w:hanging="567"/>
      </w:pPr>
    </w:p>
    <w:p w14:paraId="293473AC" w14:textId="77777777" w:rsidR="00B94559" w:rsidRPr="00011E6E" w:rsidRDefault="007C2001" w:rsidP="0033150F">
      <w:pPr>
        <w:pStyle w:val="ListParagraph"/>
        <w:numPr>
          <w:ilvl w:val="0"/>
          <w:numId w:val="23"/>
        </w:numPr>
        <w:ind w:left="567" w:hanging="567"/>
      </w:pPr>
      <w:r>
        <w:t xml:space="preserve">Alymsys môže zvýšiť výskyt vysokého krvného tlaku. Ak máte vysoký krvný tlak, ktorý sa nedá dostatočne liečiť liekmi proti vysokému krvnému tlaku, poraďte sa so svojím lekárom, pretože je dôležité zabezpečiť, aby váš krvný tlak bol pod kontrolou pred začiatkom liečby Alymsysom. </w:t>
      </w:r>
    </w:p>
    <w:p w14:paraId="5C464C1F" w14:textId="77777777" w:rsidR="00B94559" w:rsidRPr="00011E6E" w:rsidRDefault="00B94559" w:rsidP="00F64BF9">
      <w:pPr>
        <w:spacing w:line="240" w:lineRule="auto"/>
        <w:ind w:left="567" w:hanging="567"/>
      </w:pPr>
    </w:p>
    <w:p w14:paraId="0FE33BC6" w14:textId="77777777" w:rsidR="00A72679" w:rsidRPr="00011E6E" w:rsidRDefault="00BE7CB1" w:rsidP="0033150F">
      <w:pPr>
        <w:pStyle w:val="ListParagraph"/>
        <w:numPr>
          <w:ilvl w:val="0"/>
          <w:numId w:val="23"/>
        </w:numPr>
        <w:ind w:left="567" w:hanging="567"/>
      </w:pPr>
      <w:r>
        <w:t>Ak máte alebo ste mali aneuryzmu (zväčšenie a oslabenie steny krvnej cievy) alebo trhlinu v stene krvnej cievy.</w:t>
      </w:r>
    </w:p>
    <w:p w14:paraId="1B78CDBC" w14:textId="77777777" w:rsidR="00A72679" w:rsidRPr="00011E6E" w:rsidRDefault="00A72679" w:rsidP="00F64BF9">
      <w:pPr>
        <w:spacing w:line="240" w:lineRule="auto"/>
        <w:ind w:left="567" w:hanging="567"/>
      </w:pPr>
    </w:p>
    <w:p w14:paraId="04795E9F" w14:textId="77777777" w:rsidR="00A72679" w:rsidRPr="00011E6E" w:rsidRDefault="003F1A69" w:rsidP="0033150F">
      <w:pPr>
        <w:pStyle w:val="ListParagraph"/>
        <w:numPr>
          <w:ilvl w:val="0"/>
          <w:numId w:val="23"/>
        </w:numPr>
        <w:ind w:left="567" w:hanging="567"/>
      </w:pPr>
      <w:r>
        <w:t>Alymsys zvyšuje riziko výskytu bielkovín v moči, predovšetkým ak už máte vysoký krvný tlak.</w:t>
      </w:r>
    </w:p>
    <w:p w14:paraId="3F2FAB84" w14:textId="77777777" w:rsidR="00A72679" w:rsidRPr="00011E6E" w:rsidRDefault="00A72679" w:rsidP="00F64BF9">
      <w:pPr>
        <w:spacing w:line="240" w:lineRule="auto"/>
        <w:ind w:left="567" w:hanging="567"/>
      </w:pPr>
    </w:p>
    <w:p w14:paraId="22D3B1CF" w14:textId="4354A85E" w:rsidR="00A72679" w:rsidRPr="00011E6E" w:rsidRDefault="00BE7CB1" w:rsidP="0033150F">
      <w:pPr>
        <w:pStyle w:val="ListParagraph"/>
        <w:numPr>
          <w:ilvl w:val="0"/>
          <w:numId w:val="23"/>
        </w:numPr>
        <w:ind w:left="567" w:hanging="567"/>
      </w:pPr>
      <w:r>
        <w:t xml:space="preserve">Riziko vzniku krvných zrazenín v tepnách (druh krvnej cievy) sa môže zvýšiť, ak máte viac ako </w:t>
      </w:r>
      <w:r>
        <w:lastRenderedPageBreak/>
        <w:t>65 rokov</w:t>
      </w:r>
      <w:r w:rsidR="009010EB">
        <w:t xml:space="preserve">, ak máte </w:t>
      </w:r>
      <w:r w:rsidR="00A462EB">
        <w:t>diabetes (cukrovka)</w:t>
      </w:r>
      <w:r w:rsidR="00DA5FF4">
        <w:t>,</w:t>
      </w:r>
      <w:r w:rsidR="00363064">
        <w:t xml:space="preserve"> alebo</w:t>
      </w:r>
      <w:r>
        <w:t xml:space="preserve"> ak ste mali v minulosti krvné zrazeniny v tepnách. Poraďte sa so svojím lekárom, pretože krvné zrazeniny môžu viesť k srdcovému infarktu a mozgovej príhode.</w:t>
      </w:r>
    </w:p>
    <w:p w14:paraId="2E591749" w14:textId="77777777" w:rsidR="00A72679" w:rsidRPr="00011E6E" w:rsidRDefault="00A72679" w:rsidP="00F64BF9">
      <w:pPr>
        <w:spacing w:line="240" w:lineRule="auto"/>
        <w:ind w:left="567" w:hanging="567"/>
      </w:pPr>
    </w:p>
    <w:p w14:paraId="2ADF1121" w14:textId="77777777" w:rsidR="00494FF1" w:rsidRDefault="007C2001" w:rsidP="0033150F">
      <w:pPr>
        <w:pStyle w:val="ListParagraph"/>
        <w:numPr>
          <w:ilvl w:val="0"/>
          <w:numId w:val="23"/>
        </w:numPr>
        <w:ind w:left="567" w:hanging="567"/>
      </w:pPr>
      <w:r>
        <w:t>Alymsys môže zvýšiť aj riziko vzniku krvných zrazenín vo vašich žilách (druh krvnej cievy).</w:t>
      </w:r>
    </w:p>
    <w:p w14:paraId="4AA0EF03" w14:textId="77777777" w:rsidR="00494FF1" w:rsidRPr="00011E6E" w:rsidRDefault="00494FF1" w:rsidP="00F64BF9">
      <w:pPr>
        <w:spacing w:line="240" w:lineRule="auto"/>
      </w:pPr>
    </w:p>
    <w:p w14:paraId="1AFE1FA2" w14:textId="77777777" w:rsidR="00A72679" w:rsidRPr="00011E6E" w:rsidRDefault="003F1A69" w:rsidP="0033150F">
      <w:pPr>
        <w:pStyle w:val="ListParagraph"/>
        <w:numPr>
          <w:ilvl w:val="0"/>
          <w:numId w:val="23"/>
        </w:numPr>
        <w:ind w:left="567" w:hanging="567"/>
      </w:pPr>
      <w:r>
        <w:t>Alymsys môže spôsobiť krvácanie, hlavne krvácanie súvisiace s nádorom. Poraďte sa so svojím lekárom, ak vy alebo niekto z vašej rodiny má sklon ku krvácaniu alebo ak z akéhokoľvek dôvodu užívate lieky na riedenie krvi.</w:t>
      </w:r>
    </w:p>
    <w:p w14:paraId="22103FA7" w14:textId="77777777" w:rsidR="00A72679" w:rsidRPr="00011E6E" w:rsidRDefault="00A72679" w:rsidP="00F64BF9">
      <w:pPr>
        <w:spacing w:line="240" w:lineRule="auto"/>
        <w:ind w:left="567" w:hanging="567"/>
      </w:pPr>
    </w:p>
    <w:p w14:paraId="6466AD2D" w14:textId="77777777" w:rsidR="00A72679" w:rsidRPr="00011E6E" w:rsidRDefault="007C2001" w:rsidP="0033150F">
      <w:pPr>
        <w:pStyle w:val="ListParagraph"/>
        <w:numPr>
          <w:ilvl w:val="0"/>
          <w:numId w:val="23"/>
        </w:numPr>
        <w:ind w:left="567" w:hanging="567"/>
      </w:pPr>
      <w:r>
        <w:t>Alymsys môže spôsobiť krvácanie do mozgu a jeho okolia. Ak máte metastatické ochorenie postihujúce mozog, poraďte sa so svojím lekárom.</w:t>
      </w:r>
    </w:p>
    <w:p w14:paraId="520E8A70" w14:textId="77777777" w:rsidR="00A72679" w:rsidRPr="00011E6E" w:rsidRDefault="00A72679" w:rsidP="00F64BF9">
      <w:pPr>
        <w:spacing w:line="240" w:lineRule="auto"/>
        <w:ind w:left="567" w:hanging="567"/>
      </w:pPr>
    </w:p>
    <w:p w14:paraId="12E1C488" w14:textId="77777777" w:rsidR="00A72679" w:rsidRPr="00011E6E" w:rsidRDefault="007C2001" w:rsidP="0033150F">
      <w:pPr>
        <w:pStyle w:val="ListParagraph"/>
        <w:numPr>
          <w:ilvl w:val="0"/>
          <w:numId w:val="23"/>
        </w:numPr>
        <w:ind w:left="567" w:hanging="567"/>
      </w:pPr>
      <w:r>
        <w:t>Alymsys môže zvýšiť riziko krvácania do pľúc, vrátane vykašliavania alebo vypľúvania krvi. Ak sa u vás také niečo v minulosti vyskytlo, poraďte sa so svojím lekárom.</w:t>
      </w:r>
    </w:p>
    <w:p w14:paraId="7A3D40B6" w14:textId="77777777" w:rsidR="00A72679" w:rsidRPr="00011E6E" w:rsidRDefault="00A72679" w:rsidP="00F64BF9">
      <w:pPr>
        <w:spacing w:line="240" w:lineRule="auto"/>
        <w:ind w:left="567" w:hanging="567"/>
      </w:pPr>
    </w:p>
    <w:p w14:paraId="1AE885DF" w14:textId="77777777" w:rsidR="00A72679" w:rsidRPr="00011E6E" w:rsidRDefault="007C2001" w:rsidP="0033150F">
      <w:pPr>
        <w:pStyle w:val="ListParagraph"/>
        <w:numPr>
          <w:ilvl w:val="0"/>
          <w:numId w:val="23"/>
        </w:numPr>
        <w:ind w:left="567" w:hanging="567"/>
      </w:pPr>
      <w:r>
        <w:t>Alymsys môže zvýšiť riziko rozvoja srdcovej slabosti. Je dôležité oznámiť lekárovi, ak ste niekedy užívali antracyklíny (napríklad doxorubicín, špecifický druh chemoterapie používanej na liečbu niektorých druhov rakoviny) alebo ak ste podstúpili rádioterapiu hrudníka alebo máte ochorenie srdca.</w:t>
      </w:r>
    </w:p>
    <w:p w14:paraId="65648A4F" w14:textId="77777777" w:rsidR="00A72679" w:rsidRPr="00011E6E" w:rsidRDefault="00A72679" w:rsidP="00F64BF9">
      <w:pPr>
        <w:spacing w:line="240" w:lineRule="auto"/>
        <w:ind w:left="567" w:hanging="567"/>
      </w:pPr>
    </w:p>
    <w:p w14:paraId="5D1AF1C8" w14:textId="77777777" w:rsidR="00A72679" w:rsidRPr="00011E6E" w:rsidRDefault="003F1A69" w:rsidP="0033150F">
      <w:pPr>
        <w:pStyle w:val="ListParagraph"/>
        <w:numPr>
          <w:ilvl w:val="0"/>
          <w:numId w:val="23"/>
        </w:numPr>
        <w:ind w:left="567" w:hanging="567"/>
      </w:pPr>
      <w:r>
        <w:t>Alymsys môže spôsobiť infekcie a znížený počet neutrofilov (druh bielych krviniek, ktoré sú dôležité na ochranu pred baktériami).</w:t>
      </w:r>
    </w:p>
    <w:p w14:paraId="6DBA73E0" w14:textId="77777777" w:rsidR="00A72679" w:rsidRPr="00011E6E" w:rsidRDefault="00A72679" w:rsidP="00F64BF9">
      <w:pPr>
        <w:spacing w:line="240" w:lineRule="auto"/>
        <w:ind w:left="567" w:hanging="567"/>
      </w:pPr>
    </w:p>
    <w:p w14:paraId="24FC39A2" w14:textId="232FCD4A" w:rsidR="00A72679" w:rsidRPr="00011E6E" w:rsidRDefault="007C2001" w:rsidP="0033150F">
      <w:pPr>
        <w:pStyle w:val="ListParagraph"/>
        <w:numPr>
          <w:ilvl w:val="0"/>
          <w:numId w:val="23"/>
        </w:numPr>
        <w:ind w:left="567" w:hanging="567"/>
      </w:pPr>
      <w:r>
        <w:t xml:space="preserve">Alymsys môže spôsobiť precitlivenosť </w:t>
      </w:r>
      <w:r w:rsidR="003B440B" w:rsidRPr="003B440B">
        <w:t>(vrátane anafylaktického</w:t>
      </w:r>
      <w:r w:rsidR="003B440B">
        <w:t xml:space="preserve"> </w:t>
      </w:r>
      <w:r w:rsidR="003B440B" w:rsidRPr="003B440B">
        <w:t xml:space="preserve">šoku) </w:t>
      </w:r>
      <w:r>
        <w:t>a/alebo reakcie na infúziu (reakcie súvisiace s podaním lieku). Ak sa u vás v minulosti vyskytli problémy po podaní injekcií, ako je závrat/pocit mdloby, dýchavičnosť, opuch alebo kožná vyrážka, informujte o tom svojho lekára, lekárnika alebo zdravotnú sestru.</w:t>
      </w:r>
    </w:p>
    <w:p w14:paraId="7B3BCCFF" w14:textId="77777777" w:rsidR="00A72679" w:rsidRPr="00011E6E" w:rsidRDefault="00A72679" w:rsidP="00F64BF9">
      <w:pPr>
        <w:spacing w:line="240" w:lineRule="auto"/>
        <w:ind w:left="567" w:hanging="567"/>
      </w:pPr>
    </w:p>
    <w:p w14:paraId="403447FA" w14:textId="77777777" w:rsidR="00A72679" w:rsidRDefault="00BE7CB1" w:rsidP="0033150F">
      <w:pPr>
        <w:pStyle w:val="ListParagraph"/>
        <w:numPr>
          <w:ilvl w:val="0"/>
          <w:numId w:val="23"/>
        </w:numPr>
        <w:ind w:left="567" w:hanging="567"/>
      </w:pPr>
      <w:r>
        <w:t>S liečbou Alymsysom je spojený zriedkavý neurologický (nervový) vedľajší účinok, ktorý sa nazýva posteriórny reverzibilný encefalopatický syndróm (PRES). Ak máte bolesť hlavy, poruchy videnia, ste zmätený alebo máte záchvaty s vysokým krvným tlakom alebo bez neho, informujte svojho lekára.</w:t>
      </w:r>
    </w:p>
    <w:p w14:paraId="30BA06AE" w14:textId="77777777" w:rsidR="00494FF1" w:rsidRDefault="00494FF1" w:rsidP="00F64BF9">
      <w:pPr>
        <w:pStyle w:val="ListParagraph"/>
      </w:pPr>
    </w:p>
    <w:p w14:paraId="6B9F1846" w14:textId="21CBEDCD" w:rsidR="00494FF1" w:rsidRDefault="005129B0" w:rsidP="0033150F">
      <w:pPr>
        <w:pStyle w:val="ListParagraph"/>
        <w:numPr>
          <w:ilvl w:val="0"/>
          <w:numId w:val="23"/>
        </w:numPr>
        <w:ind w:left="567" w:hanging="567"/>
      </w:pPr>
      <w:r>
        <w:t>U pacientov mladších ako 18 rokov liečených Alymsysom bolo hlásené odumieranie kostného tkaniva (osteonekróza) v kostiach iných než čeľusť. Bolesť v ústach, bolesť zubov a/alebo čeľuste, opuch alebo vredy v ústach, necitlivosť alebo pocit tŕpnutia v čeľusti, alebo uvoľnenie zuba v jeho lôžku môžu byť prejavy alebo príznaky poškodenia kosti v čeľusti (osteonekróza). Okamžite povedzte svojmu lekárovi a zubárovi, ak spozorujete niektoré z nich.</w:t>
      </w:r>
    </w:p>
    <w:p w14:paraId="5173382E" w14:textId="77777777" w:rsidR="00A72679" w:rsidRPr="00011E6E" w:rsidRDefault="00A72679" w:rsidP="00F64BF9">
      <w:pPr>
        <w:spacing w:line="240" w:lineRule="auto"/>
      </w:pPr>
    </w:p>
    <w:p w14:paraId="4C3F1533" w14:textId="77777777" w:rsidR="00A72679" w:rsidRPr="00011E6E" w:rsidRDefault="00BE7CB1" w:rsidP="00F64BF9">
      <w:pPr>
        <w:keepNext/>
        <w:spacing w:line="240" w:lineRule="auto"/>
      </w:pPr>
      <w:r>
        <w:t>Aj keď sa ktorákoľvek z vyššie uvedených informácií vzťahovala na vás len v minulosti, informujte o tom svojho lekára.</w:t>
      </w:r>
    </w:p>
    <w:p w14:paraId="2B1D3339" w14:textId="77777777" w:rsidR="00A72679" w:rsidRPr="00011E6E" w:rsidRDefault="00BE7CB1" w:rsidP="00F64BF9">
      <w:pPr>
        <w:keepNext/>
        <w:spacing w:line="240" w:lineRule="auto"/>
      </w:pPr>
      <w:r>
        <w:t>Pred podaním Alymsysu alebo počas liečby Alymsysom:</w:t>
      </w:r>
    </w:p>
    <w:p w14:paraId="1A42E88D" w14:textId="77777777" w:rsidR="00A72679" w:rsidRPr="00011E6E" w:rsidRDefault="00BE7CB1" w:rsidP="0033150F">
      <w:pPr>
        <w:pStyle w:val="ListParagraph"/>
        <w:numPr>
          <w:ilvl w:val="0"/>
          <w:numId w:val="24"/>
        </w:numPr>
        <w:ind w:left="567" w:hanging="567"/>
      </w:pPr>
      <w:r>
        <w:t>ak máte alebo ste mali bolesť v ústach, bolesť zubov a/alebo čeľuste, opuch alebo vredy v</w:t>
      </w:r>
      <w:r w:rsidR="00F174EF">
        <w:t> </w:t>
      </w:r>
      <w:r>
        <w:t>ústach, necitlivosť alebo pocit tŕpnutia v čeľusti, alebo uvoľnenia zuba v jeho lôžku, okamžite to povedzte svojmu lekárovi a zubárovi.</w:t>
      </w:r>
    </w:p>
    <w:p w14:paraId="13E030B5" w14:textId="77777777" w:rsidR="00A72679" w:rsidRPr="00011E6E" w:rsidRDefault="00011E6E" w:rsidP="0033150F">
      <w:pPr>
        <w:pStyle w:val="ListParagraph"/>
        <w:numPr>
          <w:ilvl w:val="0"/>
          <w:numId w:val="24"/>
        </w:numPr>
        <w:ind w:left="567" w:hanging="567"/>
      </w:pPr>
      <w:r>
        <w:t>ak potrebujete podstúpiť invazívne (prenikajúce do zuba, ďasna) zubné ošetrenie alebo zubný chirurgický zákrok, povedzte svojmu zubárovi, že sa liečite Alymsysom, najmä ak tiež dostávate alebo ste dostali injekciu bisfosfonátov do krvi.</w:t>
      </w:r>
    </w:p>
    <w:p w14:paraId="1AB94E2C" w14:textId="77777777" w:rsidR="00A72679" w:rsidRPr="00011E6E" w:rsidRDefault="00A72679" w:rsidP="00F64BF9">
      <w:pPr>
        <w:spacing w:line="240" w:lineRule="auto"/>
      </w:pPr>
    </w:p>
    <w:p w14:paraId="51F8AD39" w14:textId="77777777" w:rsidR="00A72679" w:rsidRPr="00011E6E" w:rsidRDefault="00BE7CB1" w:rsidP="00F64BF9">
      <w:pPr>
        <w:spacing w:line="240" w:lineRule="auto"/>
      </w:pPr>
      <w:r>
        <w:t>Pred liečbou Alymsysom vám možno odporučia, aby ste si dali urobiť zubnú prehliadku.</w:t>
      </w:r>
    </w:p>
    <w:p w14:paraId="4C1A493C" w14:textId="77777777" w:rsidR="005129B0" w:rsidRDefault="005129B0" w:rsidP="00F64BF9">
      <w:pPr>
        <w:spacing w:line="240" w:lineRule="auto"/>
      </w:pPr>
    </w:p>
    <w:p w14:paraId="2778615C" w14:textId="77777777" w:rsidR="005129B0" w:rsidRPr="001902AC" w:rsidRDefault="005129B0" w:rsidP="00F64BF9">
      <w:pPr>
        <w:keepNext/>
        <w:spacing w:line="240" w:lineRule="auto"/>
      </w:pPr>
      <w:r>
        <w:rPr>
          <w:spacing w:val="-1"/>
        </w:rPr>
        <w:t xml:space="preserve">Alymsys je vyvinutý a vyrobený na liečbu rakoviny podaním injekcie do krvného riečiska. Nebol vyvinutý ani vyrobený na injekčné podanie do oka. Preto nie je povolené používať liek týmto </w:t>
      </w:r>
      <w:r>
        <w:rPr>
          <w:spacing w:val="-1"/>
        </w:rPr>
        <w:lastRenderedPageBreak/>
        <w:t>spôsobom. V prípade podania Alymsysu priamo do oka (neschválené použitie), sa môžu vyskytnúť nasledovné vedľajšie účinky:</w:t>
      </w:r>
    </w:p>
    <w:p w14:paraId="503BC2BD" w14:textId="77777777" w:rsidR="005129B0" w:rsidRPr="001902AC" w:rsidRDefault="005129B0" w:rsidP="0033150F">
      <w:pPr>
        <w:pStyle w:val="ListParagraph"/>
        <w:numPr>
          <w:ilvl w:val="1"/>
          <w:numId w:val="31"/>
        </w:numPr>
        <w:ind w:left="567" w:hanging="567"/>
      </w:pPr>
      <w:r>
        <w:rPr>
          <w:spacing w:val="-4"/>
        </w:rPr>
        <w:t>infekcia alebo zápal očnej gule,</w:t>
      </w:r>
    </w:p>
    <w:p w14:paraId="1FAAAEF8" w14:textId="566ACA63" w:rsidR="005129B0" w:rsidRPr="001902AC" w:rsidRDefault="005129B0" w:rsidP="0033150F">
      <w:pPr>
        <w:pStyle w:val="ListParagraph"/>
        <w:numPr>
          <w:ilvl w:val="1"/>
          <w:numId w:val="31"/>
        </w:numPr>
        <w:ind w:left="567" w:hanging="567"/>
      </w:pPr>
      <w:r>
        <w:rPr>
          <w:spacing w:val="-1"/>
        </w:rPr>
        <w:t>sčervenenie oka, malé čiastočky alebo škvrny v</w:t>
      </w:r>
      <w:r w:rsidR="0072633E">
        <w:rPr>
          <w:spacing w:val="-1"/>
        </w:rPr>
        <w:t> zornom poli</w:t>
      </w:r>
      <w:r>
        <w:rPr>
          <w:spacing w:val="-1"/>
        </w:rPr>
        <w:t xml:space="preserve"> (plávajúce telieska), bolesť oka,</w:t>
      </w:r>
    </w:p>
    <w:p w14:paraId="72071F8E" w14:textId="77777777" w:rsidR="005129B0" w:rsidRPr="001902AC" w:rsidRDefault="005129B0" w:rsidP="0033150F">
      <w:pPr>
        <w:pStyle w:val="ListParagraph"/>
        <w:numPr>
          <w:ilvl w:val="1"/>
          <w:numId w:val="31"/>
        </w:numPr>
        <w:ind w:left="567" w:hanging="567"/>
      </w:pPr>
      <w:r>
        <w:t>videnie zábleskov svetla s plávajúcimi čiastočkami vedúce k strate videnia,</w:t>
      </w:r>
    </w:p>
    <w:p w14:paraId="16528506" w14:textId="77777777" w:rsidR="005129B0" w:rsidRPr="001902AC" w:rsidRDefault="005129B0" w:rsidP="0033150F">
      <w:pPr>
        <w:pStyle w:val="ListParagraph"/>
        <w:numPr>
          <w:ilvl w:val="1"/>
          <w:numId w:val="31"/>
        </w:numPr>
        <w:ind w:left="567" w:hanging="567"/>
      </w:pPr>
      <w:r>
        <w:rPr>
          <w:spacing w:val="-4"/>
        </w:rPr>
        <w:t>zvýšený tlak v oku,</w:t>
      </w:r>
    </w:p>
    <w:p w14:paraId="76C5E329" w14:textId="77777777" w:rsidR="005129B0" w:rsidRPr="005129B0" w:rsidRDefault="005129B0" w:rsidP="0033150F">
      <w:pPr>
        <w:pStyle w:val="ListParagraph"/>
        <w:numPr>
          <w:ilvl w:val="1"/>
          <w:numId w:val="31"/>
        </w:numPr>
        <w:ind w:left="567" w:hanging="567"/>
      </w:pPr>
      <w:r>
        <w:rPr>
          <w:spacing w:val="-4"/>
        </w:rPr>
        <w:t>krvácanie do oka</w:t>
      </w:r>
      <w:r>
        <w:rPr>
          <w:rStyle w:val="CommentReference"/>
        </w:rPr>
        <w:t>.</w:t>
      </w:r>
    </w:p>
    <w:p w14:paraId="20A88DA3" w14:textId="77777777" w:rsidR="00A72679" w:rsidRPr="00011E6E" w:rsidRDefault="00A72679" w:rsidP="00F64BF9">
      <w:pPr>
        <w:spacing w:line="240" w:lineRule="auto"/>
      </w:pPr>
    </w:p>
    <w:p w14:paraId="7D4E75DC" w14:textId="77777777" w:rsidR="00A72679" w:rsidRPr="00F37D4D" w:rsidRDefault="00BE7CB1" w:rsidP="00F64BF9">
      <w:pPr>
        <w:keepNext/>
        <w:numPr>
          <w:ilvl w:val="12"/>
          <w:numId w:val="0"/>
        </w:numPr>
        <w:tabs>
          <w:tab w:val="clear" w:pos="567"/>
        </w:tabs>
        <w:spacing w:line="240" w:lineRule="auto"/>
        <w:rPr>
          <w:b/>
          <w:bCs/>
        </w:rPr>
      </w:pPr>
      <w:r>
        <w:rPr>
          <w:b/>
        </w:rPr>
        <w:t>Deti a dospievajúci</w:t>
      </w:r>
    </w:p>
    <w:p w14:paraId="460C7C59" w14:textId="77777777" w:rsidR="00A72679" w:rsidRPr="00011E6E" w:rsidRDefault="00BE7CB1" w:rsidP="00F64BF9">
      <w:pPr>
        <w:spacing w:line="240" w:lineRule="auto"/>
      </w:pPr>
      <w:r>
        <w:t>Používanie Alymsysu sa neodporúča u detí a dospievajúcich do veku 18 rokov, pretože bezpečnosť a účinnosť v tejto populácii pacientov nebola stanovená.</w:t>
      </w:r>
    </w:p>
    <w:p w14:paraId="680B2CE2" w14:textId="77777777" w:rsidR="00A72679" w:rsidRPr="00011E6E" w:rsidRDefault="00A72679" w:rsidP="00F64BF9">
      <w:pPr>
        <w:spacing w:line="240" w:lineRule="auto"/>
      </w:pPr>
    </w:p>
    <w:p w14:paraId="0FC5D00B" w14:textId="77777777" w:rsidR="00A72679" w:rsidRPr="00011E6E" w:rsidRDefault="00BE7CB1" w:rsidP="00F64BF9">
      <w:pPr>
        <w:keepNext/>
        <w:spacing w:line="240" w:lineRule="auto"/>
        <w:rPr>
          <w:b/>
          <w:bCs/>
        </w:rPr>
      </w:pPr>
      <w:r>
        <w:rPr>
          <w:b/>
        </w:rPr>
        <w:t>Iné lieky a Alymsys</w:t>
      </w:r>
    </w:p>
    <w:p w14:paraId="32CAE5BA" w14:textId="77777777" w:rsidR="00A72679" w:rsidRPr="00F37D4D" w:rsidRDefault="00BE7CB1" w:rsidP="00F64BF9">
      <w:pPr>
        <w:spacing w:line="240" w:lineRule="auto"/>
      </w:pPr>
      <w:r>
        <w:t xml:space="preserve">Ak teraz užívate alebo ste v poslednom čase užívali, či práve budete užívať ďalšie lieky, povedzte to svojmu lekárovi, lekárnikovi alebo zdravotnej sestre. </w:t>
      </w:r>
    </w:p>
    <w:p w14:paraId="2CDBDF19" w14:textId="77777777" w:rsidR="00A72679" w:rsidRPr="00F37D4D" w:rsidRDefault="00A72679" w:rsidP="00F64BF9">
      <w:pPr>
        <w:spacing w:line="240" w:lineRule="auto"/>
      </w:pPr>
    </w:p>
    <w:p w14:paraId="0A0A8359" w14:textId="5BC4F158" w:rsidR="00A72679" w:rsidRPr="00F37D4D" w:rsidRDefault="00BE7CB1" w:rsidP="00F64BF9">
      <w:pPr>
        <w:spacing w:line="240" w:lineRule="auto"/>
      </w:pPr>
      <w:r>
        <w:t xml:space="preserve">Kombinácie Alymsysu s iným liekom nazvaným sunitinib malát (predpisovaným na rakovinu obličiek a tráviaceho traktu) môžu spôsobiť závažné vedľajšie účinky. Poraďte sa so svojím lekárom, aby ste sa uistili, že nekombinujete </w:t>
      </w:r>
      <w:r w:rsidR="00CD10E7">
        <w:t xml:space="preserve">tieto </w:t>
      </w:r>
      <w:r>
        <w:t>liek</w:t>
      </w:r>
      <w:r w:rsidR="00CD10E7">
        <w:t>y</w:t>
      </w:r>
      <w:r>
        <w:t>.</w:t>
      </w:r>
    </w:p>
    <w:p w14:paraId="505DA8D3" w14:textId="77777777" w:rsidR="00A72679" w:rsidRPr="00F37D4D" w:rsidRDefault="00A72679" w:rsidP="00F64BF9">
      <w:pPr>
        <w:spacing w:line="240" w:lineRule="auto"/>
      </w:pPr>
    </w:p>
    <w:p w14:paraId="34228909" w14:textId="77777777" w:rsidR="00A72679" w:rsidRPr="00F37D4D" w:rsidRDefault="00BE7CB1" w:rsidP="00F64BF9">
      <w:pPr>
        <w:spacing w:line="240" w:lineRule="auto"/>
      </w:pPr>
      <w:r>
        <w:t>Informujte svojho lekára, ak dostávate liečby obsahujúce platinu alebo taxán na rakovinu pľúc alebo metastatický karcinóm prsníka. Tieto liečby v kombinácii s Alymsysom môžu zvýšiť riziko závažných vedľajších účinkov.</w:t>
      </w:r>
    </w:p>
    <w:p w14:paraId="2BEFE4B4" w14:textId="77777777" w:rsidR="00A72679" w:rsidRPr="00F37D4D" w:rsidRDefault="00A72679" w:rsidP="00F64BF9">
      <w:pPr>
        <w:spacing w:line="240" w:lineRule="auto"/>
      </w:pPr>
    </w:p>
    <w:p w14:paraId="2D259D57" w14:textId="77777777" w:rsidR="00A72679" w:rsidRPr="00F37D4D" w:rsidRDefault="00BE7CB1" w:rsidP="00F64BF9">
      <w:pPr>
        <w:spacing w:line="240" w:lineRule="auto"/>
      </w:pPr>
      <w:r>
        <w:t>Informujte svojho lekára, ak ste v poslednom čase dostali alebo dostávate chemoterapiu, rádioterapiu (ožarovanie).</w:t>
      </w:r>
    </w:p>
    <w:p w14:paraId="1711E52E" w14:textId="77777777" w:rsidR="00A72679" w:rsidRPr="00F37D4D" w:rsidRDefault="00A72679" w:rsidP="00F64BF9">
      <w:pPr>
        <w:spacing w:line="240" w:lineRule="auto"/>
        <w:rPr>
          <w:szCs w:val="22"/>
        </w:rPr>
      </w:pPr>
    </w:p>
    <w:p w14:paraId="2491CFA2" w14:textId="77777777" w:rsidR="00A72679" w:rsidRPr="00011E6E" w:rsidRDefault="00BE7CB1" w:rsidP="00F64BF9">
      <w:pPr>
        <w:keepNext/>
        <w:spacing w:line="240" w:lineRule="auto"/>
        <w:rPr>
          <w:b/>
          <w:bCs/>
        </w:rPr>
      </w:pPr>
      <w:r>
        <w:rPr>
          <w:b/>
        </w:rPr>
        <w:t>Tehotenstvo, dojčenie a plodnosť</w:t>
      </w:r>
    </w:p>
    <w:p w14:paraId="08D73CFE" w14:textId="77777777" w:rsidR="00A72679" w:rsidRPr="00F37D4D" w:rsidRDefault="00BE7CB1" w:rsidP="00F64BF9">
      <w:pPr>
        <w:numPr>
          <w:ilvl w:val="12"/>
          <w:numId w:val="0"/>
        </w:numPr>
        <w:tabs>
          <w:tab w:val="clear" w:pos="567"/>
        </w:tabs>
        <w:spacing w:line="240" w:lineRule="auto"/>
        <w:rPr>
          <w:szCs w:val="22"/>
        </w:rPr>
      </w:pPr>
      <w:r>
        <w:t>Ak ste tehotná, nesmiete používať Alymsys. Alymsys môže poškodiť nenarodené dieťa, pretože môže zastaviť tvorbu nových krvných ciev. Lekár vás bude informovať o používaní antikoncepcie počas liečby Alymsysom a najmenej 6 mesiacov po poslednej dávke Alymsysu.</w:t>
      </w:r>
    </w:p>
    <w:p w14:paraId="444B8629" w14:textId="77777777" w:rsidR="00A72679" w:rsidRPr="00F37D4D" w:rsidRDefault="00A72679" w:rsidP="00F64BF9">
      <w:pPr>
        <w:numPr>
          <w:ilvl w:val="12"/>
          <w:numId w:val="0"/>
        </w:numPr>
        <w:tabs>
          <w:tab w:val="clear" w:pos="567"/>
        </w:tabs>
        <w:spacing w:line="240" w:lineRule="auto"/>
        <w:rPr>
          <w:szCs w:val="22"/>
        </w:rPr>
      </w:pPr>
    </w:p>
    <w:p w14:paraId="20669AFA" w14:textId="77777777" w:rsidR="00A72679" w:rsidRPr="00F37D4D" w:rsidRDefault="00BE7CB1" w:rsidP="00F64BF9">
      <w:pPr>
        <w:numPr>
          <w:ilvl w:val="12"/>
          <w:numId w:val="0"/>
        </w:numPr>
        <w:tabs>
          <w:tab w:val="clear" w:pos="567"/>
        </w:tabs>
        <w:spacing w:line="240" w:lineRule="auto"/>
        <w:rPr>
          <w:szCs w:val="22"/>
        </w:rPr>
      </w:pPr>
      <w:r>
        <w:t>Ak ste tehotná, myslíte si, že ste tehotná alebo ak plánujete otehotnieť, poraďte sa so svojím lekárom alebo lekárnikom predtým, ako začnete užívať tento liek.</w:t>
      </w:r>
    </w:p>
    <w:p w14:paraId="1B54389F" w14:textId="77777777" w:rsidR="00A72679" w:rsidRPr="00F37D4D" w:rsidRDefault="00A72679" w:rsidP="00F64BF9">
      <w:pPr>
        <w:numPr>
          <w:ilvl w:val="12"/>
          <w:numId w:val="0"/>
        </w:numPr>
        <w:tabs>
          <w:tab w:val="clear" w:pos="567"/>
        </w:tabs>
        <w:spacing w:line="240" w:lineRule="auto"/>
        <w:rPr>
          <w:szCs w:val="22"/>
        </w:rPr>
      </w:pPr>
    </w:p>
    <w:p w14:paraId="090CF066" w14:textId="77777777" w:rsidR="00A72679" w:rsidRPr="00F37D4D" w:rsidRDefault="00BE7CB1" w:rsidP="00F64BF9">
      <w:pPr>
        <w:numPr>
          <w:ilvl w:val="12"/>
          <w:numId w:val="0"/>
        </w:numPr>
        <w:tabs>
          <w:tab w:val="clear" w:pos="567"/>
        </w:tabs>
        <w:spacing w:line="240" w:lineRule="auto"/>
        <w:rPr>
          <w:szCs w:val="22"/>
        </w:rPr>
      </w:pPr>
      <w:r>
        <w:t>Počas liečby Alymsysom a najmenej 6 mesiacov po poslednej dávke Alymsysu nesmiete dojčiť, pretože tento liek môže narušiť rast a vývin dieťaťa.</w:t>
      </w:r>
    </w:p>
    <w:p w14:paraId="506F3B37" w14:textId="77777777" w:rsidR="00A72679" w:rsidRPr="00F37D4D" w:rsidRDefault="00A72679" w:rsidP="00F64BF9">
      <w:pPr>
        <w:numPr>
          <w:ilvl w:val="12"/>
          <w:numId w:val="0"/>
        </w:numPr>
        <w:tabs>
          <w:tab w:val="clear" w:pos="567"/>
        </w:tabs>
        <w:spacing w:line="240" w:lineRule="auto"/>
        <w:rPr>
          <w:szCs w:val="22"/>
        </w:rPr>
      </w:pPr>
    </w:p>
    <w:p w14:paraId="563F95BB" w14:textId="77777777" w:rsidR="00A72679" w:rsidRPr="00F37D4D" w:rsidRDefault="00BE7CB1" w:rsidP="00F64BF9">
      <w:pPr>
        <w:numPr>
          <w:ilvl w:val="12"/>
          <w:numId w:val="0"/>
        </w:numPr>
        <w:tabs>
          <w:tab w:val="clear" w:pos="567"/>
        </w:tabs>
        <w:spacing w:line="240" w:lineRule="auto"/>
        <w:rPr>
          <w:szCs w:val="22"/>
        </w:rPr>
      </w:pPr>
      <w:r>
        <w:t xml:space="preserve">Alymsys môže narušiť plodnosť žien. </w:t>
      </w:r>
      <w:r w:rsidR="00F174EF">
        <w:t>Na v</w:t>
      </w:r>
      <w:r>
        <w:t xml:space="preserve">iac informácií sa spýtajte svojho lekára. </w:t>
      </w:r>
    </w:p>
    <w:p w14:paraId="605FFE39" w14:textId="77777777" w:rsidR="005129B0" w:rsidRDefault="005129B0" w:rsidP="00F64BF9">
      <w:pPr>
        <w:numPr>
          <w:ilvl w:val="12"/>
          <w:numId w:val="0"/>
        </w:numPr>
        <w:tabs>
          <w:tab w:val="clear" w:pos="567"/>
        </w:tabs>
        <w:spacing w:line="240" w:lineRule="auto"/>
        <w:rPr>
          <w:szCs w:val="22"/>
        </w:rPr>
      </w:pPr>
    </w:p>
    <w:p w14:paraId="5DA8C1FF" w14:textId="77777777" w:rsidR="005129B0" w:rsidRPr="001902AC" w:rsidRDefault="005129B0" w:rsidP="00F64BF9">
      <w:pPr>
        <w:numPr>
          <w:ilvl w:val="12"/>
          <w:numId w:val="0"/>
        </w:numPr>
        <w:tabs>
          <w:tab w:val="clear" w:pos="567"/>
        </w:tabs>
        <w:spacing w:line="240" w:lineRule="auto"/>
        <w:rPr>
          <w:szCs w:val="22"/>
        </w:rPr>
      </w:pPr>
      <w:r>
        <w:t>Premenopauzálne ženy (ženy, ktoré majú menštruačný cyklus) môžu spozorovať, že ich cyklus sa stáva nepravidelným alebo vynecháva a môže sa vyskytnúť porucha plodnosti. Ak zvažujete mať deti, pred začatím liečby sa o tom porozprávajte so svojím lekárom.</w:t>
      </w:r>
    </w:p>
    <w:p w14:paraId="2E27460E" w14:textId="77777777" w:rsidR="00A72679" w:rsidRPr="00F37D4D" w:rsidRDefault="00A72679" w:rsidP="00F64BF9">
      <w:pPr>
        <w:numPr>
          <w:ilvl w:val="12"/>
          <w:numId w:val="0"/>
        </w:numPr>
        <w:tabs>
          <w:tab w:val="clear" w:pos="567"/>
        </w:tabs>
        <w:spacing w:line="240" w:lineRule="auto"/>
        <w:rPr>
          <w:szCs w:val="22"/>
        </w:rPr>
      </w:pPr>
    </w:p>
    <w:p w14:paraId="33B74893" w14:textId="77777777" w:rsidR="00A72679" w:rsidRPr="00011E6E" w:rsidRDefault="00BE7CB1" w:rsidP="00F64BF9">
      <w:pPr>
        <w:keepNext/>
        <w:spacing w:line="240" w:lineRule="auto"/>
        <w:rPr>
          <w:b/>
          <w:bCs/>
        </w:rPr>
      </w:pPr>
      <w:r>
        <w:rPr>
          <w:b/>
        </w:rPr>
        <w:t>Vedenie vozidiel a obsluha strojov</w:t>
      </w:r>
    </w:p>
    <w:p w14:paraId="1967FFCE" w14:textId="77777777" w:rsidR="00A72679" w:rsidRPr="00F37D4D" w:rsidRDefault="00BE7CB1" w:rsidP="00F64BF9">
      <w:pPr>
        <w:spacing w:line="240" w:lineRule="auto"/>
        <w:rPr>
          <w:szCs w:val="22"/>
        </w:rPr>
      </w:pPr>
      <w:r>
        <w:t>Nepreukázalo sa, že Alymsys znižuje schopnosť viesť vozidlá alebo používať nástroje a obsluhovať stroje. Napriek tomu bola pri užívaní Alymsysu hlásená ospanlivosť a mdloby. Ak sa u vás prejavia príznaky, ktoré ovplyvnia váš zrak alebo koncentráciu, alebo schopnosť reagovať, neveďte vozidlá a neobsluhujte stroje, kým príznaky neustúpia.</w:t>
      </w:r>
    </w:p>
    <w:p w14:paraId="45CD317E" w14:textId="77777777" w:rsidR="009B6496" w:rsidRPr="00F37D4D" w:rsidRDefault="009B6496" w:rsidP="00F64BF9">
      <w:pPr>
        <w:spacing w:line="240" w:lineRule="auto"/>
        <w:rPr>
          <w:b/>
          <w:szCs w:val="22"/>
        </w:rPr>
      </w:pPr>
    </w:p>
    <w:p w14:paraId="6BF07654" w14:textId="3B3C6A0A" w:rsidR="009B6496" w:rsidRPr="00011E6E" w:rsidRDefault="00BE7CB1" w:rsidP="00F64BF9">
      <w:pPr>
        <w:keepNext/>
        <w:spacing w:line="240" w:lineRule="auto"/>
        <w:rPr>
          <w:b/>
          <w:bCs/>
          <w:szCs w:val="22"/>
        </w:rPr>
      </w:pPr>
      <w:r>
        <w:rPr>
          <w:b/>
        </w:rPr>
        <w:t>Alymsys obsahuje sodík</w:t>
      </w:r>
      <w:r w:rsidR="00FC4E5D">
        <w:rPr>
          <w:b/>
        </w:rPr>
        <w:t xml:space="preserve"> </w:t>
      </w:r>
      <w:r w:rsidR="00FC4E5D" w:rsidRPr="00FC4E5D">
        <w:rPr>
          <w:b/>
        </w:rPr>
        <w:t>a polysorbát 20</w:t>
      </w:r>
    </w:p>
    <w:p w14:paraId="02F86044" w14:textId="77777777" w:rsidR="00264EF1" w:rsidRPr="00F37D4D" w:rsidRDefault="00BE7CB1" w:rsidP="00F64BF9">
      <w:pPr>
        <w:spacing w:line="240" w:lineRule="auto"/>
      </w:pPr>
      <w:r>
        <w:t>Tento liek obsahuje menej ako 1 mmol sodíka (23 mg) v jednej injekčnej liekovke, t. j. v podstate zanedbateľné množstvo sodíka.</w:t>
      </w:r>
    </w:p>
    <w:p w14:paraId="111C0FB2" w14:textId="77777777" w:rsidR="00772AC8" w:rsidRDefault="00772AC8" w:rsidP="00F64BF9">
      <w:pPr>
        <w:spacing w:line="240" w:lineRule="auto"/>
        <w:rPr>
          <w:szCs w:val="22"/>
        </w:rPr>
      </w:pPr>
    </w:p>
    <w:p w14:paraId="319D02F0" w14:textId="77777777" w:rsidR="00FC4E5D" w:rsidRPr="00FC4E5D" w:rsidRDefault="00FC4E5D" w:rsidP="00FC4E5D">
      <w:pPr>
        <w:spacing w:line="240" w:lineRule="auto"/>
        <w:rPr>
          <w:szCs w:val="22"/>
        </w:rPr>
      </w:pPr>
      <w:r w:rsidRPr="00FC4E5D">
        <w:rPr>
          <w:szCs w:val="22"/>
        </w:rPr>
        <w:t>Tento liek obsahuje 1,6 mg polysorbátu 20 v každej 100 mg/4 ml injekčnej liekovke a 6,4 mg v každej 400 mg/16 ml injekčnej liekovke, čo zodpovedá 0,4 mg/ml. Polysorbáty môžu vyvolať alergické reakcie.</w:t>
      </w:r>
    </w:p>
    <w:p w14:paraId="582CE8DA" w14:textId="6F867392" w:rsidR="00FC4E5D" w:rsidRDefault="00FC4E5D" w:rsidP="00FC4E5D">
      <w:pPr>
        <w:spacing w:line="240" w:lineRule="auto"/>
        <w:rPr>
          <w:szCs w:val="22"/>
        </w:rPr>
      </w:pPr>
      <w:r w:rsidRPr="00FC4E5D">
        <w:rPr>
          <w:szCs w:val="22"/>
        </w:rPr>
        <w:lastRenderedPageBreak/>
        <w:t>Povedzte vášmu lekárovi, ak máte nejaké známe alergie.</w:t>
      </w:r>
    </w:p>
    <w:p w14:paraId="57AD3CC2" w14:textId="77777777" w:rsidR="00FC4E5D" w:rsidRPr="00F37D4D" w:rsidRDefault="00FC4E5D" w:rsidP="00F64BF9">
      <w:pPr>
        <w:spacing w:line="240" w:lineRule="auto"/>
        <w:rPr>
          <w:szCs w:val="22"/>
        </w:rPr>
      </w:pPr>
    </w:p>
    <w:p w14:paraId="2D4ADCF0" w14:textId="77777777" w:rsidR="003003A4" w:rsidRPr="00F37D4D" w:rsidRDefault="003003A4" w:rsidP="00F64BF9">
      <w:pPr>
        <w:spacing w:line="240" w:lineRule="auto"/>
        <w:rPr>
          <w:szCs w:val="22"/>
        </w:rPr>
      </w:pPr>
    </w:p>
    <w:p w14:paraId="2C0AA6A0" w14:textId="77777777" w:rsidR="003003A4" w:rsidRPr="00D265CE" w:rsidRDefault="00BE7CB1" w:rsidP="0033150F">
      <w:pPr>
        <w:pStyle w:val="ListParagraph"/>
        <w:keepNext/>
        <w:numPr>
          <w:ilvl w:val="0"/>
          <w:numId w:val="21"/>
        </w:numPr>
        <w:ind w:left="567" w:hanging="567"/>
        <w:rPr>
          <w:b/>
          <w:bCs/>
        </w:rPr>
      </w:pPr>
      <w:r w:rsidRPr="00D265CE">
        <w:rPr>
          <w:b/>
        </w:rPr>
        <w:t>Ako používať Alymsys</w:t>
      </w:r>
    </w:p>
    <w:p w14:paraId="2FA70DE2" w14:textId="77777777" w:rsidR="003003A4" w:rsidRPr="00F37D4D" w:rsidRDefault="003003A4" w:rsidP="00F64BF9">
      <w:pPr>
        <w:keepNext/>
        <w:spacing w:line="240" w:lineRule="auto"/>
      </w:pPr>
    </w:p>
    <w:p w14:paraId="36CC7510" w14:textId="77777777" w:rsidR="00A72679" w:rsidRPr="00011E6E" w:rsidRDefault="00BE7CB1" w:rsidP="00F64BF9">
      <w:pPr>
        <w:keepNext/>
        <w:spacing w:line="240" w:lineRule="auto"/>
        <w:rPr>
          <w:b/>
          <w:bCs/>
        </w:rPr>
      </w:pPr>
      <w:r>
        <w:rPr>
          <w:b/>
          <w:spacing w:val="-1"/>
        </w:rPr>
        <w:t>Dávkovanie a častosť podávania</w:t>
      </w:r>
    </w:p>
    <w:p w14:paraId="5CB3B81C" w14:textId="77777777" w:rsidR="00A72679" w:rsidRPr="00011E6E" w:rsidRDefault="00BE7CB1" w:rsidP="00F64BF9">
      <w:pPr>
        <w:spacing w:line="240" w:lineRule="auto"/>
      </w:pPr>
      <w:r>
        <w:t xml:space="preserve">Potrebná dávka Alymsysu závisí od vašej telesnej hmotnosti a od druhu liečenej rakoviny. Odporúčaná dávka je 5 mg, 7,5 mg, 10 mg alebo 15 mg na jeden kilogram telesnej hmotnosti. Lekár vám predpíše dávku Alymsysu, ktorá je pre vás vhodná. Alymsys dostanete raz za 2 alebo 3 týždne. Počet infúzií, ktoré dostanete, bude závisieť od toho, ako budete reagovať na liečbu. Tento liek máte dostávať, až kým Alymsys neprestane brzdiť rast nádoru. Lekár vás o tom bude informovať. </w:t>
      </w:r>
    </w:p>
    <w:p w14:paraId="75AAE714" w14:textId="77777777" w:rsidR="00A72679" w:rsidRPr="00011E6E" w:rsidRDefault="00A72679" w:rsidP="00F64BF9">
      <w:pPr>
        <w:spacing w:line="240" w:lineRule="auto"/>
      </w:pPr>
    </w:p>
    <w:p w14:paraId="386FF376" w14:textId="77777777" w:rsidR="00A72679" w:rsidRPr="00011E6E" w:rsidRDefault="00BE7CB1" w:rsidP="00F64BF9">
      <w:pPr>
        <w:keepNext/>
        <w:spacing w:line="240" w:lineRule="auto"/>
        <w:rPr>
          <w:b/>
          <w:bCs/>
        </w:rPr>
      </w:pPr>
      <w:r>
        <w:rPr>
          <w:b/>
        </w:rPr>
        <w:t>Metóda a spôsob podávania</w:t>
      </w:r>
    </w:p>
    <w:p w14:paraId="39DBBFD2" w14:textId="5BD78946" w:rsidR="00A72679" w:rsidRPr="00011E6E" w:rsidRDefault="00C13D7B" w:rsidP="00F64BF9">
      <w:pPr>
        <w:spacing w:line="240" w:lineRule="auto"/>
      </w:pPr>
      <w:r>
        <w:rPr>
          <w:szCs w:val="22"/>
        </w:rPr>
        <w:t xml:space="preserve">Injekčnou liekovkou netraste. </w:t>
      </w:r>
      <w:r w:rsidR="00BE7CB1">
        <w:t>Alymsys je koncentrát na infúzny roztok. V závislosti od dávky, ktorú vám predpísali, určitý obsah alebo celý obsah injekčnej liekovky Alymsysu sa pred použitím zriedi roztokom chloridu sodného. Lekár alebo zdravotná sestra vám podá tento zriedený roztok Alymsysu pomocou intravenóznej (vnútrožilovej) infúzie (kvapkaním do žily). Prvá infúzia sa bude podávať počas 90 minút. Ak je dávka dobre tolerovaná (znášaná), druhá infúzia sa môže podávať počas 60 minút. Ďalšie infúzie sa môžu podávať počas 30 minút.</w:t>
      </w:r>
    </w:p>
    <w:p w14:paraId="3E5ABFD8" w14:textId="77777777" w:rsidR="00A72679" w:rsidRPr="00011E6E" w:rsidRDefault="00A72679" w:rsidP="00F64BF9">
      <w:pPr>
        <w:spacing w:line="240" w:lineRule="auto"/>
      </w:pPr>
    </w:p>
    <w:p w14:paraId="3A7E922B" w14:textId="77777777" w:rsidR="00A72679" w:rsidRPr="00011E6E" w:rsidRDefault="00BE7CB1" w:rsidP="00F64BF9">
      <w:pPr>
        <w:keepNext/>
        <w:spacing w:line="240" w:lineRule="auto"/>
        <w:rPr>
          <w:b/>
          <w:bCs/>
        </w:rPr>
      </w:pPr>
      <w:r>
        <w:rPr>
          <w:b/>
        </w:rPr>
        <w:t>Podávanie Alymsysu sa má dočasne prerušiť,</w:t>
      </w:r>
    </w:p>
    <w:p w14:paraId="24BA4727" w14:textId="77777777" w:rsidR="00A72679" w:rsidRPr="00011E6E" w:rsidRDefault="00BE7CB1" w:rsidP="0033150F">
      <w:pPr>
        <w:pStyle w:val="ListParagraph"/>
        <w:numPr>
          <w:ilvl w:val="0"/>
          <w:numId w:val="25"/>
        </w:numPr>
        <w:ind w:left="567" w:hanging="567"/>
      </w:pPr>
      <w:r>
        <w:t>ak sa vám závažne zvýši krvný tlak, čo si bude vyžadovať liečbu liekmi na krvný tlak,</w:t>
      </w:r>
    </w:p>
    <w:p w14:paraId="19485A3E" w14:textId="77777777" w:rsidR="00A72679" w:rsidRPr="00011E6E" w:rsidRDefault="00BE7CB1" w:rsidP="0033150F">
      <w:pPr>
        <w:pStyle w:val="ListParagraph"/>
        <w:numPr>
          <w:ilvl w:val="0"/>
          <w:numId w:val="25"/>
        </w:numPr>
        <w:ind w:left="567" w:hanging="567"/>
      </w:pPr>
      <w:r>
        <w:t>ak máte problémy s hojením rany po operácii,</w:t>
      </w:r>
    </w:p>
    <w:p w14:paraId="07BAC369" w14:textId="77777777" w:rsidR="00A72679" w:rsidRPr="00011E6E" w:rsidRDefault="00BE7CB1" w:rsidP="0033150F">
      <w:pPr>
        <w:pStyle w:val="ListParagraph"/>
        <w:numPr>
          <w:ilvl w:val="0"/>
          <w:numId w:val="25"/>
        </w:numPr>
        <w:ind w:left="567" w:hanging="567"/>
      </w:pPr>
      <w:r>
        <w:t>ak podstupujete operáciu.</w:t>
      </w:r>
    </w:p>
    <w:p w14:paraId="22E7402E" w14:textId="77777777" w:rsidR="00A72679" w:rsidRPr="00011E6E" w:rsidRDefault="00A72679" w:rsidP="00F64BF9">
      <w:pPr>
        <w:spacing w:line="240" w:lineRule="auto"/>
      </w:pPr>
    </w:p>
    <w:p w14:paraId="1C95DE8F" w14:textId="77777777" w:rsidR="00A72679" w:rsidRPr="00011E6E" w:rsidRDefault="00BE7CB1" w:rsidP="00F64BF9">
      <w:pPr>
        <w:keepNext/>
        <w:spacing w:line="240" w:lineRule="auto"/>
        <w:rPr>
          <w:b/>
          <w:bCs/>
        </w:rPr>
      </w:pPr>
      <w:r>
        <w:rPr>
          <w:b/>
        </w:rPr>
        <w:t>Podávanie Alymsysu sa má natrvalo ukončiť, ak sa vyvinie</w:t>
      </w:r>
    </w:p>
    <w:p w14:paraId="3C87D01E" w14:textId="77777777" w:rsidR="00A72679" w:rsidRPr="00011E6E" w:rsidRDefault="00BE7CB1" w:rsidP="0033150F">
      <w:pPr>
        <w:pStyle w:val="ListParagraph"/>
        <w:numPr>
          <w:ilvl w:val="0"/>
          <w:numId w:val="26"/>
        </w:numPr>
        <w:ind w:left="567" w:hanging="567"/>
      </w:pPr>
      <w:r>
        <w:t>závažné zvýšie krvného tlaku do tej miery, že ho nemožno kontrolovať liekmi na krvný tlak; alebo ak sa náhle závažne zvýši krvný tlak,</w:t>
      </w:r>
    </w:p>
    <w:p w14:paraId="4147E345" w14:textId="77777777" w:rsidR="00A72679" w:rsidRPr="00011E6E" w:rsidRDefault="00BE7CB1" w:rsidP="0033150F">
      <w:pPr>
        <w:pStyle w:val="ListParagraph"/>
        <w:numPr>
          <w:ilvl w:val="0"/>
          <w:numId w:val="26"/>
        </w:numPr>
        <w:ind w:left="567" w:hanging="567"/>
      </w:pPr>
      <w:r>
        <w:t>prítomnosť bielkoviny v moči, čo je sprevádzané opuchom tela,</w:t>
      </w:r>
    </w:p>
    <w:p w14:paraId="7DE695C5" w14:textId="77777777" w:rsidR="00A72679" w:rsidRPr="00011E6E" w:rsidRDefault="00BE7CB1" w:rsidP="0033150F">
      <w:pPr>
        <w:pStyle w:val="ListParagraph"/>
        <w:numPr>
          <w:ilvl w:val="0"/>
          <w:numId w:val="26"/>
        </w:numPr>
        <w:ind w:left="567" w:hanging="567"/>
      </w:pPr>
      <w:r>
        <w:t>v črevnej stene otvor,</w:t>
      </w:r>
    </w:p>
    <w:p w14:paraId="120CA041" w14:textId="77777777" w:rsidR="00A72679" w:rsidRPr="00011E6E" w:rsidRDefault="00BE7CB1" w:rsidP="0033150F">
      <w:pPr>
        <w:pStyle w:val="ListParagraph"/>
        <w:numPr>
          <w:ilvl w:val="0"/>
          <w:numId w:val="26"/>
        </w:numPr>
        <w:ind w:left="567" w:hanging="567"/>
      </w:pPr>
      <w:r>
        <w:t>neobvyklé trubicové spojenie alebo priechod medzi priedušnicou a pažerákom, medzi vnútornými orgánmi a kožou, medzi pošvou a niektorou časťou čreva alebo medzi ostatnými tkanivami, ktoré nie sú normálne prepojené (fistula) a váš lekár ich považuje za závažné,</w:t>
      </w:r>
    </w:p>
    <w:p w14:paraId="096C907E" w14:textId="77777777" w:rsidR="00A72679" w:rsidRPr="00011E6E" w:rsidRDefault="00BE7CB1" w:rsidP="0033150F">
      <w:pPr>
        <w:pStyle w:val="ListParagraph"/>
        <w:numPr>
          <w:ilvl w:val="0"/>
          <w:numId w:val="26"/>
        </w:numPr>
        <w:ind w:left="567" w:hanging="567"/>
      </w:pPr>
      <w:r>
        <w:t>závažná infekcia kože alebo hlbších vrstiev pod kožou,</w:t>
      </w:r>
    </w:p>
    <w:p w14:paraId="24EFF210" w14:textId="77777777" w:rsidR="00A72679" w:rsidRPr="00011E6E" w:rsidRDefault="00BE7CB1" w:rsidP="0033150F">
      <w:pPr>
        <w:pStyle w:val="ListParagraph"/>
        <w:numPr>
          <w:ilvl w:val="0"/>
          <w:numId w:val="26"/>
        </w:numPr>
        <w:ind w:left="567" w:hanging="567"/>
      </w:pPr>
      <w:r>
        <w:t>krvná zrazenina v tepnách,</w:t>
      </w:r>
    </w:p>
    <w:p w14:paraId="242623CF" w14:textId="77777777" w:rsidR="00A72679" w:rsidRPr="00011E6E" w:rsidRDefault="00BE7CB1" w:rsidP="0033150F">
      <w:pPr>
        <w:pStyle w:val="ListParagraph"/>
        <w:numPr>
          <w:ilvl w:val="0"/>
          <w:numId w:val="26"/>
        </w:numPr>
        <w:ind w:left="567" w:hanging="567"/>
      </w:pPr>
      <w:r>
        <w:t>krvná zrazenina v pľúcnych cievach,</w:t>
      </w:r>
    </w:p>
    <w:p w14:paraId="6638876D" w14:textId="77777777" w:rsidR="00A72679" w:rsidRPr="00011E6E" w:rsidRDefault="00BE7CB1" w:rsidP="0033150F">
      <w:pPr>
        <w:pStyle w:val="ListParagraph"/>
        <w:numPr>
          <w:ilvl w:val="0"/>
          <w:numId w:val="26"/>
        </w:numPr>
        <w:ind w:left="567" w:hanging="567"/>
      </w:pPr>
      <w:r>
        <w:t>akékoľvek závažné krvácanie.</w:t>
      </w:r>
    </w:p>
    <w:p w14:paraId="21B04886" w14:textId="77777777" w:rsidR="00A72679" w:rsidRPr="00011E6E" w:rsidRDefault="00A72679" w:rsidP="00F64BF9">
      <w:pPr>
        <w:spacing w:line="240" w:lineRule="auto"/>
      </w:pPr>
    </w:p>
    <w:p w14:paraId="02DB140D" w14:textId="77777777" w:rsidR="00A72679" w:rsidRPr="00011E6E" w:rsidRDefault="00BE7CB1" w:rsidP="00F64BF9">
      <w:pPr>
        <w:keepNext/>
        <w:spacing w:line="240" w:lineRule="auto"/>
        <w:rPr>
          <w:b/>
          <w:bCs/>
        </w:rPr>
      </w:pPr>
      <w:r>
        <w:rPr>
          <w:b/>
        </w:rPr>
        <w:t>Ak sa podá viac Alymsysu, ako sa má,</w:t>
      </w:r>
    </w:p>
    <w:p w14:paraId="299CE242" w14:textId="77777777" w:rsidR="00A72679" w:rsidRPr="00011E6E" w:rsidRDefault="00BE7CB1" w:rsidP="0033150F">
      <w:pPr>
        <w:pStyle w:val="ListParagraph"/>
        <w:numPr>
          <w:ilvl w:val="0"/>
          <w:numId w:val="27"/>
        </w:numPr>
        <w:ind w:left="567" w:hanging="567"/>
      </w:pPr>
      <w:r>
        <w:t>môže sa u vás prejaviť silná migréna. Ak sa vám to prihodí, ihneď sa obráťte na svojho lekára, lekárnika alebo zdravotnú sestru.</w:t>
      </w:r>
    </w:p>
    <w:p w14:paraId="02A0C5EA" w14:textId="77777777" w:rsidR="00A72679" w:rsidRPr="00F37D4D" w:rsidRDefault="00A72679" w:rsidP="00F64BF9">
      <w:pPr>
        <w:spacing w:line="240" w:lineRule="auto"/>
      </w:pPr>
    </w:p>
    <w:p w14:paraId="6CD55482" w14:textId="77777777" w:rsidR="00A72679" w:rsidRPr="00011E6E" w:rsidRDefault="00BE7CB1" w:rsidP="00F64BF9">
      <w:pPr>
        <w:keepNext/>
        <w:spacing w:line="240" w:lineRule="auto"/>
        <w:rPr>
          <w:b/>
          <w:bCs/>
        </w:rPr>
      </w:pPr>
      <w:r>
        <w:rPr>
          <w:b/>
        </w:rPr>
        <w:t>Ak sa vynechá dávka Alymsysu,</w:t>
      </w:r>
    </w:p>
    <w:p w14:paraId="4F17E967" w14:textId="77777777" w:rsidR="00A72679" w:rsidRPr="00011E6E" w:rsidRDefault="00BE7CB1" w:rsidP="0033150F">
      <w:pPr>
        <w:pStyle w:val="ListParagraph"/>
        <w:numPr>
          <w:ilvl w:val="0"/>
          <w:numId w:val="27"/>
        </w:numPr>
        <w:ind w:left="567" w:hanging="567"/>
      </w:pPr>
      <w:r>
        <w:t>lekár rozhodne, kedy máte dostať ďalšiu dávku Alymsysu. Porozprávajte sa o tom so svojím lekárom.</w:t>
      </w:r>
    </w:p>
    <w:p w14:paraId="6361EDA8" w14:textId="77777777" w:rsidR="00A72679" w:rsidRPr="00011E6E" w:rsidRDefault="00A72679" w:rsidP="00F64BF9">
      <w:pPr>
        <w:spacing w:line="240" w:lineRule="auto"/>
      </w:pPr>
    </w:p>
    <w:p w14:paraId="3EE72CAF" w14:textId="77777777" w:rsidR="00A72679" w:rsidRPr="00011E6E" w:rsidRDefault="00BE7CB1" w:rsidP="00F64BF9">
      <w:pPr>
        <w:keepNext/>
        <w:spacing w:line="240" w:lineRule="auto"/>
        <w:rPr>
          <w:b/>
          <w:bCs/>
        </w:rPr>
      </w:pPr>
      <w:r>
        <w:rPr>
          <w:b/>
        </w:rPr>
        <w:t>Ak sa prestanete liečiť Alymsysom</w:t>
      </w:r>
    </w:p>
    <w:p w14:paraId="45AA0992" w14:textId="77777777" w:rsidR="00A72679" w:rsidRPr="00F37D4D" w:rsidRDefault="00BE7CB1" w:rsidP="00F64BF9">
      <w:pPr>
        <w:numPr>
          <w:ilvl w:val="12"/>
          <w:numId w:val="0"/>
        </w:numPr>
        <w:tabs>
          <w:tab w:val="clear" w:pos="567"/>
        </w:tabs>
        <w:spacing w:line="240" w:lineRule="auto"/>
        <w:rPr>
          <w:szCs w:val="22"/>
        </w:rPr>
      </w:pPr>
      <w:r>
        <w:t>Ukončenie liečby Alymsysom môže zastaviť účinok na rast nádoru. Neprestaňte sa liečiť Alymsysom, ak ste sa o tom neporozprávali so svojím lekárom.</w:t>
      </w:r>
    </w:p>
    <w:p w14:paraId="273DF145" w14:textId="77777777" w:rsidR="00A72679" w:rsidRPr="00F37D4D" w:rsidRDefault="00A72679" w:rsidP="00F64BF9">
      <w:pPr>
        <w:numPr>
          <w:ilvl w:val="12"/>
          <w:numId w:val="0"/>
        </w:numPr>
        <w:tabs>
          <w:tab w:val="clear" w:pos="567"/>
        </w:tabs>
        <w:spacing w:line="240" w:lineRule="auto"/>
        <w:rPr>
          <w:szCs w:val="22"/>
        </w:rPr>
      </w:pPr>
    </w:p>
    <w:p w14:paraId="0E5DA5A2" w14:textId="77777777" w:rsidR="00A72679" w:rsidRPr="00F37D4D" w:rsidRDefault="00BE7CB1" w:rsidP="00F64BF9">
      <w:pPr>
        <w:numPr>
          <w:ilvl w:val="12"/>
          <w:numId w:val="0"/>
        </w:numPr>
        <w:tabs>
          <w:tab w:val="clear" w:pos="567"/>
        </w:tabs>
        <w:spacing w:line="240" w:lineRule="auto"/>
        <w:rPr>
          <w:szCs w:val="22"/>
        </w:rPr>
      </w:pPr>
      <w:r>
        <w:t>Ak máte akékoľvek ďalšie otázky týkajúce sa použitia tohto lieku, opýtajte sa svojho lekára, lekárnika alebo zdravotnej sestry.</w:t>
      </w:r>
    </w:p>
    <w:p w14:paraId="39A7E8DB" w14:textId="77777777" w:rsidR="009B6496" w:rsidRPr="00F37D4D" w:rsidRDefault="009B6496" w:rsidP="00F64BF9">
      <w:pPr>
        <w:numPr>
          <w:ilvl w:val="12"/>
          <w:numId w:val="0"/>
        </w:numPr>
        <w:tabs>
          <w:tab w:val="clear" w:pos="567"/>
        </w:tabs>
        <w:spacing w:line="240" w:lineRule="auto"/>
      </w:pPr>
    </w:p>
    <w:p w14:paraId="799CEB74" w14:textId="77777777" w:rsidR="003003A4" w:rsidRPr="00F37D4D" w:rsidRDefault="003003A4" w:rsidP="00F64BF9">
      <w:pPr>
        <w:numPr>
          <w:ilvl w:val="12"/>
          <w:numId w:val="0"/>
        </w:numPr>
        <w:tabs>
          <w:tab w:val="clear" w:pos="567"/>
        </w:tabs>
        <w:spacing w:line="240" w:lineRule="auto"/>
      </w:pPr>
    </w:p>
    <w:p w14:paraId="1401AF70" w14:textId="77777777" w:rsidR="003003A4" w:rsidRPr="00011E6E" w:rsidRDefault="00BE7CB1" w:rsidP="0033150F">
      <w:pPr>
        <w:pStyle w:val="ListParagraph"/>
        <w:keepNext/>
        <w:numPr>
          <w:ilvl w:val="0"/>
          <w:numId w:val="21"/>
        </w:numPr>
        <w:ind w:left="567" w:hanging="567"/>
        <w:rPr>
          <w:b/>
          <w:bCs/>
        </w:rPr>
      </w:pPr>
      <w:r>
        <w:rPr>
          <w:b/>
        </w:rPr>
        <w:lastRenderedPageBreak/>
        <w:t>Možné vedľajšie účinky</w:t>
      </w:r>
    </w:p>
    <w:p w14:paraId="1FB41D8D" w14:textId="77777777" w:rsidR="009B6496" w:rsidRPr="00F37D4D" w:rsidRDefault="009B6496" w:rsidP="00F64BF9">
      <w:pPr>
        <w:keepNext/>
        <w:numPr>
          <w:ilvl w:val="12"/>
          <w:numId w:val="0"/>
        </w:numPr>
        <w:tabs>
          <w:tab w:val="clear" w:pos="567"/>
        </w:tabs>
        <w:spacing w:line="240" w:lineRule="auto"/>
      </w:pPr>
    </w:p>
    <w:p w14:paraId="5BDE7719" w14:textId="77777777" w:rsidR="00A72679" w:rsidRPr="00F37D4D" w:rsidRDefault="00BE7CB1" w:rsidP="00F64BF9">
      <w:pPr>
        <w:spacing w:line="240" w:lineRule="auto"/>
        <w:ind w:right="-20"/>
      </w:pPr>
      <w:r>
        <w:t>Tak ako všetky lieky, aj tento liek môže spôsobovať vedľajšie účinky, hoci sa neprejavia u každého.</w:t>
      </w:r>
    </w:p>
    <w:p w14:paraId="008BE1DD" w14:textId="77777777" w:rsidR="00A72679" w:rsidRPr="00F37D4D" w:rsidRDefault="00A72679" w:rsidP="00F64BF9">
      <w:pPr>
        <w:spacing w:line="240" w:lineRule="auto"/>
        <w:rPr>
          <w:sz w:val="24"/>
          <w:szCs w:val="24"/>
        </w:rPr>
      </w:pPr>
    </w:p>
    <w:p w14:paraId="11647E5B" w14:textId="77777777" w:rsidR="00A72679" w:rsidRPr="00F37D4D" w:rsidRDefault="00BE7CB1" w:rsidP="00F64BF9">
      <w:pPr>
        <w:spacing w:line="240" w:lineRule="auto"/>
        <w:ind w:right="361"/>
      </w:pPr>
      <w:r>
        <w:rPr>
          <w:spacing w:val="2"/>
        </w:rPr>
        <w:t>Vedľajšie účinky, uvedené ďalej, sa pozorovali, keď sa Alymsys podával spolu s chemoterapiou. To nevyhnutne neznamená, že tieto vedľajšie účinky sú spôsobené Alymsysom.</w:t>
      </w:r>
    </w:p>
    <w:p w14:paraId="57501CD6" w14:textId="77777777" w:rsidR="00A72679" w:rsidRPr="00F37D4D" w:rsidRDefault="00A72679" w:rsidP="00F64BF9">
      <w:pPr>
        <w:spacing w:line="240" w:lineRule="auto"/>
        <w:rPr>
          <w:sz w:val="24"/>
          <w:szCs w:val="24"/>
        </w:rPr>
      </w:pPr>
    </w:p>
    <w:p w14:paraId="376F106D" w14:textId="77777777" w:rsidR="00A72679" w:rsidRPr="00011E6E" w:rsidRDefault="00BE7CB1" w:rsidP="00F64BF9">
      <w:pPr>
        <w:keepNext/>
        <w:spacing w:line="240" w:lineRule="auto"/>
        <w:rPr>
          <w:b/>
          <w:bCs/>
        </w:rPr>
      </w:pPr>
      <w:r>
        <w:rPr>
          <w:b/>
        </w:rPr>
        <w:t>Alergické reakcie</w:t>
      </w:r>
    </w:p>
    <w:p w14:paraId="3AD5FD1D" w14:textId="2B929C9B" w:rsidR="00A72679" w:rsidRPr="00011E6E" w:rsidRDefault="00BE7CB1" w:rsidP="00F64BF9">
      <w:pPr>
        <w:spacing w:line="240" w:lineRule="auto"/>
      </w:pPr>
      <w:r>
        <w:t xml:space="preserve">Ak budete mať alergickú reakciu, okamžite informuje svojho lekára alebo zdravotnícky personál. Medzi prejavy môžu patriť ťažkosti s dýchaním alebo bolesť na hrudi. Môžete tiež pozorovať sčervenenie alebo návaly horúčavy na koži alebo vyrážku, zimnicu a tras, pocit nevoľnosti (nauzea), alebo </w:t>
      </w:r>
      <w:r w:rsidR="00BB18EC">
        <w:t>nevoľnosť (</w:t>
      </w:r>
      <w:r>
        <w:t>vracanie</w:t>
      </w:r>
      <w:r w:rsidR="00BB18EC">
        <w:t>)</w:t>
      </w:r>
      <w:r w:rsidR="003B440B" w:rsidRPr="003B440B">
        <w:t>, opuch, točenie hlavy, zrýchlený tep a stratu vedomia.</w:t>
      </w:r>
      <w:r>
        <w:t>.</w:t>
      </w:r>
    </w:p>
    <w:p w14:paraId="3E5C215E" w14:textId="77777777" w:rsidR="00A72679" w:rsidRPr="00011E6E" w:rsidRDefault="00A72679" w:rsidP="00F64BF9">
      <w:pPr>
        <w:spacing w:line="240" w:lineRule="auto"/>
      </w:pPr>
    </w:p>
    <w:p w14:paraId="6F78F933" w14:textId="794E2510" w:rsidR="00A72679" w:rsidRPr="00011E6E" w:rsidRDefault="00BE7CB1" w:rsidP="00F64BF9">
      <w:pPr>
        <w:spacing w:line="240" w:lineRule="auto"/>
        <w:rPr>
          <w:b/>
          <w:bCs/>
        </w:rPr>
      </w:pPr>
      <w:r>
        <w:rPr>
          <w:b/>
        </w:rPr>
        <w:t>Ak máte ktorýkoľvek z nižšie uvedených vedľajších účinkov, ihneď vyhľadajte pomoc.</w:t>
      </w:r>
    </w:p>
    <w:p w14:paraId="0EFD0281" w14:textId="77777777" w:rsidR="00A72679" w:rsidRPr="00011E6E" w:rsidRDefault="00A72679" w:rsidP="00F64BF9">
      <w:pPr>
        <w:spacing w:line="240" w:lineRule="auto"/>
      </w:pPr>
    </w:p>
    <w:p w14:paraId="1B55D4C6" w14:textId="77777777" w:rsidR="00A72679" w:rsidRPr="00011E6E" w:rsidRDefault="00BE7CB1" w:rsidP="00F64BF9">
      <w:pPr>
        <w:keepNext/>
        <w:spacing w:line="240" w:lineRule="auto"/>
      </w:pPr>
      <w:r>
        <w:t xml:space="preserve">Závažné vedľajšie účinky, ktoré môžu byť </w:t>
      </w:r>
      <w:r w:rsidRPr="005129B0">
        <w:rPr>
          <w:b/>
          <w:bCs/>
        </w:rPr>
        <w:t xml:space="preserve">veľmi časté </w:t>
      </w:r>
      <w:r>
        <w:t>(môžu postihovať viac ako 1 z 10 osôb), zahŕňajú:</w:t>
      </w:r>
    </w:p>
    <w:p w14:paraId="46D07577" w14:textId="77777777" w:rsidR="00A72679" w:rsidRPr="00011E6E" w:rsidRDefault="00BE7CB1" w:rsidP="0033150F">
      <w:pPr>
        <w:pStyle w:val="ListParagraph"/>
        <w:numPr>
          <w:ilvl w:val="1"/>
          <w:numId w:val="32"/>
        </w:numPr>
        <w:ind w:left="567" w:hanging="567"/>
      </w:pPr>
      <w:r>
        <w:t>vysoký krvný tlak,</w:t>
      </w:r>
    </w:p>
    <w:p w14:paraId="46371F49" w14:textId="77777777" w:rsidR="00A72679" w:rsidRPr="00011E6E" w:rsidRDefault="00BE7CB1" w:rsidP="0033150F">
      <w:pPr>
        <w:pStyle w:val="ListParagraph"/>
        <w:numPr>
          <w:ilvl w:val="1"/>
          <w:numId w:val="32"/>
        </w:numPr>
        <w:ind w:left="567" w:hanging="567"/>
      </w:pPr>
      <w:r>
        <w:t>pocit necitlivosti alebo mravčenia v rukách alebo nohách,</w:t>
      </w:r>
    </w:p>
    <w:p w14:paraId="4BB8112E" w14:textId="77777777" w:rsidR="00A72679" w:rsidRPr="00011E6E" w:rsidRDefault="00BE7CB1" w:rsidP="0033150F">
      <w:pPr>
        <w:pStyle w:val="ListParagraph"/>
        <w:numPr>
          <w:ilvl w:val="1"/>
          <w:numId w:val="32"/>
        </w:numPr>
        <w:ind w:left="567" w:hanging="567"/>
      </w:pPr>
      <w:r>
        <w:t>znížený počet krviniek v krvi vrátane bielych krviniek, ktoré pomáhajú bojovať proti infekciám (čo môže byť spojené s horúčkou) a buniek, ktoré pomáhajú zrážaniu krvi,</w:t>
      </w:r>
    </w:p>
    <w:p w14:paraId="6F77ED7F" w14:textId="77777777" w:rsidR="00A72679" w:rsidRPr="00011E6E" w:rsidRDefault="00BE7CB1" w:rsidP="0033150F">
      <w:pPr>
        <w:pStyle w:val="ListParagraph"/>
        <w:numPr>
          <w:ilvl w:val="1"/>
          <w:numId w:val="32"/>
        </w:numPr>
        <w:ind w:left="567" w:hanging="567"/>
      </w:pPr>
      <w:r>
        <w:t>pocit slabosti a nedostatku energie,</w:t>
      </w:r>
    </w:p>
    <w:p w14:paraId="66DF0E88" w14:textId="77777777" w:rsidR="00A72679" w:rsidRPr="00011E6E" w:rsidRDefault="00BE7CB1" w:rsidP="0033150F">
      <w:pPr>
        <w:pStyle w:val="ListParagraph"/>
        <w:numPr>
          <w:ilvl w:val="1"/>
          <w:numId w:val="32"/>
        </w:numPr>
        <w:ind w:left="567" w:hanging="567"/>
      </w:pPr>
      <w:r>
        <w:t>únava,</w:t>
      </w:r>
    </w:p>
    <w:p w14:paraId="163D58BE" w14:textId="77777777" w:rsidR="00A72679" w:rsidRPr="00011E6E" w:rsidRDefault="00BE7CB1" w:rsidP="0033150F">
      <w:pPr>
        <w:pStyle w:val="ListParagraph"/>
        <w:numPr>
          <w:ilvl w:val="1"/>
          <w:numId w:val="32"/>
        </w:numPr>
        <w:ind w:left="567" w:hanging="567"/>
      </w:pPr>
      <w:r>
        <w:t>hnačka, nevoľnosť, vracanie a bolesť brucha.</w:t>
      </w:r>
    </w:p>
    <w:p w14:paraId="4A8222A0" w14:textId="77777777" w:rsidR="00A72679" w:rsidRPr="00011E6E" w:rsidRDefault="00A72679" w:rsidP="00F64BF9">
      <w:pPr>
        <w:spacing w:line="240" w:lineRule="auto"/>
      </w:pPr>
    </w:p>
    <w:p w14:paraId="7D773767" w14:textId="77777777" w:rsidR="00A72679" w:rsidRPr="00011E6E" w:rsidRDefault="00BE7CB1" w:rsidP="00F64BF9">
      <w:pPr>
        <w:keepNext/>
        <w:spacing w:line="240" w:lineRule="auto"/>
      </w:pPr>
      <w:r>
        <w:t xml:space="preserve">Závažné vedľajšie účinky, ktoré môžu byť </w:t>
      </w:r>
      <w:r w:rsidRPr="005129B0">
        <w:rPr>
          <w:b/>
          <w:bCs/>
        </w:rPr>
        <w:t xml:space="preserve">časté </w:t>
      </w:r>
      <w:r>
        <w:t>(môžu postihovať menej ako 1 z 10 osôb), zahŕňajú:</w:t>
      </w:r>
    </w:p>
    <w:p w14:paraId="61955E1B" w14:textId="77777777" w:rsidR="00A72679" w:rsidRPr="00011E6E" w:rsidRDefault="00BE7CB1" w:rsidP="0033150F">
      <w:pPr>
        <w:pStyle w:val="ListParagraph"/>
        <w:numPr>
          <w:ilvl w:val="1"/>
          <w:numId w:val="33"/>
        </w:numPr>
        <w:ind w:left="567" w:hanging="567"/>
      </w:pPr>
      <w:r>
        <w:t>perforácia (prederavenie) čreva,</w:t>
      </w:r>
    </w:p>
    <w:p w14:paraId="3A481D08" w14:textId="77777777" w:rsidR="00A72679" w:rsidRPr="00011E6E" w:rsidRDefault="00BE7CB1" w:rsidP="0033150F">
      <w:pPr>
        <w:pStyle w:val="ListParagraph"/>
        <w:numPr>
          <w:ilvl w:val="1"/>
          <w:numId w:val="33"/>
        </w:numPr>
        <w:ind w:left="567" w:hanging="567"/>
      </w:pPr>
      <w:r>
        <w:t>krvácanie, vrátane krvácania do pľúc u pacientov s nemalobunkovým nádorom pľúc,</w:t>
      </w:r>
    </w:p>
    <w:p w14:paraId="7B8E92F8" w14:textId="77777777" w:rsidR="00A72679" w:rsidRPr="00011E6E" w:rsidRDefault="00BE7CB1" w:rsidP="0033150F">
      <w:pPr>
        <w:pStyle w:val="ListParagraph"/>
        <w:numPr>
          <w:ilvl w:val="1"/>
          <w:numId w:val="33"/>
        </w:numPr>
        <w:ind w:left="567" w:hanging="567"/>
      </w:pPr>
      <w:r>
        <w:t>upchatie tepien krvnou zrazeninou,</w:t>
      </w:r>
    </w:p>
    <w:p w14:paraId="27A936D8" w14:textId="77777777" w:rsidR="00A72679" w:rsidRPr="00011E6E" w:rsidRDefault="00BE7CB1" w:rsidP="0033150F">
      <w:pPr>
        <w:pStyle w:val="ListParagraph"/>
        <w:numPr>
          <w:ilvl w:val="1"/>
          <w:numId w:val="33"/>
        </w:numPr>
        <w:ind w:left="567" w:hanging="567"/>
      </w:pPr>
      <w:r>
        <w:t>upchatie žíl krvnou zrazeninou,</w:t>
      </w:r>
    </w:p>
    <w:p w14:paraId="21A9D4F6" w14:textId="77777777" w:rsidR="00A72679" w:rsidRPr="00011E6E" w:rsidRDefault="00BE7CB1" w:rsidP="0033150F">
      <w:pPr>
        <w:pStyle w:val="ListParagraph"/>
        <w:numPr>
          <w:ilvl w:val="1"/>
          <w:numId w:val="33"/>
        </w:numPr>
        <w:ind w:left="567" w:hanging="567"/>
      </w:pPr>
      <w:r>
        <w:t>upchatie ciev v pľúcach krvnou zrazeninou,</w:t>
      </w:r>
    </w:p>
    <w:p w14:paraId="0B5BA8B4" w14:textId="77777777" w:rsidR="00A72679" w:rsidRPr="00011E6E" w:rsidRDefault="00BE7CB1" w:rsidP="0033150F">
      <w:pPr>
        <w:pStyle w:val="ListParagraph"/>
        <w:numPr>
          <w:ilvl w:val="1"/>
          <w:numId w:val="33"/>
        </w:numPr>
        <w:ind w:left="567" w:hanging="567"/>
      </w:pPr>
      <w:r>
        <w:t>upchatie žíl v dolných končatinách krvnou zrazeninou,</w:t>
      </w:r>
    </w:p>
    <w:p w14:paraId="5663B1DE" w14:textId="77777777" w:rsidR="00A72679" w:rsidRPr="00011E6E" w:rsidRDefault="00BE7CB1" w:rsidP="0033150F">
      <w:pPr>
        <w:pStyle w:val="ListParagraph"/>
        <w:numPr>
          <w:ilvl w:val="1"/>
          <w:numId w:val="33"/>
        </w:numPr>
        <w:ind w:left="567" w:hanging="567"/>
      </w:pPr>
      <w:r>
        <w:t>zlyhávanie srdca</w:t>
      </w:r>
    </w:p>
    <w:p w14:paraId="49AB7F7E" w14:textId="77777777" w:rsidR="00A72679" w:rsidRPr="00011E6E" w:rsidRDefault="00BE7CB1" w:rsidP="0033150F">
      <w:pPr>
        <w:pStyle w:val="ListParagraph"/>
        <w:numPr>
          <w:ilvl w:val="1"/>
          <w:numId w:val="33"/>
        </w:numPr>
        <w:ind w:left="567" w:hanging="567"/>
      </w:pPr>
      <w:r>
        <w:t>problémy s hojením rán po operácii,</w:t>
      </w:r>
    </w:p>
    <w:p w14:paraId="5346E98D" w14:textId="77777777" w:rsidR="00A72679" w:rsidRPr="00011E6E" w:rsidRDefault="00BE7CB1" w:rsidP="0033150F">
      <w:pPr>
        <w:pStyle w:val="ListParagraph"/>
        <w:numPr>
          <w:ilvl w:val="1"/>
          <w:numId w:val="33"/>
        </w:numPr>
        <w:ind w:left="567" w:hanging="567"/>
      </w:pPr>
      <w:r>
        <w:t>sčervenanie, ošupovanie, citlivosť, bolesť, alebo tvorba pľuzgierov na prstoch alebo chodidlách,</w:t>
      </w:r>
    </w:p>
    <w:p w14:paraId="627AABD3" w14:textId="77777777" w:rsidR="00A72679" w:rsidRPr="00011E6E" w:rsidRDefault="00BE7CB1" w:rsidP="0033150F">
      <w:pPr>
        <w:pStyle w:val="ListParagraph"/>
        <w:numPr>
          <w:ilvl w:val="1"/>
          <w:numId w:val="33"/>
        </w:numPr>
        <w:ind w:left="567" w:hanging="567"/>
      </w:pPr>
      <w:r>
        <w:t>znížený počet červených krviniek v krvi,</w:t>
      </w:r>
    </w:p>
    <w:p w14:paraId="171EA32F" w14:textId="77777777" w:rsidR="00A72679" w:rsidRPr="00011E6E" w:rsidRDefault="00BE7CB1" w:rsidP="0033150F">
      <w:pPr>
        <w:pStyle w:val="ListParagraph"/>
        <w:numPr>
          <w:ilvl w:val="1"/>
          <w:numId w:val="33"/>
        </w:numPr>
        <w:ind w:left="567" w:hanging="567"/>
      </w:pPr>
      <w:r>
        <w:t>nedostatok energie,</w:t>
      </w:r>
    </w:p>
    <w:p w14:paraId="0D66FA46" w14:textId="77777777" w:rsidR="00A72679" w:rsidRPr="00011E6E" w:rsidRDefault="00BE7CB1" w:rsidP="0033150F">
      <w:pPr>
        <w:pStyle w:val="ListParagraph"/>
        <w:numPr>
          <w:ilvl w:val="1"/>
          <w:numId w:val="33"/>
        </w:numPr>
        <w:ind w:left="567" w:hanging="567"/>
      </w:pPr>
      <w:r>
        <w:t>poruchy žalúdka a čriev,</w:t>
      </w:r>
    </w:p>
    <w:p w14:paraId="429C0BBF" w14:textId="77777777" w:rsidR="00A72679" w:rsidRPr="00011E6E" w:rsidRDefault="00BE7CB1" w:rsidP="0033150F">
      <w:pPr>
        <w:pStyle w:val="ListParagraph"/>
        <w:numPr>
          <w:ilvl w:val="1"/>
          <w:numId w:val="33"/>
        </w:numPr>
        <w:ind w:left="567" w:hanging="567"/>
      </w:pPr>
      <w:r>
        <w:t>bolesť svalov a kĺbov, svalová slabosť,</w:t>
      </w:r>
    </w:p>
    <w:p w14:paraId="777B80B1" w14:textId="77777777" w:rsidR="00A72679" w:rsidRPr="00011E6E" w:rsidRDefault="00BE7CB1" w:rsidP="0033150F">
      <w:pPr>
        <w:pStyle w:val="ListParagraph"/>
        <w:numPr>
          <w:ilvl w:val="1"/>
          <w:numId w:val="33"/>
        </w:numPr>
        <w:ind w:left="567" w:hanging="567"/>
      </w:pPr>
      <w:r>
        <w:t>sucho v ústach spolu so smädom a/alebo znížené množstvo moču alebo tmavý moč,</w:t>
      </w:r>
    </w:p>
    <w:p w14:paraId="5804EC21" w14:textId="77777777" w:rsidR="00A72679" w:rsidRPr="00011E6E" w:rsidRDefault="00BE7CB1" w:rsidP="0033150F">
      <w:pPr>
        <w:pStyle w:val="ListParagraph"/>
        <w:numPr>
          <w:ilvl w:val="1"/>
          <w:numId w:val="33"/>
        </w:numPr>
        <w:ind w:left="567" w:hanging="567"/>
      </w:pPr>
      <w:r>
        <w:t>zápal sliznice úst a čriev, pľúc a dýchacích ciest, pohlavných orgánov a močových ciest,</w:t>
      </w:r>
    </w:p>
    <w:p w14:paraId="4FE38222" w14:textId="77777777" w:rsidR="00A72679" w:rsidRPr="00011E6E" w:rsidRDefault="00BE7CB1" w:rsidP="0033150F">
      <w:pPr>
        <w:pStyle w:val="ListParagraph"/>
        <w:numPr>
          <w:ilvl w:val="1"/>
          <w:numId w:val="33"/>
        </w:numPr>
        <w:ind w:left="567" w:hanging="567"/>
      </w:pPr>
      <w:r>
        <w:t>rany v ústnej dutine a pažeráku (trubice, ktorá vedie z úst do žalúdka), ktoré môžu byť bolestivé a spôsobovať problémy pri prehĺtaní,</w:t>
      </w:r>
    </w:p>
    <w:p w14:paraId="66042B84" w14:textId="77777777" w:rsidR="00A72679" w:rsidRPr="00011E6E" w:rsidRDefault="00BE7CB1" w:rsidP="0033150F">
      <w:pPr>
        <w:pStyle w:val="ListParagraph"/>
        <w:numPr>
          <w:ilvl w:val="1"/>
          <w:numId w:val="33"/>
        </w:numPr>
        <w:ind w:left="567" w:hanging="567"/>
      </w:pPr>
      <w:r>
        <w:t>bolesť vrátane bolesti hlavy, bolesť chrbta a bolesť v oblasti panvy a konečníka,</w:t>
      </w:r>
    </w:p>
    <w:p w14:paraId="490646A3" w14:textId="77777777" w:rsidR="00A72679" w:rsidRPr="00011E6E" w:rsidRDefault="00BE7CB1" w:rsidP="0033150F">
      <w:pPr>
        <w:pStyle w:val="ListParagraph"/>
        <w:numPr>
          <w:ilvl w:val="1"/>
          <w:numId w:val="33"/>
        </w:numPr>
        <w:ind w:left="567" w:hanging="567"/>
      </w:pPr>
      <w:r>
        <w:t>nahromadenie hnisu v určitom mieste,</w:t>
      </w:r>
    </w:p>
    <w:p w14:paraId="10D0B355" w14:textId="77777777" w:rsidR="00A72679" w:rsidRPr="00011E6E" w:rsidRDefault="00BE7CB1" w:rsidP="0033150F">
      <w:pPr>
        <w:pStyle w:val="ListParagraph"/>
        <w:numPr>
          <w:ilvl w:val="1"/>
          <w:numId w:val="33"/>
        </w:numPr>
        <w:ind w:left="567" w:hanging="567"/>
      </w:pPr>
      <w:r>
        <w:t>infekcia, zvlášť infekcia v krvi alebo v močovom mechúre,</w:t>
      </w:r>
    </w:p>
    <w:p w14:paraId="317C8EBC" w14:textId="77777777" w:rsidR="00A72679" w:rsidRPr="00011E6E" w:rsidRDefault="00BE7CB1" w:rsidP="0033150F">
      <w:pPr>
        <w:pStyle w:val="ListParagraph"/>
        <w:numPr>
          <w:ilvl w:val="1"/>
          <w:numId w:val="33"/>
        </w:numPr>
        <w:ind w:left="567" w:hanging="567"/>
      </w:pPr>
      <w:r>
        <w:t>nedostatočné prekrvenie mozgu alebo mozgová príhoda,</w:t>
      </w:r>
    </w:p>
    <w:p w14:paraId="127C8762" w14:textId="77777777" w:rsidR="00A72679" w:rsidRPr="00011E6E" w:rsidRDefault="00BE7CB1" w:rsidP="0033150F">
      <w:pPr>
        <w:pStyle w:val="ListParagraph"/>
        <w:numPr>
          <w:ilvl w:val="1"/>
          <w:numId w:val="33"/>
        </w:numPr>
        <w:ind w:left="567" w:hanging="567"/>
      </w:pPr>
      <w:r>
        <w:t>ospalosť,</w:t>
      </w:r>
    </w:p>
    <w:p w14:paraId="4E628036" w14:textId="77777777" w:rsidR="00A72679" w:rsidRPr="00011E6E" w:rsidRDefault="00BE7CB1" w:rsidP="0033150F">
      <w:pPr>
        <w:pStyle w:val="ListParagraph"/>
        <w:numPr>
          <w:ilvl w:val="1"/>
          <w:numId w:val="33"/>
        </w:numPr>
        <w:ind w:left="567" w:hanging="567"/>
      </w:pPr>
      <w:r>
        <w:t>krvácanie z nosa,</w:t>
      </w:r>
    </w:p>
    <w:p w14:paraId="33DD67A4" w14:textId="77777777" w:rsidR="00A72679" w:rsidRPr="00011E6E" w:rsidRDefault="00BE7CB1" w:rsidP="0033150F">
      <w:pPr>
        <w:pStyle w:val="ListParagraph"/>
        <w:numPr>
          <w:ilvl w:val="1"/>
          <w:numId w:val="33"/>
        </w:numPr>
        <w:ind w:left="567" w:hanging="567"/>
      </w:pPr>
      <w:r>
        <w:t>zrýchlený tep srdca (pulz),</w:t>
      </w:r>
    </w:p>
    <w:p w14:paraId="4FDDD81E" w14:textId="77777777" w:rsidR="00A72679" w:rsidRPr="00011E6E" w:rsidRDefault="00BE7CB1" w:rsidP="0033150F">
      <w:pPr>
        <w:pStyle w:val="ListParagraph"/>
        <w:numPr>
          <w:ilvl w:val="1"/>
          <w:numId w:val="33"/>
        </w:numPr>
        <w:ind w:left="567" w:hanging="567"/>
      </w:pPr>
      <w:r>
        <w:t>upchatie (nepriechodnosť) čriev,</w:t>
      </w:r>
    </w:p>
    <w:p w14:paraId="0CB8D310" w14:textId="77777777" w:rsidR="00A72679" w:rsidRPr="00011E6E" w:rsidRDefault="00BE7CB1" w:rsidP="0033150F">
      <w:pPr>
        <w:pStyle w:val="ListParagraph"/>
        <w:numPr>
          <w:ilvl w:val="1"/>
          <w:numId w:val="33"/>
        </w:numPr>
        <w:ind w:left="567" w:hanging="567"/>
      </w:pPr>
      <w:r>
        <w:t>neobvyklé výsledky vyšetrenia moču (bielkovina v moči),</w:t>
      </w:r>
    </w:p>
    <w:p w14:paraId="2985D053" w14:textId="77777777" w:rsidR="00A72679" w:rsidRPr="00011E6E" w:rsidRDefault="00BE7CB1" w:rsidP="0033150F">
      <w:pPr>
        <w:pStyle w:val="ListParagraph"/>
        <w:numPr>
          <w:ilvl w:val="1"/>
          <w:numId w:val="33"/>
        </w:numPr>
        <w:ind w:left="567" w:hanging="567"/>
      </w:pPr>
      <w:r>
        <w:t>dýchavičnosť alebo nízka hladina kyslíka v krvi,</w:t>
      </w:r>
    </w:p>
    <w:p w14:paraId="0D95CCE2" w14:textId="77777777" w:rsidR="00A72679" w:rsidRPr="00011E6E" w:rsidRDefault="00BE7CB1" w:rsidP="0033150F">
      <w:pPr>
        <w:pStyle w:val="ListParagraph"/>
        <w:numPr>
          <w:ilvl w:val="1"/>
          <w:numId w:val="33"/>
        </w:numPr>
        <w:ind w:left="567" w:hanging="567"/>
      </w:pPr>
      <w:r>
        <w:t>infekcie kože alebo hlbších vrstiev pod kožou,</w:t>
      </w:r>
    </w:p>
    <w:p w14:paraId="46E1AD94" w14:textId="77777777" w:rsidR="00A72679" w:rsidRPr="00011E6E" w:rsidRDefault="00BE7CB1" w:rsidP="0033150F">
      <w:pPr>
        <w:pStyle w:val="ListParagraph"/>
        <w:numPr>
          <w:ilvl w:val="1"/>
          <w:numId w:val="33"/>
        </w:numPr>
        <w:ind w:left="567" w:hanging="567"/>
      </w:pPr>
      <w:r>
        <w:t xml:space="preserve">fistula: nezvyčajné trubicové spojenie medzi vnútornými orgánmi a kožou alebo inými </w:t>
      </w:r>
      <w:r>
        <w:lastRenderedPageBreak/>
        <w:t>tkanivami, ktoré zvyčajne nie sú spojené, vrátane spojenia medzi pošvou a črevom u pacientok s nádorom krčka maternice.</w:t>
      </w:r>
    </w:p>
    <w:p w14:paraId="245EA8C0" w14:textId="52570988" w:rsidR="003B440B" w:rsidRPr="004118A7" w:rsidRDefault="003B440B" w:rsidP="003B440B">
      <w:pPr>
        <w:pStyle w:val="ListParagraph"/>
        <w:numPr>
          <w:ilvl w:val="1"/>
          <w:numId w:val="33"/>
        </w:numPr>
        <w:spacing w:after="240"/>
        <w:ind w:left="567" w:hanging="567"/>
      </w:pPr>
      <w:r>
        <w:t xml:space="preserve">alergické reakcie (prejavy môžu zahŕňať ťažkosti s dýchaním, sčervenenie tváre, vyrážku, nízky krvný tlak alebo vysoký krvný tlak, nízka hladina kyslíka v krvi, bolesť na hrudi alebo </w:t>
      </w:r>
      <w:r w:rsidRPr="004118A7">
        <w:t>nevoľnosť/vracanie),</w:t>
      </w:r>
    </w:p>
    <w:p w14:paraId="41665FED" w14:textId="77777777" w:rsidR="003B440B" w:rsidRPr="004118A7" w:rsidRDefault="003B440B" w:rsidP="004A7F9D">
      <w:r w:rsidRPr="004118A7">
        <w:t xml:space="preserve">K závažným vedľajším účinkom, ktoré môžu byť </w:t>
      </w:r>
      <w:r w:rsidRPr="004A7F9D">
        <w:rPr>
          <w:b/>
          <w:bCs/>
        </w:rPr>
        <w:t>zriedkavé</w:t>
      </w:r>
      <w:r w:rsidRPr="004118A7">
        <w:t xml:space="preserve"> (môžu postihovať menej ako 1 z 1 000 osôb), patrí:</w:t>
      </w:r>
    </w:p>
    <w:p w14:paraId="701588DC" w14:textId="368ED71F" w:rsidR="003B440B" w:rsidRPr="004118A7" w:rsidRDefault="003B440B" w:rsidP="004A7F9D">
      <w:pPr>
        <w:pStyle w:val="ListParagraph"/>
        <w:numPr>
          <w:ilvl w:val="0"/>
          <w:numId w:val="39"/>
        </w:numPr>
        <w:spacing w:after="240"/>
        <w:ind w:left="567" w:hanging="567"/>
      </w:pPr>
      <w:r w:rsidRPr="004118A7">
        <w:t>náhla závažná alergická reakciae s príznakmi ako sú ťažkosti s dýchaním, opuch, točenie hlavy, zrýchlený tep, potenie a strata vedomia (anafylaktický šok).</w:t>
      </w:r>
    </w:p>
    <w:p w14:paraId="5ACCD870" w14:textId="77777777" w:rsidR="00A72679" w:rsidRPr="00011E6E" w:rsidRDefault="00A72679" w:rsidP="00F64BF9">
      <w:pPr>
        <w:spacing w:line="240" w:lineRule="auto"/>
      </w:pPr>
    </w:p>
    <w:p w14:paraId="7F981A13" w14:textId="77777777" w:rsidR="00A72679" w:rsidRPr="00011E6E" w:rsidRDefault="00BE7CB1" w:rsidP="00F64BF9">
      <w:pPr>
        <w:keepNext/>
        <w:spacing w:line="240" w:lineRule="auto"/>
      </w:pPr>
      <w:r>
        <w:t xml:space="preserve">Závažné vedľajšie účinky s </w:t>
      </w:r>
      <w:r w:rsidRPr="005129B0">
        <w:rPr>
          <w:b/>
          <w:bCs/>
        </w:rPr>
        <w:t>neznámou</w:t>
      </w:r>
      <w:r>
        <w:t xml:space="preserve"> častosťou (častosť sa nedá odhadnúť z dostupných údajov) zahŕňajú:</w:t>
      </w:r>
    </w:p>
    <w:p w14:paraId="092D3F7F" w14:textId="77777777" w:rsidR="00A72679" w:rsidRPr="00011E6E" w:rsidRDefault="00BE7CB1" w:rsidP="0033150F">
      <w:pPr>
        <w:pStyle w:val="ListParagraph"/>
        <w:numPr>
          <w:ilvl w:val="1"/>
          <w:numId w:val="34"/>
        </w:numPr>
        <w:ind w:left="567" w:hanging="567"/>
      </w:pPr>
      <w:r>
        <w:t>závažné infekcie kože alebo hlbších vrstiev pod kožou a to najmä, ak ste mali prederavenie črevnej steny alebo problémy s hojením rán,</w:t>
      </w:r>
    </w:p>
    <w:p w14:paraId="465A5705" w14:textId="77777777" w:rsidR="00A72679" w:rsidRPr="00011E6E" w:rsidRDefault="00BE7CB1" w:rsidP="0033150F">
      <w:pPr>
        <w:pStyle w:val="ListParagraph"/>
        <w:numPr>
          <w:ilvl w:val="1"/>
          <w:numId w:val="34"/>
        </w:numPr>
        <w:ind w:left="567" w:hanging="567"/>
      </w:pPr>
      <w:r>
        <w:t>negatívny účinok na plodnosť u žien (ďalšie odporúčania pozri v častiach nižšie pod zoznamom vedľajších účinkov),</w:t>
      </w:r>
    </w:p>
    <w:p w14:paraId="12C93BB4" w14:textId="77777777" w:rsidR="00A72679" w:rsidRPr="00011E6E" w:rsidRDefault="00BE7CB1" w:rsidP="0033150F">
      <w:pPr>
        <w:pStyle w:val="ListParagraph"/>
        <w:numPr>
          <w:ilvl w:val="1"/>
          <w:numId w:val="34"/>
        </w:numPr>
        <w:ind w:left="567" w:hanging="567"/>
      </w:pPr>
      <w:r>
        <w:t>porucha mozgu s príznakmi ako záchvat (kŕče), bolesť hlavy, zmätenosť a poruchy zraku (posteriórny reverzibilný encefalopatický syndróm alebo PRES),</w:t>
      </w:r>
    </w:p>
    <w:p w14:paraId="4D04168C" w14:textId="77777777" w:rsidR="00A72679" w:rsidRPr="00011E6E" w:rsidRDefault="00BE7CB1" w:rsidP="0033150F">
      <w:pPr>
        <w:pStyle w:val="ListParagraph"/>
        <w:numPr>
          <w:ilvl w:val="1"/>
          <w:numId w:val="34"/>
        </w:numPr>
        <w:ind w:left="567" w:hanging="567"/>
      </w:pPr>
      <w:r>
        <w:t>príznaky, ktoré poukazujú na zmeny v normálnej funkcii mozgu (bolesť hlavy, poruchy zraku, zmätenosť alebo záchvat) a vysoký krvný tlak,</w:t>
      </w:r>
    </w:p>
    <w:p w14:paraId="30E1CE81" w14:textId="77777777" w:rsidR="00B94559" w:rsidRPr="00011E6E" w:rsidRDefault="00BE7CB1" w:rsidP="0033150F">
      <w:pPr>
        <w:pStyle w:val="ListParagraph"/>
        <w:numPr>
          <w:ilvl w:val="1"/>
          <w:numId w:val="34"/>
        </w:numPr>
        <w:ind w:left="567" w:hanging="567"/>
      </w:pPr>
      <w:r>
        <w:t>zväčšenie a oslabenie steny krvnej cievy alebo trhlina v stene krvnej cievy (aneuryzmy a arteriálne disekcie),</w:t>
      </w:r>
    </w:p>
    <w:p w14:paraId="61BBF5F1" w14:textId="77777777" w:rsidR="00A72679" w:rsidRPr="00011E6E" w:rsidRDefault="00BE7CB1" w:rsidP="0033150F">
      <w:pPr>
        <w:pStyle w:val="ListParagraph"/>
        <w:numPr>
          <w:ilvl w:val="1"/>
          <w:numId w:val="34"/>
        </w:numPr>
        <w:ind w:left="567" w:hanging="567"/>
      </w:pPr>
      <w:r>
        <w:t>upchatie veľmi malých ciev v obličkách,</w:t>
      </w:r>
    </w:p>
    <w:p w14:paraId="02D6F88B" w14:textId="77777777" w:rsidR="00A72679" w:rsidRPr="00011E6E" w:rsidRDefault="00BE7CB1" w:rsidP="0033150F">
      <w:pPr>
        <w:pStyle w:val="ListParagraph"/>
        <w:numPr>
          <w:ilvl w:val="1"/>
          <w:numId w:val="34"/>
        </w:numPr>
        <w:ind w:left="567" w:hanging="567"/>
      </w:pPr>
      <w:r>
        <w:t>nezvyčajne vysoký krvný tlak v krvných cievach pľúc, ktorý spôsobuje, že pravá strana srdca pracuje viac ako zvyčajne,</w:t>
      </w:r>
    </w:p>
    <w:p w14:paraId="0C09A5BF" w14:textId="77777777" w:rsidR="00A72679" w:rsidRPr="00011E6E" w:rsidRDefault="00BE7CB1" w:rsidP="0033150F">
      <w:pPr>
        <w:pStyle w:val="ListParagraph"/>
        <w:numPr>
          <w:ilvl w:val="1"/>
          <w:numId w:val="34"/>
        </w:numPr>
        <w:ind w:left="567" w:hanging="567"/>
      </w:pPr>
      <w:r>
        <w:t>prederavenie nosovej prepážky (chrupavky, ktorá rozdeľuje nosové dierky)</w:t>
      </w:r>
    </w:p>
    <w:p w14:paraId="69283B2C" w14:textId="77777777" w:rsidR="00A72679" w:rsidRPr="00011E6E" w:rsidRDefault="00BE7CB1" w:rsidP="0033150F">
      <w:pPr>
        <w:pStyle w:val="ListParagraph"/>
        <w:numPr>
          <w:ilvl w:val="1"/>
          <w:numId w:val="34"/>
        </w:numPr>
        <w:ind w:left="567" w:hanging="567"/>
      </w:pPr>
      <w:r>
        <w:t>prederavenie žalúdka alebo čriev,</w:t>
      </w:r>
    </w:p>
    <w:p w14:paraId="4772ECF4" w14:textId="41A6BB19" w:rsidR="00A72679" w:rsidRPr="00011E6E" w:rsidRDefault="00BE7CB1" w:rsidP="0033150F">
      <w:pPr>
        <w:pStyle w:val="ListParagraph"/>
        <w:numPr>
          <w:ilvl w:val="1"/>
          <w:numId w:val="34"/>
        </w:numPr>
        <w:ind w:left="567" w:hanging="567"/>
      </w:pPr>
      <w:r>
        <w:t>otvorená rana alebo prederavenie sliznice žalúdka alebo tenkého čreva (pr</w:t>
      </w:r>
      <w:r w:rsidR="00AB729A">
        <w:t>ejavy</w:t>
      </w:r>
      <w:r>
        <w:t xml:space="preserve"> môžu zahŕňať bolesť brucha, pocit plnosti, čiernu dechtovitú stolicu alebo krv v stolici alebo v zvratkoch),</w:t>
      </w:r>
    </w:p>
    <w:p w14:paraId="1EF91F5D" w14:textId="77777777" w:rsidR="00A72679" w:rsidRPr="00011E6E" w:rsidRDefault="00BE7CB1" w:rsidP="0033150F">
      <w:pPr>
        <w:pStyle w:val="ListParagraph"/>
        <w:numPr>
          <w:ilvl w:val="1"/>
          <w:numId w:val="34"/>
        </w:numPr>
        <w:ind w:left="567" w:hanging="567"/>
      </w:pPr>
      <w:r>
        <w:t>krvácanie z dolnej časti hrubého čreva,</w:t>
      </w:r>
    </w:p>
    <w:p w14:paraId="5634FAA4" w14:textId="77777777" w:rsidR="00A72679" w:rsidRPr="00011E6E" w:rsidRDefault="00BE7CB1" w:rsidP="0033150F">
      <w:pPr>
        <w:pStyle w:val="ListParagraph"/>
        <w:numPr>
          <w:ilvl w:val="1"/>
          <w:numId w:val="34"/>
        </w:numPr>
        <w:ind w:left="567" w:hanging="567"/>
      </w:pPr>
      <w:r>
        <w:t>lézie v ďasnách s odkrytou čeľustnou kosťou, ktoré sa nehoja a môžu byť spojené s bolesťou a zápalom okolitého tkaniva (ďalšie odporúčania pozri v častiach nižšie pod zoznamom vedľajších účinkov),</w:t>
      </w:r>
    </w:p>
    <w:p w14:paraId="498046D6" w14:textId="77777777" w:rsidR="00A72679" w:rsidRPr="00011E6E" w:rsidRDefault="00BE7CB1" w:rsidP="0033150F">
      <w:pPr>
        <w:pStyle w:val="ListParagraph"/>
        <w:numPr>
          <w:ilvl w:val="1"/>
          <w:numId w:val="34"/>
        </w:numPr>
        <w:ind w:left="567" w:hanging="567"/>
      </w:pPr>
      <w:r>
        <w:t>prederavenie žlčníka (príznaky a prejavy môžu zahŕňať bolesť brucha, horúčku a nevoľnosť/vracanie).</w:t>
      </w:r>
    </w:p>
    <w:p w14:paraId="592A50BD" w14:textId="77777777" w:rsidR="00A72679" w:rsidRPr="00011E6E" w:rsidRDefault="00A72679" w:rsidP="00F64BF9">
      <w:pPr>
        <w:spacing w:line="240" w:lineRule="auto"/>
      </w:pPr>
    </w:p>
    <w:p w14:paraId="47684A10" w14:textId="77777777" w:rsidR="00A72679" w:rsidRPr="00457250" w:rsidRDefault="00BE7CB1" w:rsidP="00F64BF9">
      <w:pPr>
        <w:spacing w:line="240" w:lineRule="auto"/>
        <w:rPr>
          <w:b/>
          <w:bCs/>
        </w:rPr>
      </w:pPr>
      <w:r>
        <w:rPr>
          <w:b/>
        </w:rPr>
        <w:t>Ak máte ktorýkoľvek z nižšie uvedených vedľajších účinkov, čo najskôr vyhľadajte pomoc.</w:t>
      </w:r>
    </w:p>
    <w:p w14:paraId="06EE14C5" w14:textId="77777777" w:rsidR="00A72679" w:rsidRPr="00457250" w:rsidRDefault="00A72679" w:rsidP="00F64BF9">
      <w:pPr>
        <w:spacing w:line="240" w:lineRule="auto"/>
      </w:pPr>
    </w:p>
    <w:p w14:paraId="769F6B95" w14:textId="34647A5C" w:rsidR="00A72679" w:rsidRPr="00457250" w:rsidRDefault="00BE7CB1" w:rsidP="00F64BF9">
      <w:pPr>
        <w:keepNext/>
        <w:spacing w:line="240" w:lineRule="auto"/>
      </w:pPr>
      <w:r>
        <w:rPr>
          <w:b/>
        </w:rPr>
        <w:t>Veľmi časté</w:t>
      </w:r>
      <w:r w:rsidRPr="00F74068">
        <w:rPr>
          <w:b/>
        </w:rPr>
        <w:t xml:space="preserve"> </w:t>
      </w:r>
      <w:r>
        <w:t>(môžu postihovať viac ako 1 z 10 osôb) vedľajšie účinky, ktoré nie sú závažné, sú:</w:t>
      </w:r>
    </w:p>
    <w:p w14:paraId="5CEF1ECD" w14:textId="77777777" w:rsidR="00A72679" w:rsidRPr="00457250" w:rsidRDefault="00BE7CB1" w:rsidP="0033150F">
      <w:pPr>
        <w:pStyle w:val="ListParagraph"/>
        <w:numPr>
          <w:ilvl w:val="1"/>
          <w:numId w:val="35"/>
        </w:numPr>
        <w:ind w:left="567" w:hanging="567"/>
      </w:pPr>
      <w:r>
        <w:t>zápcha,</w:t>
      </w:r>
    </w:p>
    <w:p w14:paraId="5C7D790F" w14:textId="77777777" w:rsidR="00A72679" w:rsidRPr="00457250" w:rsidRDefault="00BE7CB1" w:rsidP="0033150F">
      <w:pPr>
        <w:pStyle w:val="ListParagraph"/>
        <w:numPr>
          <w:ilvl w:val="1"/>
          <w:numId w:val="35"/>
        </w:numPr>
        <w:ind w:left="567" w:hanging="567"/>
      </w:pPr>
      <w:r>
        <w:t>strata chuti do jedla,</w:t>
      </w:r>
    </w:p>
    <w:p w14:paraId="549A2571" w14:textId="77777777" w:rsidR="00A72679" w:rsidRPr="00457250" w:rsidRDefault="00BE7CB1" w:rsidP="0033150F">
      <w:pPr>
        <w:pStyle w:val="ListParagraph"/>
        <w:numPr>
          <w:ilvl w:val="1"/>
          <w:numId w:val="35"/>
        </w:numPr>
        <w:ind w:left="567" w:hanging="567"/>
      </w:pPr>
      <w:r>
        <w:t>horúčka,</w:t>
      </w:r>
    </w:p>
    <w:p w14:paraId="389B3698" w14:textId="77777777" w:rsidR="00A72679" w:rsidRPr="00457250" w:rsidRDefault="00BE7CB1" w:rsidP="0033150F">
      <w:pPr>
        <w:pStyle w:val="ListParagraph"/>
        <w:numPr>
          <w:ilvl w:val="1"/>
          <w:numId w:val="35"/>
        </w:numPr>
        <w:ind w:left="567" w:hanging="567"/>
      </w:pPr>
      <w:r>
        <w:t>problémy s očami (vrátane zvýšenej tvorby sĺz),</w:t>
      </w:r>
    </w:p>
    <w:p w14:paraId="358A3731" w14:textId="77777777" w:rsidR="00A72679" w:rsidRPr="00457250" w:rsidRDefault="00BE7CB1" w:rsidP="0033150F">
      <w:pPr>
        <w:pStyle w:val="ListParagraph"/>
        <w:numPr>
          <w:ilvl w:val="1"/>
          <w:numId w:val="35"/>
        </w:numPr>
        <w:ind w:left="567" w:hanging="567"/>
      </w:pPr>
      <w:r>
        <w:t>porucha reči,</w:t>
      </w:r>
    </w:p>
    <w:p w14:paraId="127421B4" w14:textId="77777777" w:rsidR="00A72679" w:rsidRPr="00457250" w:rsidRDefault="00BE7CB1" w:rsidP="0033150F">
      <w:pPr>
        <w:pStyle w:val="ListParagraph"/>
        <w:numPr>
          <w:ilvl w:val="1"/>
          <w:numId w:val="35"/>
        </w:numPr>
        <w:ind w:left="567" w:hanging="567"/>
      </w:pPr>
      <w:r>
        <w:t>zmena vnímania chuti,</w:t>
      </w:r>
    </w:p>
    <w:p w14:paraId="0C3DB423" w14:textId="77777777" w:rsidR="00A72679" w:rsidRPr="00457250" w:rsidRDefault="00BE7CB1" w:rsidP="0033150F">
      <w:pPr>
        <w:pStyle w:val="ListParagraph"/>
        <w:numPr>
          <w:ilvl w:val="1"/>
          <w:numId w:val="35"/>
        </w:numPr>
        <w:ind w:left="567" w:hanging="567"/>
      </w:pPr>
      <w:r>
        <w:t>nádcha,</w:t>
      </w:r>
    </w:p>
    <w:p w14:paraId="3634499B" w14:textId="77777777" w:rsidR="00A72679" w:rsidRPr="00457250" w:rsidRDefault="00BE7CB1" w:rsidP="0033150F">
      <w:pPr>
        <w:pStyle w:val="ListParagraph"/>
        <w:numPr>
          <w:ilvl w:val="1"/>
          <w:numId w:val="35"/>
        </w:numPr>
        <w:ind w:left="567" w:hanging="567"/>
      </w:pPr>
      <w:r>
        <w:t>suchá koža, šupinatenie a zápal kože, zmena sfarbenia kože,</w:t>
      </w:r>
    </w:p>
    <w:p w14:paraId="0EF87D34" w14:textId="77777777" w:rsidR="00A72679" w:rsidRPr="00457250" w:rsidRDefault="00BE7CB1" w:rsidP="0033150F">
      <w:pPr>
        <w:pStyle w:val="ListParagraph"/>
        <w:numPr>
          <w:ilvl w:val="1"/>
          <w:numId w:val="35"/>
        </w:numPr>
        <w:ind w:left="567" w:hanging="567"/>
      </w:pPr>
      <w:r>
        <w:t>strata telesnej hmotnosti,</w:t>
      </w:r>
    </w:p>
    <w:p w14:paraId="6DE7E8B6" w14:textId="77777777" w:rsidR="00A72679" w:rsidRPr="00457250" w:rsidRDefault="00BE7CB1" w:rsidP="0033150F">
      <w:pPr>
        <w:pStyle w:val="ListParagraph"/>
        <w:numPr>
          <w:ilvl w:val="1"/>
          <w:numId w:val="35"/>
        </w:numPr>
        <w:ind w:left="567" w:hanging="567"/>
      </w:pPr>
      <w:r>
        <w:t>krvácanie z nosa.</w:t>
      </w:r>
    </w:p>
    <w:p w14:paraId="74D7907D" w14:textId="77777777" w:rsidR="00A72679" w:rsidRPr="00457250" w:rsidRDefault="00A72679" w:rsidP="00F64BF9">
      <w:pPr>
        <w:spacing w:line="240" w:lineRule="auto"/>
      </w:pPr>
    </w:p>
    <w:p w14:paraId="0CCF0DB7" w14:textId="77777777" w:rsidR="00A72679" w:rsidRPr="00457250" w:rsidRDefault="00BE7CB1" w:rsidP="00F64BF9">
      <w:pPr>
        <w:keepNext/>
        <w:spacing w:line="240" w:lineRule="auto"/>
      </w:pPr>
      <w:r>
        <w:rPr>
          <w:b/>
        </w:rPr>
        <w:t xml:space="preserve">Časté </w:t>
      </w:r>
      <w:r>
        <w:t>(môžu postihovať menej ako 1 z 10 osôb) vedľajše účinky, ktoré nie sú závažné, sú:</w:t>
      </w:r>
    </w:p>
    <w:p w14:paraId="7E4DD428" w14:textId="77777777" w:rsidR="00A72679" w:rsidRPr="00457250" w:rsidRDefault="00BE7CB1" w:rsidP="0033150F">
      <w:pPr>
        <w:pStyle w:val="ListParagraph"/>
        <w:numPr>
          <w:ilvl w:val="1"/>
          <w:numId w:val="36"/>
        </w:numPr>
        <w:ind w:left="567" w:hanging="567"/>
      </w:pPr>
      <w:r>
        <w:t>zmeny hlasu a chrapľavosť.</w:t>
      </w:r>
    </w:p>
    <w:p w14:paraId="0AD108F5" w14:textId="77777777" w:rsidR="00A72679" w:rsidRPr="00457250" w:rsidRDefault="00A72679" w:rsidP="00F64BF9">
      <w:pPr>
        <w:spacing w:line="240" w:lineRule="auto"/>
      </w:pPr>
    </w:p>
    <w:p w14:paraId="10514D63" w14:textId="77777777" w:rsidR="00A72679" w:rsidRPr="00457250" w:rsidRDefault="00BE7CB1" w:rsidP="00F64BF9">
      <w:pPr>
        <w:keepNext/>
        <w:spacing w:line="240" w:lineRule="auto"/>
      </w:pPr>
      <w:r>
        <w:lastRenderedPageBreak/>
        <w:t>U pacientov starších ako 65 rokov je zvýšené riziko výskytu nasledovných vedľajších účinkov:</w:t>
      </w:r>
    </w:p>
    <w:p w14:paraId="1A129327" w14:textId="77777777" w:rsidR="00A72679" w:rsidRPr="00457250" w:rsidRDefault="00BE7CB1" w:rsidP="0033150F">
      <w:pPr>
        <w:pStyle w:val="ListParagraph"/>
        <w:numPr>
          <w:ilvl w:val="1"/>
          <w:numId w:val="37"/>
        </w:numPr>
        <w:ind w:left="567" w:hanging="567"/>
      </w:pPr>
      <w:r>
        <w:t>výskyt krvných zrazenín v cievach, ktoré môžu spôsobiť mozgovú mŕtvicu alebo srdcový infarkt,</w:t>
      </w:r>
    </w:p>
    <w:p w14:paraId="55A3FDE2" w14:textId="3E67A2F6" w:rsidR="00A72679" w:rsidRPr="00457250" w:rsidRDefault="00BE7CB1" w:rsidP="0033150F">
      <w:pPr>
        <w:pStyle w:val="ListParagraph"/>
        <w:numPr>
          <w:ilvl w:val="1"/>
          <w:numId w:val="37"/>
        </w:numPr>
        <w:ind w:left="567" w:hanging="567"/>
      </w:pPr>
      <w:r>
        <w:t>pokles počtu bielych krviniek v</w:t>
      </w:r>
      <w:r w:rsidR="00AB729A">
        <w:t> </w:t>
      </w:r>
      <w:r>
        <w:t>krvi</w:t>
      </w:r>
      <w:r w:rsidR="00AB729A">
        <w:t xml:space="preserve"> a </w:t>
      </w:r>
      <w:r>
        <w:t>krvných doštičiek, ktoré pomáhajú zrážaniu krvi,</w:t>
      </w:r>
    </w:p>
    <w:p w14:paraId="0F4FA238" w14:textId="77777777" w:rsidR="00A72679" w:rsidRPr="00457250" w:rsidRDefault="00BE7CB1" w:rsidP="0033150F">
      <w:pPr>
        <w:pStyle w:val="ListParagraph"/>
        <w:numPr>
          <w:ilvl w:val="1"/>
          <w:numId w:val="37"/>
        </w:numPr>
        <w:ind w:left="567" w:hanging="567"/>
      </w:pPr>
      <w:r>
        <w:t>hnačka,</w:t>
      </w:r>
    </w:p>
    <w:p w14:paraId="7D0EED05" w14:textId="77777777" w:rsidR="00A72679" w:rsidRPr="00457250" w:rsidRDefault="00BE7CB1" w:rsidP="0033150F">
      <w:pPr>
        <w:pStyle w:val="ListParagraph"/>
        <w:numPr>
          <w:ilvl w:val="1"/>
          <w:numId w:val="37"/>
        </w:numPr>
        <w:ind w:left="567" w:hanging="567"/>
      </w:pPr>
      <w:r>
        <w:t>nevoľnosť,</w:t>
      </w:r>
    </w:p>
    <w:p w14:paraId="40A7DF3D" w14:textId="77777777" w:rsidR="00A72679" w:rsidRPr="00457250" w:rsidRDefault="00BE7CB1" w:rsidP="0033150F">
      <w:pPr>
        <w:pStyle w:val="ListParagraph"/>
        <w:numPr>
          <w:ilvl w:val="1"/>
          <w:numId w:val="37"/>
        </w:numPr>
        <w:ind w:left="567" w:hanging="567"/>
      </w:pPr>
      <w:r>
        <w:t>bolesť hlavy,</w:t>
      </w:r>
    </w:p>
    <w:p w14:paraId="032BFBE8" w14:textId="77777777" w:rsidR="00A72679" w:rsidRPr="00457250" w:rsidRDefault="00BE7CB1" w:rsidP="0033150F">
      <w:pPr>
        <w:pStyle w:val="ListParagraph"/>
        <w:numPr>
          <w:ilvl w:val="1"/>
          <w:numId w:val="37"/>
        </w:numPr>
        <w:ind w:left="567" w:hanging="567"/>
      </w:pPr>
      <w:r>
        <w:t>únava,</w:t>
      </w:r>
    </w:p>
    <w:p w14:paraId="496BB777" w14:textId="77777777" w:rsidR="00A72679" w:rsidRPr="00457250" w:rsidRDefault="00BE7CB1" w:rsidP="0033150F">
      <w:pPr>
        <w:pStyle w:val="ListParagraph"/>
        <w:numPr>
          <w:ilvl w:val="1"/>
          <w:numId w:val="37"/>
        </w:numPr>
        <w:ind w:left="567" w:hanging="567"/>
      </w:pPr>
      <w:r>
        <w:t>vysoký krvný tlak.</w:t>
      </w:r>
    </w:p>
    <w:p w14:paraId="446A3550" w14:textId="77777777" w:rsidR="00A72679" w:rsidRPr="00457250" w:rsidRDefault="00A72679" w:rsidP="00F64BF9">
      <w:pPr>
        <w:spacing w:line="240" w:lineRule="auto"/>
      </w:pPr>
    </w:p>
    <w:p w14:paraId="398C09D1" w14:textId="77777777" w:rsidR="00A72679" w:rsidRPr="00457250" w:rsidRDefault="00BE7CB1" w:rsidP="00F64BF9">
      <w:pPr>
        <w:spacing w:line="240" w:lineRule="auto"/>
      </w:pPr>
      <w:r>
        <w:t>Alymsys môže tiež spôsobiť zmeny v laboratórnych testoch, ktoré vykonáva lekár. Tieto zahŕňajú znížený počet bielych krviniek v krvi zvlášť neutrofilov (druh bielej krvinky, ktorá pomáha chrániť pred infekciami), prítomnosť bielkovín v moči, zníženú hladinu draslíka, sodíka alebo fosforu (minerál) v krvi, zvýšenú hladinu krvného cukru, zvýšenú hladinu krvnej alkalickej fosfatázy (enzým), zvýšenenú hodnotu kreatinínu v sére (bielkovina, ktorá sa vyšetruje krvným testom, aby sa zistilo, či vaše obličky pracujú správne); zníženú hladinu hemoglobínu (nachádza sa v červených krvinkách, ktoré prenášajú kyslík), čo môže byť závažné.</w:t>
      </w:r>
    </w:p>
    <w:p w14:paraId="4C6162E7" w14:textId="77777777" w:rsidR="00A72679" w:rsidRPr="00457250" w:rsidRDefault="00A72679" w:rsidP="00F64BF9">
      <w:pPr>
        <w:spacing w:line="240" w:lineRule="auto"/>
      </w:pPr>
    </w:p>
    <w:p w14:paraId="4F1C18CD" w14:textId="77777777" w:rsidR="00A72679" w:rsidRPr="00457250" w:rsidRDefault="00BE7CB1" w:rsidP="00F64BF9">
      <w:pPr>
        <w:keepNext/>
        <w:spacing w:line="240" w:lineRule="auto"/>
        <w:rPr>
          <w:b/>
          <w:bCs/>
        </w:rPr>
      </w:pPr>
      <w:r>
        <w:rPr>
          <w:b/>
        </w:rPr>
        <w:t>Hlásenie vedľajších účinkov</w:t>
      </w:r>
    </w:p>
    <w:p w14:paraId="03F044FF" w14:textId="77777777" w:rsidR="00A72679" w:rsidRPr="00457250" w:rsidRDefault="00BE7CB1" w:rsidP="00F64BF9">
      <w:pPr>
        <w:spacing w:line="240" w:lineRule="auto"/>
      </w:pPr>
      <w: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457250">
        <w:rPr>
          <w:highlight w:val="lightGray"/>
        </w:rPr>
        <w:t xml:space="preserve">národné centrum hlásenia uvedené v </w:t>
      </w:r>
      <w:hyperlink r:id="rId14" w:history="1">
        <w:r>
          <w:rPr>
            <w:rStyle w:val="Hyperlink"/>
            <w:highlight w:val="lightGray"/>
          </w:rPr>
          <w:t>Prílohe V</w:t>
        </w:r>
      </w:hyperlink>
      <w:r>
        <w:t>. Hlásením vedľajších účinkov môžete prispieť k získaniu ďalších informácií o bezpečnosti tohto lieku.</w:t>
      </w:r>
    </w:p>
    <w:p w14:paraId="339399EB" w14:textId="77777777" w:rsidR="008D35AD" w:rsidRPr="00457250" w:rsidRDefault="008D35AD" w:rsidP="00F64BF9">
      <w:pPr>
        <w:spacing w:line="240" w:lineRule="auto"/>
      </w:pPr>
    </w:p>
    <w:p w14:paraId="40849773" w14:textId="77777777" w:rsidR="003003A4" w:rsidRPr="00F37D4D" w:rsidRDefault="003003A4" w:rsidP="00F64BF9">
      <w:pPr>
        <w:autoSpaceDE w:val="0"/>
        <w:autoSpaceDN w:val="0"/>
        <w:adjustRightInd w:val="0"/>
        <w:spacing w:line="240" w:lineRule="auto"/>
        <w:rPr>
          <w:szCs w:val="22"/>
        </w:rPr>
      </w:pPr>
    </w:p>
    <w:p w14:paraId="39B2F0C4" w14:textId="77777777" w:rsidR="003003A4" w:rsidRPr="00457250" w:rsidRDefault="00BE7CB1" w:rsidP="0033150F">
      <w:pPr>
        <w:pStyle w:val="ListParagraph"/>
        <w:keepNext/>
        <w:numPr>
          <w:ilvl w:val="0"/>
          <w:numId w:val="21"/>
        </w:numPr>
        <w:ind w:left="567" w:hanging="567"/>
        <w:rPr>
          <w:b/>
          <w:bCs/>
        </w:rPr>
      </w:pPr>
      <w:r>
        <w:rPr>
          <w:b/>
        </w:rPr>
        <w:t>Ako uchovávať Alymsys</w:t>
      </w:r>
    </w:p>
    <w:p w14:paraId="20CB6ED0" w14:textId="77777777" w:rsidR="009B6496" w:rsidRPr="00F37D4D" w:rsidRDefault="009B6496" w:rsidP="00F64BF9">
      <w:pPr>
        <w:keepNext/>
        <w:spacing w:line="240" w:lineRule="auto"/>
        <w:rPr>
          <w:szCs w:val="22"/>
        </w:rPr>
      </w:pPr>
    </w:p>
    <w:p w14:paraId="3766F2B6" w14:textId="77777777" w:rsidR="00A72679" w:rsidRPr="00F37D4D" w:rsidRDefault="00BE7CB1" w:rsidP="00F64BF9">
      <w:pPr>
        <w:spacing w:line="240" w:lineRule="auto"/>
        <w:rPr>
          <w:szCs w:val="22"/>
        </w:rPr>
      </w:pPr>
      <w:r>
        <w:t>Tento liek uchovávajte mimo dohľadu a dosahu detí.</w:t>
      </w:r>
    </w:p>
    <w:p w14:paraId="0379FF18" w14:textId="77777777" w:rsidR="00A72679" w:rsidRPr="00F37D4D" w:rsidRDefault="00A72679" w:rsidP="00F64BF9">
      <w:pPr>
        <w:spacing w:line="240" w:lineRule="auto"/>
        <w:rPr>
          <w:szCs w:val="22"/>
        </w:rPr>
      </w:pPr>
    </w:p>
    <w:p w14:paraId="7A3C006D" w14:textId="77777777" w:rsidR="00A72679" w:rsidRPr="00F37D4D" w:rsidRDefault="00BE7CB1" w:rsidP="00F64BF9">
      <w:pPr>
        <w:spacing w:line="240" w:lineRule="auto"/>
        <w:rPr>
          <w:szCs w:val="22"/>
        </w:rPr>
      </w:pPr>
      <w:r>
        <w:t>Nepoužívajte tento liek po dátume exspirácie, ktorý je uvedený na škatuli a na štítku injekčnej liekovky po EXP. Dátum exspirácie sa vzťahuje na posledný deň v danom mesiaci.</w:t>
      </w:r>
    </w:p>
    <w:p w14:paraId="6AE94517" w14:textId="77777777" w:rsidR="00A72679" w:rsidRPr="00F37D4D" w:rsidRDefault="00A72679" w:rsidP="00F64BF9">
      <w:pPr>
        <w:spacing w:line="240" w:lineRule="auto"/>
        <w:rPr>
          <w:szCs w:val="22"/>
        </w:rPr>
      </w:pPr>
    </w:p>
    <w:p w14:paraId="120C67FD" w14:textId="77777777" w:rsidR="00A72679" w:rsidRPr="00F37D4D" w:rsidRDefault="00BE7CB1" w:rsidP="00F64BF9">
      <w:pPr>
        <w:spacing w:line="240" w:lineRule="auto"/>
        <w:rPr>
          <w:szCs w:val="22"/>
        </w:rPr>
      </w:pPr>
      <w:r>
        <w:t>Uchovávajte v chladničke (2 °C – 8 °C). Neuchovávajte v mrazničke.</w:t>
      </w:r>
    </w:p>
    <w:p w14:paraId="00FE064B" w14:textId="77777777" w:rsidR="00A72679" w:rsidRPr="00F37D4D" w:rsidRDefault="00BE7CB1" w:rsidP="00F64BF9">
      <w:pPr>
        <w:spacing w:line="240" w:lineRule="auto"/>
        <w:rPr>
          <w:szCs w:val="22"/>
        </w:rPr>
      </w:pPr>
      <w:r>
        <w:t>Injekčnú liekovku uchovávajte vo vonkajšom obale na ochranu pred svetlom.</w:t>
      </w:r>
    </w:p>
    <w:p w14:paraId="2C441342" w14:textId="77777777" w:rsidR="00A72679" w:rsidRPr="00F37D4D" w:rsidRDefault="00A72679" w:rsidP="00F64BF9">
      <w:pPr>
        <w:spacing w:line="240" w:lineRule="auto"/>
        <w:rPr>
          <w:szCs w:val="22"/>
        </w:rPr>
      </w:pPr>
    </w:p>
    <w:p w14:paraId="29405B2B" w14:textId="02605EF8" w:rsidR="00955010" w:rsidRDefault="00BE7CB1" w:rsidP="00F64BF9">
      <w:pPr>
        <w:spacing w:line="240" w:lineRule="auto"/>
      </w:pPr>
      <w:r>
        <w:t xml:space="preserve">Infúzne roztoky sa majú použiť ihneď po zriedení. </w:t>
      </w:r>
      <w:r w:rsidR="00D15BC7" w:rsidRPr="00D15BC7">
        <w:t xml:space="preserve">Ak </w:t>
      </w:r>
      <w:r w:rsidR="00D15BC7">
        <w:t>sa nepoužijú okamžite, za čas a </w:t>
      </w:r>
      <w:r w:rsidR="00D15BC7" w:rsidRPr="00D15BC7">
        <w:t>podmienky uchovávania počas po</w:t>
      </w:r>
      <w:r w:rsidR="00D15BC7">
        <w:t>užívania zodpovedá používateľ a </w:t>
      </w:r>
      <w:r w:rsidR="00D15BC7" w:rsidRPr="00D15BC7">
        <w:t>za normálnych okolnost</w:t>
      </w:r>
      <w:r w:rsidR="00D15BC7">
        <w:t>í by čas nemal byť dlhší ako 24 hodín pri teplote od 2 °C do 8 °C</w:t>
      </w:r>
      <w:r w:rsidR="00D15BC7" w:rsidRPr="00D15BC7">
        <w:t>, pokiaľ nebo</w:t>
      </w:r>
      <w:r w:rsidR="00D15BC7">
        <w:t>li infúzne roztoky pripravené v </w:t>
      </w:r>
      <w:r w:rsidR="00D15BC7" w:rsidRPr="00D15BC7">
        <w:t>sterilnom prostred</w:t>
      </w:r>
      <w:r w:rsidR="00D15BC7">
        <w:t xml:space="preserve">í. Ak sa </w:t>
      </w:r>
      <w:r w:rsidR="004961D9">
        <w:t>na</w:t>
      </w:r>
      <w:r w:rsidR="00D15BC7">
        <w:t>riedenie uskutočnilo v </w:t>
      </w:r>
      <w:r w:rsidR="00D15BC7" w:rsidRPr="00D15BC7">
        <w:t>sterilnom prostredí, A</w:t>
      </w:r>
      <w:r w:rsidR="00D15BC7">
        <w:t xml:space="preserve">lymsys je </w:t>
      </w:r>
      <w:r w:rsidR="00901C8B">
        <w:t>po nariedení</w:t>
      </w:r>
      <w:r w:rsidR="00901C8B" w:rsidRPr="00D15BC7">
        <w:t xml:space="preserve"> </w:t>
      </w:r>
      <w:r w:rsidR="00D15BC7">
        <w:t>stabilný</w:t>
      </w:r>
      <w:r w:rsidR="004961D9">
        <w:t xml:space="preserve"> po dobu</w:t>
      </w:r>
      <w:r w:rsidR="00D15BC7">
        <w:t xml:space="preserve"> 30 dní pri teplote od 2 °C do 8 </w:t>
      </w:r>
      <w:r w:rsidR="00D15BC7" w:rsidRPr="00D15BC7">
        <w:t>°C</w:t>
      </w:r>
      <w:r w:rsidR="004961D9" w:rsidRPr="004961D9">
        <w:t xml:space="preserve"> </w:t>
      </w:r>
      <w:r w:rsidR="00955010">
        <w:t>a </w:t>
      </w:r>
      <w:r w:rsidR="004961D9">
        <w:t xml:space="preserve">po dobu </w:t>
      </w:r>
      <w:r w:rsidR="00D15BC7">
        <w:t>48 </w:t>
      </w:r>
      <w:r w:rsidR="00D15BC7" w:rsidRPr="00D15BC7">
        <w:t>hodín pri teplot</w:t>
      </w:r>
      <w:r w:rsidR="00D15BC7">
        <w:t>ách neprevyšujúcich 30 °C</w:t>
      </w:r>
      <w:r w:rsidR="00D15BC7" w:rsidRPr="00D15BC7">
        <w:t>.</w:t>
      </w:r>
    </w:p>
    <w:p w14:paraId="15D1A264" w14:textId="77777777" w:rsidR="00955010" w:rsidRDefault="00955010" w:rsidP="00F64BF9">
      <w:pPr>
        <w:spacing w:line="240" w:lineRule="auto"/>
      </w:pPr>
    </w:p>
    <w:p w14:paraId="4AA3A4AB" w14:textId="2D6B9D07" w:rsidR="00A72679" w:rsidRPr="00F37D4D" w:rsidRDefault="00BE7CB1" w:rsidP="00F64BF9">
      <w:pPr>
        <w:spacing w:line="240" w:lineRule="auto"/>
        <w:rPr>
          <w:szCs w:val="22"/>
        </w:rPr>
      </w:pPr>
      <w:r>
        <w:t>Alymsys nepoužívajte, ak pred podaním zistíte prítomnosť cudzorodých častíc alebo zmenu sfarbenia.</w:t>
      </w:r>
    </w:p>
    <w:p w14:paraId="02F1035D" w14:textId="77777777" w:rsidR="00A72679" w:rsidRPr="00F37D4D" w:rsidRDefault="00A72679" w:rsidP="00F64BF9">
      <w:pPr>
        <w:spacing w:line="240" w:lineRule="auto"/>
        <w:rPr>
          <w:szCs w:val="22"/>
        </w:rPr>
      </w:pPr>
    </w:p>
    <w:p w14:paraId="731AAA4C" w14:textId="77777777" w:rsidR="00A72679" w:rsidRPr="00F37D4D" w:rsidRDefault="00BE7CB1" w:rsidP="00F64BF9">
      <w:pPr>
        <w:spacing w:line="240" w:lineRule="auto"/>
        <w:rPr>
          <w:szCs w:val="22"/>
        </w:rPr>
      </w:pPr>
      <w:r>
        <w:t>Nelikvidujte lieky odpadovou vodou alebo domovým odpadom. Nepoužitý liek vráťte do lekárne. Tieto opatrenia prispievajú k ochrane životného prostredia.</w:t>
      </w:r>
    </w:p>
    <w:p w14:paraId="6104298F" w14:textId="77777777" w:rsidR="009B6496" w:rsidRPr="00F37D4D" w:rsidRDefault="009B6496" w:rsidP="00F64BF9">
      <w:pPr>
        <w:spacing w:line="240" w:lineRule="auto"/>
        <w:rPr>
          <w:szCs w:val="22"/>
        </w:rPr>
      </w:pPr>
    </w:p>
    <w:p w14:paraId="77BB3EC5" w14:textId="77777777" w:rsidR="003003A4" w:rsidRPr="00F37D4D" w:rsidRDefault="003003A4" w:rsidP="00F64BF9">
      <w:pPr>
        <w:spacing w:line="240" w:lineRule="auto"/>
        <w:rPr>
          <w:szCs w:val="22"/>
        </w:rPr>
      </w:pPr>
    </w:p>
    <w:p w14:paraId="6563F404" w14:textId="77777777" w:rsidR="003003A4" w:rsidRPr="00457250" w:rsidRDefault="00BE7CB1" w:rsidP="0033150F">
      <w:pPr>
        <w:pStyle w:val="ListParagraph"/>
        <w:keepNext/>
        <w:numPr>
          <w:ilvl w:val="0"/>
          <w:numId w:val="21"/>
        </w:numPr>
        <w:ind w:left="567" w:hanging="567"/>
        <w:rPr>
          <w:b/>
          <w:bCs/>
        </w:rPr>
      </w:pPr>
      <w:r>
        <w:rPr>
          <w:b/>
        </w:rPr>
        <w:t>Obsah balenia a ďalšie informácie</w:t>
      </w:r>
    </w:p>
    <w:p w14:paraId="46951F62" w14:textId="77777777" w:rsidR="009B6496" w:rsidRPr="00F37D4D" w:rsidRDefault="009B6496" w:rsidP="00F64BF9">
      <w:pPr>
        <w:keepNext/>
        <w:numPr>
          <w:ilvl w:val="12"/>
          <w:numId w:val="0"/>
        </w:numPr>
        <w:tabs>
          <w:tab w:val="clear" w:pos="567"/>
        </w:tabs>
        <w:spacing w:line="240" w:lineRule="auto"/>
      </w:pPr>
    </w:p>
    <w:p w14:paraId="61E1DBF3" w14:textId="77777777" w:rsidR="00A72679" w:rsidRPr="00457250" w:rsidRDefault="00BE7CB1" w:rsidP="00F64BF9">
      <w:pPr>
        <w:keepNext/>
        <w:spacing w:line="240" w:lineRule="auto"/>
        <w:rPr>
          <w:b/>
          <w:bCs/>
        </w:rPr>
      </w:pPr>
      <w:r>
        <w:rPr>
          <w:b/>
        </w:rPr>
        <w:t>Čo Alymsys obsahuje</w:t>
      </w:r>
    </w:p>
    <w:p w14:paraId="30BFE1F4" w14:textId="28E38E83" w:rsidR="00A72679" w:rsidRPr="00F37D4D" w:rsidRDefault="00BE7CB1" w:rsidP="0033150F">
      <w:pPr>
        <w:pStyle w:val="ListParagraph"/>
        <w:numPr>
          <w:ilvl w:val="0"/>
          <w:numId w:val="38"/>
        </w:numPr>
        <w:ind w:left="567" w:hanging="567"/>
      </w:pPr>
      <w:r>
        <w:rPr>
          <w:spacing w:val="-1"/>
        </w:rPr>
        <w:t>Liečivo je bevacizumab. Každý ml koncentrátu obsahuje 25 mg bevacizumabu, čo zodpovedá 1,4 mg/ml a</w:t>
      </w:r>
      <w:r w:rsidR="00970505">
        <w:rPr>
          <w:spacing w:val="-1"/>
        </w:rPr>
        <w:t>ž</w:t>
      </w:r>
      <w:r>
        <w:rPr>
          <w:spacing w:val="-1"/>
        </w:rPr>
        <w:t xml:space="preserve"> 16,5 mg/ml po zriedení podľa odporúčania.</w:t>
      </w:r>
    </w:p>
    <w:p w14:paraId="4C4C1DF7" w14:textId="77777777" w:rsidR="00A72679" w:rsidRPr="00F37D4D" w:rsidRDefault="00BE7CB1" w:rsidP="0033150F">
      <w:pPr>
        <w:pStyle w:val="ListParagraph"/>
        <w:numPr>
          <w:ilvl w:val="0"/>
          <w:numId w:val="38"/>
        </w:numPr>
        <w:ind w:left="567" w:hanging="567"/>
      </w:pPr>
      <w:r>
        <w:rPr>
          <w:spacing w:val="-1"/>
        </w:rPr>
        <w:t>Každá 4 ml injekčná liekovka obsahuje 100 mg bevacizumabu, čo zodpovedá 1,4 mg/ml po zriedení podľa odporúčania.</w:t>
      </w:r>
    </w:p>
    <w:p w14:paraId="1F265BC8" w14:textId="77777777" w:rsidR="00A72679" w:rsidRPr="00F37D4D" w:rsidRDefault="00BE7CB1" w:rsidP="0033150F">
      <w:pPr>
        <w:pStyle w:val="ListParagraph"/>
        <w:numPr>
          <w:ilvl w:val="0"/>
          <w:numId w:val="38"/>
        </w:numPr>
        <w:ind w:left="567" w:hanging="567"/>
      </w:pPr>
      <w:r>
        <w:rPr>
          <w:spacing w:val="-1"/>
        </w:rPr>
        <w:t xml:space="preserve">Každá 16 ml injekčná liekovka obsahuje 400 mg bevacizumabu, čo zodpovedá 16,5 mg/ml po </w:t>
      </w:r>
      <w:r>
        <w:rPr>
          <w:spacing w:val="-1"/>
        </w:rPr>
        <w:lastRenderedPageBreak/>
        <w:t>zriedení podľa odporúčania.</w:t>
      </w:r>
    </w:p>
    <w:p w14:paraId="1D9BD356" w14:textId="743B0E6D" w:rsidR="00A72679" w:rsidRPr="00F37D4D" w:rsidRDefault="00BE7CB1" w:rsidP="001019FC">
      <w:pPr>
        <w:pStyle w:val="ListParagraph"/>
        <w:numPr>
          <w:ilvl w:val="0"/>
          <w:numId w:val="38"/>
        </w:numPr>
        <w:ind w:left="567" w:hanging="567"/>
      </w:pPr>
      <w:r w:rsidRPr="001019FC">
        <w:rPr>
          <w:spacing w:val="2"/>
        </w:rPr>
        <w:t xml:space="preserve">Ďalšie zložky sú dihydrát trehalózy, </w:t>
      </w:r>
      <w:r w:rsidR="001019FC" w:rsidRPr="00F74068">
        <w:t xml:space="preserve">monohydrát </w:t>
      </w:r>
      <w:r w:rsidR="001019FC">
        <w:t>dihydrogen</w:t>
      </w:r>
      <w:r w:rsidR="001019FC" w:rsidRPr="00596761">
        <w:t>fosforečnanu</w:t>
      </w:r>
      <w:r w:rsidR="001019FC" w:rsidRPr="00F74068">
        <w:t xml:space="preserve"> sodného</w:t>
      </w:r>
      <w:r w:rsidRPr="001019FC">
        <w:rPr>
          <w:spacing w:val="2"/>
        </w:rPr>
        <w:t xml:space="preserve">, </w:t>
      </w:r>
      <w:r w:rsidR="00A9271A" w:rsidRPr="001019FC">
        <w:rPr>
          <w:spacing w:val="2"/>
        </w:rPr>
        <w:t>hydrogen</w:t>
      </w:r>
      <w:r w:rsidR="00946D5B" w:rsidRPr="001019FC">
        <w:rPr>
          <w:spacing w:val="2"/>
        </w:rPr>
        <w:t xml:space="preserve">fosforečnan sodný, </w:t>
      </w:r>
      <w:r w:rsidRPr="001019FC">
        <w:rPr>
          <w:spacing w:val="2"/>
        </w:rPr>
        <w:t>polysorbát 20</w:t>
      </w:r>
      <w:r w:rsidR="00FC4E5D">
        <w:rPr>
          <w:spacing w:val="2"/>
        </w:rPr>
        <w:t xml:space="preserve"> (E 432)</w:t>
      </w:r>
      <w:r w:rsidRPr="001019FC">
        <w:rPr>
          <w:spacing w:val="2"/>
        </w:rPr>
        <w:t xml:space="preserve"> a voda na injekcie (pozri časť 2 „Alymsys obsahuje sodík</w:t>
      </w:r>
      <w:r w:rsidR="00FC4E5D">
        <w:rPr>
          <w:spacing w:val="2"/>
        </w:rPr>
        <w:t xml:space="preserve"> </w:t>
      </w:r>
      <w:r w:rsidR="00FC4E5D" w:rsidRPr="00FC4E5D">
        <w:rPr>
          <w:spacing w:val="2"/>
        </w:rPr>
        <w:t>a polysorbát 20</w:t>
      </w:r>
      <w:r w:rsidRPr="001019FC">
        <w:rPr>
          <w:spacing w:val="2"/>
        </w:rPr>
        <w:t>“).</w:t>
      </w:r>
    </w:p>
    <w:p w14:paraId="7E074F3F" w14:textId="77777777" w:rsidR="00A72679" w:rsidRPr="00457250" w:rsidRDefault="00A72679" w:rsidP="00F64BF9">
      <w:pPr>
        <w:spacing w:line="240" w:lineRule="auto"/>
      </w:pPr>
    </w:p>
    <w:p w14:paraId="79782F40" w14:textId="77777777" w:rsidR="00A72679" w:rsidRPr="00457250" w:rsidRDefault="00BE7CB1" w:rsidP="00F64BF9">
      <w:pPr>
        <w:keepNext/>
        <w:spacing w:line="240" w:lineRule="auto"/>
        <w:rPr>
          <w:b/>
          <w:bCs/>
        </w:rPr>
      </w:pPr>
      <w:r>
        <w:rPr>
          <w:b/>
        </w:rPr>
        <w:t>Ako vyzerá Alymsys a obsah balenia</w:t>
      </w:r>
    </w:p>
    <w:p w14:paraId="12B9A4C3" w14:textId="77777777" w:rsidR="00A72679" w:rsidRPr="00F37D4D" w:rsidRDefault="00BE7CB1" w:rsidP="00F64BF9">
      <w:pPr>
        <w:numPr>
          <w:ilvl w:val="12"/>
          <w:numId w:val="0"/>
        </w:numPr>
        <w:tabs>
          <w:tab w:val="clear" w:pos="567"/>
        </w:tabs>
        <w:spacing w:line="240" w:lineRule="auto"/>
      </w:pPr>
      <w:r>
        <w:t>Alymsys je koncentrát na infúzny roztok (sterilný koncentrát). Koncentrát je bezfarebný až žltkastý alebo hnedastý roztok s opalescenciou v sklenej injekčnej liekovke s gumovou zátkou. Každá injekčná liekovka obsahuje 100 mg bevacizumabu v 4 ml roztoku alebo 400 mg bevacizumabu v 16 ml roztoku. Každé balenie Alymsysu obsahuje jednu injekčnú liekovku.</w:t>
      </w:r>
    </w:p>
    <w:p w14:paraId="76F27FB7" w14:textId="77777777" w:rsidR="00A72679" w:rsidRPr="00F37D4D" w:rsidRDefault="00A72679" w:rsidP="00F64BF9">
      <w:pPr>
        <w:numPr>
          <w:ilvl w:val="12"/>
          <w:numId w:val="0"/>
        </w:numPr>
        <w:tabs>
          <w:tab w:val="clear" w:pos="567"/>
        </w:tabs>
        <w:spacing w:line="240" w:lineRule="auto"/>
      </w:pPr>
    </w:p>
    <w:p w14:paraId="501A7622" w14:textId="77777777" w:rsidR="00A72679" w:rsidRPr="00457250" w:rsidRDefault="00BE7CB1" w:rsidP="00F64BF9">
      <w:pPr>
        <w:keepNext/>
        <w:spacing w:line="240" w:lineRule="auto"/>
        <w:rPr>
          <w:b/>
          <w:bCs/>
        </w:rPr>
      </w:pPr>
      <w:r>
        <w:rPr>
          <w:b/>
        </w:rPr>
        <w:t xml:space="preserve">Držiteľ rozhodnutia o registrácii </w:t>
      </w:r>
    </w:p>
    <w:p w14:paraId="2232CA80" w14:textId="77777777" w:rsidR="00467399" w:rsidRPr="00F37D4D" w:rsidRDefault="00BE7CB1" w:rsidP="00F64BF9">
      <w:pPr>
        <w:spacing w:line="240" w:lineRule="auto"/>
      </w:pPr>
      <w:r>
        <w:t>Mabxience Research SL</w:t>
      </w:r>
    </w:p>
    <w:p w14:paraId="118F434E" w14:textId="7C504C83" w:rsidR="00467399" w:rsidRPr="005973AB" w:rsidRDefault="00BE7CB1" w:rsidP="00F64BF9">
      <w:pPr>
        <w:spacing w:line="240" w:lineRule="auto"/>
      </w:pPr>
      <w:r>
        <w:t>C/ Manuel Pombo Angulo 28</w:t>
      </w:r>
    </w:p>
    <w:p w14:paraId="4015C0A8" w14:textId="77777777" w:rsidR="00467399" w:rsidRPr="005973AB" w:rsidRDefault="00BE7CB1" w:rsidP="00F64BF9">
      <w:pPr>
        <w:spacing w:line="240" w:lineRule="auto"/>
      </w:pPr>
      <w:r>
        <w:t>28050 Madrid</w:t>
      </w:r>
    </w:p>
    <w:p w14:paraId="1D8CC526" w14:textId="77777777" w:rsidR="00A72679" w:rsidRPr="005973AB" w:rsidRDefault="00BE7CB1" w:rsidP="00F64BF9">
      <w:pPr>
        <w:spacing w:line="240" w:lineRule="auto"/>
      </w:pPr>
      <w:r>
        <w:t>Španielsko</w:t>
      </w:r>
    </w:p>
    <w:p w14:paraId="3C740DA9" w14:textId="77777777" w:rsidR="00A72679" w:rsidRPr="005973AB" w:rsidRDefault="00A72679" w:rsidP="00F64BF9">
      <w:pPr>
        <w:numPr>
          <w:ilvl w:val="12"/>
          <w:numId w:val="0"/>
        </w:numPr>
        <w:tabs>
          <w:tab w:val="clear" w:pos="567"/>
        </w:tabs>
        <w:spacing w:line="240" w:lineRule="auto"/>
        <w:ind w:right="-2"/>
        <w:rPr>
          <w:szCs w:val="22"/>
        </w:rPr>
      </w:pPr>
    </w:p>
    <w:p w14:paraId="4B3CD17A" w14:textId="77777777" w:rsidR="00A72679" w:rsidRPr="005973AB" w:rsidRDefault="00BE7CB1" w:rsidP="00F64BF9">
      <w:pPr>
        <w:keepNext/>
        <w:spacing w:line="240" w:lineRule="auto"/>
        <w:rPr>
          <w:b/>
          <w:bCs/>
          <w:szCs w:val="22"/>
        </w:rPr>
      </w:pPr>
      <w:r>
        <w:rPr>
          <w:b/>
        </w:rPr>
        <w:t>Výrobca</w:t>
      </w:r>
    </w:p>
    <w:p w14:paraId="773D214A" w14:textId="77777777" w:rsidR="00E0291E" w:rsidRPr="005973AB" w:rsidRDefault="00BE7CB1" w:rsidP="00F64BF9">
      <w:pPr>
        <w:spacing w:line="240" w:lineRule="auto"/>
      </w:pPr>
      <w:r>
        <w:t>GH GENHELIX S.A.</w:t>
      </w:r>
    </w:p>
    <w:p w14:paraId="7F330A44" w14:textId="77777777" w:rsidR="00E0291E" w:rsidRPr="005973AB" w:rsidRDefault="00BE7CB1" w:rsidP="00F64BF9">
      <w:pPr>
        <w:spacing w:line="240" w:lineRule="auto"/>
      </w:pPr>
      <w:r>
        <w:t>Parque Tecnológico de León</w:t>
      </w:r>
    </w:p>
    <w:p w14:paraId="641DD29B" w14:textId="77777777" w:rsidR="00E0291E" w:rsidRPr="005973AB" w:rsidRDefault="00BE7CB1" w:rsidP="00F64BF9">
      <w:pPr>
        <w:spacing w:line="240" w:lineRule="auto"/>
      </w:pPr>
      <w:r>
        <w:t>Edifício GENHELIX</w:t>
      </w:r>
    </w:p>
    <w:p w14:paraId="6725608B" w14:textId="77777777" w:rsidR="00E0291E" w:rsidRPr="005973AB" w:rsidRDefault="00BE7CB1" w:rsidP="00F64BF9">
      <w:pPr>
        <w:spacing w:line="240" w:lineRule="auto"/>
      </w:pPr>
      <w:r>
        <w:t>C/Julia Morros, s/n</w:t>
      </w:r>
    </w:p>
    <w:p w14:paraId="1FF5A557" w14:textId="77777777" w:rsidR="00A72679" w:rsidRPr="005973AB" w:rsidRDefault="00BE7CB1" w:rsidP="00F64BF9">
      <w:pPr>
        <w:spacing w:line="240" w:lineRule="auto"/>
      </w:pPr>
      <w:r>
        <w:t>Armunia, 24009 León, Španielsko</w:t>
      </w:r>
    </w:p>
    <w:p w14:paraId="2DD4C336" w14:textId="77777777" w:rsidR="009B6496" w:rsidRPr="005973AB" w:rsidRDefault="009B6496" w:rsidP="00F64BF9">
      <w:pPr>
        <w:spacing w:line="240" w:lineRule="auto"/>
        <w:rPr>
          <w:szCs w:val="22"/>
        </w:rPr>
      </w:pPr>
    </w:p>
    <w:p w14:paraId="5651C8D4" w14:textId="77777777" w:rsidR="004272BB" w:rsidRDefault="00BE7CB1" w:rsidP="00F64BF9">
      <w:pPr>
        <w:keepNext/>
        <w:spacing w:line="240" w:lineRule="auto"/>
      </w:pPr>
      <w:r>
        <w:t>Ak potrebujete akúkoľvek informáciu o tomto lieku, kontaktujte miestneho zástupcu držiteľa rozhodnutia o registrácii:</w:t>
      </w:r>
    </w:p>
    <w:p w14:paraId="1A926188" w14:textId="77777777" w:rsidR="006E2147" w:rsidRDefault="006E2147" w:rsidP="00F64BF9">
      <w:pPr>
        <w:keepNext/>
        <w:spacing w:line="240" w:lineRule="auto"/>
      </w:pPr>
    </w:p>
    <w:tbl>
      <w:tblPr>
        <w:tblW w:w="9075" w:type="dxa"/>
        <w:tblLayout w:type="fixed"/>
        <w:tblCellMar>
          <w:left w:w="0" w:type="dxa"/>
        </w:tblCellMar>
        <w:tblLook w:val="04A0" w:firstRow="1" w:lastRow="0" w:firstColumn="1" w:lastColumn="0" w:noHBand="0" w:noVBand="1"/>
      </w:tblPr>
      <w:tblGrid>
        <w:gridCol w:w="4537"/>
        <w:gridCol w:w="4538"/>
      </w:tblGrid>
      <w:tr w:rsidR="006E2147" w:rsidRPr="006E2147" w14:paraId="4D030F02" w14:textId="77777777" w:rsidTr="006E2147">
        <w:trPr>
          <w:cantSplit/>
          <w:trHeight w:val="20"/>
        </w:trPr>
        <w:tc>
          <w:tcPr>
            <w:tcW w:w="4535" w:type="dxa"/>
          </w:tcPr>
          <w:p w14:paraId="7CB46330" w14:textId="77777777" w:rsidR="006E2147" w:rsidRDefault="006E2147">
            <w:pPr>
              <w:rPr>
                <w:color w:val="000000"/>
                <w:lang w:val="fr-FR"/>
              </w:rPr>
            </w:pPr>
            <w:proofErr w:type="spellStart"/>
            <w:r>
              <w:rPr>
                <w:b/>
                <w:color w:val="000000"/>
                <w:lang w:val="fr-FR"/>
              </w:rPr>
              <w:t>België</w:t>
            </w:r>
            <w:proofErr w:type="spellEnd"/>
            <w:r>
              <w:rPr>
                <w:b/>
                <w:color w:val="000000"/>
                <w:lang w:val="fr-FR"/>
              </w:rPr>
              <w:t>/Belgique/</w:t>
            </w:r>
            <w:proofErr w:type="spellStart"/>
            <w:r>
              <w:rPr>
                <w:b/>
                <w:color w:val="000000"/>
                <w:lang w:val="fr-FR"/>
              </w:rPr>
              <w:t>Belgien</w:t>
            </w:r>
            <w:proofErr w:type="spellEnd"/>
          </w:p>
          <w:p w14:paraId="2F4E1EE7" w14:textId="77777777" w:rsidR="006E2147" w:rsidRDefault="006E2147">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63043E23" w14:textId="77777777" w:rsidR="006E2147" w:rsidRPr="00D13473" w:rsidRDefault="006E2147">
            <w:pPr>
              <w:rPr>
                <w:color w:val="000000"/>
                <w:lang w:val="fr-FR"/>
              </w:rPr>
            </w:pPr>
            <w:r>
              <w:rPr>
                <w:color w:val="000000"/>
              </w:rPr>
              <w:t>Tél/Tel: +34 917 711 500</w:t>
            </w:r>
          </w:p>
          <w:p w14:paraId="34D0A3BA" w14:textId="77777777" w:rsidR="006E2147" w:rsidRDefault="006E2147">
            <w:pPr>
              <w:rPr>
                <w:color w:val="000000"/>
              </w:rPr>
            </w:pPr>
          </w:p>
        </w:tc>
        <w:tc>
          <w:tcPr>
            <w:tcW w:w="4535" w:type="dxa"/>
          </w:tcPr>
          <w:p w14:paraId="4325D656" w14:textId="77777777" w:rsidR="006E2147" w:rsidRDefault="006E2147">
            <w:pPr>
              <w:autoSpaceDE w:val="0"/>
              <w:autoSpaceDN w:val="0"/>
              <w:adjustRightInd w:val="0"/>
              <w:rPr>
                <w:color w:val="000000"/>
                <w:lang w:val="pt-BR"/>
              </w:rPr>
            </w:pPr>
            <w:r>
              <w:rPr>
                <w:b/>
                <w:color w:val="000000"/>
                <w:lang w:val="pt-BR"/>
              </w:rPr>
              <w:t>Lietuva</w:t>
            </w:r>
          </w:p>
          <w:p w14:paraId="1D9C6AD3" w14:textId="77777777" w:rsidR="006E2147" w:rsidRDefault="006E2147">
            <w:pPr>
              <w:autoSpaceDE w:val="0"/>
              <w:autoSpaceDN w:val="0"/>
              <w:adjustRightInd w:val="0"/>
              <w:rPr>
                <w:color w:val="000000"/>
                <w:lang w:val="pt-BR"/>
              </w:rPr>
            </w:pPr>
            <w:r>
              <w:rPr>
                <w:color w:val="000000"/>
                <w:lang w:val="pt-BR"/>
              </w:rPr>
              <w:t>Zentiva, k.s.</w:t>
            </w:r>
          </w:p>
          <w:p w14:paraId="14BAE25E" w14:textId="77777777" w:rsidR="006E2147" w:rsidRDefault="006E2147">
            <w:pPr>
              <w:autoSpaceDE w:val="0"/>
              <w:autoSpaceDN w:val="0"/>
              <w:adjustRightInd w:val="0"/>
              <w:rPr>
                <w:color w:val="000000"/>
                <w:lang w:val="pt-BR"/>
              </w:rPr>
            </w:pPr>
            <w:r>
              <w:rPr>
                <w:color w:val="000000"/>
                <w:lang w:val="pt-BR"/>
              </w:rPr>
              <w:t>Tel: +370 52152025</w:t>
            </w:r>
          </w:p>
          <w:p w14:paraId="608AEF16" w14:textId="77777777" w:rsidR="006E2147" w:rsidRDefault="006E2147">
            <w:pPr>
              <w:autoSpaceDE w:val="0"/>
              <w:autoSpaceDN w:val="0"/>
              <w:adjustRightInd w:val="0"/>
              <w:rPr>
                <w:color w:val="000000"/>
                <w:lang w:val="pt-BR"/>
              </w:rPr>
            </w:pPr>
          </w:p>
        </w:tc>
      </w:tr>
      <w:tr w:rsidR="006E2147" w14:paraId="405BB967" w14:textId="77777777" w:rsidTr="006E2147">
        <w:trPr>
          <w:cantSplit/>
          <w:trHeight w:val="20"/>
        </w:trPr>
        <w:tc>
          <w:tcPr>
            <w:tcW w:w="4535" w:type="dxa"/>
          </w:tcPr>
          <w:p w14:paraId="0963AEC6" w14:textId="77777777" w:rsidR="006E2147" w:rsidRPr="00D13473" w:rsidRDefault="006E2147">
            <w:pPr>
              <w:autoSpaceDE w:val="0"/>
              <w:autoSpaceDN w:val="0"/>
              <w:adjustRightInd w:val="0"/>
              <w:rPr>
                <w:b/>
                <w:bCs/>
                <w:color w:val="000000"/>
              </w:rPr>
            </w:pPr>
            <w:r>
              <w:rPr>
                <w:b/>
                <w:bCs/>
                <w:color w:val="000000"/>
              </w:rPr>
              <w:t>България</w:t>
            </w:r>
          </w:p>
          <w:p w14:paraId="50349CBF" w14:textId="77777777" w:rsidR="006E2147" w:rsidRPr="00D13473" w:rsidRDefault="006E2147">
            <w:pPr>
              <w:autoSpaceDE w:val="0"/>
              <w:autoSpaceDN w:val="0"/>
              <w:adjustRightInd w:val="0"/>
              <w:rPr>
                <w:color w:val="000000"/>
              </w:rPr>
            </w:pPr>
            <w:r w:rsidRPr="00D13473">
              <w:rPr>
                <w:color w:val="000000"/>
              </w:rPr>
              <w:t>Zentiva, k.s.</w:t>
            </w:r>
          </w:p>
          <w:p w14:paraId="0D6E3BC8" w14:textId="77777777" w:rsidR="006E2147" w:rsidRPr="00D13473" w:rsidRDefault="006E2147">
            <w:pPr>
              <w:autoSpaceDE w:val="0"/>
              <w:autoSpaceDN w:val="0"/>
              <w:adjustRightInd w:val="0"/>
              <w:rPr>
                <w:color w:val="000000"/>
              </w:rPr>
            </w:pPr>
            <w:r w:rsidRPr="00D13473">
              <w:rPr>
                <w:color w:val="000000"/>
              </w:rPr>
              <w:t>Te</w:t>
            </w:r>
            <w:r>
              <w:rPr>
                <w:color w:val="000000"/>
              </w:rPr>
              <w:t>л</w:t>
            </w:r>
            <w:r w:rsidRPr="00D13473">
              <w:rPr>
                <w:color w:val="000000"/>
              </w:rPr>
              <w:t>.: +35924417136</w:t>
            </w:r>
          </w:p>
          <w:p w14:paraId="58F82CD0" w14:textId="77777777" w:rsidR="006E2147" w:rsidRPr="00D13473" w:rsidRDefault="006E2147">
            <w:pPr>
              <w:autoSpaceDE w:val="0"/>
              <w:autoSpaceDN w:val="0"/>
              <w:adjustRightInd w:val="0"/>
              <w:rPr>
                <w:color w:val="000000"/>
              </w:rPr>
            </w:pPr>
          </w:p>
        </w:tc>
        <w:tc>
          <w:tcPr>
            <w:tcW w:w="4535" w:type="dxa"/>
          </w:tcPr>
          <w:p w14:paraId="43DC1A81" w14:textId="77777777" w:rsidR="006E2147" w:rsidRPr="00B91565" w:rsidRDefault="006E2147">
            <w:pPr>
              <w:suppressAutoHyphens/>
              <w:rPr>
                <w:color w:val="000000"/>
                <w:lang w:val="de-DE"/>
              </w:rPr>
            </w:pPr>
            <w:r>
              <w:rPr>
                <w:b/>
                <w:color w:val="000000"/>
              </w:rPr>
              <w:t>Luxembourg/Luxemburg</w:t>
            </w:r>
          </w:p>
          <w:p w14:paraId="6DF192C3" w14:textId="77777777" w:rsidR="006E2147" w:rsidRDefault="006E2147">
            <w:pPr>
              <w:suppressAutoHyphens/>
              <w:rPr>
                <w:color w:val="000000"/>
              </w:rPr>
            </w:pPr>
            <w:r>
              <w:rPr>
                <w:color w:val="000000"/>
              </w:rPr>
              <w:t>Mabxience Research SL</w:t>
            </w:r>
          </w:p>
          <w:p w14:paraId="6798431D" w14:textId="77777777" w:rsidR="006E2147" w:rsidRDefault="006E2147">
            <w:pPr>
              <w:suppressAutoHyphens/>
              <w:rPr>
                <w:color w:val="000000"/>
              </w:rPr>
            </w:pPr>
            <w:r>
              <w:rPr>
                <w:color w:val="000000"/>
              </w:rPr>
              <w:t>Tél/Tel: +34 917 711 500</w:t>
            </w:r>
          </w:p>
          <w:p w14:paraId="5753AE8A" w14:textId="77777777" w:rsidR="006E2147" w:rsidRDefault="006E2147">
            <w:pPr>
              <w:suppressAutoHyphens/>
              <w:rPr>
                <w:color w:val="000000"/>
              </w:rPr>
            </w:pPr>
          </w:p>
        </w:tc>
      </w:tr>
      <w:tr w:rsidR="006E2147" w:rsidRPr="006E2147" w14:paraId="662F793D" w14:textId="77777777" w:rsidTr="006E2147">
        <w:trPr>
          <w:cantSplit/>
          <w:trHeight w:val="20"/>
        </w:trPr>
        <w:tc>
          <w:tcPr>
            <w:tcW w:w="4535" w:type="dxa"/>
          </w:tcPr>
          <w:p w14:paraId="19E47305" w14:textId="77777777" w:rsidR="006E2147" w:rsidRDefault="006E2147">
            <w:pPr>
              <w:suppressAutoHyphens/>
              <w:rPr>
                <w:color w:val="000000"/>
              </w:rPr>
            </w:pPr>
            <w:r>
              <w:rPr>
                <w:b/>
                <w:color w:val="000000"/>
              </w:rPr>
              <w:t>Česká republika</w:t>
            </w:r>
          </w:p>
          <w:p w14:paraId="6C1D4F0B" w14:textId="77777777" w:rsidR="006E2147" w:rsidRDefault="006E2147">
            <w:pPr>
              <w:suppressAutoHyphens/>
              <w:rPr>
                <w:color w:val="000000"/>
              </w:rPr>
            </w:pPr>
            <w:r>
              <w:rPr>
                <w:color w:val="000000"/>
              </w:rPr>
              <w:t>Zentiva, k.s.</w:t>
            </w:r>
          </w:p>
          <w:p w14:paraId="3B6E5D18" w14:textId="77777777" w:rsidR="006E2147" w:rsidRDefault="006E2147">
            <w:pPr>
              <w:rPr>
                <w:color w:val="000000"/>
              </w:rPr>
            </w:pPr>
            <w:r>
              <w:rPr>
                <w:color w:val="000000"/>
              </w:rPr>
              <w:t>Tel: +420 267 241 111</w:t>
            </w:r>
          </w:p>
          <w:p w14:paraId="13F6448D" w14:textId="77777777" w:rsidR="006E2147" w:rsidRDefault="006E2147">
            <w:pPr>
              <w:rPr>
                <w:color w:val="000000"/>
              </w:rPr>
            </w:pPr>
          </w:p>
        </w:tc>
        <w:tc>
          <w:tcPr>
            <w:tcW w:w="4535" w:type="dxa"/>
          </w:tcPr>
          <w:p w14:paraId="69B09F1A" w14:textId="77777777" w:rsidR="006E2147" w:rsidRDefault="006E2147">
            <w:pPr>
              <w:rPr>
                <w:b/>
                <w:color w:val="000000"/>
              </w:rPr>
            </w:pPr>
            <w:r>
              <w:rPr>
                <w:b/>
                <w:color w:val="000000"/>
              </w:rPr>
              <w:t>Magyarország</w:t>
            </w:r>
          </w:p>
          <w:p w14:paraId="37D48608" w14:textId="1473EA24" w:rsidR="006E2147" w:rsidRDefault="006E2147">
            <w:pPr>
              <w:rPr>
                <w:color w:val="000000"/>
              </w:rPr>
            </w:pPr>
            <w:r>
              <w:rPr>
                <w:color w:val="000000"/>
              </w:rPr>
              <w:t>Zentiva</w:t>
            </w:r>
            <w:r w:rsidR="00D01DBE">
              <w:rPr>
                <w:color w:val="000000"/>
              </w:rPr>
              <w:t xml:space="preserve"> Pharma Kft.</w:t>
            </w:r>
          </w:p>
          <w:p w14:paraId="6F26B5B9" w14:textId="77777777" w:rsidR="006E2147" w:rsidRDefault="006E2147">
            <w:pPr>
              <w:rPr>
                <w:color w:val="000000"/>
              </w:rPr>
            </w:pPr>
            <w:r>
              <w:rPr>
                <w:color w:val="000000"/>
              </w:rPr>
              <w:t>Tel.: +36 1 299 1058</w:t>
            </w:r>
          </w:p>
          <w:p w14:paraId="3B166BB9" w14:textId="77777777" w:rsidR="006E2147" w:rsidRDefault="006E2147">
            <w:pPr>
              <w:rPr>
                <w:color w:val="000000"/>
              </w:rPr>
            </w:pPr>
          </w:p>
        </w:tc>
      </w:tr>
      <w:tr w:rsidR="006E2147" w14:paraId="4CF0D240" w14:textId="77777777" w:rsidTr="006E2147">
        <w:trPr>
          <w:cantSplit/>
          <w:trHeight w:val="20"/>
        </w:trPr>
        <w:tc>
          <w:tcPr>
            <w:tcW w:w="4535" w:type="dxa"/>
          </w:tcPr>
          <w:p w14:paraId="464AFB9E" w14:textId="77777777" w:rsidR="006E2147" w:rsidRDefault="006E2147">
            <w:pPr>
              <w:rPr>
                <w:color w:val="000000"/>
              </w:rPr>
            </w:pPr>
            <w:r>
              <w:rPr>
                <w:b/>
                <w:color w:val="000000"/>
              </w:rPr>
              <w:t>Danmark</w:t>
            </w:r>
          </w:p>
          <w:p w14:paraId="45A3A9CD" w14:textId="77777777" w:rsidR="006E2147" w:rsidRDefault="006E2147">
            <w:pPr>
              <w:rPr>
                <w:color w:val="000000"/>
              </w:rPr>
            </w:pPr>
            <w:r>
              <w:rPr>
                <w:color w:val="000000"/>
              </w:rPr>
              <w:t>Medical Valley Invest AB</w:t>
            </w:r>
          </w:p>
          <w:p w14:paraId="32B5E94D" w14:textId="77777777" w:rsidR="006E2147" w:rsidRDefault="006E2147">
            <w:pPr>
              <w:rPr>
                <w:color w:val="000000"/>
              </w:rPr>
            </w:pPr>
            <w:r>
              <w:rPr>
                <w:color w:val="000000"/>
              </w:rPr>
              <w:t>Tlf: +46 40 122131</w:t>
            </w:r>
          </w:p>
          <w:p w14:paraId="07C401EC" w14:textId="77777777" w:rsidR="006E2147" w:rsidRDefault="006E2147">
            <w:pPr>
              <w:rPr>
                <w:color w:val="000000"/>
              </w:rPr>
            </w:pPr>
          </w:p>
        </w:tc>
        <w:tc>
          <w:tcPr>
            <w:tcW w:w="4535" w:type="dxa"/>
          </w:tcPr>
          <w:p w14:paraId="058A7123" w14:textId="77777777" w:rsidR="006E2147" w:rsidRDefault="006E2147">
            <w:pPr>
              <w:rPr>
                <w:b/>
                <w:color w:val="000000"/>
              </w:rPr>
            </w:pPr>
            <w:r>
              <w:rPr>
                <w:b/>
                <w:color w:val="000000"/>
              </w:rPr>
              <w:t>Malta</w:t>
            </w:r>
          </w:p>
          <w:p w14:paraId="2B22FA3F" w14:textId="5F6FC16A" w:rsidR="006E2147" w:rsidRDefault="000E7E03">
            <w:pPr>
              <w:rPr>
                <w:color w:val="000000"/>
              </w:rPr>
            </w:pPr>
            <w:r w:rsidRPr="000E7E03">
              <w:rPr>
                <w:color w:val="000000"/>
              </w:rPr>
              <w:t>Zentiva, k.s.</w:t>
            </w:r>
          </w:p>
          <w:p w14:paraId="77E71501" w14:textId="52DE963D" w:rsidR="006E2147" w:rsidRDefault="006E2147">
            <w:pPr>
              <w:rPr>
                <w:color w:val="000000"/>
              </w:rPr>
            </w:pPr>
            <w:r>
              <w:rPr>
                <w:color w:val="000000"/>
              </w:rPr>
              <w:t xml:space="preserve">Tel: </w:t>
            </w:r>
            <w:r w:rsidR="00C13D7B" w:rsidRPr="00714FDB">
              <w:rPr>
                <w:color w:val="000000"/>
              </w:rPr>
              <w:t>+356 2</w:t>
            </w:r>
            <w:r w:rsidR="0049736A" w:rsidRPr="0049736A">
              <w:rPr>
                <w:color w:val="000000"/>
              </w:rPr>
              <w:t>034 1796</w:t>
            </w:r>
          </w:p>
          <w:p w14:paraId="771DCA8F" w14:textId="77777777" w:rsidR="006E2147" w:rsidRDefault="006E2147">
            <w:pPr>
              <w:rPr>
                <w:color w:val="000000"/>
              </w:rPr>
            </w:pPr>
          </w:p>
        </w:tc>
      </w:tr>
      <w:tr w:rsidR="006E2147" w:rsidRPr="006E2147" w14:paraId="7D9F62D3" w14:textId="77777777" w:rsidTr="006E2147">
        <w:trPr>
          <w:cantSplit/>
          <w:trHeight w:val="20"/>
        </w:trPr>
        <w:tc>
          <w:tcPr>
            <w:tcW w:w="4535" w:type="dxa"/>
          </w:tcPr>
          <w:p w14:paraId="4DBEB64B" w14:textId="77777777" w:rsidR="006E2147" w:rsidRDefault="006E2147">
            <w:pPr>
              <w:rPr>
                <w:color w:val="000000"/>
                <w:lang w:val="de-DE"/>
              </w:rPr>
            </w:pPr>
            <w:r>
              <w:rPr>
                <w:b/>
                <w:color w:val="000000"/>
                <w:lang w:val="de-DE"/>
              </w:rPr>
              <w:t>Deutschland</w:t>
            </w:r>
          </w:p>
          <w:p w14:paraId="5D0F9277" w14:textId="77777777" w:rsidR="00783E54" w:rsidRPr="00783E54" w:rsidRDefault="00783E54" w:rsidP="00783E54">
            <w:pPr>
              <w:rPr>
                <w:color w:val="000000"/>
                <w:lang w:val="de-DE"/>
              </w:rPr>
            </w:pPr>
            <w:r w:rsidRPr="00783E54">
              <w:rPr>
                <w:color w:val="000000"/>
                <w:lang w:val="de-DE"/>
              </w:rPr>
              <w:t xml:space="preserve">Zentiva Pharma GmbH </w:t>
            </w:r>
          </w:p>
          <w:p w14:paraId="2843F3EF" w14:textId="4BD5BBF0" w:rsidR="006E2147" w:rsidRDefault="00783E54">
            <w:pPr>
              <w:rPr>
                <w:color w:val="000000"/>
                <w:lang w:val="de-DE"/>
              </w:rPr>
            </w:pPr>
            <w:r w:rsidRPr="00783E54">
              <w:rPr>
                <w:color w:val="000000"/>
                <w:lang w:val="de-DE"/>
              </w:rPr>
              <w:t>Tel: +49 (0) 800 53 53 010</w:t>
            </w:r>
          </w:p>
          <w:p w14:paraId="51F1CE12" w14:textId="77777777" w:rsidR="006E2147" w:rsidRDefault="006E2147">
            <w:pPr>
              <w:suppressAutoHyphens/>
              <w:rPr>
                <w:color w:val="000000"/>
                <w:lang w:val="de-DE"/>
              </w:rPr>
            </w:pPr>
          </w:p>
        </w:tc>
        <w:tc>
          <w:tcPr>
            <w:tcW w:w="4535" w:type="dxa"/>
          </w:tcPr>
          <w:p w14:paraId="447B75DC" w14:textId="77777777" w:rsidR="006E2147" w:rsidRDefault="006E2147">
            <w:pPr>
              <w:suppressAutoHyphens/>
              <w:rPr>
                <w:color w:val="000000"/>
                <w:lang w:val="nl-NL"/>
              </w:rPr>
            </w:pPr>
            <w:r>
              <w:rPr>
                <w:b/>
                <w:color w:val="000000"/>
                <w:lang w:val="nl-NL"/>
              </w:rPr>
              <w:t>Nederland</w:t>
            </w:r>
          </w:p>
          <w:p w14:paraId="4F655349" w14:textId="77777777" w:rsidR="006E2147" w:rsidRDefault="006E2147">
            <w:pPr>
              <w:rPr>
                <w:color w:val="000000"/>
                <w:lang w:val="nl-NL"/>
              </w:rPr>
            </w:pPr>
            <w:r>
              <w:rPr>
                <w:color w:val="000000"/>
                <w:lang w:val="nl-NL"/>
              </w:rPr>
              <w:t>Medical Valley Invest AB</w:t>
            </w:r>
          </w:p>
          <w:p w14:paraId="7D38F39A" w14:textId="77777777" w:rsidR="006E2147" w:rsidRDefault="006E2147">
            <w:pPr>
              <w:suppressAutoHyphens/>
              <w:rPr>
                <w:color w:val="000000"/>
                <w:lang w:val="nl-NL"/>
              </w:rPr>
            </w:pPr>
            <w:r>
              <w:rPr>
                <w:color w:val="000000"/>
                <w:lang w:val="nl-NL"/>
              </w:rPr>
              <w:t>Tel.: +46 40 122131</w:t>
            </w:r>
          </w:p>
          <w:p w14:paraId="0CE66438" w14:textId="77777777" w:rsidR="006E2147" w:rsidRDefault="006E2147">
            <w:pPr>
              <w:suppressAutoHyphens/>
              <w:rPr>
                <w:color w:val="000000"/>
                <w:lang w:val="nl-NL"/>
              </w:rPr>
            </w:pPr>
          </w:p>
        </w:tc>
      </w:tr>
      <w:tr w:rsidR="006E2147" w14:paraId="1543E0FA" w14:textId="77777777" w:rsidTr="006E2147">
        <w:trPr>
          <w:cantSplit/>
          <w:trHeight w:val="20"/>
        </w:trPr>
        <w:tc>
          <w:tcPr>
            <w:tcW w:w="4535" w:type="dxa"/>
          </w:tcPr>
          <w:p w14:paraId="669F387A" w14:textId="77777777" w:rsidR="006E2147" w:rsidRDefault="006E2147">
            <w:pPr>
              <w:suppressAutoHyphens/>
              <w:rPr>
                <w:b/>
                <w:bCs/>
                <w:color w:val="000000"/>
                <w:lang w:val="pt-BR"/>
              </w:rPr>
            </w:pPr>
            <w:r>
              <w:rPr>
                <w:b/>
                <w:bCs/>
                <w:color w:val="000000"/>
                <w:lang w:val="pt-BR"/>
              </w:rPr>
              <w:t>Eesti</w:t>
            </w:r>
          </w:p>
          <w:p w14:paraId="05469C08" w14:textId="77777777" w:rsidR="006E2147" w:rsidRDefault="006E2147">
            <w:pPr>
              <w:autoSpaceDE w:val="0"/>
              <w:autoSpaceDN w:val="0"/>
              <w:adjustRightInd w:val="0"/>
              <w:rPr>
                <w:color w:val="000000"/>
                <w:lang w:val="pt-BR"/>
              </w:rPr>
            </w:pPr>
            <w:r>
              <w:rPr>
                <w:color w:val="000000"/>
                <w:lang w:val="pt-BR"/>
              </w:rPr>
              <w:t>Zentiva, k.s.</w:t>
            </w:r>
          </w:p>
          <w:p w14:paraId="00DC8E1E" w14:textId="77777777" w:rsidR="006E2147" w:rsidRDefault="006E2147">
            <w:pPr>
              <w:autoSpaceDE w:val="0"/>
              <w:autoSpaceDN w:val="0"/>
              <w:adjustRightInd w:val="0"/>
              <w:rPr>
                <w:color w:val="000000"/>
                <w:lang w:val="pt-BR"/>
              </w:rPr>
            </w:pPr>
            <w:r>
              <w:rPr>
                <w:color w:val="000000"/>
                <w:lang w:val="pt-BR"/>
              </w:rPr>
              <w:t>Tel: +372 52 70308</w:t>
            </w:r>
          </w:p>
          <w:p w14:paraId="2844B2A6" w14:textId="77777777" w:rsidR="006E2147" w:rsidRDefault="006E2147">
            <w:pPr>
              <w:suppressAutoHyphens/>
              <w:rPr>
                <w:color w:val="000000"/>
                <w:lang w:val="pt-BR"/>
              </w:rPr>
            </w:pPr>
          </w:p>
        </w:tc>
        <w:tc>
          <w:tcPr>
            <w:tcW w:w="4535" w:type="dxa"/>
          </w:tcPr>
          <w:p w14:paraId="6E86420D" w14:textId="77777777" w:rsidR="006E2147" w:rsidRDefault="006E2147">
            <w:pPr>
              <w:rPr>
                <w:color w:val="000000"/>
                <w:lang w:val="en-GB"/>
              </w:rPr>
            </w:pPr>
            <w:r>
              <w:rPr>
                <w:b/>
                <w:color w:val="000000"/>
              </w:rPr>
              <w:t>Norge</w:t>
            </w:r>
          </w:p>
          <w:p w14:paraId="2FA0D776" w14:textId="77777777" w:rsidR="006E2147" w:rsidRDefault="006E2147">
            <w:pPr>
              <w:rPr>
                <w:color w:val="000000"/>
              </w:rPr>
            </w:pPr>
            <w:r>
              <w:rPr>
                <w:color w:val="000000"/>
              </w:rPr>
              <w:t>Medical Valley Invest AB</w:t>
            </w:r>
          </w:p>
          <w:p w14:paraId="487686EF" w14:textId="77777777" w:rsidR="006E2147" w:rsidRDefault="006E2147">
            <w:pPr>
              <w:rPr>
                <w:color w:val="000000"/>
              </w:rPr>
            </w:pPr>
            <w:r>
              <w:rPr>
                <w:color w:val="000000"/>
              </w:rPr>
              <w:t>Tlf: +46 40 122131</w:t>
            </w:r>
          </w:p>
          <w:p w14:paraId="06235A17" w14:textId="77777777" w:rsidR="006E2147" w:rsidRDefault="006E2147">
            <w:pPr>
              <w:rPr>
                <w:color w:val="000000"/>
              </w:rPr>
            </w:pPr>
          </w:p>
        </w:tc>
      </w:tr>
      <w:tr w:rsidR="006E2147" w:rsidRPr="006E2147" w14:paraId="020BA1AF" w14:textId="77777777" w:rsidTr="006E2147">
        <w:trPr>
          <w:cantSplit/>
          <w:trHeight w:val="20"/>
        </w:trPr>
        <w:tc>
          <w:tcPr>
            <w:tcW w:w="4535" w:type="dxa"/>
          </w:tcPr>
          <w:p w14:paraId="681A8845" w14:textId="77777777" w:rsidR="006E2147" w:rsidRPr="00B91565" w:rsidRDefault="006E2147">
            <w:pPr>
              <w:rPr>
                <w:color w:val="000000"/>
              </w:rPr>
            </w:pPr>
            <w:r>
              <w:rPr>
                <w:b/>
                <w:color w:val="000000"/>
              </w:rPr>
              <w:t>Ελλάδα</w:t>
            </w:r>
          </w:p>
          <w:p w14:paraId="5CEABAC6" w14:textId="77777777" w:rsidR="006E2147" w:rsidRPr="00B91565" w:rsidRDefault="006E2147">
            <w:pPr>
              <w:rPr>
                <w:color w:val="000000"/>
              </w:rPr>
            </w:pPr>
            <w:r w:rsidRPr="00B91565">
              <w:rPr>
                <w:color w:val="000000"/>
              </w:rPr>
              <w:t>Win Medica S.A.</w:t>
            </w:r>
          </w:p>
          <w:p w14:paraId="340C1380" w14:textId="77777777" w:rsidR="006E2147" w:rsidRPr="00B91565" w:rsidRDefault="006E2147">
            <w:pPr>
              <w:rPr>
                <w:color w:val="000000"/>
              </w:rPr>
            </w:pPr>
            <w:r>
              <w:rPr>
                <w:color w:val="000000"/>
              </w:rPr>
              <w:t>Τηλ: +30 210 7488 821</w:t>
            </w:r>
          </w:p>
          <w:p w14:paraId="4E54D99C" w14:textId="77777777" w:rsidR="006E2147" w:rsidRDefault="006E2147">
            <w:pPr>
              <w:suppressAutoHyphens/>
              <w:rPr>
                <w:color w:val="000000"/>
              </w:rPr>
            </w:pPr>
          </w:p>
        </w:tc>
        <w:tc>
          <w:tcPr>
            <w:tcW w:w="4535" w:type="dxa"/>
          </w:tcPr>
          <w:p w14:paraId="282D13C9" w14:textId="77777777" w:rsidR="006E2147" w:rsidRDefault="006E2147">
            <w:pPr>
              <w:suppressAutoHyphens/>
              <w:rPr>
                <w:color w:val="000000"/>
                <w:lang w:val="de-DE"/>
              </w:rPr>
            </w:pPr>
            <w:r>
              <w:rPr>
                <w:b/>
                <w:color w:val="000000"/>
                <w:lang w:val="de-DE"/>
              </w:rPr>
              <w:t>Österreich</w:t>
            </w:r>
          </w:p>
          <w:p w14:paraId="645CBEE3" w14:textId="77777777" w:rsidR="006E2147" w:rsidRDefault="006E2147">
            <w:pPr>
              <w:suppressAutoHyphens/>
              <w:rPr>
                <w:color w:val="000000"/>
                <w:lang w:val="de-DE"/>
              </w:rPr>
            </w:pPr>
            <w:r>
              <w:rPr>
                <w:color w:val="000000"/>
                <w:lang w:val="de-DE"/>
              </w:rPr>
              <w:t>G.L. Pharma GmbH</w:t>
            </w:r>
          </w:p>
          <w:p w14:paraId="5514057F" w14:textId="77777777" w:rsidR="006E2147" w:rsidRDefault="006E2147">
            <w:pPr>
              <w:suppressAutoHyphens/>
              <w:rPr>
                <w:color w:val="000000"/>
                <w:lang w:val="de-DE"/>
              </w:rPr>
            </w:pPr>
            <w:r>
              <w:rPr>
                <w:color w:val="000000"/>
                <w:lang w:val="de-DE"/>
              </w:rPr>
              <w:t>Tel: +43 3136 82577</w:t>
            </w:r>
          </w:p>
          <w:p w14:paraId="7C23BCB7" w14:textId="77777777" w:rsidR="006E2147" w:rsidRDefault="006E2147">
            <w:pPr>
              <w:suppressAutoHyphens/>
              <w:rPr>
                <w:color w:val="000000"/>
                <w:lang w:val="de-DE"/>
              </w:rPr>
            </w:pPr>
          </w:p>
        </w:tc>
      </w:tr>
      <w:tr w:rsidR="006E2147" w14:paraId="511EA5D5" w14:textId="77777777" w:rsidTr="006E2147">
        <w:trPr>
          <w:cantSplit/>
          <w:trHeight w:val="20"/>
        </w:trPr>
        <w:tc>
          <w:tcPr>
            <w:tcW w:w="4535" w:type="dxa"/>
            <w:hideMark/>
          </w:tcPr>
          <w:p w14:paraId="13466AF4" w14:textId="77777777" w:rsidR="006E2147" w:rsidRDefault="006E2147">
            <w:pPr>
              <w:suppressAutoHyphens/>
              <w:rPr>
                <w:b/>
                <w:color w:val="000000"/>
                <w:lang w:val="es-ES"/>
              </w:rPr>
            </w:pPr>
            <w:r>
              <w:rPr>
                <w:b/>
                <w:color w:val="000000"/>
                <w:lang w:val="es-ES"/>
              </w:rPr>
              <w:lastRenderedPageBreak/>
              <w:t>España</w:t>
            </w:r>
          </w:p>
          <w:p w14:paraId="29F57728" w14:textId="36DDE0B4" w:rsidR="00D15BC7" w:rsidRDefault="00D15BC7">
            <w:pPr>
              <w:suppressAutoHyphens/>
              <w:rPr>
                <w:color w:val="000000"/>
                <w:lang w:val="es-ES"/>
              </w:rPr>
            </w:pPr>
            <w:r w:rsidRPr="00995B94">
              <w:rPr>
                <w:color w:val="000000"/>
              </w:rPr>
              <w:t>C</w:t>
            </w:r>
            <w:r>
              <w:rPr>
                <w:color w:val="000000"/>
              </w:rPr>
              <w:t>ipla</w:t>
            </w:r>
            <w:r w:rsidRPr="00995B94">
              <w:rPr>
                <w:color w:val="000000"/>
              </w:rPr>
              <w:t xml:space="preserve"> E</w:t>
            </w:r>
            <w:r>
              <w:rPr>
                <w:color w:val="000000"/>
              </w:rPr>
              <w:t>urope</w:t>
            </w:r>
            <w:r w:rsidRPr="00995B94">
              <w:rPr>
                <w:color w:val="000000"/>
              </w:rPr>
              <w:t xml:space="preserve"> NV </w:t>
            </w:r>
            <w:r w:rsidR="001234CC">
              <w:rPr>
                <w:color w:val="000000"/>
              </w:rPr>
              <w:t>s</w:t>
            </w:r>
            <w:r>
              <w:rPr>
                <w:color w:val="000000"/>
              </w:rPr>
              <w:t>ucursal</w:t>
            </w:r>
            <w:r w:rsidRPr="00995B94">
              <w:rPr>
                <w:color w:val="000000"/>
              </w:rPr>
              <w:t xml:space="preserve"> </w:t>
            </w:r>
            <w:r w:rsidR="001234CC">
              <w:rPr>
                <w:color w:val="000000"/>
              </w:rPr>
              <w:t>en</w:t>
            </w:r>
            <w:r w:rsidRPr="00995B94">
              <w:rPr>
                <w:color w:val="000000"/>
              </w:rPr>
              <w:t xml:space="preserve"> E</w:t>
            </w:r>
            <w:r w:rsidR="001234CC">
              <w:rPr>
                <w:color w:val="000000"/>
              </w:rPr>
              <w:t>spaña</w:t>
            </w:r>
          </w:p>
          <w:p w14:paraId="006977C7" w14:textId="5973E679" w:rsidR="006E2147" w:rsidRDefault="006E2147">
            <w:pPr>
              <w:suppressAutoHyphens/>
              <w:rPr>
                <w:color w:val="000000"/>
                <w:lang w:val="es-ES"/>
              </w:rPr>
            </w:pPr>
            <w:r>
              <w:rPr>
                <w:color w:val="000000"/>
                <w:lang w:val="es-ES"/>
              </w:rPr>
              <w:t xml:space="preserve">Tel: </w:t>
            </w:r>
            <w:r w:rsidR="00D15BC7" w:rsidRPr="00995B94">
              <w:rPr>
                <w:color w:val="000000"/>
              </w:rPr>
              <w:t>+34 91 534 16 73</w:t>
            </w:r>
          </w:p>
        </w:tc>
        <w:tc>
          <w:tcPr>
            <w:tcW w:w="4535" w:type="dxa"/>
          </w:tcPr>
          <w:p w14:paraId="6924B095" w14:textId="77777777" w:rsidR="006E2147" w:rsidRDefault="006E2147">
            <w:pPr>
              <w:suppressAutoHyphens/>
              <w:rPr>
                <w:b/>
                <w:bCs/>
                <w:i/>
                <w:iCs/>
                <w:color w:val="000000"/>
                <w:lang w:val="pl-PL"/>
              </w:rPr>
            </w:pPr>
            <w:r>
              <w:rPr>
                <w:b/>
                <w:color w:val="000000"/>
                <w:lang w:val="pl-PL"/>
              </w:rPr>
              <w:t>Polska</w:t>
            </w:r>
          </w:p>
          <w:p w14:paraId="3F97332D" w14:textId="77777777" w:rsidR="006E2147" w:rsidRDefault="006E2147">
            <w:pPr>
              <w:suppressAutoHyphens/>
              <w:rPr>
                <w:color w:val="000000"/>
                <w:lang w:val="pl-PL" w:eastAsia="en-CA"/>
              </w:rPr>
            </w:pPr>
            <w:r>
              <w:rPr>
                <w:color w:val="000000"/>
                <w:lang w:val="pl-PL" w:eastAsia="en-CA"/>
              </w:rPr>
              <w:t>Zentiva Polska Sp. z o.o.</w:t>
            </w:r>
          </w:p>
          <w:p w14:paraId="26930E8E" w14:textId="77777777" w:rsidR="006E2147" w:rsidRDefault="006E2147">
            <w:pPr>
              <w:suppressAutoHyphens/>
              <w:rPr>
                <w:color w:val="000000"/>
                <w:lang w:val="en-GB"/>
              </w:rPr>
            </w:pPr>
            <w:r>
              <w:rPr>
                <w:color w:val="000000"/>
                <w:lang w:eastAsia="en-CA"/>
              </w:rPr>
              <w:t>Tel: +48 22 375 92 00</w:t>
            </w:r>
          </w:p>
          <w:p w14:paraId="72A222D1" w14:textId="77777777" w:rsidR="006E2147" w:rsidRDefault="006E2147">
            <w:pPr>
              <w:suppressAutoHyphens/>
              <w:rPr>
                <w:color w:val="000000"/>
              </w:rPr>
            </w:pPr>
          </w:p>
        </w:tc>
      </w:tr>
      <w:tr w:rsidR="006E2147" w:rsidRPr="006E2147" w14:paraId="2BB4C6A7" w14:textId="77777777" w:rsidTr="006E2147">
        <w:trPr>
          <w:cantSplit/>
          <w:trHeight w:val="20"/>
        </w:trPr>
        <w:tc>
          <w:tcPr>
            <w:tcW w:w="4535" w:type="dxa"/>
          </w:tcPr>
          <w:p w14:paraId="1FCCCA9A" w14:textId="77777777" w:rsidR="006E2147" w:rsidRDefault="006E2147">
            <w:pPr>
              <w:suppressAutoHyphens/>
              <w:rPr>
                <w:b/>
                <w:color w:val="000000"/>
              </w:rPr>
            </w:pPr>
            <w:r>
              <w:rPr>
                <w:b/>
                <w:color w:val="000000"/>
              </w:rPr>
              <w:t>France</w:t>
            </w:r>
          </w:p>
          <w:p w14:paraId="0273263D" w14:textId="77777777" w:rsidR="003D3D24" w:rsidRPr="003D3D24" w:rsidRDefault="003D3D24" w:rsidP="003D3D24">
            <w:pPr>
              <w:rPr>
                <w:ins w:id="13" w:author="Author"/>
                <w:color w:val="000000"/>
              </w:rPr>
            </w:pPr>
            <w:ins w:id="14" w:author="Author">
              <w:r w:rsidRPr="003D3D24">
                <w:rPr>
                  <w:color w:val="000000"/>
                </w:rPr>
                <w:t>Mabxience Research SL</w:t>
              </w:r>
            </w:ins>
          </w:p>
          <w:p w14:paraId="0E8530D8" w14:textId="529AF68D" w:rsidR="006E2147" w:rsidDel="003D3D24" w:rsidRDefault="003D3D24" w:rsidP="003D3D24">
            <w:pPr>
              <w:rPr>
                <w:del w:id="15" w:author="Author"/>
                <w:color w:val="000000"/>
              </w:rPr>
            </w:pPr>
            <w:ins w:id="16" w:author="Author">
              <w:r w:rsidRPr="003D3D24">
                <w:rPr>
                  <w:color w:val="000000"/>
                </w:rPr>
                <w:t>Tél: +34 917 711 500</w:t>
              </w:r>
            </w:ins>
            <w:del w:id="17" w:author="Author">
              <w:r w:rsidR="006E2147" w:rsidDel="003D3D24">
                <w:rPr>
                  <w:color w:val="000000"/>
                </w:rPr>
                <w:delText>Zentiva France</w:delText>
              </w:r>
            </w:del>
          </w:p>
          <w:p w14:paraId="26AF791B" w14:textId="2B3DF1D4" w:rsidR="006E2147" w:rsidRDefault="006E2147">
            <w:pPr>
              <w:rPr>
                <w:color w:val="000000"/>
              </w:rPr>
            </w:pPr>
            <w:del w:id="18" w:author="Author">
              <w:r w:rsidDel="003D3D24">
                <w:rPr>
                  <w:color w:val="000000"/>
                </w:rPr>
                <w:delText>Tél: +33 (0) 800 089 219</w:delText>
              </w:r>
            </w:del>
          </w:p>
          <w:p w14:paraId="34C5C1D9" w14:textId="77777777" w:rsidR="006E2147" w:rsidRDefault="006E2147">
            <w:pPr>
              <w:rPr>
                <w:b/>
                <w:color w:val="000000"/>
              </w:rPr>
            </w:pPr>
          </w:p>
        </w:tc>
        <w:tc>
          <w:tcPr>
            <w:tcW w:w="4535" w:type="dxa"/>
          </w:tcPr>
          <w:p w14:paraId="21AA6EC9" w14:textId="77777777" w:rsidR="006E2147" w:rsidRDefault="006E2147">
            <w:pPr>
              <w:suppressAutoHyphens/>
              <w:rPr>
                <w:color w:val="000000"/>
                <w:lang w:val="pt-BR"/>
              </w:rPr>
            </w:pPr>
            <w:r>
              <w:rPr>
                <w:b/>
                <w:color w:val="000000"/>
                <w:lang w:val="pt-BR"/>
              </w:rPr>
              <w:t>Portugal</w:t>
            </w:r>
          </w:p>
          <w:p w14:paraId="2268DD67" w14:textId="77777777" w:rsidR="006E2147" w:rsidRDefault="006E2147">
            <w:pPr>
              <w:suppressAutoHyphens/>
              <w:rPr>
                <w:color w:val="000000"/>
                <w:lang w:val="pt-BR"/>
              </w:rPr>
            </w:pPr>
            <w:r>
              <w:rPr>
                <w:color w:val="000000"/>
                <w:lang w:val="pt-BR"/>
              </w:rPr>
              <w:t>Zentiva Portugal, Lda</w:t>
            </w:r>
          </w:p>
          <w:p w14:paraId="2C027DBA" w14:textId="77777777" w:rsidR="006E2147" w:rsidRDefault="006E2147">
            <w:pPr>
              <w:suppressAutoHyphens/>
              <w:rPr>
                <w:color w:val="000000"/>
                <w:lang w:val="pt-BR"/>
              </w:rPr>
            </w:pPr>
            <w:r>
              <w:rPr>
                <w:color w:val="000000"/>
                <w:lang w:val="pt-BR"/>
              </w:rPr>
              <w:t>Tel: +351210601360</w:t>
            </w:r>
          </w:p>
          <w:p w14:paraId="769E2315" w14:textId="77777777" w:rsidR="006E2147" w:rsidRDefault="006E2147">
            <w:pPr>
              <w:suppressAutoHyphens/>
              <w:rPr>
                <w:color w:val="000000"/>
                <w:lang w:val="pt-BR"/>
              </w:rPr>
            </w:pPr>
          </w:p>
        </w:tc>
      </w:tr>
      <w:tr w:rsidR="006E2147" w14:paraId="14AC19C2" w14:textId="77777777" w:rsidTr="006E2147">
        <w:trPr>
          <w:cantSplit/>
          <w:trHeight w:val="20"/>
        </w:trPr>
        <w:tc>
          <w:tcPr>
            <w:tcW w:w="4535" w:type="dxa"/>
          </w:tcPr>
          <w:p w14:paraId="5135CF68" w14:textId="77777777" w:rsidR="006E2147" w:rsidRPr="00D13473" w:rsidRDefault="006E2147">
            <w:pPr>
              <w:rPr>
                <w:color w:val="000000"/>
              </w:rPr>
            </w:pPr>
            <w:r w:rsidRPr="00D13473">
              <w:rPr>
                <w:color w:val="000000"/>
              </w:rPr>
              <w:br w:type="page"/>
            </w:r>
            <w:r w:rsidRPr="00D13473">
              <w:rPr>
                <w:b/>
                <w:color w:val="000000"/>
              </w:rPr>
              <w:t>Hrvatska</w:t>
            </w:r>
          </w:p>
          <w:p w14:paraId="1862A159" w14:textId="4E5D8A52" w:rsidR="006E2147" w:rsidRPr="00D13473" w:rsidRDefault="006E2147">
            <w:pPr>
              <w:rPr>
                <w:color w:val="000000"/>
              </w:rPr>
            </w:pPr>
            <w:r w:rsidRPr="00D13473">
              <w:rPr>
                <w:color w:val="000000"/>
              </w:rPr>
              <w:t>Zentiva</w:t>
            </w:r>
            <w:r w:rsidR="00D15BC7" w:rsidRPr="00D13473">
              <w:rPr>
                <w:color w:val="000000"/>
              </w:rPr>
              <w:t xml:space="preserve"> </w:t>
            </w:r>
            <w:r w:rsidRPr="00D13473">
              <w:rPr>
                <w:color w:val="000000"/>
              </w:rPr>
              <w:t>d.o.o.</w:t>
            </w:r>
          </w:p>
          <w:p w14:paraId="1AD4A1A2" w14:textId="77777777" w:rsidR="006E2147" w:rsidRDefault="006E2147">
            <w:pPr>
              <w:rPr>
                <w:color w:val="000000"/>
                <w:lang w:val="en-GB"/>
              </w:rPr>
            </w:pPr>
            <w:r>
              <w:rPr>
                <w:color w:val="000000"/>
              </w:rPr>
              <w:t>Tel: +385 1 6641 830</w:t>
            </w:r>
          </w:p>
          <w:p w14:paraId="6A499692" w14:textId="77777777" w:rsidR="006E2147" w:rsidRDefault="006E2147">
            <w:pPr>
              <w:rPr>
                <w:color w:val="000000"/>
              </w:rPr>
            </w:pPr>
          </w:p>
        </w:tc>
        <w:tc>
          <w:tcPr>
            <w:tcW w:w="4535" w:type="dxa"/>
          </w:tcPr>
          <w:p w14:paraId="24224D43" w14:textId="77777777" w:rsidR="006E2147" w:rsidRDefault="006E2147">
            <w:pPr>
              <w:suppressAutoHyphens/>
              <w:rPr>
                <w:b/>
                <w:color w:val="000000"/>
              </w:rPr>
            </w:pPr>
            <w:r>
              <w:rPr>
                <w:b/>
                <w:color w:val="000000"/>
              </w:rPr>
              <w:t>România</w:t>
            </w:r>
          </w:p>
          <w:p w14:paraId="52FABE3C" w14:textId="77777777" w:rsidR="006E2147" w:rsidRDefault="006E2147">
            <w:pPr>
              <w:suppressAutoHyphens/>
              <w:rPr>
                <w:color w:val="000000"/>
              </w:rPr>
            </w:pPr>
            <w:r>
              <w:rPr>
                <w:color w:val="000000"/>
              </w:rPr>
              <w:t>ZENTIVA S.A.</w:t>
            </w:r>
          </w:p>
          <w:p w14:paraId="7860D4CB" w14:textId="77777777" w:rsidR="006E2147" w:rsidRDefault="006E2147">
            <w:pPr>
              <w:suppressAutoHyphens/>
              <w:rPr>
                <w:color w:val="000000"/>
              </w:rPr>
            </w:pPr>
            <w:r>
              <w:rPr>
                <w:color w:val="000000"/>
              </w:rPr>
              <w:t>Tel: +4 021 304 7597</w:t>
            </w:r>
          </w:p>
          <w:p w14:paraId="35D05726" w14:textId="77777777" w:rsidR="006E2147" w:rsidRDefault="006E2147">
            <w:pPr>
              <w:rPr>
                <w:color w:val="000000"/>
              </w:rPr>
            </w:pPr>
          </w:p>
        </w:tc>
      </w:tr>
      <w:tr w:rsidR="006E2147" w:rsidRPr="006E2147" w14:paraId="3C2AB3B7" w14:textId="77777777" w:rsidTr="006E2147">
        <w:trPr>
          <w:cantSplit/>
          <w:trHeight w:val="20"/>
        </w:trPr>
        <w:tc>
          <w:tcPr>
            <w:tcW w:w="4535" w:type="dxa"/>
          </w:tcPr>
          <w:p w14:paraId="2964EFDC" w14:textId="77777777" w:rsidR="006E2147" w:rsidRDefault="006E2147">
            <w:pPr>
              <w:rPr>
                <w:color w:val="000000"/>
              </w:rPr>
            </w:pPr>
            <w:r>
              <w:rPr>
                <w:b/>
                <w:color w:val="000000"/>
              </w:rPr>
              <w:t>Ireland</w:t>
            </w:r>
          </w:p>
          <w:p w14:paraId="2052903C" w14:textId="77777777" w:rsidR="006E2147" w:rsidRDefault="006E2147">
            <w:pPr>
              <w:rPr>
                <w:color w:val="000000"/>
              </w:rPr>
            </w:pPr>
            <w:r>
              <w:rPr>
                <w:color w:val="000000"/>
              </w:rPr>
              <w:t>Zentiva, k.s.</w:t>
            </w:r>
          </w:p>
          <w:p w14:paraId="1A7401F3" w14:textId="291D0E72" w:rsidR="006E2147" w:rsidRDefault="006E2147">
            <w:pPr>
              <w:rPr>
                <w:color w:val="000000"/>
              </w:rPr>
            </w:pPr>
            <w:r>
              <w:rPr>
                <w:color w:val="000000"/>
              </w:rPr>
              <w:t xml:space="preserve">Tel: +353 </w:t>
            </w:r>
            <w:r w:rsidR="00A05A93">
              <w:rPr>
                <w:color w:val="000000"/>
              </w:rPr>
              <w:t>818 882 243</w:t>
            </w:r>
          </w:p>
          <w:p w14:paraId="6F7B8AEF" w14:textId="77777777" w:rsidR="006E2147" w:rsidRDefault="006E2147">
            <w:pPr>
              <w:rPr>
                <w:color w:val="000000"/>
              </w:rPr>
            </w:pPr>
          </w:p>
        </w:tc>
        <w:tc>
          <w:tcPr>
            <w:tcW w:w="4535" w:type="dxa"/>
          </w:tcPr>
          <w:p w14:paraId="718DF3D9" w14:textId="77777777" w:rsidR="006E2147" w:rsidRDefault="006E2147">
            <w:pPr>
              <w:rPr>
                <w:color w:val="000000"/>
                <w:lang w:val="nl-NL"/>
              </w:rPr>
            </w:pPr>
            <w:r>
              <w:rPr>
                <w:b/>
                <w:color w:val="000000"/>
                <w:lang w:val="nl-NL"/>
              </w:rPr>
              <w:t>Slovenija</w:t>
            </w:r>
          </w:p>
          <w:p w14:paraId="6DD0C3F1" w14:textId="77777777" w:rsidR="006E2147" w:rsidRDefault="006E2147">
            <w:pPr>
              <w:rPr>
                <w:color w:val="000000"/>
                <w:lang w:val="nl-NL"/>
              </w:rPr>
            </w:pPr>
            <w:r>
              <w:rPr>
                <w:color w:val="000000"/>
                <w:lang w:val="nl-NL"/>
              </w:rPr>
              <w:t>Zentiva, k.s.</w:t>
            </w:r>
          </w:p>
          <w:p w14:paraId="7CF9D4FB" w14:textId="77777777" w:rsidR="006E2147" w:rsidRDefault="006E2147">
            <w:pPr>
              <w:rPr>
                <w:color w:val="000000"/>
                <w:lang w:val="nl-NL"/>
              </w:rPr>
            </w:pPr>
            <w:r>
              <w:rPr>
                <w:color w:val="000000"/>
                <w:lang w:val="nl-NL"/>
              </w:rPr>
              <w:t>Tel: +386 360 00 408</w:t>
            </w:r>
          </w:p>
          <w:p w14:paraId="176C98B2" w14:textId="77777777" w:rsidR="006E2147" w:rsidRDefault="006E2147">
            <w:pPr>
              <w:suppressAutoHyphens/>
              <w:rPr>
                <w:b/>
                <w:color w:val="000000"/>
                <w:lang w:val="nl-NL"/>
              </w:rPr>
            </w:pPr>
          </w:p>
        </w:tc>
      </w:tr>
      <w:tr w:rsidR="006E2147" w14:paraId="7C085718" w14:textId="77777777" w:rsidTr="006E2147">
        <w:trPr>
          <w:cantSplit/>
          <w:trHeight w:val="20"/>
        </w:trPr>
        <w:tc>
          <w:tcPr>
            <w:tcW w:w="4535" w:type="dxa"/>
          </w:tcPr>
          <w:p w14:paraId="4D3D3F28" w14:textId="77777777" w:rsidR="006E2147" w:rsidRDefault="006E2147">
            <w:pPr>
              <w:rPr>
                <w:b/>
                <w:color w:val="000000"/>
                <w:lang w:val="nl-NL"/>
              </w:rPr>
            </w:pPr>
            <w:r>
              <w:rPr>
                <w:b/>
                <w:color w:val="000000"/>
                <w:lang w:val="nl-NL"/>
              </w:rPr>
              <w:t>Ísland</w:t>
            </w:r>
          </w:p>
          <w:p w14:paraId="41ACCCE7" w14:textId="13EF917D" w:rsidR="006E2147" w:rsidRDefault="000E7E03">
            <w:pPr>
              <w:rPr>
                <w:color w:val="000000"/>
                <w:lang w:val="nl-NL"/>
              </w:rPr>
            </w:pPr>
            <w:r w:rsidRPr="000E7E03">
              <w:rPr>
                <w:color w:val="000000"/>
                <w:lang w:val="nl-NL"/>
              </w:rPr>
              <w:t>Alvogen ehf.</w:t>
            </w:r>
          </w:p>
          <w:p w14:paraId="1D3D9EEC" w14:textId="68AD2D44" w:rsidR="006E2147" w:rsidRDefault="006E2147">
            <w:pPr>
              <w:suppressAutoHyphens/>
              <w:rPr>
                <w:color w:val="000000"/>
                <w:lang w:val="nl-NL"/>
              </w:rPr>
            </w:pPr>
            <w:r>
              <w:rPr>
                <w:color w:val="000000"/>
                <w:lang w:val="nl-NL"/>
              </w:rPr>
              <w:t xml:space="preserve">Sími: </w:t>
            </w:r>
            <w:r w:rsidR="000E7E03" w:rsidRPr="000E7E03">
              <w:rPr>
                <w:color w:val="000000"/>
                <w:lang w:val="nl-NL"/>
              </w:rPr>
              <w:t>+354 522 2900</w:t>
            </w:r>
          </w:p>
          <w:p w14:paraId="600697E1" w14:textId="77777777" w:rsidR="006E2147" w:rsidRDefault="006E2147">
            <w:pPr>
              <w:suppressAutoHyphens/>
              <w:rPr>
                <w:color w:val="000000"/>
                <w:lang w:val="nl-NL"/>
              </w:rPr>
            </w:pPr>
          </w:p>
        </w:tc>
        <w:tc>
          <w:tcPr>
            <w:tcW w:w="4535" w:type="dxa"/>
          </w:tcPr>
          <w:p w14:paraId="77FD6BE6" w14:textId="77777777" w:rsidR="006E2147" w:rsidRPr="00D13473" w:rsidRDefault="006E2147">
            <w:pPr>
              <w:suppressAutoHyphens/>
              <w:rPr>
                <w:b/>
                <w:color w:val="000000"/>
                <w:lang w:val="nl-NL"/>
              </w:rPr>
            </w:pPr>
            <w:r>
              <w:rPr>
                <w:b/>
                <w:color w:val="000000"/>
              </w:rPr>
              <w:t>Slovenská republika</w:t>
            </w:r>
          </w:p>
          <w:p w14:paraId="50215C9A" w14:textId="77777777" w:rsidR="006E2147" w:rsidRDefault="006E2147">
            <w:pPr>
              <w:rPr>
                <w:color w:val="000000"/>
              </w:rPr>
            </w:pPr>
            <w:r>
              <w:rPr>
                <w:color w:val="000000"/>
              </w:rPr>
              <w:t>Zentiva, a.s.</w:t>
            </w:r>
          </w:p>
          <w:p w14:paraId="2AEA5823" w14:textId="77777777" w:rsidR="006E2147" w:rsidRDefault="006E2147">
            <w:pPr>
              <w:rPr>
                <w:color w:val="000000"/>
              </w:rPr>
            </w:pPr>
            <w:r>
              <w:rPr>
                <w:color w:val="000000"/>
              </w:rPr>
              <w:t>Tel: +421 2 3918 3010</w:t>
            </w:r>
          </w:p>
          <w:p w14:paraId="7B440889" w14:textId="77777777" w:rsidR="006E2147" w:rsidRDefault="006E2147">
            <w:pPr>
              <w:suppressAutoHyphens/>
              <w:rPr>
                <w:b/>
                <w:color w:val="000000"/>
              </w:rPr>
            </w:pPr>
          </w:p>
        </w:tc>
      </w:tr>
      <w:tr w:rsidR="006E2147" w14:paraId="687865B6" w14:textId="77777777" w:rsidTr="006E2147">
        <w:trPr>
          <w:cantSplit/>
          <w:trHeight w:val="20"/>
        </w:trPr>
        <w:tc>
          <w:tcPr>
            <w:tcW w:w="4535" w:type="dxa"/>
          </w:tcPr>
          <w:p w14:paraId="67022023" w14:textId="77777777" w:rsidR="006E2147" w:rsidRDefault="006E2147">
            <w:pPr>
              <w:rPr>
                <w:color w:val="000000"/>
              </w:rPr>
            </w:pPr>
            <w:r>
              <w:rPr>
                <w:b/>
                <w:color w:val="000000"/>
              </w:rPr>
              <w:t>Italia</w:t>
            </w:r>
          </w:p>
          <w:p w14:paraId="5797D89F" w14:textId="77777777" w:rsidR="006E2147" w:rsidRDefault="006E2147">
            <w:pPr>
              <w:autoSpaceDE w:val="0"/>
              <w:autoSpaceDN w:val="0"/>
              <w:rPr>
                <w:bCs/>
                <w:color w:val="000000"/>
              </w:rPr>
            </w:pPr>
            <w:r>
              <w:rPr>
                <w:bCs/>
                <w:color w:val="000000"/>
              </w:rPr>
              <w:t>Zentiva Italia S.r.l.</w:t>
            </w:r>
          </w:p>
          <w:p w14:paraId="775E39E7" w14:textId="3C87D237" w:rsidR="006E2147" w:rsidRDefault="006E2147">
            <w:pPr>
              <w:rPr>
                <w:bCs/>
                <w:color w:val="000000"/>
              </w:rPr>
            </w:pPr>
            <w:r>
              <w:rPr>
                <w:bCs/>
                <w:color w:val="000000"/>
              </w:rPr>
              <w:t xml:space="preserve">Tel: +39 </w:t>
            </w:r>
            <w:r w:rsidR="0049736A" w:rsidRPr="0049736A">
              <w:rPr>
                <w:bCs/>
                <w:color w:val="000000"/>
              </w:rPr>
              <w:t>800081631</w:t>
            </w:r>
          </w:p>
          <w:p w14:paraId="74E05391" w14:textId="77777777" w:rsidR="006E2147" w:rsidRDefault="006E2147">
            <w:pPr>
              <w:rPr>
                <w:b/>
                <w:color w:val="000000"/>
              </w:rPr>
            </w:pPr>
          </w:p>
        </w:tc>
        <w:tc>
          <w:tcPr>
            <w:tcW w:w="4535" w:type="dxa"/>
          </w:tcPr>
          <w:p w14:paraId="5CF2DD3B" w14:textId="77777777" w:rsidR="006E2147" w:rsidRDefault="006E2147">
            <w:pPr>
              <w:suppressAutoHyphens/>
              <w:rPr>
                <w:color w:val="000000"/>
              </w:rPr>
            </w:pPr>
            <w:r>
              <w:rPr>
                <w:b/>
                <w:color w:val="000000"/>
              </w:rPr>
              <w:t>Suomi/Finland</w:t>
            </w:r>
          </w:p>
          <w:p w14:paraId="6C1E0E80" w14:textId="77777777" w:rsidR="006E2147" w:rsidRDefault="006E2147">
            <w:pPr>
              <w:rPr>
                <w:color w:val="000000"/>
              </w:rPr>
            </w:pPr>
            <w:r>
              <w:rPr>
                <w:color w:val="000000"/>
              </w:rPr>
              <w:t>Medical Valley Invest AB</w:t>
            </w:r>
          </w:p>
          <w:p w14:paraId="581F3E2F" w14:textId="77777777" w:rsidR="006E2147" w:rsidRDefault="006E2147">
            <w:pPr>
              <w:rPr>
                <w:color w:val="000000"/>
              </w:rPr>
            </w:pPr>
            <w:r>
              <w:rPr>
                <w:color w:val="000000"/>
              </w:rPr>
              <w:t>Puh/Tel: +46 40 122131</w:t>
            </w:r>
          </w:p>
          <w:p w14:paraId="41A16A50" w14:textId="77777777" w:rsidR="006E2147" w:rsidRDefault="006E2147">
            <w:pPr>
              <w:suppressAutoHyphens/>
              <w:rPr>
                <w:color w:val="000000"/>
              </w:rPr>
            </w:pPr>
          </w:p>
        </w:tc>
      </w:tr>
      <w:tr w:rsidR="006E2147" w14:paraId="0AF5CAF8" w14:textId="77777777" w:rsidTr="006E2147">
        <w:trPr>
          <w:cantSplit/>
          <w:trHeight w:val="20"/>
        </w:trPr>
        <w:tc>
          <w:tcPr>
            <w:tcW w:w="4535" w:type="dxa"/>
          </w:tcPr>
          <w:p w14:paraId="6DE2F179" w14:textId="77777777" w:rsidR="006E2147" w:rsidRPr="00B91565" w:rsidRDefault="006E2147">
            <w:pPr>
              <w:rPr>
                <w:b/>
                <w:color w:val="000000"/>
              </w:rPr>
            </w:pPr>
            <w:r>
              <w:rPr>
                <w:b/>
                <w:color w:val="000000"/>
              </w:rPr>
              <w:t>Κύπρος</w:t>
            </w:r>
          </w:p>
          <w:p w14:paraId="3656A08D" w14:textId="77777777" w:rsidR="006E2147" w:rsidRPr="00B91565" w:rsidRDefault="006E2147">
            <w:pPr>
              <w:rPr>
                <w:color w:val="000000"/>
              </w:rPr>
            </w:pPr>
            <w:r w:rsidRPr="00B91565">
              <w:rPr>
                <w:color w:val="000000"/>
              </w:rPr>
              <w:t>Win Medica S.A.</w:t>
            </w:r>
          </w:p>
          <w:p w14:paraId="345A02C9" w14:textId="77777777" w:rsidR="006E2147" w:rsidRPr="00B91565" w:rsidRDefault="006E2147">
            <w:pPr>
              <w:suppressAutoHyphens/>
              <w:rPr>
                <w:color w:val="000000"/>
              </w:rPr>
            </w:pPr>
            <w:r>
              <w:rPr>
                <w:color w:val="000000"/>
              </w:rPr>
              <w:t>Τηλ: +30 210 7488 821</w:t>
            </w:r>
          </w:p>
          <w:p w14:paraId="7C29B062" w14:textId="77777777" w:rsidR="006E2147" w:rsidRDefault="006E2147">
            <w:pPr>
              <w:rPr>
                <w:b/>
                <w:color w:val="000000"/>
              </w:rPr>
            </w:pPr>
          </w:p>
        </w:tc>
        <w:tc>
          <w:tcPr>
            <w:tcW w:w="4535" w:type="dxa"/>
          </w:tcPr>
          <w:p w14:paraId="666097DC" w14:textId="77777777" w:rsidR="006E2147" w:rsidRDefault="006E2147">
            <w:pPr>
              <w:suppressAutoHyphens/>
              <w:rPr>
                <w:b/>
                <w:color w:val="000000"/>
              </w:rPr>
            </w:pPr>
            <w:r>
              <w:rPr>
                <w:b/>
                <w:color w:val="000000"/>
              </w:rPr>
              <w:t>Sverige</w:t>
            </w:r>
          </w:p>
          <w:p w14:paraId="22AEC14B" w14:textId="77777777" w:rsidR="006E2147" w:rsidRDefault="006E2147">
            <w:pPr>
              <w:rPr>
                <w:color w:val="000000"/>
              </w:rPr>
            </w:pPr>
            <w:r>
              <w:rPr>
                <w:color w:val="000000"/>
              </w:rPr>
              <w:t>Medical Valley Invest AB</w:t>
            </w:r>
          </w:p>
          <w:p w14:paraId="253A2314" w14:textId="77777777" w:rsidR="006E2147" w:rsidRDefault="006E2147">
            <w:pPr>
              <w:rPr>
                <w:color w:val="000000"/>
              </w:rPr>
            </w:pPr>
            <w:r>
              <w:rPr>
                <w:color w:val="000000"/>
              </w:rPr>
              <w:t>Tel: +46 40 122131</w:t>
            </w:r>
          </w:p>
          <w:p w14:paraId="42607F05" w14:textId="77777777" w:rsidR="006E2147" w:rsidRDefault="006E2147">
            <w:pPr>
              <w:suppressAutoHyphens/>
              <w:rPr>
                <w:b/>
                <w:color w:val="000000"/>
              </w:rPr>
            </w:pPr>
          </w:p>
        </w:tc>
      </w:tr>
      <w:tr w:rsidR="006E2147" w14:paraId="3254C183" w14:textId="77777777" w:rsidTr="006E2147">
        <w:trPr>
          <w:cantSplit/>
          <w:trHeight w:val="20"/>
        </w:trPr>
        <w:tc>
          <w:tcPr>
            <w:tcW w:w="4535" w:type="dxa"/>
          </w:tcPr>
          <w:p w14:paraId="12785201" w14:textId="77777777" w:rsidR="006E2147" w:rsidRDefault="006E2147">
            <w:pPr>
              <w:rPr>
                <w:b/>
                <w:color w:val="000000"/>
                <w:lang w:val="nl-NL"/>
              </w:rPr>
            </w:pPr>
            <w:r>
              <w:rPr>
                <w:b/>
                <w:color w:val="000000"/>
                <w:lang w:val="nl-NL"/>
              </w:rPr>
              <w:t>Latvija</w:t>
            </w:r>
          </w:p>
          <w:p w14:paraId="2CEEB5E6" w14:textId="77777777" w:rsidR="006E2147" w:rsidRDefault="006E2147">
            <w:pPr>
              <w:autoSpaceDE w:val="0"/>
              <w:autoSpaceDN w:val="0"/>
              <w:adjustRightInd w:val="0"/>
              <w:rPr>
                <w:color w:val="000000"/>
                <w:lang w:val="nl-NL"/>
              </w:rPr>
            </w:pPr>
            <w:r>
              <w:rPr>
                <w:color w:val="000000"/>
                <w:lang w:val="nl-NL"/>
              </w:rPr>
              <w:t>Zentiva, k.s.</w:t>
            </w:r>
          </w:p>
          <w:p w14:paraId="5CC5019C" w14:textId="77777777" w:rsidR="006E2147" w:rsidRDefault="006E2147">
            <w:pPr>
              <w:autoSpaceDE w:val="0"/>
              <w:autoSpaceDN w:val="0"/>
              <w:adjustRightInd w:val="0"/>
              <w:rPr>
                <w:color w:val="000000"/>
                <w:lang w:val="nl-NL"/>
              </w:rPr>
            </w:pPr>
            <w:r>
              <w:rPr>
                <w:color w:val="000000"/>
                <w:lang w:val="nl-NL"/>
              </w:rPr>
              <w:t>Tel: +371 67893939</w:t>
            </w:r>
          </w:p>
          <w:p w14:paraId="0CDB9B56" w14:textId="77777777" w:rsidR="006E2147" w:rsidRDefault="006E2147">
            <w:pPr>
              <w:suppressAutoHyphens/>
              <w:rPr>
                <w:color w:val="000000"/>
                <w:lang w:val="nl-NL"/>
              </w:rPr>
            </w:pPr>
          </w:p>
        </w:tc>
        <w:tc>
          <w:tcPr>
            <w:tcW w:w="4535" w:type="dxa"/>
          </w:tcPr>
          <w:p w14:paraId="457B9D77" w14:textId="77777777" w:rsidR="006E2147" w:rsidRDefault="006E2147" w:rsidP="00772AC8">
            <w:pPr>
              <w:suppressAutoHyphens/>
              <w:rPr>
                <w:color w:val="000000"/>
              </w:rPr>
            </w:pPr>
          </w:p>
        </w:tc>
      </w:tr>
    </w:tbl>
    <w:p w14:paraId="78908BEA" w14:textId="77777777" w:rsidR="006E2147" w:rsidRPr="00F37D4D" w:rsidRDefault="006E2147" w:rsidP="00F64BF9">
      <w:pPr>
        <w:keepNext/>
        <w:spacing w:line="240" w:lineRule="auto"/>
      </w:pPr>
    </w:p>
    <w:p w14:paraId="5C547B3B" w14:textId="77777777" w:rsidR="004272BB" w:rsidRPr="00F37D4D" w:rsidRDefault="004272BB" w:rsidP="00F64BF9">
      <w:pPr>
        <w:keepNext/>
        <w:spacing w:line="240" w:lineRule="auto"/>
      </w:pPr>
    </w:p>
    <w:p w14:paraId="30085D94" w14:textId="77777777" w:rsidR="009B6496" w:rsidRPr="00457250" w:rsidRDefault="00BE7CB1" w:rsidP="00F64BF9">
      <w:pPr>
        <w:spacing w:line="240" w:lineRule="auto"/>
        <w:rPr>
          <w:b/>
          <w:bCs/>
        </w:rPr>
      </w:pPr>
      <w:r>
        <w:rPr>
          <w:b/>
        </w:rPr>
        <w:t>Táto písomná informácia bola naposledy aktualizovaná v &lt;{MM/RRRR}&gt;&lt;{mesiac RRRR}&gt;.</w:t>
      </w:r>
    </w:p>
    <w:p w14:paraId="4BFAB3C2" w14:textId="77777777" w:rsidR="009B6496" w:rsidRPr="00F37D4D" w:rsidRDefault="009B6496" w:rsidP="00F64BF9">
      <w:pPr>
        <w:spacing w:line="240" w:lineRule="auto"/>
        <w:rPr>
          <w:szCs w:val="22"/>
        </w:rPr>
      </w:pPr>
    </w:p>
    <w:p w14:paraId="6BCEEDC5" w14:textId="77777777" w:rsidR="00A76D67" w:rsidRPr="00457250" w:rsidRDefault="00BE7CB1" w:rsidP="00F64BF9">
      <w:pPr>
        <w:keepNext/>
        <w:spacing w:line="240" w:lineRule="auto"/>
        <w:rPr>
          <w:b/>
          <w:bCs/>
        </w:rPr>
      </w:pPr>
      <w:r>
        <w:rPr>
          <w:b/>
        </w:rPr>
        <w:t>Ďalšie zdroje informácií</w:t>
      </w:r>
    </w:p>
    <w:p w14:paraId="7C8485AA" w14:textId="77777777" w:rsidR="009B6496" w:rsidRPr="00F37D4D" w:rsidRDefault="009B6496" w:rsidP="00F64BF9">
      <w:pPr>
        <w:keepNext/>
        <w:spacing w:line="240" w:lineRule="auto"/>
      </w:pPr>
    </w:p>
    <w:p w14:paraId="0308C891" w14:textId="77777777" w:rsidR="00A72679" w:rsidRPr="00F37D4D" w:rsidRDefault="00BE7CB1" w:rsidP="00F64BF9">
      <w:pPr>
        <w:spacing w:line="240" w:lineRule="auto"/>
        <w:rPr>
          <w:szCs w:val="22"/>
        </w:rPr>
      </w:pPr>
      <w:r>
        <w:t xml:space="preserve">Podrobné informácie o tomto lieku sú dostupné na internetovej stránke Európskej agentúry pre lieky: </w:t>
      </w:r>
      <w:hyperlink w:history="1">
        <w:r>
          <w:rPr>
            <w:rStyle w:val="Hyperlink"/>
          </w:rPr>
          <w:t>http://www.ema.europa.eu</w:t>
        </w:r>
      </w:hyperlink>
    </w:p>
    <w:p w14:paraId="48746A93" w14:textId="45D55650" w:rsidR="00772AC8" w:rsidRPr="00755C59" w:rsidRDefault="00772AC8" w:rsidP="00755C59">
      <w:pPr>
        <w:spacing w:line="240" w:lineRule="auto"/>
      </w:pPr>
    </w:p>
    <w:sectPr w:rsidR="00772AC8" w:rsidRPr="00755C59"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6635" w14:textId="77777777" w:rsidR="00B07566" w:rsidRDefault="00B07566">
      <w:pPr>
        <w:spacing w:line="240" w:lineRule="auto"/>
      </w:pPr>
      <w:r>
        <w:separator/>
      </w:r>
    </w:p>
  </w:endnote>
  <w:endnote w:type="continuationSeparator" w:id="0">
    <w:p w14:paraId="14C1936C" w14:textId="77777777" w:rsidR="00B07566" w:rsidRDefault="00B07566">
      <w:pPr>
        <w:spacing w:line="240" w:lineRule="auto"/>
      </w:pPr>
      <w:r>
        <w:continuationSeparator/>
      </w:r>
    </w:p>
  </w:endnote>
  <w:endnote w:type="continuationNotice" w:id="1">
    <w:p w14:paraId="2361BE03" w14:textId="77777777" w:rsidR="00B07566" w:rsidRDefault="00B075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6862" w14:textId="77777777" w:rsidR="001E3A0C" w:rsidRDefault="001E3A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63B4">
      <w:rPr>
        <w:rStyle w:val="PageNumber"/>
        <w:rFonts w:cs="Arial"/>
      </w:rPr>
      <w:t>74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579E" w14:textId="77777777" w:rsidR="001E3A0C" w:rsidRDefault="001E3A0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63B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AFFD" w14:textId="77777777" w:rsidR="00B07566" w:rsidRDefault="00B07566">
      <w:pPr>
        <w:spacing w:line="240" w:lineRule="auto"/>
      </w:pPr>
      <w:r>
        <w:separator/>
      </w:r>
    </w:p>
  </w:footnote>
  <w:footnote w:type="continuationSeparator" w:id="0">
    <w:p w14:paraId="19D288A3" w14:textId="77777777" w:rsidR="00B07566" w:rsidRDefault="00B07566">
      <w:pPr>
        <w:spacing w:line="240" w:lineRule="auto"/>
      </w:pPr>
      <w:r>
        <w:continuationSeparator/>
      </w:r>
    </w:p>
  </w:footnote>
  <w:footnote w:type="continuationNotice" w:id="1">
    <w:p w14:paraId="2A269CCC" w14:textId="77777777" w:rsidR="00B07566" w:rsidRDefault="00B075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7125" w14:textId="074F217F" w:rsidR="001E3A0C" w:rsidRPr="00DA1351" w:rsidRDefault="001E3A0C"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58D6"/>
    <w:multiLevelType w:val="hybridMultilevel"/>
    <w:tmpl w:val="A162AA4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5"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7"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9"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5"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6"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1"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2"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5"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1988825470">
    <w:abstractNumId w:val="0"/>
  </w:num>
  <w:num w:numId="2" w16cid:durableId="2101444174">
    <w:abstractNumId w:val="36"/>
  </w:num>
  <w:num w:numId="3" w16cid:durableId="2074542743">
    <w:abstractNumId w:val="38"/>
  </w:num>
  <w:num w:numId="4" w16cid:durableId="355620861">
    <w:abstractNumId w:val="18"/>
  </w:num>
  <w:num w:numId="5" w16cid:durableId="447551496">
    <w:abstractNumId w:val="24"/>
  </w:num>
  <w:num w:numId="6" w16cid:durableId="867453774">
    <w:abstractNumId w:val="9"/>
  </w:num>
  <w:num w:numId="7" w16cid:durableId="153762696">
    <w:abstractNumId w:val="15"/>
  </w:num>
  <w:num w:numId="8" w16cid:durableId="1719668404">
    <w:abstractNumId w:val="35"/>
  </w:num>
  <w:num w:numId="9" w16cid:durableId="764151529">
    <w:abstractNumId w:val="21"/>
  </w:num>
  <w:num w:numId="10" w16cid:durableId="612833234">
    <w:abstractNumId w:val="17"/>
  </w:num>
  <w:num w:numId="11" w16cid:durableId="1435590130">
    <w:abstractNumId w:val="4"/>
  </w:num>
  <w:num w:numId="12" w16cid:durableId="571812835">
    <w:abstractNumId w:val="1"/>
  </w:num>
  <w:num w:numId="13" w16cid:durableId="1705979668">
    <w:abstractNumId w:val="22"/>
  </w:num>
  <w:num w:numId="14" w16cid:durableId="1065759423">
    <w:abstractNumId w:val="7"/>
  </w:num>
  <w:num w:numId="15" w16cid:durableId="1934819635">
    <w:abstractNumId w:val="23"/>
  </w:num>
  <w:num w:numId="16" w16cid:durableId="1902013561">
    <w:abstractNumId w:val="8"/>
  </w:num>
  <w:num w:numId="17" w16cid:durableId="1008293723">
    <w:abstractNumId w:val="26"/>
  </w:num>
  <w:num w:numId="18" w16cid:durableId="784889516">
    <w:abstractNumId w:val="28"/>
  </w:num>
  <w:num w:numId="19" w16cid:durableId="290206181">
    <w:abstractNumId w:val="33"/>
  </w:num>
  <w:num w:numId="20" w16cid:durableId="760761156">
    <w:abstractNumId w:val="37"/>
  </w:num>
  <w:num w:numId="21" w16cid:durableId="1960407273">
    <w:abstractNumId w:val="3"/>
  </w:num>
  <w:num w:numId="22" w16cid:durableId="1318994288">
    <w:abstractNumId w:val="5"/>
  </w:num>
  <w:num w:numId="23" w16cid:durableId="193738706">
    <w:abstractNumId w:val="6"/>
  </w:num>
  <w:num w:numId="24" w16cid:durableId="2011135683">
    <w:abstractNumId w:val="11"/>
  </w:num>
  <w:num w:numId="25" w16cid:durableId="302780170">
    <w:abstractNumId w:val="10"/>
  </w:num>
  <w:num w:numId="26" w16cid:durableId="1196430333">
    <w:abstractNumId w:val="19"/>
  </w:num>
  <w:num w:numId="27" w16cid:durableId="1028484929">
    <w:abstractNumId w:val="32"/>
  </w:num>
  <w:num w:numId="28" w16cid:durableId="1521430287">
    <w:abstractNumId w:val="29"/>
  </w:num>
  <w:num w:numId="29" w16cid:durableId="692654748">
    <w:abstractNumId w:val="20"/>
  </w:num>
  <w:num w:numId="30" w16cid:durableId="1393776406">
    <w:abstractNumId w:val="12"/>
  </w:num>
  <w:num w:numId="31" w16cid:durableId="119495186">
    <w:abstractNumId w:val="34"/>
  </w:num>
  <w:num w:numId="32" w16cid:durableId="1896161819">
    <w:abstractNumId w:val="13"/>
  </w:num>
  <w:num w:numId="33" w16cid:durableId="1407148707">
    <w:abstractNumId w:val="31"/>
  </w:num>
  <w:num w:numId="34" w16cid:durableId="1740906626">
    <w:abstractNumId w:val="30"/>
  </w:num>
  <w:num w:numId="35" w16cid:durableId="2074158392">
    <w:abstractNumId w:val="16"/>
  </w:num>
  <w:num w:numId="36" w16cid:durableId="1075788002">
    <w:abstractNumId w:val="14"/>
  </w:num>
  <w:num w:numId="37" w16cid:durableId="389773852">
    <w:abstractNumId w:val="25"/>
  </w:num>
  <w:num w:numId="38" w16cid:durableId="612832661">
    <w:abstractNumId w:val="27"/>
  </w:num>
  <w:num w:numId="39" w16cid:durableId="802581687">
    <w:abstractNumId w:val="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18"/>
    <w:rsid w:val="00000D62"/>
    <w:rsid w:val="00001587"/>
    <w:rsid w:val="0000362A"/>
    <w:rsid w:val="00003AEF"/>
    <w:rsid w:val="00005701"/>
    <w:rsid w:val="00007528"/>
    <w:rsid w:val="0001164F"/>
    <w:rsid w:val="00011E6E"/>
    <w:rsid w:val="00013165"/>
    <w:rsid w:val="00014869"/>
    <w:rsid w:val="000150D3"/>
    <w:rsid w:val="000166C1"/>
    <w:rsid w:val="00017E88"/>
    <w:rsid w:val="0002006B"/>
    <w:rsid w:val="00020AE8"/>
    <w:rsid w:val="000212BB"/>
    <w:rsid w:val="000217DE"/>
    <w:rsid w:val="00023150"/>
    <w:rsid w:val="00023A2C"/>
    <w:rsid w:val="00023D1D"/>
    <w:rsid w:val="00025EBE"/>
    <w:rsid w:val="00026BF2"/>
    <w:rsid w:val="000271F6"/>
    <w:rsid w:val="00027BFB"/>
    <w:rsid w:val="00030445"/>
    <w:rsid w:val="000318C7"/>
    <w:rsid w:val="00033D26"/>
    <w:rsid w:val="00033FDB"/>
    <w:rsid w:val="000344F6"/>
    <w:rsid w:val="00041CA6"/>
    <w:rsid w:val="00042263"/>
    <w:rsid w:val="00043505"/>
    <w:rsid w:val="00043C70"/>
    <w:rsid w:val="00043E88"/>
    <w:rsid w:val="00044042"/>
    <w:rsid w:val="000440B7"/>
    <w:rsid w:val="000467D3"/>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311"/>
    <w:rsid w:val="00061FEE"/>
    <w:rsid w:val="000631FD"/>
    <w:rsid w:val="000643D3"/>
    <w:rsid w:val="00067B16"/>
    <w:rsid w:val="000716AE"/>
    <w:rsid w:val="00071F8A"/>
    <w:rsid w:val="00073CA0"/>
    <w:rsid w:val="00073E04"/>
    <w:rsid w:val="0007401B"/>
    <w:rsid w:val="000757B2"/>
    <w:rsid w:val="0007628D"/>
    <w:rsid w:val="000777EC"/>
    <w:rsid w:val="00081DAB"/>
    <w:rsid w:val="000872A0"/>
    <w:rsid w:val="00092829"/>
    <w:rsid w:val="00092B09"/>
    <w:rsid w:val="0009351E"/>
    <w:rsid w:val="0009479A"/>
    <w:rsid w:val="00094AD6"/>
    <w:rsid w:val="00095D61"/>
    <w:rsid w:val="00095E44"/>
    <w:rsid w:val="00096D8D"/>
    <w:rsid w:val="0009755A"/>
    <w:rsid w:val="000A1232"/>
    <w:rsid w:val="000A30E5"/>
    <w:rsid w:val="000A40D0"/>
    <w:rsid w:val="000A7C4F"/>
    <w:rsid w:val="000B0097"/>
    <w:rsid w:val="000B101F"/>
    <w:rsid w:val="000B1F4B"/>
    <w:rsid w:val="000B2F27"/>
    <w:rsid w:val="000B2F58"/>
    <w:rsid w:val="000B37A8"/>
    <w:rsid w:val="000B51D9"/>
    <w:rsid w:val="000C03FB"/>
    <w:rsid w:val="000C12D1"/>
    <w:rsid w:val="000C308F"/>
    <w:rsid w:val="000C43D6"/>
    <w:rsid w:val="000C59E9"/>
    <w:rsid w:val="000C5A4E"/>
    <w:rsid w:val="000C5E42"/>
    <w:rsid w:val="000C635D"/>
    <w:rsid w:val="000C7B1E"/>
    <w:rsid w:val="000C7F49"/>
    <w:rsid w:val="000D1AEE"/>
    <w:rsid w:val="000D1F4F"/>
    <w:rsid w:val="000D4D07"/>
    <w:rsid w:val="000D7535"/>
    <w:rsid w:val="000E165D"/>
    <w:rsid w:val="000E1BAF"/>
    <w:rsid w:val="000E223E"/>
    <w:rsid w:val="000E2491"/>
    <w:rsid w:val="000E2EA9"/>
    <w:rsid w:val="000E41A8"/>
    <w:rsid w:val="000E46A3"/>
    <w:rsid w:val="000E4CE3"/>
    <w:rsid w:val="000E4E88"/>
    <w:rsid w:val="000E54AF"/>
    <w:rsid w:val="000E5726"/>
    <w:rsid w:val="000E6C94"/>
    <w:rsid w:val="000E7E03"/>
    <w:rsid w:val="000F0277"/>
    <w:rsid w:val="000F1BB2"/>
    <w:rsid w:val="000F217A"/>
    <w:rsid w:val="000F3F94"/>
    <w:rsid w:val="000F5235"/>
    <w:rsid w:val="000F5B21"/>
    <w:rsid w:val="000F61C9"/>
    <w:rsid w:val="000F755A"/>
    <w:rsid w:val="000F7B10"/>
    <w:rsid w:val="0010028D"/>
    <w:rsid w:val="001014C2"/>
    <w:rsid w:val="001019FC"/>
    <w:rsid w:val="00103501"/>
    <w:rsid w:val="00103B2D"/>
    <w:rsid w:val="00103CD2"/>
    <w:rsid w:val="00104061"/>
    <w:rsid w:val="001044F0"/>
    <w:rsid w:val="00107186"/>
    <w:rsid w:val="00107236"/>
    <w:rsid w:val="0010741F"/>
    <w:rsid w:val="001074B3"/>
    <w:rsid w:val="001101A2"/>
    <w:rsid w:val="001106F7"/>
    <w:rsid w:val="001108A9"/>
    <w:rsid w:val="001111FD"/>
    <w:rsid w:val="0011215F"/>
    <w:rsid w:val="00112EDA"/>
    <w:rsid w:val="00114174"/>
    <w:rsid w:val="00117B4A"/>
    <w:rsid w:val="00117C1D"/>
    <w:rsid w:val="0012098D"/>
    <w:rsid w:val="00121459"/>
    <w:rsid w:val="001234CC"/>
    <w:rsid w:val="00123688"/>
    <w:rsid w:val="001259D3"/>
    <w:rsid w:val="0012760E"/>
    <w:rsid w:val="00127F47"/>
    <w:rsid w:val="001328F9"/>
    <w:rsid w:val="00133572"/>
    <w:rsid w:val="00134E4A"/>
    <w:rsid w:val="001364FB"/>
    <w:rsid w:val="001365F2"/>
    <w:rsid w:val="00136D7A"/>
    <w:rsid w:val="001374C5"/>
    <w:rsid w:val="00141470"/>
    <w:rsid w:val="00141540"/>
    <w:rsid w:val="00142639"/>
    <w:rsid w:val="00142B26"/>
    <w:rsid w:val="001449DF"/>
    <w:rsid w:val="0014569B"/>
    <w:rsid w:val="001470E0"/>
    <w:rsid w:val="0014716E"/>
    <w:rsid w:val="00147D34"/>
    <w:rsid w:val="00150060"/>
    <w:rsid w:val="0015465A"/>
    <w:rsid w:val="00154727"/>
    <w:rsid w:val="00154C69"/>
    <w:rsid w:val="0015704C"/>
    <w:rsid w:val="00157895"/>
    <w:rsid w:val="00161701"/>
    <w:rsid w:val="00161E87"/>
    <w:rsid w:val="00162714"/>
    <w:rsid w:val="00164E03"/>
    <w:rsid w:val="00165382"/>
    <w:rsid w:val="0016566C"/>
    <w:rsid w:val="0016582E"/>
    <w:rsid w:val="001672DF"/>
    <w:rsid w:val="00167D1D"/>
    <w:rsid w:val="00171A1C"/>
    <w:rsid w:val="001727F0"/>
    <w:rsid w:val="00172B06"/>
    <w:rsid w:val="0017347E"/>
    <w:rsid w:val="00173F63"/>
    <w:rsid w:val="00174209"/>
    <w:rsid w:val="001752D8"/>
    <w:rsid w:val="00175931"/>
    <w:rsid w:val="00176084"/>
    <w:rsid w:val="00176B25"/>
    <w:rsid w:val="0018238B"/>
    <w:rsid w:val="0018259F"/>
    <w:rsid w:val="00183419"/>
    <w:rsid w:val="0018394A"/>
    <w:rsid w:val="001841B0"/>
    <w:rsid w:val="00184D3A"/>
    <w:rsid w:val="00184DCC"/>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A07E2"/>
    <w:rsid w:val="001A0A5D"/>
    <w:rsid w:val="001A1BBA"/>
    <w:rsid w:val="001A2018"/>
    <w:rsid w:val="001A56F1"/>
    <w:rsid w:val="001A5D0E"/>
    <w:rsid w:val="001A640B"/>
    <w:rsid w:val="001B01C8"/>
    <w:rsid w:val="001B066C"/>
    <w:rsid w:val="001B0982"/>
    <w:rsid w:val="001B0B52"/>
    <w:rsid w:val="001B13F6"/>
    <w:rsid w:val="001B1747"/>
    <w:rsid w:val="001B1DBF"/>
    <w:rsid w:val="001B2D44"/>
    <w:rsid w:val="001B34C1"/>
    <w:rsid w:val="001B45D3"/>
    <w:rsid w:val="001B7400"/>
    <w:rsid w:val="001B752A"/>
    <w:rsid w:val="001C12FB"/>
    <w:rsid w:val="001C2DB4"/>
    <w:rsid w:val="001C3228"/>
    <w:rsid w:val="001C35E9"/>
    <w:rsid w:val="001C36BD"/>
    <w:rsid w:val="001C3733"/>
    <w:rsid w:val="001C49B3"/>
    <w:rsid w:val="001C5B30"/>
    <w:rsid w:val="001C6C8C"/>
    <w:rsid w:val="001D1DC8"/>
    <w:rsid w:val="001D2953"/>
    <w:rsid w:val="001D3910"/>
    <w:rsid w:val="001D3C05"/>
    <w:rsid w:val="001D6AF4"/>
    <w:rsid w:val="001E0CC1"/>
    <w:rsid w:val="001E1C10"/>
    <w:rsid w:val="001E217E"/>
    <w:rsid w:val="001E3A0C"/>
    <w:rsid w:val="001E3CC0"/>
    <w:rsid w:val="001E77C3"/>
    <w:rsid w:val="001F090B"/>
    <w:rsid w:val="001F180A"/>
    <w:rsid w:val="001F1A28"/>
    <w:rsid w:val="001F1AD0"/>
    <w:rsid w:val="001F35E8"/>
    <w:rsid w:val="001F3D37"/>
    <w:rsid w:val="001F4014"/>
    <w:rsid w:val="001F445E"/>
    <w:rsid w:val="001F6423"/>
    <w:rsid w:val="00201213"/>
    <w:rsid w:val="0020165E"/>
    <w:rsid w:val="0020272E"/>
    <w:rsid w:val="00202E50"/>
    <w:rsid w:val="00204AAB"/>
    <w:rsid w:val="00205180"/>
    <w:rsid w:val="00207F81"/>
    <w:rsid w:val="002109F4"/>
    <w:rsid w:val="00211FDA"/>
    <w:rsid w:val="0021272F"/>
    <w:rsid w:val="00215FDA"/>
    <w:rsid w:val="002160C2"/>
    <w:rsid w:val="002216C5"/>
    <w:rsid w:val="00222BB9"/>
    <w:rsid w:val="002258D6"/>
    <w:rsid w:val="002270F4"/>
    <w:rsid w:val="002274FB"/>
    <w:rsid w:val="002309D2"/>
    <w:rsid w:val="00230B5A"/>
    <w:rsid w:val="00231170"/>
    <w:rsid w:val="00231B61"/>
    <w:rsid w:val="00232ECC"/>
    <w:rsid w:val="0023315B"/>
    <w:rsid w:val="00233822"/>
    <w:rsid w:val="002347FE"/>
    <w:rsid w:val="002353D2"/>
    <w:rsid w:val="00235834"/>
    <w:rsid w:val="002360D3"/>
    <w:rsid w:val="00236840"/>
    <w:rsid w:val="002406C3"/>
    <w:rsid w:val="0024178D"/>
    <w:rsid w:val="00242536"/>
    <w:rsid w:val="0024392B"/>
    <w:rsid w:val="002450C6"/>
    <w:rsid w:val="00245DCF"/>
    <w:rsid w:val="00246C65"/>
    <w:rsid w:val="00246EF4"/>
    <w:rsid w:val="0024721F"/>
    <w:rsid w:val="00251A10"/>
    <w:rsid w:val="00252BFF"/>
    <w:rsid w:val="00252CA2"/>
    <w:rsid w:val="0025349D"/>
    <w:rsid w:val="00253732"/>
    <w:rsid w:val="002542A8"/>
    <w:rsid w:val="00260A11"/>
    <w:rsid w:val="002613B4"/>
    <w:rsid w:val="0026169A"/>
    <w:rsid w:val="00262763"/>
    <w:rsid w:val="00264BCB"/>
    <w:rsid w:val="00264BEA"/>
    <w:rsid w:val="00264EF1"/>
    <w:rsid w:val="00267850"/>
    <w:rsid w:val="00267CF0"/>
    <w:rsid w:val="00271032"/>
    <w:rsid w:val="00273984"/>
    <w:rsid w:val="00273E3E"/>
    <w:rsid w:val="00274147"/>
    <w:rsid w:val="00274E2A"/>
    <w:rsid w:val="00274E56"/>
    <w:rsid w:val="00275189"/>
    <w:rsid w:val="002756DC"/>
    <w:rsid w:val="00276412"/>
    <w:rsid w:val="00276437"/>
    <w:rsid w:val="0027711B"/>
    <w:rsid w:val="00277DEF"/>
    <w:rsid w:val="00280053"/>
    <w:rsid w:val="0028063F"/>
    <w:rsid w:val="00280740"/>
    <w:rsid w:val="00280F9E"/>
    <w:rsid w:val="00281919"/>
    <w:rsid w:val="00283977"/>
    <w:rsid w:val="00283B02"/>
    <w:rsid w:val="00283C5D"/>
    <w:rsid w:val="00283CE5"/>
    <w:rsid w:val="002844B0"/>
    <w:rsid w:val="00286322"/>
    <w:rsid w:val="0028648E"/>
    <w:rsid w:val="002868C8"/>
    <w:rsid w:val="002912ED"/>
    <w:rsid w:val="00292B9D"/>
    <w:rsid w:val="0029452E"/>
    <w:rsid w:val="0029583E"/>
    <w:rsid w:val="00296B03"/>
    <w:rsid w:val="00296C1F"/>
    <w:rsid w:val="002A0EEE"/>
    <w:rsid w:val="002A41E6"/>
    <w:rsid w:val="002A44C8"/>
    <w:rsid w:val="002A545A"/>
    <w:rsid w:val="002A5E48"/>
    <w:rsid w:val="002A6BBB"/>
    <w:rsid w:val="002B0059"/>
    <w:rsid w:val="002B0455"/>
    <w:rsid w:val="002B261C"/>
    <w:rsid w:val="002B2BEE"/>
    <w:rsid w:val="002B2DA2"/>
    <w:rsid w:val="002B35C5"/>
    <w:rsid w:val="002B3935"/>
    <w:rsid w:val="002B406A"/>
    <w:rsid w:val="002B41D4"/>
    <w:rsid w:val="002B4DD2"/>
    <w:rsid w:val="002B543F"/>
    <w:rsid w:val="002B6165"/>
    <w:rsid w:val="002B7D73"/>
    <w:rsid w:val="002C03BE"/>
    <w:rsid w:val="002C06E3"/>
    <w:rsid w:val="002C0801"/>
    <w:rsid w:val="002C145F"/>
    <w:rsid w:val="002C316C"/>
    <w:rsid w:val="002C33B3"/>
    <w:rsid w:val="002C42F8"/>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3218"/>
    <w:rsid w:val="002F43CA"/>
    <w:rsid w:val="002F57AA"/>
    <w:rsid w:val="002F62B0"/>
    <w:rsid w:val="002F6EF7"/>
    <w:rsid w:val="002F714C"/>
    <w:rsid w:val="002F755C"/>
    <w:rsid w:val="002F77BF"/>
    <w:rsid w:val="003003A4"/>
    <w:rsid w:val="003004A2"/>
    <w:rsid w:val="00300FF9"/>
    <w:rsid w:val="00303804"/>
    <w:rsid w:val="00303DD5"/>
    <w:rsid w:val="0030691A"/>
    <w:rsid w:val="00307B74"/>
    <w:rsid w:val="003101BB"/>
    <w:rsid w:val="00310764"/>
    <w:rsid w:val="00311BFD"/>
    <w:rsid w:val="00313950"/>
    <w:rsid w:val="00314718"/>
    <w:rsid w:val="0031488A"/>
    <w:rsid w:val="003175E1"/>
    <w:rsid w:val="00317770"/>
    <w:rsid w:val="00320203"/>
    <w:rsid w:val="00322002"/>
    <w:rsid w:val="0032403B"/>
    <w:rsid w:val="003247B0"/>
    <w:rsid w:val="00325E81"/>
    <w:rsid w:val="00326948"/>
    <w:rsid w:val="00327052"/>
    <w:rsid w:val="003306B0"/>
    <w:rsid w:val="00331375"/>
    <w:rsid w:val="0033150F"/>
    <w:rsid w:val="00332732"/>
    <w:rsid w:val="003336B6"/>
    <w:rsid w:val="0033486D"/>
    <w:rsid w:val="00335228"/>
    <w:rsid w:val="003367C4"/>
    <w:rsid w:val="00336AB4"/>
    <w:rsid w:val="00336D8E"/>
    <w:rsid w:val="003376B3"/>
    <w:rsid w:val="00340186"/>
    <w:rsid w:val="00340386"/>
    <w:rsid w:val="00342DBA"/>
    <w:rsid w:val="00345F79"/>
    <w:rsid w:val="00345F9C"/>
    <w:rsid w:val="00347776"/>
    <w:rsid w:val="00350AA8"/>
    <w:rsid w:val="00351A91"/>
    <w:rsid w:val="003520C4"/>
    <w:rsid w:val="00352C6E"/>
    <w:rsid w:val="003533AE"/>
    <w:rsid w:val="0035578E"/>
    <w:rsid w:val="00355E14"/>
    <w:rsid w:val="00357C5E"/>
    <w:rsid w:val="00357F27"/>
    <w:rsid w:val="003608BD"/>
    <w:rsid w:val="00361280"/>
    <w:rsid w:val="003615F1"/>
    <w:rsid w:val="00361A6E"/>
    <w:rsid w:val="003626AF"/>
    <w:rsid w:val="00363064"/>
    <w:rsid w:val="003636D1"/>
    <w:rsid w:val="00363D7F"/>
    <w:rsid w:val="00364BED"/>
    <w:rsid w:val="0036655E"/>
    <w:rsid w:val="003673F5"/>
    <w:rsid w:val="00367C66"/>
    <w:rsid w:val="00367FB8"/>
    <w:rsid w:val="003700B2"/>
    <w:rsid w:val="0037233D"/>
    <w:rsid w:val="00373430"/>
    <w:rsid w:val="003736EF"/>
    <w:rsid w:val="003737E3"/>
    <w:rsid w:val="003749BC"/>
    <w:rsid w:val="0037659D"/>
    <w:rsid w:val="003767A6"/>
    <w:rsid w:val="00376E05"/>
    <w:rsid w:val="00380A1A"/>
    <w:rsid w:val="00380D80"/>
    <w:rsid w:val="00384BBC"/>
    <w:rsid w:val="0038500E"/>
    <w:rsid w:val="0038761D"/>
    <w:rsid w:val="00387EF2"/>
    <w:rsid w:val="00390150"/>
    <w:rsid w:val="003906F8"/>
    <w:rsid w:val="003935EE"/>
    <w:rsid w:val="00393EE9"/>
    <w:rsid w:val="0039408A"/>
    <w:rsid w:val="003945F5"/>
    <w:rsid w:val="0039673D"/>
    <w:rsid w:val="00396B44"/>
    <w:rsid w:val="00397185"/>
    <w:rsid w:val="003975DA"/>
    <w:rsid w:val="00397893"/>
    <w:rsid w:val="003A2407"/>
    <w:rsid w:val="003A2CF0"/>
    <w:rsid w:val="003A33D3"/>
    <w:rsid w:val="003A3880"/>
    <w:rsid w:val="003A3E12"/>
    <w:rsid w:val="003A482B"/>
    <w:rsid w:val="003A4B52"/>
    <w:rsid w:val="003A5BC5"/>
    <w:rsid w:val="003A5D55"/>
    <w:rsid w:val="003A709F"/>
    <w:rsid w:val="003A75E6"/>
    <w:rsid w:val="003B255B"/>
    <w:rsid w:val="003B3317"/>
    <w:rsid w:val="003B38A0"/>
    <w:rsid w:val="003B440B"/>
    <w:rsid w:val="003B4B2F"/>
    <w:rsid w:val="003B4C50"/>
    <w:rsid w:val="003B52D4"/>
    <w:rsid w:val="003B76ED"/>
    <w:rsid w:val="003C0F8C"/>
    <w:rsid w:val="003C1CA5"/>
    <w:rsid w:val="003C1CD9"/>
    <w:rsid w:val="003C1EC7"/>
    <w:rsid w:val="003C3D8E"/>
    <w:rsid w:val="003C42D1"/>
    <w:rsid w:val="003C5E61"/>
    <w:rsid w:val="003C64A0"/>
    <w:rsid w:val="003C6F0B"/>
    <w:rsid w:val="003C7893"/>
    <w:rsid w:val="003C7BA3"/>
    <w:rsid w:val="003D341F"/>
    <w:rsid w:val="003D3642"/>
    <w:rsid w:val="003D3D24"/>
    <w:rsid w:val="003D4996"/>
    <w:rsid w:val="003D4E41"/>
    <w:rsid w:val="003D4E9C"/>
    <w:rsid w:val="003D5EE8"/>
    <w:rsid w:val="003D75D2"/>
    <w:rsid w:val="003E0D78"/>
    <w:rsid w:val="003E1CB1"/>
    <w:rsid w:val="003E3A1D"/>
    <w:rsid w:val="003E50F1"/>
    <w:rsid w:val="003E6CA0"/>
    <w:rsid w:val="003F10AD"/>
    <w:rsid w:val="003F1A69"/>
    <w:rsid w:val="003F1F41"/>
    <w:rsid w:val="003F2FDE"/>
    <w:rsid w:val="003F330B"/>
    <w:rsid w:val="003F3714"/>
    <w:rsid w:val="003F58B9"/>
    <w:rsid w:val="003F6FDF"/>
    <w:rsid w:val="004016F5"/>
    <w:rsid w:val="00403DAA"/>
    <w:rsid w:val="004045AA"/>
    <w:rsid w:val="0040549A"/>
    <w:rsid w:val="00405CC9"/>
    <w:rsid w:val="0040711E"/>
    <w:rsid w:val="00407D67"/>
    <w:rsid w:val="00410731"/>
    <w:rsid w:val="004118A7"/>
    <w:rsid w:val="00412450"/>
    <w:rsid w:val="00412EF6"/>
    <w:rsid w:val="004138DE"/>
    <w:rsid w:val="00413B39"/>
    <w:rsid w:val="00414B2F"/>
    <w:rsid w:val="004154EB"/>
    <w:rsid w:val="00415E58"/>
    <w:rsid w:val="00416231"/>
    <w:rsid w:val="004208AB"/>
    <w:rsid w:val="004219EF"/>
    <w:rsid w:val="00421A72"/>
    <w:rsid w:val="00424348"/>
    <w:rsid w:val="00424ADF"/>
    <w:rsid w:val="00424B49"/>
    <w:rsid w:val="00426A6D"/>
    <w:rsid w:val="00426CD9"/>
    <w:rsid w:val="004272BB"/>
    <w:rsid w:val="004304A7"/>
    <w:rsid w:val="00430FEB"/>
    <w:rsid w:val="004310EE"/>
    <w:rsid w:val="0043260B"/>
    <w:rsid w:val="00432A70"/>
    <w:rsid w:val="00433677"/>
    <w:rsid w:val="004340D5"/>
    <w:rsid w:val="00434880"/>
    <w:rsid w:val="00434A21"/>
    <w:rsid w:val="0043526D"/>
    <w:rsid w:val="0044126A"/>
    <w:rsid w:val="004460E9"/>
    <w:rsid w:val="00447B6F"/>
    <w:rsid w:val="00450967"/>
    <w:rsid w:val="00451B70"/>
    <w:rsid w:val="0045243D"/>
    <w:rsid w:val="00453623"/>
    <w:rsid w:val="00453C11"/>
    <w:rsid w:val="004557B0"/>
    <w:rsid w:val="00457250"/>
    <w:rsid w:val="00457946"/>
    <w:rsid w:val="00457D8B"/>
    <w:rsid w:val="00460A17"/>
    <w:rsid w:val="0046120A"/>
    <w:rsid w:val="00462F79"/>
    <w:rsid w:val="00463438"/>
    <w:rsid w:val="00463ECE"/>
    <w:rsid w:val="00465388"/>
    <w:rsid w:val="004662F3"/>
    <w:rsid w:val="00467399"/>
    <w:rsid w:val="004677C9"/>
    <w:rsid w:val="00470CB5"/>
    <w:rsid w:val="00471654"/>
    <w:rsid w:val="00471EAB"/>
    <w:rsid w:val="004723EE"/>
    <w:rsid w:val="00475772"/>
    <w:rsid w:val="00475A92"/>
    <w:rsid w:val="004766C5"/>
    <w:rsid w:val="00477BB9"/>
    <w:rsid w:val="00477F19"/>
    <w:rsid w:val="00480C5A"/>
    <w:rsid w:val="00481152"/>
    <w:rsid w:val="004859EE"/>
    <w:rsid w:val="00487169"/>
    <w:rsid w:val="00487366"/>
    <w:rsid w:val="004873E4"/>
    <w:rsid w:val="00487918"/>
    <w:rsid w:val="0049072C"/>
    <w:rsid w:val="00490FD1"/>
    <w:rsid w:val="00491AD2"/>
    <w:rsid w:val="00492001"/>
    <w:rsid w:val="004923A8"/>
    <w:rsid w:val="004935C0"/>
    <w:rsid w:val="00493B43"/>
    <w:rsid w:val="00493C6B"/>
    <w:rsid w:val="00494EB1"/>
    <w:rsid w:val="00494FF1"/>
    <w:rsid w:val="004961D9"/>
    <w:rsid w:val="00496414"/>
    <w:rsid w:val="0049736A"/>
    <w:rsid w:val="00497A38"/>
    <w:rsid w:val="004A45BD"/>
    <w:rsid w:val="004A4656"/>
    <w:rsid w:val="004A646F"/>
    <w:rsid w:val="004A77B0"/>
    <w:rsid w:val="004A7F9D"/>
    <w:rsid w:val="004B08A9"/>
    <w:rsid w:val="004B1020"/>
    <w:rsid w:val="004B1CED"/>
    <w:rsid w:val="004B34A7"/>
    <w:rsid w:val="004B3B06"/>
    <w:rsid w:val="004B3EBA"/>
    <w:rsid w:val="004B3ED5"/>
    <w:rsid w:val="004B4643"/>
    <w:rsid w:val="004B487A"/>
    <w:rsid w:val="004B7F67"/>
    <w:rsid w:val="004C06BE"/>
    <w:rsid w:val="004C0938"/>
    <w:rsid w:val="004C1994"/>
    <w:rsid w:val="004C2DA0"/>
    <w:rsid w:val="004C50F5"/>
    <w:rsid w:val="004C6732"/>
    <w:rsid w:val="004C70FC"/>
    <w:rsid w:val="004D022C"/>
    <w:rsid w:val="004D2675"/>
    <w:rsid w:val="004D3237"/>
    <w:rsid w:val="004D4080"/>
    <w:rsid w:val="004D6889"/>
    <w:rsid w:val="004E05FD"/>
    <w:rsid w:val="004E1A0D"/>
    <w:rsid w:val="004E23F5"/>
    <w:rsid w:val="004E5418"/>
    <w:rsid w:val="004E63E5"/>
    <w:rsid w:val="004E6A47"/>
    <w:rsid w:val="004E6B76"/>
    <w:rsid w:val="004E6BD2"/>
    <w:rsid w:val="004F102C"/>
    <w:rsid w:val="004F1437"/>
    <w:rsid w:val="004F2C89"/>
    <w:rsid w:val="004F3419"/>
    <w:rsid w:val="004F3540"/>
    <w:rsid w:val="004F4FE2"/>
    <w:rsid w:val="004F52DB"/>
    <w:rsid w:val="004F5624"/>
    <w:rsid w:val="004F5DA4"/>
    <w:rsid w:val="004F62B2"/>
    <w:rsid w:val="004F6424"/>
    <w:rsid w:val="00502937"/>
    <w:rsid w:val="005040CD"/>
    <w:rsid w:val="00504229"/>
    <w:rsid w:val="00504A57"/>
    <w:rsid w:val="00505229"/>
    <w:rsid w:val="00506FBD"/>
    <w:rsid w:val="00507D71"/>
    <w:rsid w:val="00507F98"/>
    <w:rsid w:val="005108A3"/>
    <w:rsid w:val="00510DB5"/>
    <w:rsid w:val="00510F6E"/>
    <w:rsid w:val="00511422"/>
    <w:rsid w:val="005116DC"/>
    <w:rsid w:val="005117E2"/>
    <w:rsid w:val="005118AE"/>
    <w:rsid w:val="0051212F"/>
    <w:rsid w:val="005124BA"/>
    <w:rsid w:val="005129B0"/>
    <w:rsid w:val="00514DF0"/>
    <w:rsid w:val="0051587A"/>
    <w:rsid w:val="005158FA"/>
    <w:rsid w:val="005169AD"/>
    <w:rsid w:val="005208B9"/>
    <w:rsid w:val="005221F0"/>
    <w:rsid w:val="00524807"/>
    <w:rsid w:val="005252E2"/>
    <w:rsid w:val="005252FE"/>
    <w:rsid w:val="005257A1"/>
    <w:rsid w:val="00525FF9"/>
    <w:rsid w:val="00526D6F"/>
    <w:rsid w:val="00532C41"/>
    <w:rsid w:val="00532D3F"/>
    <w:rsid w:val="0053386D"/>
    <w:rsid w:val="00534700"/>
    <w:rsid w:val="0053791F"/>
    <w:rsid w:val="005404CC"/>
    <w:rsid w:val="005413A8"/>
    <w:rsid w:val="005413F8"/>
    <w:rsid w:val="0054384F"/>
    <w:rsid w:val="005448F7"/>
    <w:rsid w:val="00546622"/>
    <w:rsid w:val="00547538"/>
    <w:rsid w:val="00553BFA"/>
    <w:rsid w:val="00554028"/>
    <w:rsid w:val="005547AA"/>
    <w:rsid w:val="00554D05"/>
    <w:rsid w:val="0055596B"/>
    <w:rsid w:val="005574AA"/>
    <w:rsid w:val="0056077E"/>
    <w:rsid w:val="00560EDA"/>
    <w:rsid w:val="005629EE"/>
    <w:rsid w:val="005648FA"/>
    <w:rsid w:val="00564D50"/>
    <w:rsid w:val="00567346"/>
    <w:rsid w:val="00567C81"/>
    <w:rsid w:val="0057371B"/>
    <w:rsid w:val="00575EB8"/>
    <w:rsid w:val="0057613A"/>
    <w:rsid w:val="0058099E"/>
    <w:rsid w:val="00582A9B"/>
    <w:rsid w:val="005832AB"/>
    <w:rsid w:val="0058437C"/>
    <w:rsid w:val="00584FF3"/>
    <w:rsid w:val="005910CD"/>
    <w:rsid w:val="0059261B"/>
    <w:rsid w:val="00592ED2"/>
    <w:rsid w:val="005935F4"/>
    <w:rsid w:val="00593E0A"/>
    <w:rsid w:val="005946AC"/>
    <w:rsid w:val="00596761"/>
    <w:rsid w:val="005971B0"/>
    <w:rsid w:val="005973AB"/>
    <w:rsid w:val="00597961"/>
    <w:rsid w:val="005A02AC"/>
    <w:rsid w:val="005A0628"/>
    <w:rsid w:val="005A167F"/>
    <w:rsid w:val="005A2C61"/>
    <w:rsid w:val="005A346E"/>
    <w:rsid w:val="005A3D50"/>
    <w:rsid w:val="005A667C"/>
    <w:rsid w:val="005A6909"/>
    <w:rsid w:val="005A73CF"/>
    <w:rsid w:val="005B3EB1"/>
    <w:rsid w:val="005B3F6F"/>
    <w:rsid w:val="005B6C83"/>
    <w:rsid w:val="005B6F64"/>
    <w:rsid w:val="005B798B"/>
    <w:rsid w:val="005C0F6D"/>
    <w:rsid w:val="005C10FD"/>
    <w:rsid w:val="005C1FAE"/>
    <w:rsid w:val="005C39E8"/>
    <w:rsid w:val="005C3D31"/>
    <w:rsid w:val="005C51E0"/>
    <w:rsid w:val="005C5660"/>
    <w:rsid w:val="005C6C9F"/>
    <w:rsid w:val="005C71E4"/>
    <w:rsid w:val="005C72E3"/>
    <w:rsid w:val="005C7799"/>
    <w:rsid w:val="005D11B2"/>
    <w:rsid w:val="005D2ECE"/>
    <w:rsid w:val="005D4B68"/>
    <w:rsid w:val="005D5990"/>
    <w:rsid w:val="005E11C1"/>
    <w:rsid w:val="005E2563"/>
    <w:rsid w:val="005E2F27"/>
    <w:rsid w:val="005E394C"/>
    <w:rsid w:val="005E42BF"/>
    <w:rsid w:val="005E48DD"/>
    <w:rsid w:val="005E4E70"/>
    <w:rsid w:val="005E5676"/>
    <w:rsid w:val="005E65BB"/>
    <w:rsid w:val="005E6AE3"/>
    <w:rsid w:val="005E782B"/>
    <w:rsid w:val="005E7E37"/>
    <w:rsid w:val="005F0159"/>
    <w:rsid w:val="005F0DA0"/>
    <w:rsid w:val="005F1C01"/>
    <w:rsid w:val="005F2767"/>
    <w:rsid w:val="005F2BF9"/>
    <w:rsid w:val="005F34CB"/>
    <w:rsid w:val="005F3768"/>
    <w:rsid w:val="005F4790"/>
    <w:rsid w:val="005F4914"/>
    <w:rsid w:val="005F62B7"/>
    <w:rsid w:val="005F67FC"/>
    <w:rsid w:val="005F6869"/>
    <w:rsid w:val="005F6BB9"/>
    <w:rsid w:val="005F6E25"/>
    <w:rsid w:val="00600ED5"/>
    <w:rsid w:val="00603148"/>
    <w:rsid w:val="00606FC7"/>
    <w:rsid w:val="00607F8F"/>
    <w:rsid w:val="00610456"/>
    <w:rsid w:val="00611473"/>
    <w:rsid w:val="00611B36"/>
    <w:rsid w:val="00613A34"/>
    <w:rsid w:val="00613BC4"/>
    <w:rsid w:val="006152F2"/>
    <w:rsid w:val="00615ADA"/>
    <w:rsid w:val="006178F6"/>
    <w:rsid w:val="006221CD"/>
    <w:rsid w:val="00622220"/>
    <w:rsid w:val="00623FF3"/>
    <w:rsid w:val="00624866"/>
    <w:rsid w:val="006266A9"/>
    <w:rsid w:val="00630426"/>
    <w:rsid w:val="006314DA"/>
    <w:rsid w:val="006316C1"/>
    <w:rsid w:val="00631ED4"/>
    <w:rsid w:val="00632D17"/>
    <w:rsid w:val="00633BC7"/>
    <w:rsid w:val="00635AC7"/>
    <w:rsid w:val="00635E9C"/>
    <w:rsid w:val="0063753F"/>
    <w:rsid w:val="00637B41"/>
    <w:rsid w:val="006414EE"/>
    <w:rsid w:val="00642524"/>
    <w:rsid w:val="00642D0A"/>
    <w:rsid w:val="006459AB"/>
    <w:rsid w:val="0064630E"/>
    <w:rsid w:val="00646FE1"/>
    <w:rsid w:val="00647075"/>
    <w:rsid w:val="0065581D"/>
    <w:rsid w:val="00655C2F"/>
    <w:rsid w:val="00660403"/>
    <w:rsid w:val="00661140"/>
    <w:rsid w:val="006710DD"/>
    <w:rsid w:val="00671414"/>
    <w:rsid w:val="00671FC9"/>
    <w:rsid w:val="0067244B"/>
    <w:rsid w:val="00672A0E"/>
    <w:rsid w:val="00673200"/>
    <w:rsid w:val="00674492"/>
    <w:rsid w:val="0067501E"/>
    <w:rsid w:val="006773D2"/>
    <w:rsid w:val="00680581"/>
    <w:rsid w:val="00680A56"/>
    <w:rsid w:val="00681A41"/>
    <w:rsid w:val="006821B2"/>
    <w:rsid w:val="00683607"/>
    <w:rsid w:val="006838C0"/>
    <w:rsid w:val="00683EFB"/>
    <w:rsid w:val="00684590"/>
    <w:rsid w:val="00685856"/>
    <w:rsid w:val="00685901"/>
    <w:rsid w:val="00685BB9"/>
    <w:rsid w:val="00686834"/>
    <w:rsid w:val="00687D2F"/>
    <w:rsid w:val="00687E06"/>
    <w:rsid w:val="00690127"/>
    <w:rsid w:val="00691BFF"/>
    <w:rsid w:val="00691D6C"/>
    <w:rsid w:val="00694C1C"/>
    <w:rsid w:val="006953C1"/>
    <w:rsid w:val="00695BC0"/>
    <w:rsid w:val="00696EB2"/>
    <w:rsid w:val="0069741A"/>
    <w:rsid w:val="006A0A6E"/>
    <w:rsid w:val="006A0DEA"/>
    <w:rsid w:val="006A0E84"/>
    <w:rsid w:val="006A16E9"/>
    <w:rsid w:val="006A2C47"/>
    <w:rsid w:val="006A5450"/>
    <w:rsid w:val="006A77CC"/>
    <w:rsid w:val="006B0199"/>
    <w:rsid w:val="006B03C2"/>
    <w:rsid w:val="006B0A32"/>
    <w:rsid w:val="006B0BD8"/>
    <w:rsid w:val="006B127C"/>
    <w:rsid w:val="006B393D"/>
    <w:rsid w:val="006B4557"/>
    <w:rsid w:val="006B4BFF"/>
    <w:rsid w:val="006C0251"/>
    <w:rsid w:val="006C0320"/>
    <w:rsid w:val="006C2B9A"/>
    <w:rsid w:val="006C39BB"/>
    <w:rsid w:val="006C4502"/>
    <w:rsid w:val="006C53C7"/>
    <w:rsid w:val="006C6114"/>
    <w:rsid w:val="006C7DED"/>
    <w:rsid w:val="006D2288"/>
    <w:rsid w:val="006D306A"/>
    <w:rsid w:val="006D4464"/>
    <w:rsid w:val="006D5E91"/>
    <w:rsid w:val="006D792F"/>
    <w:rsid w:val="006D7E87"/>
    <w:rsid w:val="006E14E6"/>
    <w:rsid w:val="006E1907"/>
    <w:rsid w:val="006E1AEE"/>
    <w:rsid w:val="006E2147"/>
    <w:rsid w:val="006E2F52"/>
    <w:rsid w:val="006E32A9"/>
    <w:rsid w:val="006E3B9C"/>
    <w:rsid w:val="006E4BF9"/>
    <w:rsid w:val="006E51A2"/>
    <w:rsid w:val="006F0DE2"/>
    <w:rsid w:val="006F11BD"/>
    <w:rsid w:val="006F25B4"/>
    <w:rsid w:val="006F2B3C"/>
    <w:rsid w:val="006F32C7"/>
    <w:rsid w:val="006F3392"/>
    <w:rsid w:val="006F3495"/>
    <w:rsid w:val="006F3FF2"/>
    <w:rsid w:val="006F417D"/>
    <w:rsid w:val="006F4318"/>
    <w:rsid w:val="006F460B"/>
    <w:rsid w:val="006F5C83"/>
    <w:rsid w:val="006F67CC"/>
    <w:rsid w:val="006F6B89"/>
    <w:rsid w:val="006F7E8B"/>
    <w:rsid w:val="00701C2D"/>
    <w:rsid w:val="00702162"/>
    <w:rsid w:val="007032E2"/>
    <w:rsid w:val="00703930"/>
    <w:rsid w:val="00704D78"/>
    <w:rsid w:val="0070610E"/>
    <w:rsid w:val="0070695A"/>
    <w:rsid w:val="00707759"/>
    <w:rsid w:val="00710081"/>
    <w:rsid w:val="00710B0D"/>
    <w:rsid w:val="00711118"/>
    <w:rsid w:val="00711F94"/>
    <w:rsid w:val="00712C87"/>
    <w:rsid w:val="00713CB5"/>
    <w:rsid w:val="00714E3F"/>
    <w:rsid w:val="0071558B"/>
    <w:rsid w:val="0071776A"/>
    <w:rsid w:val="00721189"/>
    <w:rsid w:val="007221C3"/>
    <w:rsid w:val="007227E4"/>
    <w:rsid w:val="00722F2C"/>
    <w:rsid w:val="00725156"/>
    <w:rsid w:val="007254D1"/>
    <w:rsid w:val="00725B32"/>
    <w:rsid w:val="00725B3C"/>
    <w:rsid w:val="0072633E"/>
    <w:rsid w:val="00727721"/>
    <w:rsid w:val="0073104F"/>
    <w:rsid w:val="007336F5"/>
    <w:rsid w:val="00733D54"/>
    <w:rsid w:val="00734CEE"/>
    <w:rsid w:val="00736A4F"/>
    <w:rsid w:val="00737753"/>
    <w:rsid w:val="00737768"/>
    <w:rsid w:val="00737FFA"/>
    <w:rsid w:val="00740BB8"/>
    <w:rsid w:val="00740CE9"/>
    <w:rsid w:val="00741586"/>
    <w:rsid w:val="00741F1C"/>
    <w:rsid w:val="007428E3"/>
    <w:rsid w:val="0074394E"/>
    <w:rsid w:val="0074422D"/>
    <w:rsid w:val="0074432C"/>
    <w:rsid w:val="00747F52"/>
    <w:rsid w:val="00750D0A"/>
    <w:rsid w:val="00751D93"/>
    <w:rsid w:val="00752300"/>
    <w:rsid w:val="00753BF5"/>
    <w:rsid w:val="007546F8"/>
    <w:rsid w:val="00755132"/>
    <w:rsid w:val="0075579B"/>
    <w:rsid w:val="00755BAB"/>
    <w:rsid w:val="00755C59"/>
    <w:rsid w:val="0076080E"/>
    <w:rsid w:val="0076411D"/>
    <w:rsid w:val="007670F8"/>
    <w:rsid w:val="007671D4"/>
    <w:rsid w:val="00770A85"/>
    <w:rsid w:val="00770DC6"/>
    <w:rsid w:val="00772AC8"/>
    <w:rsid w:val="007734DE"/>
    <w:rsid w:val="00773DC9"/>
    <w:rsid w:val="0077572E"/>
    <w:rsid w:val="00775E1E"/>
    <w:rsid w:val="00777BE4"/>
    <w:rsid w:val="00777D01"/>
    <w:rsid w:val="0078031B"/>
    <w:rsid w:val="00783E54"/>
    <w:rsid w:val="00783EAD"/>
    <w:rsid w:val="00784F44"/>
    <w:rsid w:val="00785A9A"/>
    <w:rsid w:val="00786672"/>
    <w:rsid w:val="007870BF"/>
    <w:rsid w:val="007872CF"/>
    <w:rsid w:val="0079201C"/>
    <w:rsid w:val="007924D0"/>
    <w:rsid w:val="0079307F"/>
    <w:rsid w:val="007940C5"/>
    <w:rsid w:val="007947C4"/>
    <w:rsid w:val="00795812"/>
    <w:rsid w:val="00795CE1"/>
    <w:rsid w:val="0079632A"/>
    <w:rsid w:val="007A0646"/>
    <w:rsid w:val="007A0680"/>
    <w:rsid w:val="007A06AC"/>
    <w:rsid w:val="007A1B2F"/>
    <w:rsid w:val="007A330E"/>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259"/>
    <w:rsid w:val="007B76AB"/>
    <w:rsid w:val="007B7DBD"/>
    <w:rsid w:val="007C09EA"/>
    <w:rsid w:val="007C2001"/>
    <w:rsid w:val="007C264B"/>
    <w:rsid w:val="007C26F0"/>
    <w:rsid w:val="007C27B0"/>
    <w:rsid w:val="007C2809"/>
    <w:rsid w:val="007C2988"/>
    <w:rsid w:val="007C45D3"/>
    <w:rsid w:val="007C597B"/>
    <w:rsid w:val="007C70CA"/>
    <w:rsid w:val="007C760C"/>
    <w:rsid w:val="007D08FD"/>
    <w:rsid w:val="007D0DB0"/>
    <w:rsid w:val="007D1584"/>
    <w:rsid w:val="007D2044"/>
    <w:rsid w:val="007D32A6"/>
    <w:rsid w:val="007D4F33"/>
    <w:rsid w:val="007D554B"/>
    <w:rsid w:val="007D65C7"/>
    <w:rsid w:val="007D74D2"/>
    <w:rsid w:val="007D79B5"/>
    <w:rsid w:val="007E1C13"/>
    <w:rsid w:val="007E2334"/>
    <w:rsid w:val="007E23CE"/>
    <w:rsid w:val="007E2CE7"/>
    <w:rsid w:val="007E43D0"/>
    <w:rsid w:val="007E4F00"/>
    <w:rsid w:val="007E54F8"/>
    <w:rsid w:val="007E5987"/>
    <w:rsid w:val="007E5BD8"/>
    <w:rsid w:val="007E6E28"/>
    <w:rsid w:val="007E7BF9"/>
    <w:rsid w:val="007F02BC"/>
    <w:rsid w:val="007F1D17"/>
    <w:rsid w:val="007F20D7"/>
    <w:rsid w:val="007F2B41"/>
    <w:rsid w:val="007F2E65"/>
    <w:rsid w:val="007F43BA"/>
    <w:rsid w:val="007F45D1"/>
    <w:rsid w:val="007F4784"/>
    <w:rsid w:val="007F5BBD"/>
    <w:rsid w:val="007F64BE"/>
    <w:rsid w:val="007F6DC3"/>
    <w:rsid w:val="008006B4"/>
    <w:rsid w:val="008015B6"/>
    <w:rsid w:val="00803FD4"/>
    <w:rsid w:val="0080481C"/>
    <w:rsid w:val="00804C54"/>
    <w:rsid w:val="008056DD"/>
    <w:rsid w:val="0080698E"/>
    <w:rsid w:val="0080703A"/>
    <w:rsid w:val="0081104C"/>
    <w:rsid w:val="008121F2"/>
    <w:rsid w:val="00812D16"/>
    <w:rsid w:val="00816A83"/>
    <w:rsid w:val="00816C51"/>
    <w:rsid w:val="00821865"/>
    <w:rsid w:val="008222E3"/>
    <w:rsid w:val="008225EB"/>
    <w:rsid w:val="0082327D"/>
    <w:rsid w:val="00823DB6"/>
    <w:rsid w:val="0082433D"/>
    <w:rsid w:val="00826509"/>
    <w:rsid w:val="00826956"/>
    <w:rsid w:val="0083354D"/>
    <w:rsid w:val="0083561B"/>
    <w:rsid w:val="00837D13"/>
    <w:rsid w:val="00837D78"/>
    <w:rsid w:val="00840D79"/>
    <w:rsid w:val="0084187A"/>
    <w:rsid w:val="00842939"/>
    <w:rsid w:val="00842A21"/>
    <w:rsid w:val="00842FE7"/>
    <w:rsid w:val="00843AE0"/>
    <w:rsid w:val="00845DAD"/>
    <w:rsid w:val="00846827"/>
    <w:rsid w:val="008474E6"/>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308F"/>
    <w:rsid w:val="008643FC"/>
    <w:rsid w:val="00864588"/>
    <w:rsid w:val="008649B9"/>
    <w:rsid w:val="00864FDB"/>
    <w:rsid w:val="0086634F"/>
    <w:rsid w:val="0086784F"/>
    <w:rsid w:val="00870096"/>
    <w:rsid w:val="00870394"/>
    <w:rsid w:val="0087073B"/>
    <w:rsid w:val="00873967"/>
    <w:rsid w:val="008743BB"/>
    <w:rsid w:val="008770D4"/>
    <w:rsid w:val="008800E5"/>
    <w:rsid w:val="0088127F"/>
    <w:rsid w:val="008815EF"/>
    <w:rsid w:val="00883085"/>
    <w:rsid w:val="00883ED5"/>
    <w:rsid w:val="00884463"/>
    <w:rsid w:val="00884C14"/>
    <w:rsid w:val="00885273"/>
    <w:rsid w:val="00885381"/>
    <w:rsid w:val="00885F2C"/>
    <w:rsid w:val="00886386"/>
    <w:rsid w:val="0088701C"/>
    <w:rsid w:val="00892459"/>
    <w:rsid w:val="008929AA"/>
    <w:rsid w:val="00892AA5"/>
    <w:rsid w:val="00892C7C"/>
    <w:rsid w:val="00893695"/>
    <w:rsid w:val="0089499B"/>
    <w:rsid w:val="00894ACA"/>
    <w:rsid w:val="00894E45"/>
    <w:rsid w:val="00894EC5"/>
    <w:rsid w:val="00896357"/>
    <w:rsid w:val="008963CC"/>
    <w:rsid w:val="00896658"/>
    <w:rsid w:val="008967B5"/>
    <w:rsid w:val="00897E86"/>
    <w:rsid w:val="008A03AC"/>
    <w:rsid w:val="008A1008"/>
    <w:rsid w:val="008A13BC"/>
    <w:rsid w:val="008A305C"/>
    <w:rsid w:val="008A345A"/>
    <w:rsid w:val="008A3DB9"/>
    <w:rsid w:val="008A6A5C"/>
    <w:rsid w:val="008A7316"/>
    <w:rsid w:val="008B4A1C"/>
    <w:rsid w:val="008B500A"/>
    <w:rsid w:val="008C090B"/>
    <w:rsid w:val="008C0BF4"/>
    <w:rsid w:val="008C1610"/>
    <w:rsid w:val="008C2F1E"/>
    <w:rsid w:val="008C30E5"/>
    <w:rsid w:val="008C3B5B"/>
    <w:rsid w:val="008C409F"/>
    <w:rsid w:val="008C4858"/>
    <w:rsid w:val="008C6004"/>
    <w:rsid w:val="008C602D"/>
    <w:rsid w:val="008C6BCC"/>
    <w:rsid w:val="008C6BDF"/>
    <w:rsid w:val="008D098D"/>
    <w:rsid w:val="008D135A"/>
    <w:rsid w:val="008D2205"/>
    <w:rsid w:val="008D2331"/>
    <w:rsid w:val="008D347F"/>
    <w:rsid w:val="008D35AD"/>
    <w:rsid w:val="008D36CD"/>
    <w:rsid w:val="008D4380"/>
    <w:rsid w:val="008D48D1"/>
    <w:rsid w:val="008D6BE8"/>
    <w:rsid w:val="008D70DC"/>
    <w:rsid w:val="008E0969"/>
    <w:rsid w:val="008E27E9"/>
    <w:rsid w:val="008E42DE"/>
    <w:rsid w:val="008F01F4"/>
    <w:rsid w:val="008F2C49"/>
    <w:rsid w:val="008F36F0"/>
    <w:rsid w:val="008F66BC"/>
    <w:rsid w:val="008F7CFF"/>
    <w:rsid w:val="008F7ED1"/>
    <w:rsid w:val="009010EB"/>
    <w:rsid w:val="009017F6"/>
    <w:rsid w:val="0090199B"/>
    <w:rsid w:val="00901C8B"/>
    <w:rsid w:val="00901C8D"/>
    <w:rsid w:val="00902A1C"/>
    <w:rsid w:val="0090424E"/>
    <w:rsid w:val="00904A4D"/>
    <w:rsid w:val="00905643"/>
    <w:rsid w:val="00905EE9"/>
    <w:rsid w:val="009065F4"/>
    <w:rsid w:val="009075A7"/>
    <w:rsid w:val="00907DFB"/>
    <w:rsid w:val="00910624"/>
    <w:rsid w:val="00910FBA"/>
    <w:rsid w:val="00911D39"/>
    <w:rsid w:val="00912B9F"/>
    <w:rsid w:val="009131C2"/>
    <w:rsid w:val="00913B9F"/>
    <w:rsid w:val="00914067"/>
    <w:rsid w:val="009140E9"/>
    <w:rsid w:val="00916522"/>
    <w:rsid w:val="00917C0F"/>
    <w:rsid w:val="0092040E"/>
    <w:rsid w:val="00920C6C"/>
    <w:rsid w:val="00920E72"/>
    <w:rsid w:val="00921897"/>
    <w:rsid w:val="00921C6D"/>
    <w:rsid w:val="009227D9"/>
    <w:rsid w:val="00923C44"/>
    <w:rsid w:val="00926339"/>
    <w:rsid w:val="00927791"/>
    <w:rsid w:val="00930607"/>
    <w:rsid w:val="00930D0A"/>
    <w:rsid w:val="009329BA"/>
    <w:rsid w:val="0093304D"/>
    <w:rsid w:val="00934E99"/>
    <w:rsid w:val="00936939"/>
    <w:rsid w:val="0094053B"/>
    <w:rsid w:val="00942040"/>
    <w:rsid w:val="00942C9F"/>
    <w:rsid w:val="00943F98"/>
    <w:rsid w:val="00945631"/>
    <w:rsid w:val="00946D5B"/>
    <w:rsid w:val="00947549"/>
    <w:rsid w:val="00947CF3"/>
    <w:rsid w:val="009502DA"/>
    <w:rsid w:val="00950C3F"/>
    <w:rsid w:val="00955010"/>
    <w:rsid w:val="00957297"/>
    <w:rsid w:val="0095793C"/>
    <w:rsid w:val="0096111E"/>
    <w:rsid w:val="00961125"/>
    <w:rsid w:val="009623D8"/>
    <w:rsid w:val="00963362"/>
    <w:rsid w:val="00963BD1"/>
    <w:rsid w:val="009651E7"/>
    <w:rsid w:val="00966B1F"/>
    <w:rsid w:val="00970505"/>
    <w:rsid w:val="00970A7E"/>
    <w:rsid w:val="0097116E"/>
    <w:rsid w:val="00971473"/>
    <w:rsid w:val="00972ACA"/>
    <w:rsid w:val="00974518"/>
    <w:rsid w:val="00980FE0"/>
    <w:rsid w:val="00985F8B"/>
    <w:rsid w:val="009861E9"/>
    <w:rsid w:val="00990B70"/>
    <w:rsid w:val="00990C3B"/>
    <w:rsid w:val="009916DE"/>
    <w:rsid w:val="00991CBD"/>
    <w:rsid w:val="009921E6"/>
    <w:rsid w:val="009928B7"/>
    <w:rsid w:val="0099321A"/>
    <w:rsid w:val="009947E8"/>
    <w:rsid w:val="009960B7"/>
    <w:rsid w:val="00996F08"/>
    <w:rsid w:val="009972FE"/>
    <w:rsid w:val="009B3447"/>
    <w:rsid w:val="009B3DB2"/>
    <w:rsid w:val="009B4B78"/>
    <w:rsid w:val="009B536C"/>
    <w:rsid w:val="009B5C19"/>
    <w:rsid w:val="009B6496"/>
    <w:rsid w:val="009B652A"/>
    <w:rsid w:val="009C01DA"/>
    <w:rsid w:val="009C1528"/>
    <w:rsid w:val="009C20CC"/>
    <w:rsid w:val="009C2BDF"/>
    <w:rsid w:val="009C2FAE"/>
    <w:rsid w:val="009C3558"/>
    <w:rsid w:val="009C4600"/>
    <w:rsid w:val="009C562E"/>
    <w:rsid w:val="009C5AEF"/>
    <w:rsid w:val="009C5E44"/>
    <w:rsid w:val="009C7531"/>
    <w:rsid w:val="009D220C"/>
    <w:rsid w:val="009D221F"/>
    <w:rsid w:val="009D2307"/>
    <w:rsid w:val="009D46BF"/>
    <w:rsid w:val="009D69B7"/>
    <w:rsid w:val="009D7922"/>
    <w:rsid w:val="009D7D56"/>
    <w:rsid w:val="009E09F0"/>
    <w:rsid w:val="009E19E8"/>
    <w:rsid w:val="009E377C"/>
    <w:rsid w:val="009E411C"/>
    <w:rsid w:val="009E458A"/>
    <w:rsid w:val="009E5316"/>
    <w:rsid w:val="009E5D7C"/>
    <w:rsid w:val="009E5DFC"/>
    <w:rsid w:val="009E74CE"/>
    <w:rsid w:val="009F1789"/>
    <w:rsid w:val="009F2E3B"/>
    <w:rsid w:val="009F36D2"/>
    <w:rsid w:val="009F39E9"/>
    <w:rsid w:val="009F3B6B"/>
    <w:rsid w:val="009F4504"/>
    <w:rsid w:val="009F502C"/>
    <w:rsid w:val="009F5798"/>
    <w:rsid w:val="009F603B"/>
    <w:rsid w:val="009F6987"/>
    <w:rsid w:val="009F720F"/>
    <w:rsid w:val="00A010E7"/>
    <w:rsid w:val="00A01A17"/>
    <w:rsid w:val="00A01A60"/>
    <w:rsid w:val="00A0331F"/>
    <w:rsid w:val="00A03D43"/>
    <w:rsid w:val="00A05A93"/>
    <w:rsid w:val="00A05BB3"/>
    <w:rsid w:val="00A06518"/>
    <w:rsid w:val="00A06E6E"/>
    <w:rsid w:val="00A076F9"/>
    <w:rsid w:val="00A07997"/>
    <w:rsid w:val="00A07F0C"/>
    <w:rsid w:val="00A07F87"/>
    <w:rsid w:val="00A12912"/>
    <w:rsid w:val="00A12973"/>
    <w:rsid w:val="00A13659"/>
    <w:rsid w:val="00A148AE"/>
    <w:rsid w:val="00A161D0"/>
    <w:rsid w:val="00A1637F"/>
    <w:rsid w:val="00A17D63"/>
    <w:rsid w:val="00A206ED"/>
    <w:rsid w:val="00A20806"/>
    <w:rsid w:val="00A20C7F"/>
    <w:rsid w:val="00A21182"/>
    <w:rsid w:val="00A21D41"/>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4913"/>
    <w:rsid w:val="00A34D0C"/>
    <w:rsid w:val="00A34D76"/>
    <w:rsid w:val="00A35125"/>
    <w:rsid w:val="00A365D0"/>
    <w:rsid w:val="00A402B8"/>
    <w:rsid w:val="00A4043E"/>
    <w:rsid w:val="00A41C32"/>
    <w:rsid w:val="00A437D9"/>
    <w:rsid w:val="00A43A11"/>
    <w:rsid w:val="00A43C16"/>
    <w:rsid w:val="00A43F2C"/>
    <w:rsid w:val="00A443A6"/>
    <w:rsid w:val="00A45229"/>
    <w:rsid w:val="00A45A1A"/>
    <w:rsid w:val="00A45E61"/>
    <w:rsid w:val="00A46017"/>
    <w:rsid w:val="00A462EB"/>
    <w:rsid w:val="00A47F32"/>
    <w:rsid w:val="00A50ED4"/>
    <w:rsid w:val="00A53220"/>
    <w:rsid w:val="00A538E6"/>
    <w:rsid w:val="00A54514"/>
    <w:rsid w:val="00A56102"/>
    <w:rsid w:val="00A56800"/>
    <w:rsid w:val="00A56D7E"/>
    <w:rsid w:val="00A57404"/>
    <w:rsid w:val="00A575BD"/>
    <w:rsid w:val="00A60EEC"/>
    <w:rsid w:val="00A630BA"/>
    <w:rsid w:val="00A63B83"/>
    <w:rsid w:val="00A643C6"/>
    <w:rsid w:val="00A64956"/>
    <w:rsid w:val="00A65528"/>
    <w:rsid w:val="00A65BD9"/>
    <w:rsid w:val="00A66718"/>
    <w:rsid w:val="00A671EF"/>
    <w:rsid w:val="00A70023"/>
    <w:rsid w:val="00A70B31"/>
    <w:rsid w:val="00A72679"/>
    <w:rsid w:val="00A73A74"/>
    <w:rsid w:val="00A759FE"/>
    <w:rsid w:val="00A75CF1"/>
    <w:rsid w:val="00A75FE1"/>
    <w:rsid w:val="00A76D67"/>
    <w:rsid w:val="00A77562"/>
    <w:rsid w:val="00A776B8"/>
    <w:rsid w:val="00A81EB6"/>
    <w:rsid w:val="00A82DE9"/>
    <w:rsid w:val="00A837FE"/>
    <w:rsid w:val="00A85357"/>
    <w:rsid w:val="00A856B8"/>
    <w:rsid w:val="00A86A99"/>
    <w:rsid w:val="00A8713E"/>
    <w:rsid w:val="00A871E5"/>
    <w:rsid w:val="00A902DD"/>
    <w:rsid w:val="00A90D89"/>
    <w:rsid w:val="00A91617"/>
    <w:rsid w:val="00A9271A"/>
    <w:rsid w:val="00A937CA"/>
    <w:rsid w:val="00A93C1C"/>
    <w:rsid w:val="00A96FA8"/>
    <w:rsid w:val="00A9770A"/>
    <w:rsid w:val="00AA0A43"/>
    <w:rsid w:val="00AA0DD3"/>
    <w:rsid w:val="00AA1C07"/>
    <w:rsid w:val="00AA3688"/>
    <w:rsid w:val="00AA4006"/>
    <w:rsid w:val="00AA5887"/>
    <w:rsid w:val="00AA7FDF"/>
    <w:rsid w:val="00AB0D3D"/>
    <w:rsid w:val="00AB0EFE"/>
    <w:rsid w:val="00AB19F8"/>
    <w:rsid w:val="00AB2A61"/>
    <w:rsid w:val="00AB3A12"/>
    <w:rsid w:val="00AB4E98"/>
    <w:rsid w:val="00AB5A8D"/>
    <w:rsid w:val="00AB6642"/>
    <w:rsid w:val="00AB729A"/>
    <w:rsid w:val="00AC0867"/>
    <w:rsid w:val="00AC26A9"/>
    <w:rsid w:val="00AC2EFE"/>
    <w:rsid w:val="00AC32E7"/>
    <w:rsid w:val="00AC3930"/>
    <w:rsid w:val="00AC3AB1"/>
    <w:rsid w:val="00AC68C6"/>
    <w:rsid w:val="00AC7612"/>
    <w:rsid w:val="00AC79C1"/>
    <w:rsid w:val="00AC7CA4"/>
    <w:rsid w:val="00AD0082"/>
    <w:rsid w:val="00AD220F"/>
    <w:rsid w:val="00AD493B"/>
    <w:rsid w:val="00AD4A64"/>
    <w:rsid w:val="00AD4D4E"/>
    <w:rsid w:val="00AD598F"/>
    <w:rsid w:val="00AD59ED"/>
    <w:rsid w:val="00AD6D09"/>
    <w:rsid w:val="00AD73DF"/>
    <w:rsid w:val="00AE07DA"/>
    <w:rsid w:val="00AE098E"/>
    <w:rsid w:val="00AE0BBA"/>
    <w:rsid w:val="00AE2291"/>
    <w:rsid w:val="00AE25C8"/>
    <w:rsid w:val="00AE3743"/>
    <w:rsid w:val="00AE3F7B"/>
    <w:rsid w:val="00AE4003"/>
    <w:rsid w:val="00AE4113"/>
    <w:rsid w:val="00AE4380"/>
    <w:rsid w:val="00AE4FAC"/>
    <w:rsid w:val="00AE5525"/>
    <w:rsid w:val="00AE6381"/>
    <w:rsid w:val="00AE656F"/>
    <w:rsid w:val="00AE6AB9"/>
    <w:rsid w:val="00AE7D78"/>
    <w:rsid w:val="00AF41F6"/>
    <w:rsid w:val="00AF438E"/>
    <w:rsid w:val="00AF45CA"/>
    <w:rsid w:val="00AF5CEE"/>
    <w:rsid w:val="00AF7058"/>
    <w:rsid w:val="00AF7506"/>
    <w:rsid w:val="00B007DD"/>
    <w:rsid w:val="00B0098A"/>
    <w:rsid w:val="00B01016"/>
    <w:rsid w:val="00B0146E"/>
    <w:rsid w:val="00B02160"/>
    <w:rsid w:val="00B027CB"/>
    <w:rsid w:val="00B0352B"/>
    <w:rsid w:val="00B073E6"/>
    <w:rsid w:val="00B074F8"/>
    <w:rsid w:val="00B07566"/>
    <w:rsid w:val="00B10C3A"/>
    <w:rsid w:val="00B11A3D"/>
    <w:rsid w:val="00B121B0"/>
    <w:rsid w:val="00B1352A"/>
    <w:rsid w:val="00B13B87"/>
    <w:rsid w:val="00B17FAB"/>
    <w:rsid w:val="00B21BE7"/>
    <w:rsid w:val="00B22AFD"/>
    <w:rsid w:val="00B22C5F"/>
    <w:rsid w:val="00B23687"/>
    <w:rsid w:val="00B23EBC"/>
    <w:rsid w:val="00B25710"/>
    <w:rsid w:val="00B25797"/>
    <w:rsid w:val="00B25D79"/>
    <w:rsid w:val="00B27B03"/>
    <w:rsid w:val="00B31A2D"/>
    <w:rsid w:val="00B31B62"/>
    <w:rsid w:val="00B3208E"/>
    <w:rsid w:val="00B323E9"/>
    <w:rsid w:val="00B325AE"/>
    <w:rsid w:val="00B33711"/>
    <w:rsid w:val="00B34889"/>
    <w:rsid w:val="00B37550"/>
    <w:rsid w:val="00B3779E"/>
    <w:rsid w:val="00B402C6"/>
    <w:rsid w:val="00B40D17"/>
    <w:rsid w:val="00B41DC1"/>
    <w:rsid w:val="00B42F69"/>
    <w:rsid w:val="00B46EC7"/>
    <w:rsid w:val="00B50A91"/>
    <w:rsid w:val="00B5160B"/>
    <w:rsid w:val="00B51761"/>
    <w:rsid w:val="00B51871"/>
    <w:rsid w:val="00B52022"/>
    <w:rsid w:val="00B52187"/>
    <w:rsid w:val="00B5283D"/>
    <w:rsid w:val="00B54691"/>
    <w:rsid w:val="00B55042"/>
    <w:rsid w:val="00B55373"/>
    <w:rsid w:val="00B60CCD"/>
    <w:rsid w:val="00B62854"/>
    <w:rsid w:val="00B62EF1"/>
    <w:rsid w:val="00B640CC"/>
    <w:rsid w:val="00B645B6"/>
    <w:rsid w:val="00B64B2F"/>
    <w:rsid w:val="00B667BF"/>
    <w:rsid w:val="00B674D6"/>
    <w:rsid w:val="00B6797D"/>
    <w:rsid w:val="00B704B8"/>
    <w:rsid w:val="00B7245B"/>
    <w:rsid w:val="00B735B8"/>
    <w:rsid w:val="00B73F56"/>
    <w:rsid w:val="00B74858"/>
    <w:rsid w:val="00B74895"/>
    <w:rsid w:val="00B752EB"/>
    <w:rsid w:val="00B75A3B"/>
    <w:rsid w:val="00B77BE4"/>
    <w:rsid w:val="00B812BE"/>
    <w:rsid w:val="00B813D5"/>
    <w:rsid w:val="00B814E5"/>
    <w:rsid w:val="00B8258D"/>
    <w:rsid w:val="00B825B4"/>
    <w:rsid w:val="00B84E7E"/>
    <w:rsid w:val="00B86608"/>
    <w:rsid w:val="00B87847"/>
    <w:rsid w:val="00B87FF7"/>
    <w:rsid w:val="00B90477"/>
    <w:rsid w:val="00B91565"/>
    <w:rsid w:val="00B92AA5"/>
    <w:rsid w:val="00B92D62"/>
    <w:rsid w:val="00B92E6E"/>
    <w:rsid w:val="00B938E1"/>
    <w:rsid w:val="00B93904"/>
    <w:rsid w:val="00B94559"/>
    <w:rsid w:val="00B955FE"/>
    <w:rsid w:val="00B96744"/>
    <w:rsid w:val="00BA0B9F"/>
    <w:rsid w:val="00BA3287"/>
    <w:rsid w:val="00BA32BF"/>
    <w:rsid w:val="00BA37EA"/>
    <w:rsid w:val="00BA439C"/>
    <w:rsid w:val="00BA4B74"/>
    <w:rsid w:val="00BA6419"/>
    <w:rsid w:val="00BA6550"/>
    <w:rsid w:val="00BB18EC"/>
    <w:rsid w:val="00BB3642"/>
    <w:rsid w:val="00BB3DD7"/>
    <w:rsid w:val="00BB3EE6"/>
    <w:rsid w:val="00BB4A3B"/>
    <w:rsid w:val="00BB59F6"/>
    <w:rsid w:val="00BB5EF0"/>
    <w:rsid w:val="00BB66AB"/>
    <w:rsid w:val="00BB7BBA"/>
    <w:rsid w:val="00BC0AD6"/>
    <w:rsid w:val="00BC122E"/>
    <w:rsid w:val="00BC3584"/>
    <w:rsid w:val="00BC5838"/>
    <w:rsid w:val="00BC5B9B"/>
    <w:rsid w:val="00BC6DC2"/>
    <w:rsid w:val="00BD0E2E"/>
    <w:rsid w:val="00BD4FD4"/>
    <w:rsid w:val="00BD6BEA"/>
    <w:rsid w:val="00BE114A"/>
    <w:rsid w:val="00BE1BF1"/>
    <w:rsid w:val="00BE442D"/>
    <w:rsid w:val="00BE4ED6"/>
    <w:rsid w:val="00BE54F3"/>
    <w:rsid w:val="00BE5F67"/>
    <w:rsid w:val="00BE7920"/>
    <w:rsid w:val="00BE7CB1"/>
    <w:rsid w:val="00BF1E46"/>
    <w:rsid w:val="00BF2A3A"/>
    <w:rsid w:val="00BF2CD1"/>
    <w:rsid w:val="00BF4B6A"/>
    <w:rsid w:val="00BF5135"/>
    <w:rsid w:val="00BF6825"/>
    <w:rsid w:val="00BF73CC"/>
    <w:rsid w:val="00C00312"/>
    <w:rsid w:val="00C00828"/>
    <w:rsid w:val="00C009F5"/>
    <w:rsid w:val="00C01129"/>
    <w:rsid w:val="00C01DD9"/>
    <w:rsid w:val="00C01FA5"/>
    <w:rsid w:val="00C02239"/>
    <w:rsid w:val="00C022E1"/>
    <w:rsid w:val="00C0398D"/>
    <w:rsid w:val="00C0589E"/>
    <w:rsid w:val="00C05C3D"/>
    <w:rsid w:val="00C06EB8"/>
    <w:rsid w:val="00C071AC"/>
    <w:rsid w:val="00C109A2"/>
    <w:rsid w:val="00C11707"/>
    <w:rsid w:val="00C11E4C"/>
    <w:rsid w:val="00C12711"/>
    <w:rsid w:val="00C13D7B"/>
    <w:rsid w:val="00C143E3"/>
    <w:rsid w:val="00C14954"/>
    <w:rsid w:val="00C17538"/>
    <w:rsid w:val="00C179B0"/>
    <w:rsid w:val="00C20245"/>
    <w:rsid w:val="00C2043F"/>
    <w:rsid w:val="00C20CA6"/>
    <w:rsid w:val="00C21AD6"/>
    <w:rsid w:val="00C226F9"/>
    <w:rsid w:val="00C23398"/>
    <w:rsid w:val="00C23B23"/>
    <w:rsid w:val="00C2428B"/>
    <w:rsid w:val="00C25411"/>
    <w:rsid w:val="00C26C22"/>
    <w:rsid w:val="00C27B03"/>
    <w:rsid w:val="00C3089B"/>
    <w:rsid w:val="00C32D54"/>
    <w:rsid w:val="00C34B40"/>
    <w:rsid w:val="00C355B2"/>
    <w:rsid w:val="00C35836"/>
    <w:rsid w:val="00C40588"/>
    <w:rsid w:val="00C40E9A"/>
    <w:rsid w:val="00C4146E"/>
    <w:rsid w:val="00C41CD3"/>
    <w:rsid w:val="00C42156"/>
    <w:rsid w:val="00C427F9"/>
    <w:rsid w:val="00C43438"/>
    <w:rsid w:val="00C44264"/>
    <w:rsid w:val="00C448A9"/>
    <w:rsid w:val="00C46251"/>
    <w:rsid w:val="00C4790F"/>
    <w:rsid w:val="00C47FC0"/>
    <w:rsid w:val="00C5189F"/>
    <w:rsid w:val="00C51DEE"/>
    <w:rsid w:val="00C52109"/>
    <w:rsid w:val="00C5267F"/>
    <w:rsid w:val="00C528CC"/>
    <w:rsid w:val="00C5319C"/>
    <w:rsid w:val="00C53ABD"/>
    <w:rsid w:val="00C53AD3"/>
    <w:rsid w:val="00C53C94"/>
    <w:rsid w:val="00C559E2"/>
    <w:rsid w:val="00C57741"/>
    <w:rsid w:val="00C6074F"/>
    <w:rsid w:val="00C62568"/>
    <w:rsid w:val="00C6296C"/>
    <w:rsid w:val="00C633F2"/>
    <w:rsid w:val="00C64143"/>
    <w:rsid w:val="00C6434D"/>
    <w:rsid w:val="00C652E5"/>
    <w:rsid w:val="00C65967"/>
    <w:rsid w:val="00C67446"/>
    <w:rsid w:val="00C6754A"/>
    <w:rsid w:val="00C70962"/>
    <w:rsid w:val="00C71674"/>
    <w:rsid w:val="00C733F7"/>
    <w:rsid w:val="00C74984"/>
    <w:rsid w:val="00C7697F"/>
    <w:rsid w:val="00C7716A"/>
    <w:rsid w:val="00C8136C"/>
    <w:rsid w:val="00C822CA"/>
    <w:rsid w:val="00C82FAC"/>
    <w:rsid w:val="00C82FFA"/>
    <w:rsid w:val="00C84032"/>
    <w:rsid w:val="00C84A1B"/>
    <w:rsid w:val="00C84C48"/>
    <w:rsid w:val="00C85521"/>
    <w:rsid w:val="00C856C0"/>
    <w:rsid w:val="00C863EE"/>
    <w:rsid w:val="00C873FD"/>
    <w:rsid w:val="00C92646"/>
    <w:rsid w:val="00C93152"/>
    <w:rsid w:val="00C9316A"/>
    <w:rsid w:val="00C937E7"/>
    <w:rsid w:val="00C93B5E"/>
    <w:rsid w:val="00C94521"/>
    <w:rsid w:val="00C95D8D"/>
    <w:rsid w:val="00C96DC3"/>
    <w:rsid w:val="00C97C7F"/>
    <w:rsid w:val="00CA2283"/>
    <w:rsid w:val="00CA2AEF"/>
    <w:rsid w:val="00CA2CA3"/>
    <w:rsid w:val="00CA325F"/>
    <w:rsid w:val="00CA33B8"/>
    <w:rsid w:val="00CA54EA"/>
    <w:rsid w:val="00CA59E6"/>
    <w:rsid w:val="00CA6DD8"/>
    <w:rsid w:val="00CA7206"/>
    <w:rsid w:val="00CB1582"/>
    <w:rsid w:val="00CB22B7"/>
    <w:rsid w:val="00CB31DA"/>
    <w:rsid w:val="00CB3A58"/>
    <w:rsid w:val="00CB5032"/>
    <w:rsid w:val="00CB7DF6"/>
    <w:rsid w:val="00CC0060"/>
    <w:rsid w:val="00CC303F"/>
    <w:rsid w:val="00CC3C96"/>
    <w:rsid w:val="00CC5B8A"/>
    <w:rsid w:val="00CC5EFE"/>
    <w:rsid w:val="00CD077C"/>
    <w:rsid w:val="00CD10E7"/>
    <w:rsid w:val="00CD342A"/>
    <w:rsid w:val="00CD3940"/>
    <w:rsid w:val="00CD6397"/>
    <w:rsid w:val="00CD6DD2"/>
    <w:rsid w:val="00CE1975"/>
    <w:rsid w:val="00CE2F14"/>
    <w:rsid w:val="00CE4A84"/>
    <w:rsid w:val="00CE52B8"/>
    <w:rsid w:val="00CE6A0B"/>
    <w:rsid w:val="00CE7BF6"/>
    <w:rsid w:val="00CF0950"/>
    <w:rsid w:val="00CF2150"/>
    <w:rsid w:val="00CF23DF"/>
    <w:rsid w:val="00CF260E"/>
    <w:rsid w:val="00CF3B07"/>
    <w:rsid w:val="00CF4C13"/>
    <w:rsid w:val="00CF62E0"/>
    <w:rsid w:val="00CF6384"/>
    <w:rsid w:val="00CF6902"/>
    <w:rsid w:val="00CF7DA4"/>
    <w:rsid w:val="00D01DBE"/>
    <w:rsid w:val="00D02B8F"/>
    <w:rsid w:val="00D03FE0"/>
    <w:rsid w:val="00D0401F"/>
    <w:rsid w:val="00D05E99"/>
    <w:rsid w:val="00D06E88"/>
    <w:rsid w:val="00D11F90"/>
    <w:rsid w:val="00D121B9"/>
    <w:rsid w:val="00D13473"/>
    <w:rsid w:val="00D13527"/>
    <w:rsid w:val="00D15BC7"/>
    <w:rsid w:val="00D15E4E"/>
    <w:rsid w:val="00D17601"/>
    <w:rsid w:val="00D17D93"/>
    <w:rsid w:val="00D20ABC"/>
    <w:rsid w:val="00D20D6E"/>
    <w:rsid w:val="00D21300"/>
    <w:rsid w:val="00D219C2"/>
    <w:rsid w:val="00D22F7B"/>
    <w:rsid w:val="00D230DC"/>
    <w:rsid w:val="00D2583E"/>
    <w:rsid w:val="00D25E38"/>
    <w:rsid w:val="00D265CE"/>
    <w:rsid w:val="00D26C9A"/>
    <w:rsid w:val="00D303E8"/>
    <w:rsid w:val="00D30A37"/>
    <w:rsid w:val="00D31BA6"/>
    <w:rsid w:val="00D335E1"/>
    <w:rsid w:val="00D3545E"/>
    <w:rsid w:val="00D35FEA"/>
    <w:rsid w:val="00D365E1"/>
    <w:rsid w:val="00D366E4"/>
    <w:rsid w:val="00D3685B"/>
    <w:rsid w:val="00D42272"/>
    <w:rsid w:val="00D423AC"/>
    <w:rsid w:val="00D44B15"/>
    <w:rsid w:val="00D44DC6"/>
    <w:rsid w:val="00D46F35"/>
    <w:rsid w:val="00D476EA"/>
    <w:rsid w:val="00D514E5"/>
    <w:rsid w:val="00D51656"/>
    <w:rsid w:val="00D530EF"/>
    <w:rsid w:val="00D53589"/>
    <w:rsid w:val="00D539D5"/>
    <w:rsid w:val="00D53B1A"/>
    <w:rsid w:val="00D544D5"/>
    <w:rsid w:val="00D57897"/>
    <w:rsid w:val="00D57CAE"/>
    <w:rsid w:val="00D602DE"/>
    <w:rsid w:val="00D6096A"/>
    <w:rsid w:val="00D60ABE"/>
    <w:rsid w:val="00D60CE5"/>
    <w:rsid w:val="00D61811"/>
    <w:rsid w:val="00D63131"/>
    <w:rsid w:val="00D63F9F"/>
    <w:rsid w:val="00D646D3"/>
    <w:rsid w:val="00D64AD8"/>
    <w:rsid w:val="00D662F2"/>
    <w:rsid w:val="00D665F1"/>
    <w:rsid w:val="00D670BC"/>
    <w:rsid w:val="00D6711E"/>
    <w:rsid w:val="00D67BEF"/>
    <w:rsid w:val="00D719AB"/>
    <w:rsid w:val="00D730D4"/>
    <w:rsid w:val="00D73B08"/>
    <w:rsid w:val="00D80127"/>
    <w:rsid w:val="00D804E2"/>
    <w:rsid w:val="00D805D1"/>
    <w:rsid w:val="00D81FB3"/>
    <w:rsid w:val="00D8214E"/>
    <w:rsid w:val="00D82E2F"/>
    <w:rsid w:val="00D82FD7"/>
    <w:rsid w:val="00D84FA6"/>
    <w:rsid w:val="00D85C5F"/>
    <w:rsid w:val="00D85ECC"/>
    <w:rsid w:val="00D864C7"/>
    <w:rsid w:val="00D86EB7"/>
    <w:rsid w:val="00D86FD4"/>
    <w:rsid w:val="00D90E6B"/>
    <w:rsid w:val="00D91E9F"/>
    <w:rsid w:val="00D92025"/>
    <w:rsid w:val="00D9204D"/>
    <w:rsid w:val="00D92B5E"/>
    <w:rsid w:val="00D93388"/>
    <w:rsid w:val="00D93CFF"/>
    <w:rsid w:val="00D9402D"/>
    <w:rsid w:val="00D95457"/>
    <w:rsid w:val="00D97A7B"/>
    <w:rsid w:val="00DA1259"/>
    <w:rsid w:val="00DA1351"/>
    <w:rsid w:val="00DA1AAD"/>
    <w:rsid w:val="00DA1E08"/>
    <w:rsid w:val="00DA33C1"/>
    <w:rsid w:val="00DA4A52"/>
    <w:rsid w:val="00DA4FBC"/>
    <w:rsid w:val="00DA5225"/>
    <w:rsid w:val="00DA5FF4"/>
    <w:rsid w:val="00DA61B9"/>
    <w:rsid w:val="00DA7457"/>
    <w:rsid w:val="00DB1083"/>
    <w:rsid w:val="00DB12EB"/>
    <w:rsid w:val="00DB1B31"/>
    <w:rsid w:val="00DB2995"/>
    <w:rsid w:val="00DB2ED0"/>
    <w:rsid w:val="00DB38F0"/>
    <w:rsid w:val="00DB3EE8"/>
    <w:rsid w:val="00DB4701"/>
    <w:rsid w:val="00DB4E76"/>
    <w:rsid w:val="00DB59C0"/>
    <w:rsid w:val="00DB6729"/>
    <w:rsid w:val="00DB772A"/>
    <w:rsid w:val="00DC0146"/>
    <w:rsid w:val="00DC03EE"/>
    <w:rsid w:val="00DC1BA1"/>
    <w:rsid w:val="00DC2EBD"/>
    <w:rsid w:val="00DC36B8"/>
    <w:rsid w:val="00DC53F2"/>
    <w:rsid w:val="00DC6B01"/>
    <w:rsid w:val="00DC7797"/>
    <w:rsid w:val="00DC7E53"/>
    <w:rsid w:val="00DD078A"/>
    <w:rsid w:val="00DD1737"/>
    <w:rsid w:val="00DD1752"/>
    <w:rsid w:val="00DD34E1"/>
    <w:rsid w:val="00DD43C3"/>
    <w:rsid w:val="00DD45E7"/>
    <w:rsid w:val="00DD71F6"/>
    <w:rsid w:val="00DD7577"/>
    <w:rsid w:val="00DD7667"/>
    <w:rsid w:val="00DD777C"/>
    <w:rsid w:val="00DE0D2F"/>
    <w:rsid w:val="00DE0D75"/>
    <w:rsid w:val="00DE1310"/>
    <w:rsid w:val="00DE19EB"/>
    <w:rsid w:val="00DE5B0F"/>
    <w:rsid w:val="00DE61A9"/>
    <w:rsid w:val="00DE7995"/>
    <w:rsid w:val="00DF0FE3"/>
    <w:rsid w:val="00DF2CB1"/>
    <w:rsid w:val="00DF3D64"/>
    <w:rsid w:val="00DF69F9"/>
    <w:rsid w:val="00E02579"/>
    <w:rsid w:val="00E0291E"/>
    <w:rsid w:val="00E02A49"/>
    <w:rsid w:val="00E02B50"/>
    <w:rsid w:val="00E04B3F"/>
    <w:rsid w:val="00E05DF2"/>
    <w:rsid w:val="00E060C1"/>
    <w:rsid w:val="00E06B1E"/>
    <w:rsid w:val="00E07787"/>
    <w:rsid w:val="00E10AAF"/>
    <w:rsid w:val="00E11D49"/>
    <w:rsid w:val="00E147D5"/>
    <w:rsid w:val="00E14C0E"/>
    <w:rsid w:val="00E16642"/>
    <w:rsid w:val="00E1787C"/>
    <w:rsid w:val="00E2007D"/>
    <w:rsid w:val="00E2249E"/>
    <w:rsid w:val="00E22B76"/>
    <w:rsid w:val="00E22C3D"/>
    <w:rsid w:val="00E234F1"/>
    <w:rsid w:val="00E241ED"/>
    <w:rsid w:val="00E24E3A"/>
    <w:rsid w:val="00E24F74"/>
    <w:rsid w:val="00E25AF8"/>
    <w:rsid w:val="00E26C55"/>
    <w:rsid w:val="00E26F6C"/>
    <w:rsid w:val="00E27EEA"/>
    <w:rsid w:val="00E3134D"/>
    <w:rsid w:val="00E31BD0"/>
    <w:rsid w:val="00E34CA3"/>
    <w:rsid w:val="00E35C4A"/>
    <w:rsid w:val="00E364DD"/>
    <w:rsid w:val="00E37354"/>
    <w:rsid w:val="00E37536"/>
    <w:rsid w:val="00E37A0F"/>
    <w:rsid w:val="00E37DA6"/>
    <w:rsid w:val="00E37FE3"/>
    <w:rsid w:val="00E40EB7"/>
    <w:rsid w:val="00E43AAA"/>
    <w:rsid w:val="00E44C62"/>
    <w:rsid w:val="00E50B07"/>
    <w:rsid w:val="00E5387C"/>
    <w:rsid w:val="00E5421D"/>
    <w:rsid w:val="00E54EF2"/>
    <w:rsid w:val="00E55D9E"/>
    <w:rsid w:val="00E60A9D"/>
    <w:rsid w:val="00E60DC5"/>
    <w:rsid w:val="00E63559"/>
    <w:rsid w:val="00E66B6A"/>
    <w:rsid w:val="00E67180"/>
    <w:rsid w:val="00E676E2"/>
    <w:rsid w:val="00E7307B"/>
    <w:rsid w:val="00E745B1"/>
    <w:rsid w:val="00E74FA5"/>
    <w:rsid w:val="00E756A8"/>
    <w:rsid w:val="00E76032"/>
    <w:rsid w:val="00E768F2"/>
    <w:rsid w:val="00E77E9E"/>
    <w:rsid w:val="00E817C4"/>
    <w:rsid w:val="00E81D92"/>
    <w:rsid w:val="00E81DED"/>
    <w:rsid w:val="00E82316"/>
    <w:rsid w:val="00E825B3"/>
    <w:rsid w:val="00E849DE"/>
    <w:rsid w:val="00E85948"/>
    <w:rsid w:val="00E86536"/>
    <w:rsid w:val="00E874AB"/>
    <w:rsid w:val="00E9167E"/>
    <w:rsid w:val="00E922A4"/>
    <w:rsid w:val="00E925CE"/>
    <w:rsid w:val="00E93F3F"/>
    <w:rsid w:val="00E967CB"/>
    <w:rsid w:val="00EA05D9"/>
    <w:rsid w:val="00EA0BC3"/>
    <w:rsid w:val="00EA1104"/>
    <w:rsid w:val="00EA5257"/>
    <w:rsid w:val="00EA59B6"/>
    <w:rsid w:val="00EA7415"/>
    <w:rsid w:val="00EB0433"/>
    <w:rsid w:val="00EB0B49"/>
    <w:rsid w:val="00EB17A8"/>
    <w:rsid w:val="00EB1B8B"/>
    <w:rsid w:val="00EB24EC"/>
    <w:rsid w:val="00EB3025"/>
    <w:rsid w:val="00EB3C54"/>
    <w:rsid w:val="00EB4951"/>
    <w:rsid w:val="00EB595B"/>
    <w:rsid w:val="00EC098E"/>
    <w:rsid w:val="00EC0BCB"/>
    <w:rsid w:val="00EC0E71"/>
    <w:rsid w:val="00EC1BFE"/>
    <w:rsid w:val="00EC70F4"/>
    <w:rsid w:val="00ED2245"/>
    <w:rsid w:val="00ED613A"/>
    <w:rsid w:val="00ED6CFA"/>
    <w:rsid w:val="00ED6D53"/>
    <w:rsid w:val="00EE029C"/>
    <w:rsid w:val="00EE1855"/>
    <w:rsid w:val="00EE1E1F"/>
    <w:rsid w:val="00EE2B68"/>
    <w:rsid w:val="00EE3733"/>
    <w:rsid w:val="00EE379D"/>
    <w:rsid w:val="00EE395E"/>
    <w:rsid w:val="00EE4F31"/>
    <w:rsid w:val="00EE6D70"/>
    <w:rsid w:val="00EF074F"/>
    <w:rsid w:val="00EF1386"/>
    <w:rsid w:val="00EF2491"/>
    <w:rsid w:val="00EF256B"/>
    <w:rsid w:val="00EF5277"/>
    <w:rsid w:val="00EF5CAD"/>
    <w:rsid w:val="00EF611F"/>
    <w:rsid w:val="00EF680C"/>
    <w:rsid w:val="00EF76E1"/>
    <w:rsid w:val="00F029AF"/>
    <w:rsid w:val="00F04099"/>
    <w:rsid w:val="00F04D0A"/>
    <w:rsid w:val="00F05B66"/>
    <w:rsid w:val="00F073CA"/>
    <w:rsid w:val="00F1030E"/>
    <w:rsid w:val="00F10925"/>
    <w:rsid w:val="00F10F2A"/>
    <w:rsid w:val="00F11B81"/>
    <w:rsid w:val="00F11D77"/>
    <w:rsid w:val="00F12F6C"/>
    <w:rsid w:val="00F13DAE"/>
    <w:rsid w:val="00F14E99"/>
    <w:rsid w:val="00F157D8"/>
    <w:rsid w:val="00F174EF"/>
    <w:rsid w:val="00F201AD"/>
    <w:rsid w:val="00F21481"/>
    <w:rsid w:val="00F21B21"/>
    <w:rsid w:val="00F222BB"/>
    <w:rsid w:val="00F2491A"/>
    <w:rsid w:val="00F24EF6"/>
    <w:rsid w:val="00F25108"/>
    <w:rsid w:val="00F254E4"/>
    <w:rsid w:val="00F26AAB"/>
    <w:rsid w:val="00F26F5D"/>
    <w:rsid w:val="00F2743F"/>
    <w:rsid w:val="00F321FE"/>
    <w:rsid w:val="00F3295E"/>
    <w:rsid w:val="00F3356D"/>
    <w:rsid w:val="00F3381E"/>
    <w:rsid w:val="00F349DC"/>
    <w:rsid w:val="00F34C92"/>
    <w:rsid w:val="00F35D19"/>
    <w:rsid w:val="00F366D7"/>
    <w:rsid w:val="00F372AD"/>
    <w:rsid w:val="00F377AE"/>
    <w:rsid w:val="00F37D4D"/>
    <w:rsid w:val="00F403D5"/>
    <w:rsid w:val="00F41269"/>
    <w:rsid w:val="00F41319"/>
    <w:rsid w:val="00F425DD"/>
    <w:rsid w:val="00F42696"/>
    <w:rsid w:val="00F44B13"/>
    <w:rsid w:val="00F45BE7"/>
    <w:rsid w:val="00F463D7"/>
    <w:rsid w:val="00F46B0A"/>
    <w:rsid w:val="00F50163"/>
    <w:rsid w:val="00F502F2"/>
    <w:rsid w:val="00F510E2"/>
    <w:rsid w:val="00F515F1"/>
    <w:rsid w:val="00F5273A"/>
    <w:rsid w:val="00F52D6B"/>
    <w:rsid w:val="00F52E18"/>
    <w:rsid w:val="00F535E2"/>
    <w:rsid w:val="00F5390B"/>
    <w:rsid w:val="00F54516"/>
    <w:rsid w:val="00F546FB"/>
    <w:rsid w:val="00F55335"/>
    <w:rsid w:val="00F55CF7"/>
    <w:rsid w:val="00F57D1C"/>
    <w:rsid w:val="00F6077A"/>
    <w:rsid w:val="00F6086A"/>
    <w:rsid w:val="00F6169B"/>
    <w:rsid w:val="00F62824"/>
    <w:rsid w:val="00F62D7C"/>
    <w:rsid w:val="00F634C8"/>
    <w:rsid w:val="00F64BF9"/>
    <w:rsid w:val="00F67155"/>
    <w:rsid w:val="00F67844"/>
    <w:rsid w:val="00F7058F"/>
    <w:rsid w:val="00F70D21"/>
    <w:rsid w:val="00F70FEF"/>
    <w:rsid w:val="00F73F06"/>
    <w:rsid w:val="00F74068"/>
    <w:rsid w:val="00F74F3A"/>
    <w:rsid w:val="00F75C02"/>
    <w:rsid w:val="00F763B4"/>
    <w:rsid w:val="00F77ECB"/>
    <w:rsid w:val="00F80602"/>
    <w:rsid w:val="00F81936"/>
    <w:rsid w:val="00F81BF8"/>
    <w:rsid w:val="00F81E47"/>
    <w:rsid w:val="00F824EF"/>
    <w:rsid w:val="00F84408"/>
    <w:rsid w:val="00F847EC"/>
    <w:rsid w:val="00F85B55"/>
    <w:rsid w:val="00F86474"/>
    <w:rsid w:val="00F868B4"/>
    <w:rsid w:val="00F8730A"/>
    <w:rsid w:val="00F9016F"/>
    <w:rsid w:val="00F90601"/>
    <w:rsid w:val="00F92AC6"/>
    <w:rsid w:val="00F92F48"/>
    <w:rsid w:val="00F933B6"/>
    <w:rsid w:val="00F93703"/>
    <w:rsid w:val="00F975D5"/>
    <w:rsid w:val="00FA4E29"/>
    <w:rsid w:val="00FA5532"/>
    <w:rsid w:val="00FA78FD"/>
    <w:rsid w:val="00FB0AB9"/>
    <w:rsid w:val="00FB11BE"/>
    <w:rsid w:val="00FB1357"/>
    <w:rsid w:val="00FB1799"/>
    <w:rsid w:val="00FB1B56"/>
    <w:rsid w:val="00FB23B5"/>
    <w:rsid w:val="00FB27F1"/>
    <w:rsid w:val="00FB4C6F"/>
    <w:rsid w:val="00FB5E6E"/>
    <w:rsid w:val="00FC09F7"/>
    <w:rsid w:val="00FC1EF1"/>
    <w:rsid w:val="00FC3A8B"/>
    <w:rsid w:val="00FC4C21"/>
    <w:rsid w:val="00FC4E5D"/>
    <w:rsid w:val="00FC5E76"/>
    <w:rsid w:val="00FC69CF"/>
    <w:rsid w:val="00FC7214"/>
    <w:rsid w:val="00FC7961"/>
    <w:rsid w:val="00FC7FB3"/>
    <w:rsid w:val="00FD058F"/>
    <w:rsid w:val="00FD0B70"/>
    <w:rsid w:val="00FD11B8"/>
    <w:rsid w:val="00FD1440"/>
    <w:rsid w:val="00FD1489"/>
    <w:rsid w:val="00FD1494"/>
    <w:rsid w:val="00FD17D7"/>
    <w:rsid w:val="00FD2DA9"/>
    <w:rsid w:val="00FD35FA"/>
    <w:rsid w:val="00FD59F1"/>
    <w:rsid w:val="00FD5AB4"/>
    <w:rsid w:val="00FD66A4"/>
    <w:rsid w:val="00FD6FE2"/>
    <w:rsid w:val="00FD74CB"/>
    <w:rsid w:val="00FD7543"/>
    <w:rsid w:val="00FD7BF5"/>
    <w:rsid w:val="00FE0293"/>
    <w:rsid w:val="00FE185C"/>
    <w:rsid w:val="00FE1BD0"/>
    <w:rsid w:val="00FE1F35"/>
    <w:rsid w:val="00FE235B"/>
    <w:rsid w:val="00FE3C5F"/>
    <w:rsid w:val="00FE401B"/>
    <w:rsid w:val="00FE4705"/>
    <w:rsid w:val="00FE557C"/>
    <w:rsid w:val="00FF4262"/>
    <w:rsid w:val="00FF4544"/>
    <w:rsid w:val="00FF4C3A"/>
    <w:rsid w:val="00FF59BA"/>
    <w:rsid w:val="00FF62F4"/>
    <w:rsid w:val="00FF6519"/>
  </w:rsids>
  <m:mathPr>
    <m:mathFont m:val="Cambria Math"/>
    <m:brkBin m:val="before"/>
    <m:brkBinSub m:val="--"/>
    <m:smallFrac m:val="0"/>
    <m:dispDef/>
    <m:lMargin m:val="0"/>
    <m:rMargin m:val="0"/>
    <m:defJc m:val="centerGroup"/>
    <m:wrapRight/>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9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paragraph" w:styleId="Heading2">
    <w:name w:val="heading 2"/>
    <w:basedOn w:val="Normal"/>
    <w:next w:val="Normal"/>
    <w:link w:val="Heading2Char"/>
    <w:semiHidden/>
    <w:unhideWhenUsed/>
    <w:qFormat/>
    <w:rsid w:val="003C42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7DED"/>
    <w:pPr>
      <w:tabs>
        <w:tab w:val="center" w:pos="4536"/>
        <w:tab w:val="right" w:pos="8306"/>
      </w:tabs>
    </w:pPr>
    <w:rPr>
      <w:rFonts w:ascii="Arial" w:hAnsi="Arial"/>
      <w:noProof/>
      <w:sz w:val="16"/>
    </w:rPr>
  </w:style>
  <w:style w:type="paragraph" w:styleId="Header">
    <w:name w:val="header"/>
    <w:basedOn w:val="Normal"/>
    <w:link w:val="HeaderChar"/>
    <w:rsid w:val="006C7DED"/>
    <w:pPr>
      <w:tabs>
        <w:tab w:val="center" w:pos="4153"/>
        <w:tab w:val="right" w:pos="8306"/>
      </w:tabs>
    </w:pPr>
    <w:rPr>
      <w:rFonts w:ascii="Arial" w:hAnsi="Arial"/>
      <w:sz w:val="20"/>
    </w:rPr>
  </w:style>
  <w:style w:type="paragraph" w:customStyle="1" w:styleId="MemoHeaderStyle">
    <w:name w:val="MemoHeaderStyle"/>
    <w:basedOn w:val="Normal"/>
    <w:next w:val="Normal"/>
    <w:rsid w:val="006C7DE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k-S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sk-SK" w:eastAsia="en-US"/>
    </w:rPr>
  </w:style>
  <w:style w:type="character" w:customStyle="1" w:styleId="CommentSubjectChar">
    <w:name w:val="Comment Subject Char"/>
    <w:link w:val="CommentSubject"/>
    <w:uiPriority w:val="99"/>
    <w:rsid w:val="00BC6DC2"/>
    <w:rPr>
      <w:rFonts w:eastAsia="Times New Roman"/>
      <w:b/>
      <w:bCs/>
      <w:lang w:val="sk-SK"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sk-SK" w:eastAsia="en-US"/>
    </w:rPr>
  </w:style>
  <w:style w:type="character" w:customStyle="1" w:styleId="BodyTextChar">
    <w:name w:val="Body Text Char"/>
    <w:link w:val="BodyText"/>
    <w:rsid w:val="00E22C3D"/>
    <w:rPr>
      <w:rFonts w:eastAsia="Times New Roman"/>
      <w:i/>
      <w:color w:val="008000"/>
      <w:sz w:val="22"/>
      <w:lang w:val="sk-SK"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sk-SK" w:eastAsia="en-US"/>
    </w:rPr>
  </w:style>
  <w:style w:type="character" w:customStyle="1" w:styleId="FooterChar">
    <w:name w:val="Footer Char"/>
    <w:link w:val="Footer"/>
    <w:rsid w:val="009C4600"/>
    <w:rPr>
      <w:rFonts w:ascii="Arial" w:eastAsia="Times New Roman" w:hAnsi="Arial"/>
      <w:noProof/>
      <w:sz w:val="16"/>
      <w:lang w:val="sk-SK"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sk-SK"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3C42D1"/>
    <w:rPr>
      <w:rFonts w:asciiTheme="majorHAnsi" w:eastAsiaTheme="majorEastAsia" w:hAnsiTheme="majorHAnsi" w:cstheme="majorBidi"/>
      <w:color w:val="365F91" w:themeColor="accent1" w:themeShade="BF"/>
      <w:sz w:val="26"/>
      <w:szCs w:val="26"/>
    </w:rPr>
  </w:style>
  <w:style w:type="character" w:customStyle="1" w:styleId="jlqj4b">
    <w:name w:val="jlqj4b"/>
    <w:basedOn w:val="DefaultParagraphFont"/>
    <w:rsid w:val="003C42D1"/>
  </w:style>
  <w:style w:type="paragraph" w:customStyle="1" w:styleId="Annex">
    <w:name w:val="Annex"/>
    <w:basedOn w:val="Normal"/>
    <w:next w:val="Normal"/>
    <w:link w:val="AnnexChar"/>
    <w:rsid w:val="003B440B"/>
    <w:pPr>
      <w:tabs>
        <w:tab w:val="clear" w:pos="567"/>
      </w:tabs>
      <w:spacing w:line="240" w:lineRule="auto"/>
      <w:jc w:val="center"/>
    </w:pPr>
    <w:rPr>
      <w:b/>
      <w:lang w:val="en-US" w:eastAsia="ja-JP"/>
    </w:rPr>
  </w:style>
  <w:style w:type="character" w:customStyle="1" w:styleId="AnnexChar">
    <w:name w:val="Annex Char"/>
    <w:link w:val="Annex"/>
    <w:rsid w:val="003B440B"/>
    <w:rPr>
      <w:rFonts w:eastAsia="Times New Roman"/>
      <w:b/>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03499">
      <w:bodyDiv w:val="1"/>
      <w:marLeft w:val="0"/>
      <w:marRight w:val="0"/>
      <w:marTop w:val="0"/>
      <w:marBottom w:val="0"/>
      <w:divBdr>
        <w:top w:val="none" w:sz="0" w:space="0" w:color="auto"/>
        <w:left w:val="none" w:sz="0" w:space="0" w:color="auto"/>
        <w:bottom w:val="none" w:sz="0" w:space="0" w:color="auto"/>
        <w:right w:val="none" w:sz="0" w:space="0" w:color="auto"/>
      </w:divBdr>
      <w:divsChild>
        <w:div w:id="294262445">
          <w:marLeft w:val="0"/>
          <w:marRight w:val="0"/>
          <w:marTop w:val="100"/>
          <w:marBottom w:val="0"/>
          <w:divBdr>
            <w:top w:val="none" w:sz="0" w:space="0" w:color="auto"/>
            <w:left w:val="none" w:sz="0" w:space="0" w:color="auto"/>
            <w:bottom w:val="none" w:sz="0" w:space="0" w:color="auto"/>
            <w:right w:val="none" w:sz="0" w:space="0" w:color="auto"/>
          </w:divBdr>
          <w:divsChild>
            <w:div w:id="565459926">
              <w:marLeft w:val="0"/>
              <w:marRight w:val="0"/>
              <w:marTop w:val="60"/>
              <w:marBottom w:val="0"/>
              <w:divBdr>
                <w:top w:val="none" w:sz="0" w:space="0" w:color="auto"/>
                <w:left w:val="none" w:sz="0" w:space="0" w:color="auto"/>
                <w:bottom w:val="none" w:sz="0" w:space="0" w:color="auto"/>
                <w:right w:val="none" w:sz="0" w:space="0" w:color="auto"/>
              </w:divBdr>
            </w:div>
          </w:divsChild>
        </w:div>
        <w:div w:id="153957124">
          <w:marLeft w:val="0"/>
          <w:marRight w:val="0"/>
          <w:marTop w:val="0"/>
          <w:marBottom w:val="0"/>
          <w:divBdr>
            <w:top w:val="none" w:sz="0" w:space="0" w:color="auto"/>
            <w:left w:val="none" w:sz="0" w:space="0" w:color="auto"/>
            <w:bottom w:val="none" w:sz="0" w:space="0" w:color="auto"/>
            <w:right w:val="none" w:sz="0" w:space="0" w:color="auto"/>
          </w:divBdr>
          <w:divsChild>
            <w:div w:id="1205481859">
              <w:marLeft w:val="0"/>
              <w:marRight w:val="0"/>
              <w:marTop w:val="0"/>
              <w:marBottom w:val="0"/>
              <w:divBdr>
                <w:top w:val="none" w:sz="0" w:space="0" w:color="auto"/>
                <w:left w:val="none" w:sz="0" w:space="0" w:color="auto"/>
                <w:bottom w:val="none" w:sz="0" w:space="0" w:color="auto"/>
                <w:right w:val="none" w:sz="0" w:space="0" w:color="auto"/>
              </w:divBdr>
              <w:divsChild>
                <w:div w:id="1933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217">
      <w:bodyDiv w:val="1"/>
      <w:marLeft w:val="0"/>
      <w:marRight w:val="0"/>
      <w:marTop w:val="0"/>
      <w:marBottom w:val="0"/>
      <w:divBdr>
        <w:top w:val="none" w:sz="0" w:space="0" w:color="auto"/>
        <w:left w:val="none" w:sz="0" w:space="0" w:color="auto"/>
        <w:bottom w:val="none" w:sz="0" w:space="0" w:color="auto"/>
        <w:right w:val="none" w:sz="0" w:space="0" w:color="auto"/>
      </w:divBdr>
    </w:div>
    <w:div w:id="166096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EMADOC-1700519818-2894114</_dlc_DocId>
    <_dlc_DocIdUrl xmlns="a034c160-bfb7-45f5-8632-2eb7e0508071">
      <Url>https://euema.sharepoint.com/sites/CRM/_layouts/15/DocIdRedir.aspx?ID=EMADOC-1700519818-2894114</Url>
      <Description>EMADOC-1700519818-2894114</Description>
    </_dlc_DocIdUrl>
  </documentManagement>
</p:properties>
</file>

<file path=customXml/itemProps1.xml><?xml version="1.0" encoding="utf-8"?>
<ds:datastoreItem xmlns:ds="http://schemas.openxmlformats.org/officeDocument/2006/customXml" ds:itemID="{2ACEA8A3-6916-47B0-8CB0-769A26C5AE7E}">
  <ds:schemaRefs>
    <ds:schemaRef ds:uri="http://schemas.openxmlformats.org/officeDocument/2006/bibliography"/>
  </ds:schemaRefs>
</ds:datastoreItem>
</file>

<file path=customXml/itemProps2.xml><?xml version="1.0" encoding="utf-8"?>
<ds:datastoreItem xmlns:ds="http://schemas.openxmlformats.org/officeDocument/2006/customXml" ds:itemID="{68EABBE7-27AE-49F8-B122-F9846BA4F6C6}"/>
</file>

<file path=customXml/itemProps3.xml><?xml version="1.0" encoding="utf-8"?>
<ds:datastoreItem xmlns:ds="http://schemas.openxmlformats.org/officeDocument/2006/customXml" ds:itemID="{D0FA3484-C73D-485C-B94C-0A1B049C5BBF}"/>
</file>

<file path=customXml/itemProps4.xml><?xml version="1.0" encoding="utf-8"?>
<ds:datastoreItem xmlns:ds="http://schemas.openxmlformats.org/officeDocument/2006/customXml" ds:itemID="{8DA592C4-3BA8-460B-97F8-2984FB39DACF}"/>
</file>

<file path=customXml/itemProps5.xml><?xml version="1.0" encoding="utf-8"?>
<ds:datastoreItem xmlns:ds="http://schemas.openxmlformats.org/officeDocument/2006/customXml" ds:itemID="{1323D5D7-EFFC-4F5D-9EB0-2D4F54B2C8A3}"/>
</file>

<file path=docProps/app.xml><?xml version="1.0" encoding="utf-8"?>
<Properties xmlns="http://schemas.openxmlformats.org/officeDocument/2006/extended-properties" xmlns:vt="http://schemas.openxmlformats.org/officeDocument/2006/docPropsVTypes">
  <Template>Normal</Template>
  <TotalTime>0</TotalTime>
  <Pages>74</Pages>
  <Words>27534</Words>
  <Characters>156950</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keywords/>
  <cp:lastModifiedBy/>
  <cp:revision>1</cp:revision>
  <dcterms:created xsi:type="dcterms:W3CDTF">2026-01-23T16:51:00Z</dcterms:created>
  <dcterms:modified xsi:type="dcterms:W3CDTF">2026-02-03T14:19:00Z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621bb190-48bf-4825-b2c8-31cfbd2f8e39</vt:lpwstr>
  </property>
</Properties>
</file>