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9DAA0A" w14:textId="77777777" w:rsidR="009700E5" w:rsidRDefault="002C033C">
      <w:pPr>
        <w:pBdr>
          <w:top w:val="single" w:sz="4" w:space="1" w:color="000000"/>
          <w:left w:val="single" w:sz="4" w:space="4" w:color="000000"/>
          <w:bottom w:val="single" w:sz="4" w:space="1" w:color="000000"/>
          <w:right w:val="single" w:sz="4" w:space="4" w:color="000000"/>
        </w:pBdr>
      </w:pPr>
      <w:r>
        <w:t>Tento dokument predstavuje schválené informácie o lieku RoActemra a sú v ňom</w:t>
      </w:r>
    </w:p>
    <w:p w14:paraId="2390F1D0" w14:textId="77777777" w:rsidR="009700E5" w:rsidRDefault="002C033C">
      <w:pPr>
        <w:pBdr>
          <w:top w:val="single" w:sz="4" w:space="1" w:color="000000"/>
          <w:left w:val="single" w:sz="4" w:space="4" w:color="000000"/>
          <w:bottom w:val="single" w:sz="4" w:space="1" w:color="000000"/>
          <w:right w:val="single" w:sz="4" w:space="4" w:color="000000"/>
        </w:pBdr>
      </w:pPr>
      <w:r>
        <w:t>sledované zmeny od predchádzajúcej procedúry, ktorou boli ovplyvnené informácie o lieku (EMEA/H/C/000955/IB/0123/G).</w:t>
      </w:r>
    </w:p>
    <w:p w14:paraId="0A998A8A" w14:textId="77777777" w:rsidR="009700E5" w:rsidRDefault="009700E5">
      <w:pPr>
        <w:pBdr>
          <w:top w:val="single" w:sz="4" w:space="1" w:color="000000"/>
          <w:left w:val="single" w:sz="4" w:space="4" w:color="000000"/>
          <w:bottom w:val="single" w:sz="4" w:space="1" w:color="000000"/>
          <w:right w:val="single" w:sz="4" w:space="4" w:color="000000"/>
        </w:pBdr>
      </w:pPr>
    </w:p>
    <w:p w14:paraId="3F6478AB" w14:textId="77777777" w:rsidR="009700E5" w:rsidRDefault="002C033C">
      <w:pPr>
        <w:pBdr>
          <w:top w:val="single" w:sz="4" w:space="1" w:color="000000"/>
          <w:left w:val="single" w:sz="4" w:space="4" w:color="000000"/>
          <w:bottom w:val="single" w:sz="4" w:space="1" w:color="000000"/>
          <w:right w:val="single" w:sz="4" w:space="4" w:color="000000"/>
        </w:pBdr>
      </w:pPr>
      <w:r>
        <w:t xml:space="preserve">Viac informácií nájdete na webovej stránke Európskej agentúry pre lieky: </w:t>
      </w:r>
      <w:hyperlink r:id="rId9" w:history="1">
        <w:r>
          <w:rPr>
            <w:rStyle w:val="Hyperlink"/>
          </w:rPr>
          <w:t>https://www.ema.europa.eu/en/medicines/human/epar/roactemra</w:t>
        </w:r>
      </w:hyperlink>
    </w:p>
    <w:p w14:paraId="0C761C3B" w14:textId="77777777" w:rsidR="009700E5" w:rsidRDefault="009700E5"/>
    <w:p w14:paraId="2A25AA53" w14:textId="77777777" w:rsidR="009700E5" w:rsidRDefault="009700E5">
      <w:pPr>
        <w:jc w:val="center"/>
        <w:rPr>
          <w:del w:id="0" w:author="Author" w:date="2026-02-18T13:24:00Z"/>
        </w:rPr>
      </w:pPr>
    </w:p>
    <w:p w14:paraId="0203F00C" w14:textId="77777777" w:rsidR="009700E5" w:rsidRDefault="009700E5">
      <w:pPr>
        <w:jc w:val="center"/>
        <w:rPr>
          <w:del w:id="1" w:author="Author" w:date="2026-02-18T13:24:00Z"/>
        </w:rPr>
      </w:pPr>
    </w:p>
    <w:p w14:paraId="6C1CB12E" w14:textId="77777777" w:rsidR="009700E5" w:rsidRDefault="009700E5">
      <w:pPr>
        <w:jc w:val="center"/>
        <w:rPr>
          <w:del w:id="2" w:author="Author" w:date="2026-02-18T13:24:00Z"/>
        </w:rPr>
      </w:pPr>
    </w:p>
    <w:p w14:paraId="23C63417" w14:textId="77777777" w:rsidR="009700E5" w:rsidRDefault="009700E5">
      <w:pPr>
        <w:jc w:val="center"/>
        <w:rPr>
          <w:del w:id="3" w:author="Author" w:date="2026-02-18T13:24:00Z"/>
        </w:rPr>
      </w:pPr>
    </w:p>
    <w:p w14:paraId="05C92303" w14:textId="77777777" w:rsidR="009700E5" w:rsidRDefault="009700E5">
      <w:pPr>
        <w:jc w:val="center"/>
        <w:rPr>
          <w:del w:id="4" w:author="Author" w:date="2026-02-18T13:24:00Z"/>
        </w:rPr>
      </w:pPr>
    </w:p>
    <w:p w14:paraId="1050D69A" w14:textId="77777777" w:rsidR="009700E5" w:rsidRDefault="009700E5">
      <w:pPr>
        <w:jc w:val="center"/>
        <w:rPr>
          <w:del w:id="5" w:author="Author" w:date="2026-02-18T13:24:00Z"/>
        </w:rPr>
      </w:pPr>
    </w:p>
    <w:p w14:paraId="08458161" w14:textId="77777777" w:rsidR="009700E5" w:rsidRDefault="009700E5">
      <w:pPr>
        <w:jc w:val="center"/>
      </w:pPr>
    </w:p>
    <w:p w14:paraId="6D8118E3" w14:textId="77777777" w:rsidR="009700E5" w:rsidRDefault="009700E5">
      <w:pPr>
        <w:jc w:val="center"/>
      </w:pPr>
    </w:p>
    <w:p w14:paraId="0CA4B494" w14:textId="77777777" w:rsidR="009700E5" w:rsidRDefault="009700E5">
      <w:pPr>
        <w:jc w:val="center"/>
      </w:pPr>
    </w:p>
    <w:p w14:paraId="25B04BD6" w14:textId="77777777" w:rsidR="009700E5" w:rsidRDefault="009700E5">
      <w:pPr>
        <w:jc w:val="center"/>
      </w:pPr>
    </w:p>
    <w:p w14:paraId="775A21D0" w14:textId="77777777" w:rsidR="009700E5" w:rsidRDefault="009700E5">
      <w:pPr>
        <w:jc w:val="center"/>
      </w:pPr>
    </w:p>
    <w:p w14:paraId="57D016EE" w14:textId="77777777" w:rsidR="009700E5" w:rsidRDefault="009700E5">
      <w:pPr>
        <w:jc w:val="center"/>
      </w:pPr>
    </w:p>
    <w:p w14:paraId="650C97BA" w14:textId="77777777" w:rsidR="009700E5" w:rsidRDefault="009700E5">
      <w:pPr>
        <w:jc w:val="center"/>
      </w:pPr>
    </w:p>
    <w:p w14:paraId="2F25B0A9" w14:textId="77777777" w:rsidR="009700E5" w:rsidRDefault="009700E5">
      <w:pPr>
        <w:jc w:val="center"/>
      </w:pPr>
    </w:p>
    <w:p w14:paraId="53F7010F" w14:textId="77777777" w:rsidR="009700E5" w:rsidRDefault="009700E5">
      <w:pPr>
        <w:jc w:val="center"/>
      </w:pPr>
    </w:p>
    <w:p w14:paraId="45F08918" w14:textId="77777777" w:rsidR="009700E5" w:rsidRDefault="009700E5">
      <w:pPr>
        <w:jc w:val="center"/>
      </w:pPr>
    </w:p>
    <w:p w14:paraId="37C84618" w14:textId="77777777" w:rsidR="009700E5" w:rsidRDefault="009700E5">
      <w:pPr>
        <w:jc w:val="center"/>
      </w:pPr>
    </w:p>
    <w:p w14:paraId="1935E189" w14:textId="77777777" w:rsidR="009700E5" w:rsidRDefault="009700E5">
      <w:pPr>
        <w:jc w:val="center"/>
      </w:pPr>
    </w:p>
    <w:p w14:paraId="4319FDF1" w14:textId="77777777" w:rsidR="009700E5" w:rsidRDefault="009700E5">
      <w:pPr>
        <w:jc w:val="center"/>
      </w:pPr>
    </w:p>
    <w:p w14:paraId="572FD0BB" w14:textId="77777777" w:rsidR="009700E5" w:rsidRDefault="009700E5">
      <w:pPr>
        <w:jc w:val="center"/>
      </w:pPr>
    </w:p>
    <w:p w14:paraId="60676907" w14:textId="77777777" w:rsidR="009700E5" w:rsidRDefault="009700E5">
      <w:pPr>
        <w:jc w:val="center"/>
      </w:pPr>
    </w:p>
    <w:p w14:paraId="7A351C3D" w14:textId="77777777" w:rsidR="009700E5" w:rsidRDefault="009700E5">
      <w:pPr>
        <w:jc w:val="center"/>
      </w:pPr>
    </w:p>
    <w:p w14:paraId="6289432C" w14:textId="77777777" w:rsidR="009700E5" w:rsidRDefault="009700E5">
      <w:pPr>
        <w:jc w:val="center"/>
      </w:pPr>
    </w:p>
    <w:p w14:paraId="46E2E84B" w14:textId="77777777" w:rsidR="009700E5" w:rsidRDefault="002C033C">
      <w:pPr>
        <w:jc w:val="center"/>
        <w:rPr>
          <w:b/>
        </w:rPr>
      </w:pPr>
      <w:r>
        <w:rPr>
          <w:b/>
        </w:rPr>
        <w:t>PRÍLOHA I</w:t>
      </w:r>
    </w:p>
    <w:p w14:paraId="09F66203" w14:textId="77777777" w:rsidR="009700E5" w:rsidRDefault="009700E5">
      <w:pPr>
        <w:tabs>
          <w:tab w:val="left" w:pos="-1440"/>
          <w:tab w:val="left" w:pos="-720"/>
        </w:tabs>
        <w:jc w:val="center"/>
      </w:pPr>
    </w:p>
    <w:p w14:paraId="4C1ABB9F" w14:textId="77777777" w:rsidR="009700E5" w:rsidRDefault="002C033C">
      <w:pPr>
        <w:pStyle w:val="Annex"/>
      </w:pPr>
      <w:r>
        <w:t>SÚHRN CHARAKTERISTICKÝCH VLASTNOSTÍ LIEKU</w:t>
      </w:r>
    </w:p>
    <w:p w14:paraId="389C94E2" w14:textId="77777777" w:rsidR="009700E5" w:rsidRDefault="009700E5">
      <w:pPr>
        <w:tabs>
          <w:tab w:val="left" w:pos="-1440"/>
          <w:tab w:val="left" w:pos="-720"/>
        </w:tabs>
        <w:jc w:val="center"/>
      </w:pPr>
    </w:p>
    <w:p w14:paraId="6A087EEF" w14:textId="77777777" w:rsidR="009700E5" w:rsidRDefault="002C033C">
      <w:r>
        <w:rPr>
          <w:bCs/>
          <w:iCs/>
        </w:rPr>
        <w:br w:type="page"/>
      </w:r>
      <w:r>
        <w:rPr>
          <w:b/>
        </w:rPr>
        <w:lastRenderedPageBreak/>
        <w:t>1.</w:t>
      </w:r>
      <w:r>
        <w:rPr>
          <w:b/>
        </w:rPr>
        <w:tab/>
      </w:r>
      <w:r>
        <w:rPr>
          <w:b/>
          <w:szCs w:val="22"/>
        </w:rPr>
        <w:t>NÁZOV LIEKU</w:t>
      </w:r>
    </w:p>
    <w:p w14:paraId="62FA990C" w14:textId="77777777" w:rsidR="009700E5" w:rsidRDefault="009700E5">
      <w:pPr>
        <w:rPr>
          <w:iCs/>
        </w:rPr>
      </w:pPr>
    </w:p>
    <w:p w14:paraId="42CE55B9" w14:textId="77777777" w:rsidR="009700E5" w:rsidRDefault="002C033C">
      <w:pPr>
        <w:rPr>
          <w:iCs/>
        </w:rPr>
      </w:pPr>
      <w:r>
        <w:rPr>
          <w:iCs/>
        </w:rPr>
        <w:t xml:space="preserve">RoActemra 20 mg/ml </w:t>
      </w:r>
      <w:r>
        <w:rPr>
          <w:rStyle w:val="cf01"/>
          <w:rFonts w:ascii="Times New Roman" w:hAnsi="Times New Roman" w:cs="Times New Roman"/>
          <w:sz w:val="22"/>
          <w:szCs w:val="22"/>
        </w:rPr>
        <w:t>koncentrát na infúzny roztok</w:t>
      </w:r>
    </w:p>
    <w:p w14:paraId="00BB776C" w14:textId="77777777" w:rsidR="009700E5" w:rsidRDefault="009700E5">
      <w:pPr>
        <w:autoSpaceDE w:val="0"/>
        <w:autoSpaceDN w:val="0"/>
        <w:adjustRightInd w:val="0"/>
        <w:rPr>
          <w:szCs w:val="22"/>
        </w:rPr>
      </w:pPr>
    </w:p>
    <w:p w14:paraId="32E11C36" w14:textId="77777777" w:rsidR="009700E5" w:rsidRDefault="009700E5">
      <w:pPr>
        <w:widowControl w:val="0"/>
        <w:rPr>
          <w:bCs/>
        </w:rPr>
      </w:pPr>
    </w:p>
    <w:p w14:paraId="01042362" w14:textId="77777777" w:rsidR="009700E5" w:rsidRDefault="002C033C">
      <w:pPr>
        <w:widowControl w:val="0"/>
      </w:pPr>
      <w:r>
        <w:rPr>
          <w:b/>
        </w:rPr>
        <w:t>2.</w:t>
      </w:r>
      <w:r>
        <w:rPr>
          <w:b/>
        </w:rPr>
        <w:tab/>
      </w:r>
      <w:r>
        <w:rPr>
          <w:b/>
          <w:szCs w:val="22"/>
        </w:rPr>
        <w:t>KVALITATÍVNE A KVANTITATÍVNE ZLOŽENIE</w:t>
      </w:r>
    </w:p>
    <w:p w14:paraId="16CE0477" w14:textId="77777777" w:rsidR="009700E5" w:rsidRDefault="009700E5"/>
    <w:p w14:paraId="788DF83F" w14:textId="77777777" w:rsidR="009700E5" w:rsidRDefault="002C033C">
      <w:del w:id="6" w:author="Author" w:date="2025-07-18T10:31:00Z">
        <w:r>
          <w:delText xml:space="preserve">Každý </w:delText>
        </w:r>
      </w:del>
      <w:ins w:id="7" w:author="Author" w:date="2025-07-18T10:31:00Z">
        <w:r>
          <w:t xml:space="preserve">Jeden </w:t>
        </w:r>
      </w:ins>
      <w:r>
        <w:t>ml koncentrátu obsahuje 20 mg tocilizumabu*</w:t>
      </w:r>
    </w:p>
    <w:p w14:paraId="7979809E" w14:textId="77777777" w:rsidR="009700E5" w:rsidRDefault="009700E5"/>
    <w:p w14:paraId="454837CA" w14:textId="77777777" w:rsidR="009700E5" w:rsidRDefault="002C033C">
      <w:r>
        <w:t>Každá injekčná liekovka obsahuje 80 mg tocilizumabu* v 4 ml (20 mg/ml).</w:t>
      </w:r>
    </w:p>
    <w:p w14:paraId="7E912D1A" w14:textId="77777777" w:rsidR="009700E5" w:rsidRDefault="002C033C">
      <w:r>
        <w:t>Každá injekčná liekovka obsahuje 200 mg tocilizumabu* v 10 ml (20 mg/ml).</w:t>
      </w:r>
    </w:p>
    <w:p w14:paraId="227C2DCA" w14:textId="77777777" w:rsidR="009700E5" w:rsidRDefault="002C033C">
      <w:r>
        <w:t>Každá injekčná liekovka obsahuje 400 mg tocilizumabu* v 20 ml (20 mg/ml).</w:t>
      </w:r>
    </w:p>
    <w:p w14:paraId="10F5753A" w14:textId="77777777" w:rsidR="009700E5" w:rsidRDefault="009700E5"/>
    <w:p w14:paraId="339EF98E" w14:textId="77777777" w:rsidR="009700E5" w:rsidRDefault="002C033C">
      <w:r>
        <w:t>*humanizovaná monoklonálna protilátka IgG1, ktorá je vyrobená technológiou rekombinantnej DNA v ovariálnych bunkách čínskeho škrečka.</w:t>
      </w:r>
    </w:p>
    <w:p w14:paraId="74D87B00" w14:textId="77777777" w:rsidR="009700E5" w:rsidRDefault="009700E5"/>
    <w:p w14:paraId="2FF3949B" w14:textId="77777777" w:rsidR="009700E5" w:rsidRDefault="002C033C">
      <w:r>
        <w:rPr>
          <w:szCs w:val="22"/>
          <w:u w:val="single"/>
        </w:rPr>
        <w:t>Pomocné látky so známym účinkom</w:t>
      </w:r>
    </w:p>
    <w:p w14:paraId="2E98BD79" w14:textId="77777777" w:rsidR="009700E5" w:rsidRDefault="002C033C">
      <w:r>
        <w:t>Každá 80 mg injekčná liekovka obsahuje 0,10 mmol (2,21 mg) sodíka a 2 mg (0,5 mg/ml) polysorbátu 80.</w:t>
      </w:r>
    </w:p>
    <w:p w14:paraId="34A9A984" w14:textId="77777777" w:rsidR="009700E5" w:rsidRDefault="002C033C">
      <w:r>
        <w:t>Každá 200 mg injekčná liekovka obsahuje 0,20 mmol (4,43 mg) sodíka a 5 mg (0,5 mg/ml) polysorbátu 80.</w:t>
      </w:r>
    </w:p>
    <w:p w14:paraId="6BD90FA2" w14:textId="77777777" w:rsidR="009700E5" w:rsidRDefault="002C033C">
      <w:r>
        <w:t>Každá 400 mg injekčná liekovka obsahuje 0,39 mmol (8,85 mg) sodíka a 10 mg (0,5 mg/ml) polysorbátu 80.</w:t>
      </w:r>
    </w:p>
    <w:p w14:paraId="01399C29" w14:textId="77777777" w:rsidR="009700E5" w:rsidRDefault="009700E5"/>
    <w:p w14:paraId="1A28905D" w14:textId="77777777" w:rsidR="009700E5" w:rsidRDefault="002C033C">
      <w:r>
        <w:rPr>
          <w:szCs w:val="22"/>
        </w:rPr>
        <w:t>Úplný zoznam pomocných látok, pozri časť </w:t>
      </w:r>
      <w:r>
        <w:t>6.1.</w:t>
      </w:r>
    </w:p>
    <w:p w14:paraId="2136ED7F" w14:textId="77777777" w:rsidR="009700E5" w:rsidRDefault="009700E5"/>
    <w:p w14:paraId="5341D878" w14:textId="77777777" w:rsidR="009700E5" w:rsidRDefault="009700E5"/>
    <w:p w14:paraId="201A660D" w14:textId="77777777" w:rsidR="009700E5" w:rsidRDefault="002C033C">
      <w:pPr>
        <w:rPr>
          <w:caps/>
        </w:rPr>
      </w:pPr>
      <w:r>
        <w:rPr>
          <w:b/>
        </w:rPr>
        <w:t>3.</w:t>
      </w:r>
      <w:r>
        <w:rPr>
          <w:b/>
        </w:rPr>
        <w:tab/>
      </w:r>
      <w:r>
        <w:rPr>
          <w:b/>
          <w:szCs w:val="22"/>
        </w:rPr>
        <w:t>LIEKOVÁ FORMA</w:t>
      </w:r>
    </w:p>
    <w:p w14:paraId="2FC9B27A" w14:textId="77777777" w:rsidR="009700E5" w:rsidRDefault="009700E5"/>
    <w:p w14:paraId="67D0BD2C" w14:textId="77777777" w:rsidR="009700E5" w:rsidRDefault="002C033C">
      <w:r>
        <w:t xml:space="preserve">Koncentrát </w:t>
      </w:r>
      <w:r>
        <w:rPr>
          <w:rStyle w:val="cf01"/>
          <w:rFonts w:ascii="Times New Roman" w:hAnsi="Times New Roman" w:cs="Times New Roman"/>
          <w:sz w:val="22"/>
          <w:szCs w:val="22"/>
        </w:rPr>
        <w:t>na infúzny roztok</w:t>
      </w:r>
      <w:r>
        <w:t xml:space="preserve"> (sterilný koncentrát).</w:t>
      </w:r>
    </w:p>
    <w:p w14:paraId="4DF62C6E" w14:textId="77777777" w:rsidR="009700E5" w:rsidRDefault="009700E5"/>
    <w:p w14:paraId="781363EE" w14:textId="77777777" w:rsidR="009700E5" w:rsidRDefault="002C033C">
      <w:r>
        <w:t>Číry až opaleskujúci bezfarebný až svetložltý roztok s pH 6,3 </w:t>
      </w:r>
      <w:r>
        <w:noBreakHyphen/>
        <w:t> 6,7 a osmolalitou 172 </w:t>
      </w:r>
      <w:r>
        <w:noBreakHyphen/>
        <w:t> 229 mOsm/kg.</w:t>
      </w:r>
    </w:p>
    <w:p w14:paraId="1AED97DA" w14:textId="77777777" w:rsidR="009700E5" w:rsidRDefault="009700E5">
      <w:pPr>
        <w:rPr>
          <w:szCs w:val="22"/>
        </w:rPr>
      </w:pPr>
    </w:p>
    <w:p w14:paraId="27E73960" w14:textId="77777777" w:rsidR="009700E5" w:rsidRDefault="009700E5"/>
    <w:p w14:paraId="6C90CDAC" w14:textId="77777777" w:rsidR="009700E5" w:rsidRDefault="002C033C">
      <w:pPr>
        <w:rPr>
          <w:caps/>
        </w:rPr>
      </w:pPr>
      <w:r>
        <w:rPr>
          <w:b/>
          <w:caps/>
        </w:rPr>
        <w:t>4.</w:t>
      </w:r>
      <w:r>
        <w:rPr>
          <w:b/>
          <w:caps/>
        </w:rPr>
        <w:tab/>
      </w:r>
      <w:r>
        <w:rPr>
          <w:b/>
          <w:caps/>
          <w:szCs w:val="22"/>
        </w:rPr>
        <w:t>KLINICKÉ ÚDAJE</w:t>
      </w:r>
    </w:p>
    <w:p w14:paraId="0A2F295D" w14:textId="77777777" w:rsidR="009700E5" w:rsidRDefault="009700E5"/>
    <w:p w14:paraId="4E527B39" w14:textId="77777777" w:rsidR="009700E5" w:rsidRDefault="002C033C">
      <w:pPr>
        <w:outlineLvl w:val="0"/>
      </w:pPr>
      <w:r>
        <w:rPr>
          <w:b/>
        </w:rPr>
        <w:t>4.1</w:t>
      </w:r>
      <w:r>
        <w:rPr>
          <w:b/>
        </w:rPr>
        <w:tab/>
      </w:r>
      <w:r>
        <w:rPr>
          <w:b/>
          <w:szCs w:val="22"/>
        </w:rPr>
        <w:t>Terapeutické indikácie</w:t>
      </w:r>
    </w:p>
    <w:p w14:paraId="4D4E1A84" w14:textId="77777777" w:rsidR="009700E5" w:rsidRDefault="009700E5"/>
    <w:p w14:paraId="485C0781" w14:textId="77777777" w:rsidR="009700E5" w:rsidRDefault="002C033C">
      <w:pPr>
        <w:rPr>
          <w:u w:val="single"/>
        </w:rPr>
      </w:pPr>
      <w:r>
        <w:rPr>
          <w:u w:val="single"/>
        </w:rPr>
        <w:t>Reumatoidná artritída (RA)</w:t>
      </w:r>
    </w:p>
    <w:p w14:paraId="0D98B9A1" w14:textId="77777777" w:rsidR="009700E5" w:rsidRDefault="002C033C">
      <w:r>
        <w:t>RoActemra v kombinácii s metotrexátom (MTX) je indikovaná na:</w:t>
      </w:r>
    </w:p>
    <w:p w14:paraId="37162031" w14:textId="77777777" w:rsidR="009700E5" w:rsidRDefault="009700E5"/>
    <w:p w14:paraId="66DDD54F" w14:textId="77777777" w:rsidR="009700E5" w:rsidRDefault="002C033C">
      <w:pPr>
        <w:ind w:left="567" w:hanging="425"/>
      </w:pPr>
      <w:r>
        <w:rPr>
          <w:szCs w:val="22"/>
        </w:rPr>
        <w:sym w:font="Symbol" w:char="F0B7"/>
      </w:r>
      <w:r>
        <w:tab/>
        <w:t>liečbu ťažkej, aktívnej a progresívnej RA u dospelých, ktorí neboli doteraz liečení MTX.</w:t>
      </w:r>
    </w:p>
    <w:p w14:paraId="674D2BE9" w14:textId="77777777" w:rsidR="009700E5" w:rsidRDefault="002C033C">
      <w:pPr>
        <w:ind w:left="567" w:hanging="425"/>
      </w:pPr>
      <w:r>
        <w:rPr>
          <w:szCs w:val="22"/>
        </w:rPr>
        <w:sym w:font="Symbol" w:char="F0B7"/>
      </w:r>
      <w:r>
        <w:tab/>
        <w:t xml:space="preserve">liečbu stredne ťažkej až ťažkej aktívnej RA u dospelých pacientov, ktorí na predchádzajúcu liečbu jedným alebo viacerými </w:t>
      </w:r>
      <w:bookmarkStart w:id="8" w:name="_Hlk173936413"/>
      <w:r>
        <w:t>antireumatikami modifikujúcimi priebeh choroby</w:t>
      </w:r>
      <w:bookmarkEnd w:id="8"/>
      <w:r>
        <w:t xml:space="preserve"> (DMARD), alebo inhibítormi tumor nekrotizujúceho faktora (TNF) buď neodpovedali dostatočne, alebo ju netolerovali.</w:t>
      </w:r>
    </w:p>
    <w:p w14:paraId="169A7F49" w14:textId="77777777" w:rsidR="009700E5" w:rsidRDefault="009700E5">
      <w:pPr>
        <w:ind w:hanging="425"/>
      </w:pPr>
    </w:p>
    <w:p w14:paraId="4011CDBD" w14:textId="77777777" w:rsidR="009700E5" w:rsidRDefault="002C033C">
      <w:r>
        <w:t>U týchto pacientov sa RoActemra môže podávať v monoterapii v prípade intolerancie MTX, alebo keď je pokračujúca liečba MTX nevhodná. Dokázalo sa, že RoActemra spomaľuje progresiu poškodenia kĺbov meranú RTG vyšetrením a zlepšuje fyzické funkcie, keď sa podáva v kombinácii s MTX.</w:t>
      </w:r>
    </w:p>
    <w:p w14:paraId="060EAAAC" w14:textId="77777777" w:rsidR="009700E5" w:rsidRDefault="009700E5"/>
    <w:p w14:paraId="7BB6483F" w14:textId="77777777" w:rsidR="009700E5" w:rsidRDefault="002C033C">
      <w:pPr>
        <w:keepNext/>
        <w:keepLines/>
        <w:rPr>
          <w:u w:val="single"/>
        </w:rPr>
      </w:pPr>
      <w:r>
        <w:rPr>
          <w:u w:val="single"/>
        </w:rPr>
        <w:t>Ochorenie spôsobené koronavírusom 19 (COVID</w:t>
      </w:r>
      <w:r>
        <w:rPr>
          <w:u w:val="single"/>
        </w:rPr>
        <w:noBreakHyphen/>
        <w:t xml:space="preserve">19) </w:t>
      </w:r>
    </w:p>
    <w:p w14:paraId="1AFE88D5" w14:textId="77777777" w:rsidR="009700E5" w:rsidRDefault="002C033C">
      <w:pPr>
        <w:keepNext/>
        <w:keepLines/>
      </w:pPr>
      <w:bookmarkStart w:id="9" w:name="_Hlk88021335"/>
      <w:r>
        <w:t>RoActemra je indikovaná na liečbu ochorenia COVID</w:t>
      </w:r>
      <w:r>
        <w:noBreakHyphen/>
        <w:t>19 u dospelých, ktorí dostávajú systémové kortikosteroidy a potrebujú doplnkovú liečbu kyslíkom alebo mechanickú ventiláciu.</w:t>
      </w:r>
    </w:p>
    <w:bookmarkEnd w:id="9"/>
    <w:p w14:paraId="31D4153E" w14:textId="77777777" w:rsidR="009700E5" w:rsidRDefault="009700E5"/>
    <w:p w14:paraId="303FB867" w14:textId="77777777" w:rsidR="009700E5" w:rsidRDefault="002C033C">
      <w:pPr>
        <w:keepNext/>
        <w:keepLines/>
        <w:rPr>
          <w:u w:val="single"/>
        </w:rPr>
      </w:pPr>
      <w:r>
        <w:rPr>
          <w:u w:val="single"/>
        </w:rPr>
        <w:lastRenderedPageBreak/>
        <w:t>Systémová juvenilná idiopatická artritída (sJIA)</w:t>
      </w:r>
    </w:p>
    <w:p w14:paraId="179208D5" w14:textId="77777777" w:rsidR="009700E5" w:rsidRDefault="002C033C">
      <w:pPr>
        <w:keepNext/>
        <w:keepLines/>
        <w:rPr>
          <w:rFonts w:eastAsia="SimSun"/>
          <w:szCs w:val="22"/>
          <w:lang w:eastAsia="zh-CN"/>
        </w:rPr>
      </w:pPr>
      <w:r>
        <w:t>RoActemra je indikovaná na liečbu aktívnej sJIA u pacientov vo veku 2 rokov a starších, ktorí nedostatočne odpovedali na predošlú liečbu nesteroidovými antiflogistikami (NSAID) a systémovými kortikosteroidmi. RoActemra sa môže podávať v monoterapii (v prípade intolerancie MTX, alebo keď nie je liečba MTX vhodná) alebo v kombinácii s MTX.</w:t>
      </w:r>
    </w:p>
    <w:p w14:paraId="58699CCF" w14:textId="77777777" w:rsidR="009700E5" w:rsidRDefault="009700E5">
      <w:pPr>
        <w:rPr>
          <w:rFonts w:eastAsia="SimSun"/>
          <w:szCs w:val="22"/>
          <w:lang w:eastAsia="zh-CN"/>
        </w:rPr>
      </w:pPr>
    </w:p>
    <w:p w14:paraId="66B18B56" w14:textId="77777777" w:rsidR="009700E5" w:rsidRDefault="002C033C">
      <w:pPr>
        <w:keepNext/>
        <w:keepLines/>
        <w:rPr>
          <w:rFonts w:eastAsia="SimSun"/>
          <w:szCs w:val="22"/>
          <w:u w:val="single"/>
          <w:lang w:eastAsia="zh-CN"/>
        </w:rPr>
      </w:pPr>
      <w:r>
        <w:rPr>
          <w:u w:val="single"/>
        </w:rPr>
        <w:t>Polyartikulárna juvenilná idiopatická artritída</w:t>
      </w:r>
      <w:r>
        <w:rPr>
          <w:rFonts w:eastAsia="PMingLiU"/>
          <w:bCs/>
          <w:iCs/>
          <w:color w:val="000000"/>
          <w:szCs w:val="22"/>
          <w:u w:val="single"/>
        </w:rPr>
        <w:t xml:space="preserve"> (pJIA)</w:t>
      </w:r>
    </w:p>
    <w:p w14:paraId="443B4FCA" w14:textId="77777777" w:rsidR="009700E5" w:rsidRDefault="002C033C">
      <w:pPr>
        <w:keepNext/>
        <w:keepLines/>
      </w:pPr>
      <w:r>
        <w:t xml:space="preserve">RoActemra v kombinácii s MTX je indikovaná na liečbu </w:t>
      </w:r>
      <w:r>
        <w:rPr>
          <w:rFonts w:eastAsia="PMingLiU"/>
          <w:bCs/>
          <w:iCs/>
          <w:color w:val="000000"/>
          <w:szCs w:val="22"/>
        </w:rPr>
        <w:t>pJIA (s pozitívnym alebo negatívnym reumatoidným faktorom a pretrvávajúcou oligoatritídou)</w:t>
      </w:r>
      <w:r>
        <w:t xml:space="preserve"> u pacientov vo veku 2 rokov a starších, ktorí nedostatočne odpovedali na predošlú liečbu MTX. RoActemra sa môže podávať v monoterapii v prípade intolerancie MTX alebo ak pokračujúca liečba MTX nie je vhodná.</w:t>
      </w:r>
    </w:p>
    <w:p w14:paraId="3270C14A" w14:textId="77777777" w:rsidR="009700E5" w:rsidRDefault="009700E5">
      <w:pPr>
        <w:rPr>
          <w:bCs/>
        </w:rPr>
      </w:pPr>
    </w:p>
    <w:p w14:paraId="2AB4039C" w14:textId="77777777" w:rsidR="009700E5" w:rsidRDefault="002C033C">
      <w:pPr>
        <w:keepNext/>
        <w:keepLines/>
        <w:rPr>
          <w:bCs/>
          <w:u w:val="single"/>
        </w:rPr>
      </w:pPr>
      <w:r>
        <w:rPr>
          <w:u w:val="single"/>
        </w:rPr>
        <w:t>Syndróm uvoľnenia cytokínov (CRS)</w:t>
      </w:r>
    </w:p>
    <w:p w14:paraId="56FB3556" w14:textId="77777777" w:rsidR="009700E5" w:rsidRDefault="002C033C">
      <w:pPr>
        <w:keepNext/>
        <w:keepLines/>
      </w:pPr>
      <w:r>
        <w:t>RoActemra je indikovaná na liečbu závažného alebo život ohrozujúceho CRS vyvolaného T</w:t>
      </w:r>
      <w:r>
        <w:noBreakHyphen/>
        <w:t>lymfocytmi exprimujúcimi chimérický antigénny receptor (CAR) u dospelých a pediatrických pacientov vo veku 2 rokov a starších.</w:t>
      </w:r>
    </w:p>
    <w:p w14:paraId="7E3A10E2" w14:textId="77777777" w:rsidR="009700E5" w:rsidRDefault="009700E5">
      <w:pPr>
        <w:rPr>
          <w:b/>
        </w:rPr>
      </w:pPr>
    </w:p>
    <w:p w14:paraId="14A6BCD8" w14:textId="77777777" w:rsidR="009700E5" w:rsidRDefault="002C033C">
      <w:pPr>
        <w:keepNext/>
        <w:keepLines/>
        <w:outlineLvl w:val="0"/>
        <w:rPr>
          <w:b/>
        </w:rPr>
      </w:pPr>
      <w:r>
        <w:rPr>
          <w:b/>
        </w:rPr>
        <w:t>4.2</w:t>
      </w:r>
      <w:r>
        <w:rPr>
          <w:b/>
        </w:rPr>
        <w:tab/>
      </w:r>
      <w:r>
        <w:rPr>
          <w:b/>
          <w:szCs w:val="22"/>
        </w:rPr>
        <w:t>Dávkovanie a spôsob podávania</w:t>
      </w:r>
    </w:p>
    <w:p w14:paraId="5BA75EFE" w14:textId="77777777" w:rsidR="009700E5" w:rsidRDefault="009700E5">
      <w:pPr>
        <w:keepNext/>
        <w:keepLines/>
        <w:rPr>
          <w:b/>
        </w:rPr>
      </w:pPr>
    </w:p>
    <w:p w14:paraId="3EF41CC7" w14:textId="77777777" w:rsidR="009700E5" w:rsidRDefault="002C033C">
      <w:pPr>
        <w:keepNext/>
        <w:keepLines/>
      </w:pPr>
      <w:r>
        <w:t>Liečbu majú začať zdravotnícki pracovníci, ktorí majú skúsenosti s diagnostikou a liečbou RA, COVID</w:t>
      </w:r>
      <w:r>
        <w:noBreakHyphen/>
        <w:t>19, sJIA, pJIA alebo CRS.</w:t>
      </w:r>
    </w:p>
    <w:p w14:paraId="3600C45A" w14:textId="77777777" w:rsidR="009700E5" w:rsidRDefault="009700E5">
      <w:pPr>
        <w:keepNext/>
        <w:keepLines/>
      </w:pPr>
    </w:p>
    <w:p w14:paraId="5679842A" w14:textId="77777777" w:rsidR="009700E5" w:rsidRDefault="002C033C">
      <w:pPr>
        <w:keepNext/>
        <w:keepLines/>
      </w:pPr>
      <w:r>
        <w:t>Všetkým pacientom, ktorí sú liečení RoActemrou</w:t>
      </w:r>
      <w:r>
        <w:rPr>
          <w:rFonts w:eastAsia="SimSun"/>
          <w:szCs w:val="22"/>
          <w:lang w:eastAsia="zh-CN"/>
        </w:rPr>
        <w:t>, sa musí poskytnúť karta pacienta.</w:t>
      </w:r>
    </w:p>
    <w:p w14:paraId="0ED02670" w14:textId="77777777" w:rsidR="009700E5" w:rsidRDefault="009700E5"/>
    <w:p w14:paraId="625F4EBB" w14:textId="77777777" w:rsidR="009700E5" w:rsidRDefault="002C033C">
      <w:pPr>
        <w:keepNext/>
        <w:keepLines/>
        <w:rPr>
          <w:u w:val="single"/>
        </w:rPr>
      </w:pPr>
      <w:r>
        <w:rPr>
          <w:u w:val="single"/>
        </w:rPr>
        <w:t>Dávkovanie</w:t>
      </w:r>
    </w:p>
    <w:p w14:paraId="7D5C570A" w14:textId="77777777" w:rsidR="009700E5" w:rsidRDefault="002C033C">
      <w:pPr>
        <w:keepNext/>
        <w:keepLines/>
        <w:rPr>
          <w:bCs/>
          <w:i/>
          <w:iCs/>
        </w:rPr>
      </w:pPr>
      <w:r>
        <w:rPr>
          <w:bCs/>
          <w:i/>
          <w:iCs/>
        </w:rPr>
        <w:t>Pacienti s RA</w:t>
      </w:r>
    </w:p>
    <w:p w14:paraId="5A84052E" w14:textId="77777777" w:rsidR="009700E5" w:rsidRDefault="002C033C">
      <w:pPr>
        <w:keepNext/>
        <w:keepLines/>
        <w:autoSpaceDE w:val="0"/>
        <w:autoSpaceDN w:val="0"/>
        <w:adjustRightInd w:val="0"/>
        <w:rPr>
          <w:rFonts w:eastAsia="SimSun"/>
          <w:sz w:val="20"/>
          <w:lang w:eastAsia="zh-CN"/>
        </w:rPr>
      </w:pPr>
      <w:r>
        <w:t>Odporúčaná dávka je 8 mg/kg telesnej hmotnosti podávaná raz za štyri týždne.</w:t>
      </w:r>
    </w:p>
    <w:p w14:paraId="15C79AF1" w14:textId="77777777" w:rsidR="009700E5" w:rsidRDefault="009700E5">
      <w:pPr>
        <w:keepNext/>
        <w:keepLines/>
        <w:rPr>
          <w:rFonts w:eastAsia="SimSun"/>
          <w:szCs w:val="22"/>
          <w:lang w:eastAsia="zh-CN"/>
        </w:rPr>
      </w:pPr>
    </w:p>
    <w:p w14:paraId="258FD23D" w14:textId="77777777" w:rsidR="009700E5" w:rsidRDefault="002C033C">
      <w:r>
        <w:t>U pacientov, ktorých telesná hmotnosť je vyššia ako 100 kg, sa neodporúčajú dávky presahujúce 800 mg na infúziu (pozri časť 5.2).</w:t>
      </w:r>
    </w:p>
    <w:p w14:paraId="19813AF7" w14:textId="77777777" w:rsidR="009700E5" w:rsidRDefault="009700E5"/>
    <w:p w14:paraId="0DBFD02E" w14:textId="77777777" w:rsidR="009700E5" w:rsidRDefault="002C033C">
      <w:r>
        <w:t>Dávky nad 1,2 g sa v klinických skúšaniach nehodnotili (pozri časť 5.1).</w:t>
      </w:r>
    </w:p>
    <w:p w14:paraId="12A21BE7" w14:textId="77777777" w:rsidR="009700E5" w:rsidRDefault="009700E5"/>
    <w:p w14:paraId="70152051" w14:textId="77777777" w:rsidR="009700E5" w:rsidRDefault="002C033C">
      <w:pPr>
        <w:keepNext/>
        <w:rPr>
          <w:i/>
          <w:iCs/>
        </w:rPr>
      </w:pPr>
      <w:r>
        <w:rPr>
          <w:i/>
          <w:iCs/>
          <w:u w:val="single"/>
        </w:rPr>
        <w:t>Úpravy dávky kvôli laboratórnym odchýlkam (pozri časť 4.4)</w:t>
      </w:r>
    </w:p>
    <w:p w14:paraId="7585B47D" w14:textId="77777777" w:rsidR="009700E5" w:rsidRDefault="009700E5">
      <w:pPr>
        <w:keepNext/>
      </w:pPr>
    </w:p>
    <w:p w14:paraId="256A235C" w14:textId="77777777" w:rsidR="009700E5" w:rsidRDefault="002C033C">
      <w:pPr>
        <w:keepNext/>
        <w:ind w:left="567" w:hanging="425"/>
      </w:pPr>
      <w:bookmarkStart w:id="10" w:name="_Hlk176164504"/>
      <w:r>
        <w:rPr>
          <w:szCs w:val="22"/>
        </w:rPr>
        <w:sym w:font="Symbol" w:char="F0B7"/>
      </w:r>
      <w:r>
        <w:tab/>
      </w:r>
      <w:bookmarkEnd w:id="10"/>
      <w:r>
        <w:t>Odchýlky hodnôt pečeňových enzýmov</w:t>
      </w:r>
    </w:p>
    <w:p w14:paraId="73DB5550" w14:textId="77777777" w:rsidR="009700E5" w:rsidRDefault="009700E5">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4"/>
        <w:gridCol w:w="6977"/>
      </w:tblGrid>
      <w:tr w:rsidR="009700E5" w14:paraId="74226E31" w14:textId="77777777">
        <w:tc>
          <w:tcPr>
            <w:tcW w:w="2093" w:type="dxa"/>
          </w:tcPr>
          <w:p w14:paraId="4064D68C" w14:textId="77777777" w:rsidR="009700E5" w:rsidRDefault="002C033C">
            <w:pPr>
              <w:keepNext/>
              <w:jc w:val="center"/>
            </w:pPr>
            <w:r>
              <w:t>Laboratórna hodnota</w:t>
            </w:r>
          </w:p>
          <w:p w14:paraId="778795B1" w14:textId="77777777" w:rsidR="009700E5" w:rsidRDefault="009700E5">
            <w:pPr>
              <w:keepNext/>
              <w:jc w:val="center"/>
            </w:pPr>
          </w:p>
        </w:tc>
        <w:tc>
          <w:tcPr>
            <w:tcW w:w="7118" w:type="dxa"/>
          </w:tcPr>
          <w:p w14:paraId="2786A987" w14:textId="77777777" w:rsidR="009700E5" w:rsidRDefault="002C033C">
            <w:pPr>
              <w:keepNext/>
              <w:jc w:val="center"/>
            </w:pPr>
            <w:r>
              <w:t>Opatrenie</w:t>
            </w:r>
          </w:p>
        </w:tc>
      </w:tr>
      <w:tr w:rsidR="009700E5" w14:paraId="0FBC8787" w14:textId="77777777">
        <w:tc>
          <w:tcPr>
            <w:tcW w:w="2093" w:type="dxa"/>
          </w:tcPr>
          <w:p w14:paraId="67EA38F2" w14:textId="77777777" w:rsidR="009700E5" w:rsidRDefault="002C033C">
            <w:pPr>
              <w:keepNext/>
            </w:pPr>
            <w:r>
              <w:rPr>
                <w:rFonts w:eastAsia="MS Mincho"/>
                <w:szCs w:val="22"/>
              </w:rPr>
              <w:sym w:font="Symbol" w:char="F03E"/>
            </w:r>
            <w:r>
              <w:t> 1</w:t>
            </w:r>
            <w:r>
              <w:noBreakHyphen/>
              <w:t> až 3</w:t>
            </w:r>
            <w:r>
              <w:noBreakHyphen/>
              <w:t>násobok hornej hranice referenčného rozpätia (ULN)</w:t>
            </w:r>
          </w:p>
          <w:p w14:paraId="1F979287" w14:textId="77777777" w:rsidR="009700E5" w:rsidRDefault="009700E5">
            <w:pPr>
              <w:keepNext/>
            </w:pPr>
          </w:p>
        </w:tc>
        <w:tc>
          <w:tcPr>
            <w:tcW w:w="7118" w:type="dxa"/>
          </w:tcPr>
          <w:p w14:paraId="14DD0D20" w14:textId="77777777" w:rsidR="009700E5" w:rsidRDefault="002C033C">
            <w:pPr>
              <w:keepNext/>
            </w:pPr>
            <w:r>
              <w:t>Úprava dávky súbežne podávaného MTX, ak je to vhodné.</w:t>
            </w:r>
          </w:p>
          <w:p w14:paraId="7F4D546C" w14:textId="77777777" w:rsidR="009700E5" w:rsidRDefault="009700E5">
            <w:pPr>
              <w:keepNext/>
            </w:pPr>
          </w:p>
          <w:p w14:paraId="54AC9E3B" w14:textId="77777777" w:rsidR="009700E5" w:rsidRDefault="002C033C">
            <w:pPr>
              <w:keepNext/>
            </w:pPr>
            <w:r>
              <w:t>Pri pretrvávajúcich vzostupoch v tomto rozpätí znížte dávku tocilizumabu na 4 mg/kg alebo prerušte liečbu, kým nedôjde k normalizácii hodnôt alanínaminotransferázy (ALT) alebo aspartátaminotransferázy (AST).</w:t>
            </w:r>
          </w:p>
          <w:p w14:paraId="7D3F25F5" w14:textId="77777777" w:rsidR="009700E5" w:rsidRDefault="009700E5">
            <w:pPr>
              <w:keepNext/>
            </w:pPr>
          </w:p>
          <w:p w14:paraId="7AA010C0" w14:textId="77777777" w:rsidR="009700E5" w:rsidRDefault="002C033C">
            <w:pPr>
              <w:keepNext/>
            </w:pPr>
            <w:r>
              <w:t>Liečbu znovu začnite dávkou 4 mg/kg alebo 8 mg/kg, ak je to klinicky vhodné.</w:t>
            </w:r>
          </w:p>
          <w:p w14:paraId="69AF938D" w14:textId="77777777" w:rsidR="009700E5" w:rsidRDefault="009700E5">
            <w:pPr>
              <w:keepNext/>
            </w:pPr>
          </w:p>
        </w:tc>
      </w:tr>
      <w:tr w:rsidR="009700E5" w14:paraId="5BBCE909" w14:textId="77777777">
        <w:tc>
          <w:tcPr>
            <w:tcW w:w="2093" w:type="dxa"/>
          </w:tcPr>
          <w:p w14:paraId="4EA810D2" w14:textId="77777777" w:rsidR="009700E5" w:rsidRDefault="002C033C">
            <w:pPr>
              <w:keepNext/>
            </w:pPr>
            <w:r>
              <w:rPr>
                <w:rFonts w:eastAsia="MS Mincho"/>
                <w:szCs w:val="22"/>
              </w:rPr>
              <w:sym w:font="Symbol" w:char="F03E"/>
            </w:r>
            <w:r>
              <w:t> 3</w:t>
            </w:r>
            <w:r>
              <w:noBreakHyphen/>
              <w:t> až 5</w:t>
            </w:r>
            <w:r>
              <w:noBreakHyphen/>
              <w:t>násobok ULN</w:t>
            </w:r>
          </w:p>
          <w:p w14:paraId="209A2CC5" w14:textId="77777777" w:rsidR="009700E5" w:rsidRDefault="002C033C">
            <w:pPr>
              <w:keepNext/>
            </w:pPr>
            <w:r>
              <w:t>(potvrdené opakovaným vyšetrením, pozri časť 4.4)</w:t>
            </w:r>
          </w:p>
        </w:tc>
        <w:tc>
          <w:tcPr>
            <w:tcW w:w="7118" w:type="dxa"/>
          </w:tcPr>
          <w:p w14:paraId="55B44B4B" w14:textId="77777777" w:rsidR="009700E5" w:rsidRDefault="002C033C">
            <w:pPr>
              <w:keepNext/>
            </w:pPr>
            <w:r>
              <w:t xml:space="preserve">Prerušte podávanie tocilizumabu, pokým nebude hodnota </w:t>
            </w:r>
            <w:r>
              <w:rPr>
                <w:rFonts w:eastAsia="MS Mincho"/>
                <w:szCs w:val="22"/>
              </w:rPr>
              <w:sym w:font="Symbol" w:char="F03C"/>
            </w:r>
            <w:r>
              <w:t> 3</w:t>
            </w:r>
            <w:r>
              <w:noBreakHyphen/>
              <w:t>násobok ULN</w:t>
            </w:r>
            <w:r>
              <w:rPr>
                <w:szCs w:val="22"/>
              </w:rPr>
              <w:t xml:space="preserve"> postupujte podľa vyššie uvedených odporúčaní pre </w:t>
            </w:r>
            <w:r>
              <w:rPr>
                <w:rFonts w:eastAsia="MS Mincho"/>
                <w:szCs w:val="22"/>
              </w:rPr>
              <w:sym w:font="Symbol" w:char="F03E"/>
            </w:r>
            <w:r>
              <w:t> 1</w:t>
            </w:r>
            <w:r>
              <w:noBreakHyphen/>
              <w:t> až 3</w:t>
            </w:r>
            <w:r>
              <w:noBreakHyphen/>
              <w:t>násobok</w:t>
            </w:r>
            <w:r>
              <w:rPr>
                <w:szCs w:val="22"/>
              </w:rPr>
              <w:t xml:space="preserve"> ULN.</w:t>
            </w:r>
          </w:p>
          <w:p w14:paraId="00B97243" w14:textId="77777777" w:rsidR="009700E5" w:rsidRDefault="009700E5">
            <w:pPr>
              <w:keepNext/>
            </w:pPr>
          </w:p>
          <w:p w14:paraId="65612B09" w14:textId="77777777" w:rsidR="009700E5" w:rsidRDefault="002C033C">
            <w:pPr>
              <w:keepNext/>
            </w:pPr>
            <w:r>
              <w:t xml:space="preserve">Pri pretrvávajúcich vzostupoch </w:t>
            </w:r>
            <w:r>
              <w:rPr>
                <w:rFonts w:eastAsia="MS Mincho"/>
                <w:szCs w:val="22"/>
              </w:rPr>
              <w:sym w:font="Symbol" w:char="F03E"/>
            </w:r>
            <w:r>
              <w:t> 3</w:t>
            </w:r>
            <w:r>
              <w:noBreakHyphen/>
              <w:t>násobok ULN ukončite liečbu.</w:t>
            </w:r>
          </w:p>
        </w:tc>
      </w:tr>
      <w:tr w:rsidR="009700E5" w14:paraId="5462797E" w14:textId="77777777">
        <w:tc>
          <w:tcPr>
            <w:tcW w:w="2093" w:type="dxa"/>
          </w:tcPr>
          <w:p w14:paraId="7944F1BB" w14:textId="77777777" w:rsidR="009700E5" w:rsidRDefault="002C033C">
            <w:pPr>
              <w:keepNext/>
            </w:pPr>
            <w:r>
              <w:rPr>
                <w:rFonts w:eastAsia="MS Mincho"/>
                <w:szCs w:val="22"/>
              </w:rPr>
              <w:sym w:font="Symbol" w:char="F03E"/>
            </w:r>
            <w:r>
              <w:t> 5</w:t>
            </w:r>
            <w:r>
              <w:noBreakHyphen/>
              <w:t>násobok ULN</w:t>
            </w:r>
          </w:p>
          <w:p w14:paraId="64FA8F9D" w14:textId="77777777" w:rsidR="009700E5" w:rsidRDefault="009700E5">
            <w:pPr>
              <w:keepNext/>
            </w:pPr>
          </w:p>
        </w:tc>
        <w:tc>
          <w:tcPr>
            <w:tcW w:w="7118" w:type="dxa"/>
          </w:tcPr>
          <w:p w14:paraId="7B645D76" w14:textId="77777777" w:rsidR="009700E5" w:rsidRDefault="002C033C">
            <w:pPr>
              <w:keepNext/>
            </w:pPr>
            <w:r>
              <w:t>Ukončite liečbu.</w:t>
            </w:r>
          </w:p>
        </w:tc>
      </w:tr>
    </w:tbl>
    <w:p w14:paraId="60DBB9E7" w14:textId="77777777" w:rsidR="009700E5" w:rsidRDefault="009700E5"/>
    <w:p w14:paraId="6877B8AB" w14:textId="77777777" w:rsidR="009700E5" w:rsidRDefault="002C033C">
      <w:pPr>
        <w:keepNext/>
        <w:ind w:left="567" w:hanging="425"/>
      </w:pPr>
      <w:r>
        <w:rPr>
          <w:szCs w:val="22"/>
        </w:rPr>
        <w:lastRenderedPageBreak/>
        <w:sym w:font="Symbol" w:char="F0B7"/>
      </w:r>
      <w:r>
        <w:tab/>
        <w:t>Nízky absolútny počet neutrofilov (ANC)</w:t>
      </w:r>
    </w:p>
    <w:p w14:paraId="53F46B96" w14:textId="77777777" w:rsidR="009700E5" w:rsidRDefault="009700E5">
      <w:pPr>
        <w:keepNext/>
        <w:rPr>
          <w:szCs w:val="22"/>
        </w:rPr>
      </w:pPr>
    </w:p>
    <w:p w14:paraId="62D02FCF" w14:textId="77777777" w:rsidR="009700E5" w:rsidRDefault="002C033C">
      <w:pPr>
        <w:keepNext/>
      </w:pPr>
      <w:r>
        <w:rPr>
          <w:szCs w:val="22"/>
        </w:rPr>
        <w:t xml:space="preserve">U pacientov, ktorí neboli doteraz liečení tocilizumabom a majú </w:t>
      </w:r>
      <w:r>
        <w:rPr>
          <w:rFonts w:eastAsia="SimSun"/>
          <w:color w:val="000000"/>
          <w:szCs w:val="22"/>
          <w:lang w:eastAsia="zh-CN"/>
        </w:rPr>
        <w:t>absolútny počet neutrofilov (ANC) nižší ako 2 </w:t>
      </w:r>
      <w:r>
        <w:rPr>
          <w:bCs/>
          <w:szCs w:val="22"/>
        </w:rPr>
        <w:sym w:font="Symbol" w:char="F0B4"/>
      </w:r>
      <w:r>
        <w:rPr>
          <w:rFonts w:eastAsia="SimSun"/>
          <w:color w:val="000000"/>
          <w:szCs w:val="22"/>
          <w:lang w:eastAsia="zh-CN"/>
        </w:rPr>
        <w:t> 10</w:t>
      </w:r>
      <w:r>
        <w:rPr>
          <w:rFonts w:eastAsia="SimSun"/>
          <w:color w:val="000000"/>
          <w:szCs w:val="22"/>
          <w:vertAlign w:val="superscript"/>
          <w:lang w:eastAsia="zh-CN"/>
        </w:rPr>
        <w:t>9</w:t>
      </w:r>
      <w:r>
        <w:rPr>
          <w:rFonts w:eastAsia="SimSun"/>
          <w:color w:val="000000"/>
          <w:szCs w:val="22"/>
          <w:lang w:eastAsia="zh-CN"/>
        </w:rPr>
        <w:t xml:space="preserve">/l, </w:t>
      </w:r>
      <w:r>
        <w:rPr>
          <w:szCs w:val="22"/>
        </w:rPr>
        <w:t>sa neodporúča začať liečbu.</w:t>
      </w:r>
    </w:p>
    <w:p w14:paraId="67C6FBA1" w14:textId="77777777" w:rsidR="009700E5" w:rsidRDefault="009700E5">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0"/>
        <w:gridCol w:w="6981"/>
      </w:tblGrid>
      <w:tr w:rsidR="009700E5" w14:paraId="6BCD9E17" w14:textId="77777777">
        <w:tc>
          <w:tcPr>
            <w:tcW w:w="2093" w:type="dxa"/>
          </w:tcPr>
          <w:p w14:paraId="57B02AC0" w14:textId="77777777" w:rsidR="009700E5" w:rsidRDefault="002C033C">
            <w:pPr>
              <w:keepNext/>
              <w:jc w:val="center"/>
            </w:pPr>
            <w:r>
              <w:t>Laboratórna hodnota (bunky </w:t>
            </w:r>
            <w:r>
              <w:rPr>
                <w:bCs/>
                <w:szCs w:val="22"/>
              </w:rPr>
              <w:sym w:font="Symbol" w:char="F0B4"/>
            </w:r>
            <w:r>
              <w:t> 10</w:t>
            </w:r>
            <w:r>
              <w:rPr>
                <w:vertAlign w:val="superscript"/>
              </w:rPr>
              <w:t>9</w:t>
            </w:r>
            <w:r>
              <w:t>/l)</w:t>
            </w:r>
          </w:p>
          <w:p w14:paraId="1C64EABC" w14:textId="77777777" w:rsidR="009700E5" w:rsidRDefault="009700E5">
            <w:pPr>
              <w:keepNext/>
              <w:jc w:val="center"/>
            </w:pPr>
          </w:p>
        </w:tc>
        <w:tc>
          <w:tcPr>
            <w:tcW w:w="7118" w:type="dxa"/>
          </w:tcPr>
          <w:p w14:paraId="668DDFBF" w14:textId="77777777" w:rsidR="009700E5" w:rsidRDefault="002C033C">
            <w:pPr>
              <w:keepNext/>
              <w:jc w:val="center"/>
            </w:pPr>
            <w:r>
              <w:t>Opatrenie</w:t>
            </w:r>
          </w:p>
        </w:tc>
      </w:tr>
      <w:tr w:rsidR="009700E5" w14:paraId="74DB269D" w14:textId="77777777">
        <w:tc>
          <w:tcPr>
            <w:tcW w:w="2093" w:type="dxa"/>
          </w:tcPr>
          <w:p w14:paraId="4A36D449" w14:textId="77777777" w:rsidR="009700E5" w:rsidRDefault="002C033C">
            <w:pPr>
              <w:keepNext/>
            </w:pPr>
            <w:r>
              <w:t>ANC </w:t>
            </w:r>
            <w:r>
              <w:rPr>
                <w:rFonts w:eastAsia="MS Mincho"/>
                <w:szCs w:val="22"/>
              </w:rPr>
              <w:sym w:font="Symbol" w:char="F03E"/>
            </w:r>
            <w:r>
              <w:t> 1</w:t>
            </w:r>
          </w:p>
          <w:p w14:paraId="347ADF25" w14:textId="77777777" w:rsidR="009700E5" w:rsidRDefault="009700E5">
            <w:pPr>
              <w:keepNext/>
            </w:pPr>
          </w:p>
        </w:tc>
        <w:tc>
          <w:tcPr>
            <w:tcW w:w="7118" w:type="dxa"/>
          </w:tcPr>
          <w:p w14:paraId="68CF541F" w14:textId="77777777" w:rsidR="009700E5" w:rsidRDefault="002C033C">
            <w:pPr>
              <w:keepNext/>
            </w:pPr>
            <w:r>
              <w:t>Udržiavajte dávku.</w:t>
            </w:r>
          </w:p>
        </w:tc>
      </w:tr>
      <w:tr w:rsidR="009700E5" w14:paraId="37E2A217" w14:textId="77777777">
        <w:tc>
          <w:tcPr>
            <w:tcW w:w="2093" w:type="dxa"/>
          </w:tcPr>
          <w:p w14:paraId="166550D2" w14:textId="77777777" w:rsidR="009700E5" w:rsidRDefault="002C033C">
            <w:pPr>
              <w:keepNext/>
            </w:pPr>
            <w:r>
              <w:t>ANC 0,5 až 1</w:t>
            </w:r>
          </w:p>
          <w:p w14:paraId="47DA3E76" w14:textId="77777777" w:rsidR="009700E5" w:rsidRDefault="009700E5">
            <w:pPr>
              <w:keepNext/>
            </w:pPr>
          </w:p>
        </w:tc>
        <w:tc>
          <w:tcPr>
            <w:tcW w:w="7118" w:type="dxa"/>
          </w:tcPr>
          <w:p w14:paraId="1A9B1B39" w14:textId="77777777" w:rsidR="009700E5" w:rsidRDefault="002C033C">
            <w:pPr>
              <w:keepNext/>
            </w:pPr>
            <w:r>
              <w:t>Prerušte podávanie tocilizumabu.</w:t>
            </w:r>
          </w:p>
          <w:p w14:paraId="4B7011D4" w14:textId="77777777" w:rsidR="009700E5" w:rsidRDefault="009700E5">
            <w:pPr>
              <w:keepNext/>
            </w:pPr>
          </w:p>
          <w:p w14:paraId="2568CDBB" w14:textId="77777777" w:rsidR="009700E5" w:rsidRDefault="002C033C">
            <w:pPr>
              <w:keepNext/>
            </w:pPr>
            <w:r>
              <w:t xml:space="preserve">Keď sa ANC zvýši na </w:t>
            </w:r>
            <w:bookmarkStart w:id="11" w:name="_Hlk173863927"/>
            <w:r>
              <w:rPr>
                <w:rFonts w:eastAsia="MS Mincho"/>
                <w:szCs w:val="22"/>
              </w:rPr>
              <w:sym w:font="Symbol" w:char="F03E"/>
            </w:r>
            <w:r>
              <w:t> 1 </w:t>
            </w:r>
            <w:r>
              <w:rPr>
                <w:bCs/>
                <w:szCs w:val="22"/>
              </w:rPr>
              <w:sym w:font="Symbol" w:char="F0B4"/>
            </w:r>
            <w:r>
              <w:t> 10</w:t>
            </w:r>
            <w:r>
              <w:rPr>
                <w:vertAlign w:val="superscript"/>
              </w:rPr>
              <w:t>9</w:t>
            </w:r>
            <w:r>
              <w:t>/l</w:t>
            </w:r>
            <w:bookmarkEnd w:id="11"/>
            <w:r>
              <w:t>, liečbu znovu začnite dávkou 4 mg/kg a zvýšte na 8 mg/kg, ak je to klinicky vhodné.</w:t>
            </w:r>
          </w:p>
          <w:p w14:paraId="40A93EFF" w14:textId="77777777" w:rsidR="009700E5" w:rsidRDefault="009700E5">
            <w:pPr>
              <w:keepNext/>
            </w:pPr>
          </w:p>
        </w:tc>
      </w:tr>
      <w:tr w:rsidR="009700E5" w14:paraId="6A7EA491" w14:textId="77777777">
        <w:tc>
          <w:tcPr>
            <w:tcW w:w="2093" w:type="dxa"/>
          </w:tcPr>
          <w:p w14:paraId="0C7123F3" w14:textId="77777777" w:rsidR="009700E5" w:rsidRDefault="002C033C">
            <w:pPr>
              <w:keepNext/>
            </w:pPr>
            <w:r>
              <w:t>ANC </w:t>
            </w:r>
            <w:r>
              <w:rPr>
                <w:rFonts w:eastAsia="MS Mincho"/>
                <w:szCs w:val="22"/>
              </w:rPr>
              <w:sym w:font="Symbol" w:char="F03C"/>
            </w:r>
            <w:r>
              <w:t> 0,5</w:t>
            </w:r>
          </w:p>
          <w:p w14:paraId="6B7CE1B7" w14:textId="77777777" w:rsidR="009700E5" w:rsidRDefault="009700E5">
            <w:pPr>
              <w:keepNext/>
            </w:pPr>
          </w:p>
        </w:tc>
        <w:tc>
          <w:tcPr>
            <w:tcW w:w="7118" w:type="dxa"/>
          </w:tcPr>
          <w:p w14:paraId="30EC0B6A" w14:textId="77777777" w:rsidR="009700E5" w:rsidRDefault="002C033C">
            <w:pPr>
              <w:keepNext/>
            </w:pPr>
            <w:r>
              <w:t>Ukončite liečbu.</w:t>
            </w:r>
          </w:p>
        </w:tc>
      </w:tr>
    </w:tbl>
    <w:p w14:paraId="177C3E52" w14:textId="77777777" w:rsidR="009700E5" w:rsidRDefault="009700E5">
      <w:pPr>
        <w:widowControl w:val="0"/>
      </w:pPr>
    </w:p>
    <w:p w14:paraId="146F9BFE" w14:textId="77777777" w:rsidR="009700E5" w:rsidRDefault="002C033C">
      <w:pPr>
        <w:keepNext/>
        <w:keepLines/>
        <w:ind w:left="567" w:hanging="425"/>
      </w:pPr>
      <w:r>
        <w:rPr>
          <w:szCs w:val="22"/>
        </w:rPr>
        <w:sym w:font="Symbol" w:char="F0B7"/>
      </w:r>
      <w:r>
        <w:tab/>
        <w:t>Nízky počet trombocytov</w:t>
      </w:r>
    </w:p>
    <w:p w14:paraId="18C02EB3" w14:textId="77777777" w:rsidR="009700E5" w:rsidRDefault="009700E5">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3"/>
        <w:gridCol w:w="6978"/>
      </w:tblGrid>
      <w:tr w:rsidR="009700E5" w14:paraId="7D08AA28" w14:textId="77777777">
        <w:tc>
          <w:tcPr>
            <w:tcW w:w="2093" w:type="dxa"/>
          </w:tcPr>
          <w:p w14:paraId="1FCC5130" w14:textId="77777777" w:rsidR="009700E5" w:rsidRDefault="002C033C">
            <w:pPr>
              <w:keepNext/>
              <w:jc w:val="center"/>
            </w:pPr>
            <w:r>
              <w:t>Laboratórna hodnota (bunky </w:t>
            </w:r>
            <w:r>
              <w:rPr>
                <w:bCs/>
                <w:szCs w:val="22"/>
              </w:rPr>
              <w:sym w:font="Symbol" w:char="F0B4"/>
            </w:r>
            <w:r>
              <w:t> 10</w:t>
            </w:r>
            <w:r>
              <w:rPr>
                <w:vertAlign w:val="superscript"/>
              </w:rPr>
              <w:t>3</w:t>
            </w:r>
            <w:r>
              <w:t>/</w:t>
            </w:r>
            <w:r>
              <w:rPr>
                <w:rFonts w:eastAsia="MS Mincho"/>
                <w:szCs w:val="22"/>
              </w:rPr>
              <w:sym w:font="Symbol" w:char="F06D"/>
            </w:r>
            <w:r>
              <w:t>l)</w:t>
            </w:r>
          </w:p>
          <w:p w14:paraId="7C534ED6" w14:textId="77777777" w:rsidR="009700E5" w:rsidRDefault="009700E5">
            <w:pPr>
              <w:keepNext/>
              <w:jc w:val="center"/>
            </w:pPr>
          </w:p>
        </w:tc>
        <w:tc>
          <w:tcPr>
            <w:tcW w:w="7118" w:type="dxa"/>
          </w:tcPr>
          <w:p w14:paraId="230474FC" w14:textId="77777777" w:rsidR="009700E5" w:rsidRDefault="002C033C">
            <w:pPr>
              <w:keepNext/>
              <w:jc w:val="center"/>
            </w:pPr>
            <w:r>
              <w:t>Opatrenie</w:t>
            </w:r>
          </w:p>
        </w:tc>
      </w:tr>
      <w:tr w:rsidR="009700E5" w14:paraId="76DA3170" w14:textId="77777777">
        <w:tc>
          <w:tcPr>
            <w:tcW w:w="2093" w:type="dxa"/>
          </w:tcPr>
          <w:p w14:paraId="5074ACBA" w14:textId="77777777" w:rsidR="009700E5" w:rsidRDefault="002C033C">
            <w:pPr>
              <w:keepNext/>
            </w:pPr>
            <w:r>
              <w:t>50 až 100</w:t>
            </w:r>
          </w:p>
          <w:p w14:paraId="27134080" w14:textId="77777777" w:rsidR="009700E5" w:rsidRDefault="009700E5">
            <w:pPr>
              <w:keepNext/>
            </w:pPr>
          </w:p>
        </w:tc>
        <w:tc>
          <w:tcPr>
            <w:tcW w:w="7118" w:type="dxa"/>
          </w:tcPr>
          <w:p w14:paraId="289E3BAE" w14:textId="77777777" w:rsidR="009700E5" w:rsidRDefault="002C033C">
            <w:pPr>
              <w:keepNext/>
            </w:pPr>
            <w:r>
              <w:t>Prerušte podávanie tocilizumabu.</w:t>
            </w:r>
          </w:p>
          <w:p w14:paraId="59643922" w14:textId="77777777" w:rsidR="009700E5" w:rsidRDefault="009700E5">
            <w:pPr>
              <w:keepNext/>
            </w:pPr>
          </w:p>
          <w:p w14:paraId="74F0ACA8" w14:textId="77777777" w:rsidR="009700E5" w:rsidRDefault="002C033C">
            <w:pPr>
              <w:keepNext/>
            </w:pPr>
            <w:r>
              <w:t xml:space="preserve">Keď bude počet trombocytov </w:t>
            </w:r>
            <w:r>
              <w:rPr>
                <w:rFonts w:eastAsia="MS Mincho"/>
                <w:szCs w:val="22"/>
              </w:rPr>
              <w:sym w:font="Symbol" w:char="F03E"/>
            </w:r>
            <w:r>
              <w:t> 100 </w:t>
            </w:r>
            <w:r>
              <w:rPr>
                <w:bCs/>
                <w:szCs w:val="22"/>
              </w:rPr>
              <w:sym w:font="Symbol" w:char="F0B4"/>
            </w:r>
            <w:r>
              <w:t> 10</w:t>
            </w:r>
            <w:r>
              <w:rPr>
                <w:vertAlign w:val="superscript"/>
              </w:rPr>
              <w:t>3</w:t>
            </w:r>
            <w:r>
              <w:t>/</w:t>
            </w:r>
            <w:r>
              <w:rPr>
                <w:rFonts w:eastAsia="MS Mincho"/>
                <w:szCs w:val="22"/>
              </w:rPr>
              <w:sym w:font="Symbol" w:char="F06D"/>
            </w:r>
            <w:r>
              <w:t>l, liečbu znovu začnite dávkou 4 mg/kg a zvýšte na 8 mg/kg, ak je to klinicky vhodné.</w:t>
            </w:r>
          </w:p>
          <w:p w14:paraId="501CAB08" w14:textId="77777777" w:rsidR="009700E5" w:rsidRDefault="009700E5">
            <w:pPr>
              <w:keepNext/>
            </w:pPr>
          </w:p>
        </w:tc>
      </w:tr>
      <w:tr w:rsidR="009700E5" w14:paraId="17B7DD7C" w14:textId="77777777">
        <w:tc>
          <w:tcPr>
            <w:tcW w:w="2093" w:type="dxa"/>
          </w:tcPr>
          <w:p w14:paraId="2BA7863B" w14:textId="77777777" w:rsidR="009700E5" w:rsidRDefault="002C033C">
            <w:pPr>
              <w:keepNext/>
            </w:pPr>
            <w:r>
              <w:rPr>
                <w:rFonts w:eastAsia="MS Mincho"/>
                <w:szCs w:val="22"/>
              </w:rPr>
              <w:sym w:font="Symbol" w:char="F03C"/>
            </w:r>
            <w:r>
              <w:t> 50</w:t>
            </w:r>
          </w:p>
        </w:tc>
        <w:tc>
          <w:tcPr>
            <w:tcW w:w="7118" w:type="dxa"/>
          </w:tcPr>
          <w:p w14:paraId="54D558AE" w14:textId="77777777" w:rsidR="009700E5" w:rsidRDefault="002C033C">
            <w:pPr>
              <w:keepNext/>
            </w:pPr>
            <w:r>
              <w:t>Ukončite liečbu.</w:t>
            </w:r>
          </w:p>
        </w:tc>
      </w:tr>
    </w:tbl>
    <w:p w14:paraId="03B8A276" w14:textId="77777777" w:rsidR="009700E5" w:rsidRDefault="009700E5">
      <w:bookmarkStart w:id="12" w:name="_Hlk88021631"/>
    </w:p>
    <w:p w14:paraId="5D3D361F" w14:textId="77777777" w:rsidR="009700E5" w:rsidRDefault="002C033C">
      <w:pPr>
        <w:rPr>
          <w:i/>
          <w:iCs/>
          <w:szCs w:val="22"/>
        </w:rPr>
      </w:pPr>
      <w:r>
        <w:rPr>
          <w:i/>
          <w:iCs/>
          <w:szCs w:val="22"/>
        </w:rPr>
        <w:t>Pacienti s COVID</w:t>
      </w:r>
      <w:r>
        <w:rPr>
          <w:i/>
          <w:iCs/>
          <w:szCs w:val="22"/>
        </w:rPr>
        <w:noBreakHyphen/>
        <w:t>19</w:t>
      </w:r>
    </w:p>
    <w:p w14:paraId="10523861" w14:textId="77777777" w:rsidR="009700E5" w:rsidRDefault="002C033C">
      <w:pPr>
        <w:keepNext/>
        <w:keepLines/>
        <w:rPr>
          <w:szCs w:val="22"/>
        </w:rPr>
      </w:pPr>
      <w:r>
        <w:rPr>
          <w:szCs w:val="22"/>
        </w:rPr>
        <w:t>Odporúčané dávkovanie na liečbu COVID</w:t>
      </w:r>
      <w:r>
        <w:rPr>
          <w:szCs w:val="22"/>
        </w:rPr>
        <w:noBreakHyphen/>
        <w:t xml:space="preserve">19 je 8 mg/kg telesnej hmotnosti podaných </w:t>
      </w:r>
      <w:r>
        <w:t>jednorazovou 60</w:t>
      </w:r>
      <w:r>
        <w:noBreakHyphen/>
        <w:t xml:space="preserve">minútovou intravenóznou infúziou pacientom, ktorí dostávajú systémové kortikosteroidy a potrebujú doplnkovú liečbu kyslíkom alebo mechanickú ventiláciu, pozri časť 5.1. Ak sa po prvej dávke klinické prejavy alebo príznaky zhoršia alebo sa nezlepšia, môže sa podať jedna dodatočná infúzia </w:t>
      </w:r>
      <w:bookmarkStart w:id="13" w:name="_Hlk173853102"/>
      <w:r>
        <w:t>tocilizumabu</w:t>
      </w:r>
      <w:bookmarkEnd w:id="13"/>
      <w:r>
        <w:t xml:space="preserve"> v dávke 8 mg/kg. Medzi týmito dvomi infúziami musí byť časový odstup aspoň 8 hodín.</w:t>
      </w:r>
    </w:p>
    <w:p w14:paraId="3D49910B" w14:textId="77777777" w:rsidR="009700E5" w:rsidRPr="009700E5" w:rsidRDefault="009700E5">
      <w:pPr>
        <w:pStyle w:val="Standard1"/>
        <w:rPr>
          <w:rFonts w:ascii="Times New Roman" w:hAnsi="Times New Roman"/>
          <w:bCs/>
          <w:iCs/>
          <w:noProof/>
          <w:sz w:val="22"/>
          <w:szCs w:val="22"/>
          <w:lang w:val="sk-SK"/>
          <w:rPrChange w:id="14" w:author="Author" w:date="2025-08-22T15:12:00Z">
            <w:rPr>
              <w:rFonts w:ascii="Times New Roman" w:hAnsi="Times New Roman"/>
              <w:bCs/>
              <w:iCs/>
              <w:sz w:val="22"/>
              <w:szCs w:val="22"/>
              <w:lang w:val="sk-SK"/>
            </w:rPr>
          </w:rPrChange>
        </w:rPr>
      </w:pPr>
    </w:p>
    <w:p w14:paraId="4A4E287D" w14:textId="77777777" w:rsidR="009700E5" w:rsidRPr="009700E5" w:rsidRDefault="002C033C">
      <w:pPr>
        <w:pStyle w:val="Standard1"/>
        <w:rPr>
          <w:rFonts w:ascii="Times New Roman" w:hAnsi="Times New Roman"/>
          <w:noProof/>
          <w:sz w:val="22"/>
          <w:szCs w:val="22"/>
          <w:lang w:val="sk-SK"/>
          <w:rPrChange w:id="15" w:author="Author" w:date="2025-08-22T15:12:00Z">
            <w:rPr>
              <w:rFonts w:ascii="Times New Roman" w:hAnsi="Times New Roman"/>
              <w:sz w:val="22"/>
              <w:szCs w:val="22"/>
              <w:lang w:val="sk-SK"/>
            </w:rPr>
          </w:rPrChange>
        </w:rPr>
      </w:pPr>
      <w:r>
        <w:rPr>
          <w:rFonts w:ascii="Times New Roman" w:hAnsi="Times New Roman"/>
          <w:bCs/>
          <w:iCs/>
          <w:noProof/>
          <w:sz w:val="22"/>
          <w:szCs w:val="22"/>
          <w:lang w:val="sk-SK"/>
          <w:rPrChange w:id="16" w:author="Author" w:date="2025-08-22T15:12:00Z">
            <w:rPr>
              <w:rFonts w:ascii="Times New Roman" w:hAnsi="Times New Roman"/>
              <w:bCs/>
              <w:iCs/>
              <w:sz w:val="22"/>
              <w:szCs w:val="22"/>
              <w:lang w:val="sk-SK"/>
            </w:rPr>
          </w:rPrChange>
        </w:rPr>
        <w:t>U osôb, ktorých telesná hmotnosť je vyššia ako 100 kg, sa neodporúčajú dávky presahujúce 800 mg na infúziu</w:t>
      </w:r>
      <w:r>
        <w:rPr>
          <w:rFonts w:ascii="Times New Roman" w:hAnsi="Times New Roman"/>
          <w:noProof/>
          <w:sz w:val="22"/>
          <w:szCs w:val="22"/>
          <w:lang w:val="sk-SK"/>
          <w:rPrChange w:id="17" w:author="Author" w:date="2025-08-22T15:12:00Z">
            <w:rPr>
              <w:rFonts w:ascii="Times New Roman" w:hAnsi="Times New Roman"/>
              <w:sz w:val="22"/>
              <w:szCs w:val="22"/>
              <w:lang w:val="sk-SK"/>
            </w:rPr>
          </w:rPrChange>
        </w:rPr>
        <w:t xml:space="preserve"> (pozri časť 5.2).</w:t>
      </w:r>
    </w:p>
    <w:p w14:paraId="337426EB" w14:textId="77777777" w:rsidR="009700E5" w:rsidRPr="009700E5" w:rsidRDefault="009700E5">
      <w:pPr>
        <w:pStyle w:val="Standard1"/>
        <w:rPr>
          <w:rFonts w:ascii="Times New Roman" w:hAnsi="Times New Roman"/>
          <w:noProof/>
          <w:sz w:val="22"/>
          <w:szCs w:val="22"/>
          <w:u w:val="single"/>
          <w:lang w:val="sk-SK"/>
          <w:rPrChange w:id="18" w:author="Author" w:date="2025-08-22T15:12:00Z">
            <w:rPr>
              <w:rFonts w:ascii="Times New Roman" w:hAnsi="Times New Roman"/>
              <w:sz w:val="22"/>
              <w:szCs w:val="22"/>
              <w:u w:val="single"/>
              <w:lang w:val="sk-SK"/>
            </w:rPr>
          </w:rPrChange>
        </w:rPr>
      </w:pPr>
    </w:p>
    <w:p w14:paraId="0A05C13E" w14:textId="77777777" w:rsidR="009700E5" w:rsidRPr="009700E5" w:rsidRDefault="002C033C">
      <w:pPr>
        <w:pStyle w:val="Standard1"/>
        <w:keepNext/>
        <w:keepLines/>
        <w:rPr>
          <w:rFonts w:ascii="Times New Roman" w:hAnsi="Times New Roman"/>
          <w:noProof/>
          <w:sz w:val="22"/>
          <w:szCs w:val="22"/>
          <w:lang w:val="sk-SK"/>
          <w:rPrChange w:id="19" w:author="Author" w:date="2025-08-22T15:12:00Z">
            <w:rPr>
              <w:rFonts w:ascii="Times New Roman" w:hAnsi="Times New Roman"/>
              <w:sz w:val="22"/>
              <w:szCs w:val="22"/>
              <w:lang w:val="sk-SK"/>
            </w:rPr>
          </w:rPrChange>
        </w:rPr>
      </w:pPr>
      <w:r>
        <w:rPr>
          <w:rFonts w:ascii="Times New Roman" w:hAnsi="Times New Roman"/>
          <w:noProof/>
          <w:sz w:val="22"/>
          <w:szCs w:val="22"/>
          <w:lang w:val="sk-SK"/>
          <w:rPrChange w:id="20" w:author="Author" w:date="2025-08-22T15:12:00Z">
            <w:rPr>
              <w:rFonts w:ascii="Times New Roman" w:hAnsi="Times New Roman"/>
              <w:sz w:val="22"/>
              <w:szCs w:val="22"/>
              <w:lang w:val="sk-SK"/>
            </w:rPr>
          </w:rPrChange>
        </w:rPr>
        <w:t>Podávanie tocilizumabu sa neodporúča u pacientov s COVID</w:t>
      </w:r>
      <w:r>
        <w:rPr>
          <w:rFonts w:ascii="Times New Roman" w:hAnsi="Times New Roman"/>
          <w:noProof/>
          <w:sz w:val="22"/>
          <w:szCs w:val="22"/>
          <w:lang w:val="sk-SK"/>
          <w:rPrChange w:id="21" w:author="Author" w:date="2025-08-22T15:12:00Z">
            <w:rPr>
              <w:rFonts w:ascii="Times New Roman" w:hAnsi="Times New Roman"/>
              <w:sz w:val="22"/>
              <w:szCs w:val="22"/>
              <w:lang w:val="sk-SK"/>
            </w:rPr>
          </w:rPrChange>
        </w:rPr>
        <w:noBreakHyphen/>
        <w:t>19, ktorí majú ktorúkoľvek z nasledujúcich laboratórnych odchýlok:</w:t>
      </w:r>
    </w:p>
    <w:p w14:paraId="19D32006" w14:textId="77777777" w:rsidR="009700E5" w:rsidRPr="009700E5" w:rsidRDefault="009700E5">
      <w:pPr>
        <w:pStyle w:val="Standard1"/>
        <w:keepNext/>
        <w:keepLines/>
        <w:rPr>
          <w:rFonts w:ascii="Times New Roman" w:hAnsi="Times New Roman"/>
          <w:noProof/>
          <w:sz w:val="22"/>
          <w:szCs w:val="22"/>
          <w:u w:val="single"/>
          <w:lang w:val="sk-SK"/>
          <w:rPrChange w:id="22" w:author="Author" w:date="2025-08-22T15:12:00Z">
            <w:rPr>
              <w:rFonts w:ascii="Times New Roman" w:hAnsi="Times New Roman"/>
              <w:sz w:val="22"/>
              <w:szCs w:val="22"/>
              <w:u w:val="single"/>
              <w:lang w:val="sk-SK"/>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rsidR="009700E5" w14:paraId="41A2B77F" w14:textId="77777777">
        <w:tc>
          <w:tcPr>
            <w:tcW w:w="3020" w:type="dxa"/>
          </w:tcPr>
          <w:p w14:paraId="53803802" w14:textId="77777777" w:rsidR="009700E5" w:rsidRPr="009700E5" w:rsidRDefault="002C033C">
            <w:pPr>
              <w:pStyle w:val="Standard1"/>
              <w:keepNext/>
              <w:keepLines/>
              <w:jc w:val="center"/>
              <w:rPr>
                <w:rFonts w:ascii="Times New Roman" w:hAnsi="Times New Roman"/>
                <w:noProof/>
                <w:sz w:val="22"/>
                <w:szCs w:val="22"/>
                <w:u w:val="single"/>
                <w:lang w:val="sk-SK"/>
                <w:rPrChange w:id="23" w:author="Author" w:date="2025-08-22T15:12:00Z">
                  <w:rPr>
                    <w:rFonts w:ascii="Times New Roman" w:hAnsi="Times New Roman"/>
                    <w:sz w:val="22"/>
                    <w:szCs w:val="22"/>
                    <w:u w:val="single"/>
                    <w:lang w:val="sk-SK"/>
                  </w:rPr>
                </w:rPrChange>
              </w:rPr>
            </w:pPr>
            <w:r>
              <w:rPr>
                <w:rFonts w:ascii="Times New Roman" w:hAnsi="Times New Roman"/>
                <w:noProof/>
                <w:sz w:val="22"/>
                <w:szCs w:val="22"/>
                <w:u w:val="single"/>
                <w:lang w:val="sk-SK"/>
                <w:rPrChange w:id="24" w:author="Author" w:date="2025-08-22T15:12:00Z">
                  <w:rPr>
                    <w:rFonts w:ascii="Times New Roman" w:hAnsi="Times New Roman"/>
                    <w:sz w:val="22"/>
                    <w:szCs w:val="22"/>
                    <w:u w:val="single"/>
                    <w:lang w:val="sk-SK"/>
                  </w:rPr>
                </w:rPrChange>
              </w:rPr>
              <w:t>Typ laboratórneho testu</w:t>
            </w:r>
          </w:p>
        </w:tc>
        <w:tc>
          <w:tcPr>
            <w:tcW w:w="3020" w:type="dxa"/>
          </w:tcPr>
          <w:p w14:paraId="78F1768C" w14:textId="77777777" w:rsidR="009700E5" w:rsidRPr="009700E5" w:rsidRDefault="002C033C">
            <w:pPr>
              <w:pStyle w:val="Standard1"/>
              <w:keepNext/>
              <w:keepLines/>
              <w:jc w:val="center"/>
              <w:rPr>
                <w:rFonts w:ascii="Times New Roman" w:hAnsi="Times New Roman"/>
                <w:noProof/>
                <w:sz w:val="22"/>
                <w:szCs w:val="22"/>
                <w:u w:val="single"/>
                <w:lang w:val="sk-SK"/>
                <w:rPrChange w:id="25" w:author="Author" w:date="2025-08-22T15:12:00Z">
                  <w:rPr>
                    <w:rFonts w:ascii="Times New Roman" w:hAnsi="Times New Roman"/>
                    <w:sz w:val="22"/>
                    <w:szCs w:val="22"/>
                    <w:u w:val="single"/>
                    <w:lang w:val="sk-SK"/>
                  </w:rPr>
                </w:rPrChange>
              </w:rPr>
            </w:pPr>
            <w:r>
              <w:rPr>
                <w:rFonts w:ascii="Times New Roman" w:hAnsi="Times New Roman"/>
                <w:noProof/>
                <w:sz w:val="22"/>
                <w:szCs w:val="22"/>
                <w:u w:val="single"/>
                <w:lang w:val="sk-SK"/>
                <w:rPrChange w:id="26" w:author="Author" w:date="2025-08-22T15:12:00Z">
                  <w:rPr>
                    <w:rFonts w:ascii="Times New Roman" w:hAnsi="Times New Roman"/>
                    <w:sz w:val="22"/>
                    <w:szCs w:val="22"/>
                    <w:u w:val="single"/>
                    <w:lang w:val="sk-SK"/>
                  </w:rPr>
                </w:rPrChange>
              </w:rPr>
              <w:t>Laboratórna hodnota</w:t>
            </w:r>
          </w:p>
        </w:tc>
        <w:tc>
          <w:tcPr>
            <w:tcW w:w="3021" w:type="dxa"/>
          </w:tcPr>
          <w:p w14:paraId="625DC02F" w14:textId="77777777" w:rsidR="009700E5" w:rsidRPr="009700E5" w:rsidRDefault="002C033C">
            <w:pPr>
              <w:pStyle w:val="Standard1"/>
              <w:keepNext/>
              <w:keepLines/>
              <w:jc w:val="center"/>
              <w:rPr>
                <w:rFonts w:ascii="Times New Roman" w:hAnsi="Times New Roman"/>
                <w:noProof/>
                <w:sz w:val="22"/>
                <w:szCs w:val="22"/>
                <w:u w:val="single"/>
                <w:lang w:val="sk-SK"/>
                <w:rPrChange w:id="27" w:author="Author" w:date="2025-08-22T15:12:00Z">
                  <w:rPr>
                    <w:rFonts w:ascii="Times New Roman" w:hAnsi="Times New Roman"/>
                    <w:sz w:val="22"/>
                    <w:szCs w:val="22"/>
                    <w:u w:val="single"/>
                    <w:lang w:val="sk-SK"/>
                  </w:rPr>
                </w:rPrChange>
              </w:rPr>
            </w:pPr>
            <w:r>
              <w:rPr>
                <w:rFonts w:ascii="Times New Roman" w:hAnsi="Times New Roman"/>
                <w:noProof/>
                <w:sz w:val="22"/>
                <w:szCs w:val="22"/>
                <w:u w:val="single"/>
                <w:lang w:val="sk-SK"/>
                <w:rPrChange w:id="28" w:author="Author" w:date="2025-08-22T15:12:00Z">
                  <w:rPr>
                    <w:rFonts w:ascii="Times New Roman" w:hAnsi="Times New Roman"/>
                    <w:sz w:val="22"/>
                    <w:szCs w:val="22"/>
                    <w:u w:val="single"/>
                    <w:lang w:val="sk-SK"/>
                  </w:rPr>
                </w:rPrChange>
              </w:rPr>
              <w:t>Opatrenie</w:t>
            </w:r>
          </w:p>
        </w:tc>
      </w:tr>
      <w:tr w:rsidR="009700E5" w14:paraId="1487BB40" w14:textId="77777777">
        <w:tc>
          <w:tcPr>
            <w:tcW w:w="3020" w:type="dxa"/>
          </w:tcPr>
          <w:p w14:paraId="1A66569C" w14:textId="77777777" w:rsidR="009700E5" w:rsidRPr="009700E5" w:rsidRDefault="002C033C">
            <w:pPr>
              <w:pStyle w:val="Standard1"/>
              <w:keepNext/>
              <w:keepLines/>
              <w:rPr>
                <w:rFonts w:ascii="Times New Roman" w:hAnsi="Times New Roman"/>
                <w:noProof/>
                <w:sz w:val="22"/>
                <w:szCs w:val="22"/>
                <w:u w:val="single"/>
                <w:lang w:val="sk-SK"/>
                <w:rPrChange w:id="29" w:author="Author" w:date="2025-08-22T15:12:00Z">
                  <w:rPr>
                    <w:rFonts w:ascii="Times New Roman" w:hAnsi="Times New Roman"/>
                    <w:sz w:val="22"/>
                    <w:szCs w:val="22"/>
                    <w:u w:val="single"/>
                    <w:lang w:val="sk-SK"/>
                  </w:rPr>
                </w:rPrChange>
              </w:rPr>
            </w:pPr>
            <w:r>
              <w:rPr>
                <w:rFonts w:ascii="Times New Roman" w:hAnsi="Times New Roman"/>
                <w:noProof/>
                <w:sz w:val="22"/>
                <w:szCs w:val="22"/>
                <w:lang w:val="sk-SK"/>
                <w:rPrChange w:id="30" w:author="Author" w:date="2025-08-22T15:12:00Z">
                  <w:rPr>
                    <w:rFonts w:ascii="Times New Roman" w:hAnsi="Times New Roman"/>
                    <w:sz w:val="22"/>
                    <w:szCs w:val="22"/>
                    <w:lang w:val="sk-SK"/>
                  </w:rPr>
                </w:rPrChange>
              </w:rPr>
              <w:t>Pečeňové enzýmy</w:t>
            </w:r>
          </w:p>
        </w:tc>
        <w:tc>
          <w:tcPr>
            <w:tcW w:w="3020" w:type="dxa"/>
          </w:tcPr>
          <w:p w14:paraId="63155F7C" w14:textId="77777777" w:rsidR="009700E5" w:rsidRPr="009700E5" w:rsidRDefault="002C033C">
            <w:pPr>
              <w:pStyle w:val="Standard1"/>
              <w:keepNext/>
              <w:keepLines/>
              <w:jc w:val="center"/>
              <w:rPr>
                <w:rFonts w:ascii="Times New Roman" w:hAnsi="Times New Roman"/>
                <w:noProof/>
                <w:sz w:val="22"/>
                <w:szCs w:val="22"/>
                <w:u w:val="single"/>
                <w:lang w:val="sk-SK"/>
                <w:rPrChange w:id="31" w:author="Author" w:date="2025-08-22T15:12:00Z">
                  <w:rPr>
                    <w:rFonts w:ascii="Times New Roman" w:hAnsi="Times New Roman"/>
                    <w:sz w:val="22"/>
                    <w:szCs w:val="22"/>
                    <w:u w:val="single"/>
                    <w:lang w:val="sk-SK"/>
                  </w:rPr>
                </w:rPrChange>
              </w:rPr>
            </w:pPr>
            <w:r>
              <w:rPr>
                <w:rFonts w:eastAsia="MS Mincho"/>
                <w:noProof/>
                <w:szCs w:val="22"/>
                <w:lang w:val="sk-SK"/>
                <w:rPrChange w:id="32" w:author="Author" w:date="2025-08-22T15:12:00Z">
                  <w:rPr>
                    <w:rFonts w:eastAsia="MS Mincho"/>
                    <w:szCs w:val="22"/>
                    <w:lang w:val="sk-SK"/>
                  </w:rPr>
                </w:rPrChange>
              </w:rPr>
              <w:sym w:font="Symbol" w:char="F03E"/>
            </w:r>
            <w:r>
              <w:rPr>
                <w:rFonts w:ascii="Times New Roman" w:hAnsi="Times New Roman"/>
                <w:noProof/>
                <w:sz w:val="22"/>
                <w:szCs w:val="22"/>
                <w:lang w:val="sk-SK"/>
                <w:rPrChange w:id="33" w:author="Author" w:date="2025-08-22T15:12:00Z">
                  <w:rPr>
                    <w:rFonts w:ascii="Times New Roman" w:hAnsi="Times New Roman"/>
                    <w:sz w:val="22"/>
                    <w:szCs w:val="22"/>
                    <w:lang w:val="sk-SK"/>
                  </w:rPr>
                </w:rPrChange>
              </w:rPr>
              <w:t> </w:t>
            </w:r>
            <w:r>
              <w:rPr>
                <w:rFonts w:ascii="Times New Roman" w:eastAsia="MS Mincho" w:hAnsi="Times New Roman"/>
                <w:noProof/>
                <w:sz w:val="22"/>
                <w:szCs w:val="22"/>
                <w:lang w:val="sk-SK"/>
                <w:rPrChange w:id="34" w:author="Author" w:date="2025-08-22T15:12:00Z">
                  <w:rPr>
                    <w:rFonts w:ascii="Times New Roman" w:eastAsia="MS Mincho" w:hAnsi="Times New Roman"/>
                    <w:sz w:val="22"/>
                    <w:szCs w:val="22"/>
                    <w:lang w:val="sk-SK"/>
                  </w:rPr>
                </w:rPrChange>
              </w:rPr>
              <w:t>10</w:t>
            </w:r>
            <w:r>
              <w:rPr>
                <w:rFonts w:ascii="Times New Roman" w:eastAsia="MS Mincho" w:hAnsi="Times New Roman"/>
                <w:noProof/>
                <w:sz w:val="22"/>
                <w:szCs w:val="22"/>
                <w:lang w:val="sk-SK"/>
                <w:rPrChange w:id="35" w:author="Author" w:date="2025-08-22T15:12:00Z">
                  <w:rPr>
                    <w:rFonts w:ascii="Times New Roman" w:eastAsia="MS Mincho" w:hAnsi="Times New Roman"/>
                    <w:sz w:val="22"/>
                    <w:szCs w:val="22"/>
                    <w:lang w:val="sk-SK"/>
                  </w:rPr>
                </w:rPrChange>
              </w:rPr>
              <w:noBreakHyphen/>
              <w:t>násobok ULN</w:t>
            </w:r>
          </w:p>
        </w:tc>
        <w:tc>
          <w:tcPr>
            <w:tcW w:w="3021" w:type="dxa"/>
            <w:vMerge w:val="restart"/>
          </w:tcPr>
          <w:p w14:paraId="45FCF675" w14:textId="77777777" w:rsidR="009700E5" w:rsidRPr="009700E5" w:rsidRDefault="002C033C">
            <w:pPr>
              <w:pStyle w:val="Standard1"/>
              <w:keepNext/>
              <w:keepLines/>
              <w:rPr>
                <w:rFonts w:ascii="Times New Roman" w:hAnsi="Times New Roman"/>
                <w:noProof/>
                <w:sz w:val="22"/>
                <w:szCs w:val="22"/>
                <w:lang w:val="sk-SK"/>
                <w:rPrChange w:id="36" w:author="Author" w:date="2025-08-22T15:12:00Z">
                  <w:rPr>
                    <w:rFonts w:ascii="Times New Roman" w:hAnsi="Times New Roman"/>
                    <w:sz w:val="22"/>
                    <w:szCs w:val="22"/>
                    <w:lang w:val="sk-SK"/>
                  </w:rPr>
                </w:rPrChange>
              </w:rPr>
            </w:pPr>
            <w:r>
              <w:rPr>
                <w:rFonts w:ascii="Times New Roman" w:hAnsi="Times New Roman"/>
                <w:noProof/>
                <w:sz w:val="22"/>
                <w:szCs w:val="22"/>
                <w:lang w:val="sk-SK"/>
                <w:rPrChange w:id="37" w:author="Author" w:date="2025-08-22T15:12:00Z">
                  <w:rPr>
                    <w:rFonts w:ascii="Times New Roman" w:hAnsi="Times New Roman"/>
                    <w:sz w:val="22"/>
                    <w:szCs w:val="22"/>
                    <w:lang w:val="sk-SK"/>
                  </w:rPr>
                </w:rPrChange>
              </w:rPr>
              <w:t>Podávanie tocilizumabu sa neodporúča</w:t>
            </w:r>
          </w:p>
        </w:tc>
      </w:tr>
      <w:tr w:rsidR="009700E5" w14:paraId="35D28973" w14:textId="77777777">
        <w:tc>
          <w:tcPr>
            <w:tcW w:w="3020" w:type="dxa"/>
          </w:tcPr>
          <w:p w14:paraId="36274A70" w14:textId="77777777" w:rsidR="009700E5" w:rsidRPr="009700E5" w:rsidRDefault="002C033C">
            <w:pPr>
              <w:pStyle w:val="Standard1"/>
              <w:keepNext/>
              <w:keepLines/>
              <w:rPr>
                <w:rFonts w:ascii="Times New Roman" w:hAnsi="Times New Roman"/>
                <w:noProof/>
                <w:sz w:val="22"/>
                <w:szCs w:val="22"/>
                <w:u w:val="single"/>
                <w:lang w:val="sk-SK"/>
                <w:rPrChange w:id="38" w:author="Author" w:date="2025-08-22T15:12:00Z">
                  <w:rPr>
                    <w:rFonts w:ascii="Times New Roman" w:hAnsi="Times New Roman"/>
                    <w:sz w:val="22"/>
                    <w:szCs w:val="22"/>
                    <w:u w:val="single"/>
                    <w:lang w:val="sk-SK"/>
                  </w:rPr>
                </w:rPrChange>
              </w:rPr>
            </w:pPr>
            <w:r>
              <w:rPr>
                <w:rFonts w:ascii="Times New Roman" w:hAnsi="Times New Roman"/>
                <w:noProof/>
                <w:sz w:val="22"/>
                <w:szCs w:val="22"/>
                <w:lang w:val="sk-SK"/>
                <w:rPrChange w:id="39" w:author="Author" w:date="2025-08-22T15:12:00Z">
                  <w:rPr>
                    <w:rFonts w:ascii="Times New Roman" w:hAnsi="Times New Roman"/>
                    <w:sz w:val="22"/>
                    <w:szCs w:val="22"/>
                    <w:lang w:val="sk-SK"/>
                  </w:rPr>
                </w:rPrChange>
              </w:rPr>
              <w:t>Absolútny počet neutrofilov</w:t>
            </w:r>
          </w:p>
        </w:tc>
        <w:tc>
          <w:tcPr>
            <w:tcW w:w="3020" w:type="dxa"/>
          </w:tcPr>
          <w:p w14:paraId="1C5F6968" w14:textId="77777777" w:rsidR="009700E5" w:rsidRPr="009700E5" w:rsidRDefault="002C033C">
            <w:pPr>
              <w:pStyle w:val="Standard1"/>
              <w:keepNext/>
              <w:keepLines/>
              <w:jc w:val="center"/>
              <w:rPr>
                <w:rFonts w:ascii="Times New Roman" w:hAnsi="Times New Roman"/>
                <w:noProof/>
                <w:sz w:val="22"/>
                <w:szCs w:val="22"/>
                <w:u w:val="single"/>
                <w:lang w:val="sk-SK"/>
                <w:rPrChange w:id="40" w:author="Author" w:date="2025-08-22T15:12:00Z">
                  <w:rPr>
                    <w:rFonts w:ascii="Times New Roman" w:hAnsi="Times New Roman"/>
                    <w:sz w:val="22"/>
                    <w:szCs w:val="22"/>
                    <w:u w:val="single"/>
                    <w:lang w:val="sk-SK"/>
                  </w:rPr>
                </w:rPrChange>
              </w:rPr>
            </w:pPr>
            <w:r>
              <w:rPr>
                <w:rFonts w:ascii="Times New Roman" w:hAnsi="Times New Roman"/>
                <w:noProof/>
                <w:sz w:val="22"/>
                <w:szCs w:val="22"/>
                <w:lang w:val="sk-SK"/>
                <w:rPrChange w:id="41" w:author="Author" w:date="2025-08-22T15:12:00Z">
                  <w:rPr>
                    <w:rFonts w:ascii="Times New Roman" w:hAnsi="Times New Roman"/>
                    <w:sz w:val="22"/>
                    <w:szCs w:val="22"/>
                    <w:lang w:val="sk-SK"/>
                  </w:rPr>
                </w:rPrChange>
              </w:rPr>
              <w:sym w:font="Symbol" w:char="F03C"/>
            </w:r>
            <w:r>
              <w:rPr>
                <w:rFonts w:ascii="Times New Roman" w:hAnsi="Times New Roman"/>
                <w:noProof/>
                <w:sz w:val="22"/>
                <w:szCs w:val="22"/>
                <w:lang w:val="sk-SK"/>
                <w:rPrChange w:id="42" w:author="Author" w:date="2025-08-22T15:12:00Z">
                  <w:rPr>
                    <w:rFonts w:ascii="Times New Roman" w:hAnsi="Times New Roman"/>
                    <w:sz w:val="22"/>
                    <w:szCs w:val="22"/>
                    <w:lang w:val="sk-SK"/>
                  </w:rPr>
                </w:rPrChange>
              </w:rPr>
              <w:t> 1 </w:t>
            </w:r>
            <w:r>
              <w:rPr>
                <w:rStyle w:val="CommentReference"/>
                <w:rFonts w:ascii="Times New Roman" w:hAnsi="Times New Roman"/>
                <w:sz w:val="22"/>
                <w:lang w:val="sk-SK"/>
              </w:rPr>
              <w:sym w:font="Symbol" w:char="F0B4"/>
            </w:r>
            <w:r>
              <w:rPr>
                <w:rFonts w:ascii="Times New Roman" w:hAnsi="Times New Roman"/>
                <w:noProof/>
                <w:sz w:val="22"/>
                <w:szCs w:val="22"/>
                <w:lang w:val="sk-SK"/>
                <w:rPrChange w:id="43" w:author="Author" w:date="2025-08-22T15:12:00Z">
                  <w:rPr>
                    <w:rFonts w:ascii="Times New Roman" w:hAnsi="Times New Roman"/>
                    <w:sz w:val="22"/>
                    <w:szCs w:val="22"/>
                    <w:lang w:val="sk-SK"/>
                  </w:rPr>
                </w:rPrChange>
              </w:rPr>
              <w:t> 10</w:t>
            </w:r>
            <w:r>
              <w:rPr>
                <w:rFonts w:ascii="Times New Roman" w:hAnsi="Times New Roman"/>
                <w:noProof/>
                <w:sz w:val="22"/>
                <w:szCs w:val="22"/>
                <w:vertAlign w:val="superscript"/>
                <w:lang w:val="sk-SK"/>
                <w:rPrChange w:id="44" w:author="Author" w:date="2025-08-22T15:12:00Z">
                  <w:rPr>
                    <w:rFonts w:ascii="Times New Roman" w:hAnsi="Times New Roman"/>
                    <w:sz w:val="22"/>
                    <w:szCs w:val="22"/>
                    <w:vertAlign w:val="superscript"/>
                    <w:lang w:val="sk-SK"/>
                  </w:rPr>
                </w:rPrChange>
              </w:rPr>
              <w:t>9</w:t>
            </w:r>
            <w:r>
              <w:rPr>
                <w:rFonts w:ascii="Times New Roman" w:hAnsi="Times New Roman"/>
                <w:noProof/>
                <w:sz w:val="22"/>
                <w:szCs w:val="22"/>
                <w:lang w:val="sk-SK"/>
                <w:rPrChange w:id="45" w:author="Author" w:date="2025-08-22T15:12:00Z">
                  <w:rPr>
                    <w:rFonts w:ascii="Times New Roman" w:hAnsi="Times New Roman"/>
                    <w:sz w:val="22"/>
                    <w:szCs w:val="22"/>
                    <w:lang w:val="sk-SK"/>
                  </w:rPr>
                </w:rPrChange>
              </w:rPr>
              <w:t>/l</w:t>
            </w:r>
          </w:p>
        </w:tc>
        <w:tc>
          <w:tcPr>
            <w:tcW w:w="3021" w:type="dxa"/>
            <w:vMerge/>
          </w:tcPr>
          <w:p w14:paraId="135B6F89" w14:textId="77777777" w:rsidR="009700E5" w:rsidRPr="009700E5" w:rsidRDefault="009700E5">
            <w:pPr>
              <w:pStyle w:val="Standard1"/>
              <w:keepNext/>
              <w:keepLines/>
              <w:rPr>
                <w:rFonts w:ascii="Times New Roman" w:hAnsi="Times New Roman"/>
                <w:noProof/>
                <w:sz w:val="22"/>
                <w:szCs w:val="22"/>
                <w:u w:val="single"/>
                <w:lang w:val="sk-SK"/>
                <w:rPrChange w:id="46" w:author="Author" w:date="2025-08-22T15:12:00Z">
                  <w:rPr>
                    <w:rFonts w:ascii="Times New Roman" w:hAnsi="Times New Roman"/>
                    <w:sz w:val="22"/>
                    <w:szCs w:val="22"/>
                    <w:u w:val="single"/>
                    <w:lang w:val="sk-SK"/>
                  </w:rPr>
                </w:rPrChange>
              </w:rPr>
            </w:pPr>
          </w:p>
        </w:tc>
      </w:tr>
      <w:tr w:rsidR="009700E5" w14:paraId="6F9FF183" w14:textId="77777777">
        <w:trPr>
          <w:trHeight w:val="269"/>
        </w:trPr>
        <w:tc>
          <w:tcPr>
            <w:tcW w:w="3020" w:type="dxa"/>
          </w:tcPr>
          <w:p w14:paraId="68EFE0D5" w14:textId="77777777" w:rsidR="009700E5" w:rsidRPr="009700E5" w:rsidRDefault="002C033C">
            <w:pPr>
              <w:pStyle w:val="Standard1"/>
              <w:keepNext/>
              <w:keepLines/>
              <w:rPr>
                <w:rFonts w:ascii="Times New Roman" w:hAnsi="Times New Roman"/>
                <w:noProof/>
                <w:sz w:val="22"/>
                <w:szCs w:val="22"/>
                <w:lang w:val="sk-SK"/>
                <w:rPrChange w:id="47" w:author="Author" w:date="2025-08-22T15:12:00Z">
                  <w:rPr>
                    <w:rFonts w:ascii="Times New Roman" w:hAnsi="Times New Roman"/>
                    <w:sz w:val="22"/>
                    <w:szCs w:val="22"/>
                    <w:lang w:val="sk-SK"/>
                  </w:rPr>
                </w:rPrChange>
              </w:rPr>
            </w:pPr>
            <w:r>
              <w:rPr>
                <w:rFonts w:ascii="Times New Roman" w:hAnsi="Times New Roman"/>
                <w:noProof/>
                <w:sz w:val="22"/>
                <w:szCs w:val="22"/>
                <w:lang w:val="sk-SK"/>
                <w:rPrChange w:id="48" w:author="Author" w:date="2025-08-22T15:12:00Z">
                  <w:rPr>
                    <w:rFonts w:ascii="Times New Roman" w:hAnsi="Times New Roman"/>
                    <w:sz w:val="22"/>
                    <w:szCs w:val="22"/>
                    <w:lang w:val="sk-SK"/>
                  </w:rPr>
                </w:rPrChange>
              </w:rPr>
              <w:t>Počet trombocytov</w:t>
            </w:r>
          </w:p>
        </w:tc>
        <w:tc>
          <w:tcPr>
            <w:tcW w:w="3020" w:type="dxa"/>
          </w:tcPr>
          <w:p w14:paraId="55914656" w14:textId="77777777" w:rsidR="009700E5" w:rsidRPr="009700E5" w:rsidRDefault="002C033C">
            <w:pPr>
              <w:pStyle w:val="Standard1"/>
              <w:keepNext/>
              <w:keepLines/>
              <w:jc w:val="center"/>
              <w:rPr>
                <w:rFonts w:ascii="Times New Roman" w:hAnsi="Times New Roman"/>
                <w:noProof/>
                <w:sz w:val="22"/>
                <w:szCs w:val="22"/>
                <w:lang w:val="sk-SK"/>
                <w:rPrChange w:id="49" w:author="Author" w:date="2025-08-22T15:12:00Z">
                  <w:rPr>
                    <w:rFonts w:ascii="Times New Roman" w:hAnsi="Times New Roman"/>
                    <w:sz w:val="22"/>
                    <w:szCs w:val="22"/>
                    <w:lang w:val="sk-SK"/>
                  </w:rPr>
                </w:rPrChange>
              </w:rPr>
            </w:pPr>
            <w:r>
              <w:rPr>
                <w:rFonts w:ascii="Times New Roman" w:hAnsi="Times New Roman"/>
                <w:noProof/>
                <w:sz w:val="22"/>
                <w:szCs w:val="22"/>
                <w:lang w:val="sk-SK"/>
                <w:rPrChange w:id="50" w:author="Author" w:date="2025-08-22T15:12:00Z">
                  <w:rPr>
                    <w:rFonts w:ascii="Times New Roman" w:hAnsi="Times New Roman"/>
                    <w:sz w:val="22"/>
                    <w:szCs w:val="22"/>
                    <w:lang w:val="sk-SK"/>
                  </w:rPr>
                </w:rPrChange>
              </w:rPr>
              <w:sym w:font="Symbol" w:char="F03C"/>
            </w:r>
            <w:r>
              <w:rPr>
                <w:rFonts w:ascii="Times New Roman" w:hAnsi="Times New Roman"/>
                <w:noProof/>
                <w:sz w:val="22"/>
                <w:szCs w:val="22"/>
                <w:lang w:val="sk-SK"/>
                <w:rPrChange w:id="51" w:author="Author" w:date="2025-08-22T15:12:00Z">
                  <w:rPr>
                    <w:rFonts w:ascii="Times New Roman" w:hAnsi="Times New Roman"/>
                    <w:sz w:val="22"/>
                    <w:szCs w:val="22"/>
                    <w:lang w:val="sk-SK"/>
                  </w:rPr>
                </w:rPrChange>
              </w:rPr>
              <w:t> 50 </w:t>
            </w:r>
            <w:r>
              <w:rPr>
                <w:rStyle w:val="CommentReference"/>
                <w:rFonts w:ascii="Times New Roman" w:hAnsi="Times New Roman"/>
                <w:sz w:val="22"/>
                <w:lang w:val="sk-SK"/>
              </w:rPr>
              <w:sym w:font="Symbol" w:char="F0B4"/>
            </w:r>
            <w:r>
              <w:rPr>
                <w:rFonts w:ascii="Times New Roman" w:hAnsi="Times New Roman"/>
                <w:noProof/>
                <w:sz w:val="22"/>
                <w:szCs w:val="22"/>
                <w:lang w:val="sk-SK"/>
                <w:rPrChange w:id="52" w:author="Author" w:date="2025-08-22T15:12:00Z">
                  <w:rPr>
                    <w:rFonts w:ascii="Times New Roman" w:hAnsi="Times New Roman"/>
                    <w:sz w:val="22"/>
                    <w:szCs w:val="22"/>
                    <w:lang w:val="sk-SK"/>
                  </w:rPr>
                </w:rPrChange>
              </w:rPr>
              <w:t> 10</w:t>
            </w:r>
            <w:r>
              <w:rPr>
                <w:rFonts w:ascii="Times New Roman" w:hAnsi="Times New Roman"/>
                <w:noProof/>
                <w:sz w:val="22"/>
                <w:szCs w:val="22"/>
                <w:vertAlign w:val="superscript"/>
                <w:lang w:val="sk-SK"/>
                <w:rPrChange w:id="53" w:author="Author" w:date="2025-08-22T15:12:00Z">
                  <w:rPr>
                    <w:rFonts w:ascii="Times New Roman" w:hAnsi="Times New Roman"/>
                    <w:sz w:val="22"/>
                    <w:szCs w:val="22"/>
                    <w:vertAlign w:val="superscript"/>
                    <w:lang w:val="sk-SK"/>
                  </w:rPr>
                </w:rPrChange>
              </w:rPr>
              <w:t>3</w:t>
            </w:r>
            <w:r>
              <w:rPr>
                <w:rFonts w:ascii="Times New Roman" w:hAnsi="Times New Roman"/>
                <w:noProof/>
                <w:sz w:val="22"/>
                <w:szCs w:val="22"/>
                <w:lang w:val="sk-SK"/>
                <w:rPrChange w:id="54" w:author="Author" w:date="2025-08-22T15:12:00Z">
                  <w:rPr>
                    <w:rFonts w:ascii="Times New Roman" w:hAnsi="Times New Roman"/>
                    <w:sz w:val="22"/>
                    <w:szCs w:val="22"/>
                    <w:lang w:val="sk-SK"/>
                  </w:rPr>
                </w:rPrChange>
              </w:rPr>
              <w:t>/μl</w:t>
            </w:r>
          </w:p>
        </w:tc>
        <w:tc>
          <w:tcPr>
            <w:tcW w:w="3021" w:type="dxa"/>
            <w:vMerge/>
          </w:tcPr>
          <w:p w14:paraId="41442DDB" w14:textId="77777777" w:rsidR="009700E5" w:rsidRPr="009700E5" w:rsidRDefault="009700E5">
            <w:pPr>
              <w:pStyle w:val="Standard1"/>
              <w:keepNext/>
              <w:keepLines/>
              <w:rPr>
                <w:rFonts w:ascii="Times New Roman" w:hAnsi="Times New Roman"/>
                <w:noProof/>
                <w:sz w:val="22"/>
                <w:szCs w:val="22"/>
                <w:u w:val="single"/>
                <w:lang w:val="sk-SK"/>
                <w:rPrChange w:id="55" w:author="Author" w:date="2025-08-22T15:12:00Z">
                  <w:rPr>
                    <w:rFonts w:ascii="Times New Roman" w:hAnsi="Times New Roman"/>
                    <w:sz w:val="22"/>
                    <w:szCs w:val="22"/>
                    <w:u w:val="single"/>
                    <w:lang w:val="sk-SK"/>
                  </w:rPr>
                </w:rPrChange>
              </w:rPr>
            </w:pPr>
          </w:p>
        </w:tc>
      </w:tr>
    </w:tbl>
    <w:p w14:paraId="66012F51" w14:textId="77777777" w:rsidR="009700E5" w:rsidRDefault="009700E5"/>
    <w:bookmarkEnd w:id="12"/>
    <w:p w14:paraId="568112A9" w14:textId="77777777" w:rsidR="009700E5" w:rsidRDefault="002C033C">
      <w:pPr>
        <w:rPr>
          <w:i/>
          <w:iCs/>
        </w:rPr>
      </w:pPr>
      <w:r>
        <w:rPr>
          <w:i/>
          <w:iCs/>
        </w:rPr>
        <w:t>Syndróm uvoľnenia cytokínov (CRS) (dospelí a pediatrickí pacienti)</w:t>
      </w:r>
    </w:p>
    <w:p w14:paraId="30B5CE3D" w14:textId="77777777" w:rsidR="009700E5" w:rsidRDefault="002C033C">
      <w:r>
        <w:t>Odporúčané dávkovanie v liečbe CRS podávané intravenóznymi infúziami v trvaní 60 minút je 8 mg/kg u pacientov s telesnou hmotnosťou vyššou alebo rovnou 30 kg alebo 12 mg/kg u pacientov s telesnou hmotnosťou nižšou ako 30 kg. Tocilizumab môže byť podávaný samostatne alebo v kombinácii s kortikosteroidmi.</w:t>
      </w:r>
    </w:p>
    <w:p w14:paraId="49B5C2C4" w14:textId="77777777" w:rsidR="009700E5" w:rsidRDefault="009700E5"/>
    <w:p w14:paraId="5CFDB36A" w14:textId="77777777" w:rsidR="009700E5" w:rsidRDefault="002C033C">
      <w:r>
        <w:lastRenderedPageBreak/>
        <w:t>Ak nenastane klinické zlepšenie v prejavoch a príznakoch CRS po prvej dávke, môžu byť podané až 3 dodatočné dávky tocilizumabu. Interval medzi dávkami nasledujúcimi po sebe musí byť aspoň 8 hodín. U pacientov s CRS sa neodporúčajú infúzie s jednotlivými dávkami prevyšujúcimi 800 mg.</w:t>
      </w:r>
    </w:p>
    <w:p w14:paraId="0BD8DE06" w14:textId="77777777" w:rsidR="009700E5" w:rsidRDefault="009700E5"/>
    <w:p w14:paraId="19CA50F7" w14:textId="77777777" w:rsidR="009700E5" w:rsidRDefault="002C033C">
      <w:r>
        <w:t>U pacientov so závažným alebo život ohrozujúcim CRS sa častejšie vyskytujú cytopénie alebo zvýšené hladiny ALT alebo AST z dôvodu existujúcej malignity, predchádzajúcej chemoterapie spôsobujúcej depléciu lymfocytov alebo CRS.</w:t>
      </w:r>
    </w:p>
    <w:p w14:paraId="0190E3D5" w14:textId="77777777" w:rsidR="009700E5" w:rsidRDefault="009700E5"/>
    <w:p w14:paraId="2E811C86" w14:textId="77777777" w:rsidR="009700E5" w:rsidRDefault="002C033C">
      <w:pPr>
        <w:rPr>
          <w:bCs/>
          <w:iCs/>
          <w:u w:val="single"/>
        </w:rPr>
      </w:pPr>
      <w:r>
        <w:rPr>
          <w:bCs/>
          <w:iCs/>
          <w:u w:val="single"/>
        </w:rPr>
        <w:t>Osobitné skupiny pacientov</w:t>
      </w:r>
    </w:p>
    <w:p w14:paraId="2A3018B9" w14:textId="77777777" w:rsidR="009700E5" w:rsidRDefault="009700E5">
      <w:pPr>
        <w:rPr>
          <w:ins w:id="56" w:author="Author" w:date="2025-07-18T10:35:00Z"/>
          <w:i/>
        </w:rPr>
      </w:pPr>
    </w:p>
    <w:p w14:paraId="12314099" w14:textId="77777777" w:rsidR="009700E5" w:rsidRDefault="002C033C">
      <w:pPr>
        <w:rPr>
          <w:i/>
        </w:rPr>
      </w:pPr>
      <w:r>
        <w:rPr>
          <w:i/>
        </w:rPr>
        <w:t>Starší pacienti</w:t>
      </w:r>
    </w:p>
    <w:p w14:paraId="0687DF13" w14:textId="77777777" w:rsidR="009700E5" w:rsidRDefault="002C033C">
      <w:r>
        <w:t xml:space="preserve">U starších pacientov vo veku </w:t>
      </w:r>
      <w:r>
        <w:rPr>
          <w:rFonts w:eastAsia="MS Mincho"/>
          <w:szCs w:val="22"/>
        </w:rPr>
        <w:sym w:font="Symbol" w:char="F03E"/>
      </w:r>
      <w:r>
        <w:t> 65 rokov nie je potrebná úprava dávky.</w:t>
      </w:r>
    </w:p>
    <w:p w14:paraId="2585A18D" w14:textId="77777777" w:rsidR="009700E5" w:rsidRDefault="009700E5"/>
    <w:p w14:paraId="12935E8D" w14:textId="77777777" w:rsidR="009700E5" w:rsidRDefault="002C033C">
      <w:pPr>
        <w:rPr>
          <w:i/>
        </w:rPr>
      </w:pPr>
      <w:r>
        <w:rPr>
          <w:i/>
        </w:rPr>
        <w:t>Porucha funkcie obličiek</w:t>
      </w:r>
    </w:p>
    <w:p w14:paraId="3A9F0B85" w14:textId="77777777" w:rsidR="009700E5" w:rsidRDefault="002C033C">
      <w:r>
        <w:t>U pacientov s miernou poruchou funkcie obličiek nie je potrebná úprava dávky. U pacientov so stredne ťažkou až ťažkou poruchou funkcie obličiek sa tocilizumab neskúmal (pozri časť 5.2). U týchto pacientov sa musí starostlivo monitorovať funkcia obličiek.</w:t>
      </w:r>
    </w:p>
    <w:p w14:paraId="0289C9AB" w14:textId="77777777" w:rsidR="009700E5" w:rsidRDefault="009700E5"/>
    <w:p w14:paraId="7B0A66E8" w14:textId="77777777" w:rsidR="009700E5" w:rsidRDefault="002C033C">
      <w:pPr>
        <w:rPr>
          <w:i/>
        </w:rPr>
      </w:pPr>
      <w:r>
        <w:rPr>
          <w:i/>
        </w:rPr>
        <w:t>Porucha funkcie pečene</w:t>
      </w:r>
    </w:p>
    <w:p w14:paraId="591ABE8E" w14:textId="77777777" w:rsidR="009700E5" w:rsidRDefault="002C033C">
      <w:r>
        <w:t>U pacientov s poruchou funkcie pečene sa tocilizumab neskúmal. Preto nie je možné poskytnúť odporúčania na úpravu dávkovania.</w:t>
      </w:r>
    </w:p>
    <w:p w14:paraId="720D2A1F" w14:textId="77777777" w:rsidR="009700E5" w:rsidRDefault="009700E5">
      <w:pPr>
        <w:rPr>
          <w:i/>
        </w:rPr>
      </w:pPr>
    </w:p>
    <w:p w14:paraId="7E15CD9C" w14:textId="77777777" w:rsidR="009700E5" w:rsidRDefault="002C033C">
      <w:r>
        <w:rPr>
          <w:i/>
        </w:rPr>
        <w:t>Pediatrická populácia</w:t>
      </w:r>
    </w:p>
    <w:p w14:paraId="257DDEAC" w14:textId="77777777" w:rsidR="009700E5" w:rsidRDefault="002C033C">
      <w:pPr>
        <w:rPr>
          <w:i/>
          <w:iCs/>
          <w:u w:val="single"/>
        </w:rPr>
      </w:pPr>
      <w:r>
        <w:rPr>
          <w:i/>
          <w:iCs/>
          <w:u w:val="single"/>
        </w:rPr>
        <w:t>Pacienti so sJIA</w:t>
      </w:r>
    </w:p>
    <w:p w14:paraId="68D42FD8" w14:textId="77777777" w:rsidR="009700E5" w:rsidRDefault="002C033C">
      <w:r>
        <w:t>Odporúčané dávkovanie pre pacientov starších ako 2 roky je 8 mg/kg raz za 2 týždne u pacientov s telesnou hmotnosťou vyššou alebo rovnou 30 kg alebo 12 mg/kg raz za 2 týždne u pacientov s telesnou hmotnosťou nižšou ako 30 kg. Dávka sa musí vypočítať na základe telesnej hmotnosti pacienta pri každom podaní. Zmena dávky má byť založená iba na konzistentnej zmene telesnej hmotnosti pacienta v čase.</w:t>
      </w:r>
    </w:p>
    <w:p w14:paraId="2F3C56A0" w14:textId="77777777" w:rsidR="009700E5" w:rsidRDefault="009700E5"/>
    <w:p w14:paraId="38D3F3D8" w14:textId="77777777" w:rsidR="009700E5" w:rsidRDefault="002C033C">
      <w:r>
        <w:t>Bezpečnosť a účinnosť intravenózneho tocilizumabu u detí mladších ako 2 roky neboli stanovené. V súčasnosti dostupné údaje sú opísané v častiach 4.8, 5.1 a 5.2, ale neumožňujú uviesť odporúčania na dávkovanie.</w:t>
      </w:r>
    </w:p>
    <w:p w14:paraId="363E7664" w14:textId="77777777" w:rsidR="009700E5" w:rsidRDefault="009700E5">
      <w:pPr>
        <w:rPr>
          <w:szCs w:val="22"/>
        </w:rPr>
      </w:pPr>
    </w:p>
    <w:p w14:paraId="1550BAC4" w14:textId="77777777" w:rsidR="009700E5" w:rsidRDefault="002C033C">
      <w:r>
        <w:rPr>
          <w:szCs w:val="22"/>
        </w:rPr>
        <w:t>Prerušenie dávok tocilizumabu kvôli laboratórnym odchýlkam je odporučené u pacientov so sJIA v tabuľke nižšie. Ak je to vhodné, dávka súčasne podávaného MTX a/alebo iných liekov sa má upraviť alebo podávanie sa má zastaviť a dávkovanie tocilizumabu sa má prerušiť až do zhodnotenia klinického stavu. Pretože je veľa pridružených chorobných stavov pri sJIA, ktoré môžu ovplyvniť laboratórne hodnoty, rozhodnutie o ukončení používania tocilizumabu pre laboratórne odchýlky má byť založené na lekárskom zhodnotení každého individuálneho pacienta.</w:t>
      </w:r>
    </w:p>
    <w:p w14:paraId="55199BE9" w14:textId="77777777" w:rsidR="009700E5" w:rsidRDefault="009700E5"/>
    <w:p w14:paraId="527F2803" w14:textId="77777777" w:rsidR="009700E5" w:rsidRDefault="002C033C">
      <w:pPr>
        <w:keepNext/>
        <w:keepLines/>
        <w:ind w:left="567" w:hanging="283"/>
        <w:pPrChange w:id="57" w:author="TCS" w:date="2026-03-20T12:39:00Z">
          <w:pPr>
            <w:keepNext/>
            <w:keepLines/>
            <w:ind w:left="567" w:hanging="567"/>
          </w:pPr>
        </w:pPrChange>
      </w:pPr>
      <w:r>
        <w:rPr>
          <w:szCs w:val="22"/>
        </w:rPr>
        <w:lastRenderedPageBreak/>
        <w:sym w:font="Symbol" w:char="F0B7"/>
      </w:r>
      <w:r>
        <w:tab/>
        <w:t>Odchýlky hodnôt pečeňových enzýmov</w:t>
      </w:r>
    </w:p>
    <w:p w14:paraId="732EEA48" w14:textId="77777777" w:rsidR="009700E5" w:rsidRDefault="009700E5">
      <w:pPr>
        <w:keepNext/>
        <w:keepLines/>
      </w:pPr>
    </w:p>
    <w:tbl>
      <w:tblPr>
        <w:tblW w:w="92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2"/>
        <w:gridCol w:w="7121"/>
      </w:tblGrid>
      <w:tr w:rsidR="009700E5" w14:paraId="3552150F" w14:textId="77777777">
        <w:trPr>
          <w:tblHeader/>
        </w:trPr>
        <w:tc>
          <w:tcPr>
            <w:tcW w:w="2092" w:type="dxa"/>
          </w:tcPr>
          <w:p w14:paraId="69DEBB46" w14:textId="77777777" w:rsidR="009700E5" w:rsidRDefault="002C033C">
            <w:pPr>
              <w:keepNext/>
              <w:keepLines/>
              <w:jc w:val="center"/>
              <w:rPr>
                <w:b/>
              </w:rPr>
              <w:pPrChange w:id="58" w:author="TCS" w:date="2026-03-20T12:39:00Z">
                <w:pPr>
                  <w:jc w:val="center"/>
                </w:pPr>
              </w:pPrChange>
            </w:pPr>
            <w:r>
              <w:rPr>
                <w:b/>
              </w:rPr>
              <w:t>Laboratórna hodnota</w:t>
            </w:r>
          </w:p>
          <w:p w14:paraId="20C354A8" w14:textId="77777777" w:rsidR="009700E5" w:rsidRPr="009700E5" w:rsidRDefault="009700E5">
            <w:pPr>
              <w:pStyle w:val="TextTi12"/>
              <w:keepNext/>
              <w:keepLines/>
              <w:jc w:val="center"/>
              <w:rPr>
                <w:b/>
                <w:sz w:val="22"/>
                <w:szCs w:val="22"/>
                <w:rPrChange w:id="59" w:author="Author" w:date="2025-08-22T15:12:00Z">
                  <w:rPr>
                    <w:b/>
                    <w:noProof w:val="0"/>
                    <w:sz w:val="22"/>
                    <w:szCs w:val="22"/>
                  </w:rPr>
                </w:rPrChange>
              </w:rPr>
              <w:pPrChange w:id="60" w:author="TCS" w:date="2026-03-20T12:39:00Z">
                <w:pPr>
                  <w:pStyle w:val="TextTi12"/>
                  <w:jc w:val="center"/>
                </w:pPr>
              </w:pPrChange>
            </w:pPr>
          </w:p>
        </w:tc>
        <w:tc>
          <w:tcPr>
            <w:tcW w:w="7121" w:type="dxa"/>
          </w:tcPr>
          <w:p w14:paraId="00937DE9" w14:textId="77777777" w:rsidR="009700E5" w:rsidRPr="009700E5" w:rsidRDefault="002C033C">
            <w:pPr>
              <w:pStyle w:val="TextTi12"/>
              <w:keepNext/>
              <w:keepLines/>
              <w:jc w:val="center"/>
              <w:rPr>
                <w:b/>
                <w:sz w:val="22"/>
                <w:szCs w:val="22"/>
                <w:rPrChange w:id="61" w:author="Author" w:date="2025-08-22T15:12:00Z">
                  <w:rPr>
                    <w:b/>
                    <w:noProof w:val="0"/>
                    <w:sz w:val="22"/>
                    <w:szCs w:val="22"/>
                  </w:rPr>
                </w:rPrChange>
              </w:rPr>
              <w:pPrChange w:id="62" w:author="TCS" w:date="2026-03-20T12:39:00Z">
                <w:pPr>
                  <w:pStyle w:val="TextTi12"/>
                  <w:jc w:val="center"/>
                </w:pPr>
              </w:pPrChange>
            </w:pPr>
            <w:r>
              <w:rPr>
                <w:b/>
                <w:rPrChange w:id="63" w:author="Author" w:date="2025-08-22T15:12:00Z">
                  <w:rPr>
                    <w:b/>
                    <w:noProof w:val="0"/>
                  </w:rPr>
                </w:rPrChange>
              </w:rPr>
              <w:t>Opatrenie</w:t>
            </w:r>
          </w:p>
        </w:tc>
      </w:tr>
      <w:tr w:rsidR="009700E5" w14:paraId="0226947F" w14:textId="77777777">
        <w:tc>
          <w:tcPr>
            <w:tcW w:w="2092" w:type="dxa"/>
          </w:tcPr>
          <w:p w14:paraId="28FEA9E2" w14:textId="77777777" w:rsidR="009700E5" w:rsidRPr="009700E5" w:rsidRDefault="002C033C">
            <w:pPr>
              <w:pStyle w:val="TextTi12"/>
              <w:keepNext/>
              <w:keepLines/>
              <w:jc w:val="left"/>
              <w:rPr>
                <w:sz w:val="22"/>
                <w:szCs w:val="22"/>
                <w:rPrChange w:id="64" w:author="Author" w:date="2025-08-22T15:12:00Z">
                  <w:rPr>
                    <w:noProof w:val="0"/>
                    <w:sz w:val="22"/>
                    <w:szCs w:val="22"/>
                  </w:rPr>
                </w:rPrChange>
              </w:rPr>
              <w:pPrChange w:id="65" w:author="TCS" w:date="2026-03-20T12:39:00Z">
                <w:pPr>
                  <w:pStyle w:val="TextTi12"/>
                  <w:jc w:val="left"/>
                </w:pPr>
              </w:pPrChange>
            </w:pPr>
            <w:r>
              <w:rPr>
                <w:rFonts w:eastAsia="MS Mincho"/>
                <w:sz w:val="22"/>
                <w:szCs w:val="22"/>
              </w:rPr>
              <w:sym w:font="Symbol" w:char="F03E"/>
            </w:r>
            <w:r>
              <w:rPr>
                <w:sz w:val="22"/>
                <w:szCs w:val="22"/>
                <w:rPrChange w:id="66" w:author="Author" w:date="2025-08-22T15:12:00Z">
                  <w:rPr>
                    <w:noProof w:val="0"/>
                    <w:sz w:val="22"/>
                    <w:szCs w:val="22"/>
                  </w:rPr>
                </w:rPrChange>
              </w:rPr>
              <w:t> 1</w:t>
            </w:r>
            <w:r>
              <w:rPr>
                <w:sz w:val="22"/>
                <w:szCs w:val="22"/>
                <w:rPrChange w:id="67" w:author="Author" w:date="2025-08-22T15:12:00Z">
                  <w:rPr>
                    <w:noProof w:val="0"/>
                    <w:sz w:val="22"/>
                    <w:szCs w:val="22"/>
                  </w:rPr>
                </w:rPrChange>
              </w:rPr>
              <w:noBreakHyphen/>
              <w:t> až 3</w:t>
            </w:r>
            <w:r>
              <w:rPr>
                <w:sz w:val="22"/>
                <w:szCs w:val="22"/>
                <w:rPrChange w:id="68" w:author="Author" w:date="2025-08-22T15:12:00Z">
                  <w:rPr>
                    <w:noProof w:val="0"/>
                    <w:sz w:val="22"/>
                    <w:szCs w:val="22"/>
                  </w:rPr>
                </w:rPrChange>
              </w:rPr>
              <w:noBreakHyphen/>
              <w:t>násobok ULN</w:t>
            </w:r>
          </w:p>
        </w:tc>
        <w:tc>
          <w:tcPr>
            <w:tcW w:w="7121" w:type="dxa"/>
          </w:tcPr>
          <w:p w14:paraId="4CC80261" w14:textId="77777777" w:rsidR="009700E5" w:rsidRDefault="002C033C">
            <w:pPr>
              <w:keepNext/>
              <w:keepLines/>
              <w:rPr>
                <w:szCs w:val="22"/>
              </w:rPr>
              <w:pPrChange w:id="69" w:author="TCS" w:date="2026-03-20T12:39:00Z">
                <w:pPr/>
              </w:pPrChange>
            </w:pPr>
            <w:r>
              <w:rPr>
                <w:szCs w:val="22"/>
              </w:rPr>
              <w:t>Úprava dávky súbežne podávaného MTX, ak je to vhodné.</w:t>
            </w:r>
          </w:p>
          <w:p w14:paraId="30101912" w14:textId="77777777" w:rsidR="009700E5" w:rsidRPr="009700E5" w:rsidRDefault="009700E5">
            <w:pPr>
              <w:pStyle w:val="TextTi12"/>
              <w:keepNext/>
              <w:keepLines/>
              <w:jc w:val="left"/>
              <w:rPr>
                <w:sz w:val="22"/>
                <w:szCs w:val="22"/>
                <w:rPrChange w:id="70" w:author="Author" w:date="2025-08-22T15:12:00Z">
                  <w:rPr>
                    <w:noProof w:val="0"/>
                    <w:sz w:val="22"/>
                    <w:szCs w:val="22"/>
                  </w:rPr>
                </w:rPrChange>
              </w:rPr>
              <w:pPrChange w:id="71" w:author="TCS" w:date="2026-03-20T12:39:00Z">
                <w:pPr>
                  <w:pStyle w:val="TextTi12"/>
                  <w:jc w:val="left"/>
                </w:pPr>
              </w:pPrChange>
            </w:pPr>
          </w:p>
          <w:p w14:paraId="749E90D1" w14:textId="77777777" w:rsidR="009700E5" w:rsidRPr="009700E5" w:rsidRDefault="002C033C">
            <w:pPr>
              <w:pStyle w:val="TextTi12"/>
              <w:keepNext/>
              <w:keepLines/>
              <w:spacing w:after="0" w:line="240" w:lineRule="auto"/>
              <w:jc w:val="left"/>
              <w:rPr>
                <w:sz w:val="22"/>
                <w:szCs w:val="22"/>
                <w:rPrChange w:id="72" w:author="Author" w:date="2025-08-22T15:12:00Z">
                  <w:rPr>
                    <w:noProof w:val="0"/>
                    <w:sz w:val="22"/>
                    <w:szCs w:val="22"/>
                  </w:rPr>
                </w:rPrChange>
              </w:rPr>
              <w:pPrChange w:id="73" w:author="TCS" w:date="2026-03-20T12:39:00Z">
                <w:pPr>
                  <w:pStyle w:val="TextTi12"/>
                  <w:spacing w:after="0" w:line="240" w:lineRule="auto"/>
                  <w:jc w:val="left"/>
                </w:pPr>
              </w:pPrChange>
            </w:pPr>
            <w:r>
              <w:rPr>
                <w:sz w:val="22"/>
                <w:szCs w:val="22"/>
                <w:rPrChange w:id="74" w:author="Author" w:date="2025-08-22T15:12:00Z">
                  <w:rPr>
                    <w:noProof w:val="0"/>
                    <w:sz w:val="22"/>
                    <w:szCs w:val="22"/>
                  </w:rPr>
                </w:rPrChange>
              </w:rPr>
              <w:t>Pri pretrvávajúcich vzostupoch v tomto rozpätí, prerušte podávanie tocilizumabu, kým dôjde k normalizácii hodnôt ALT alebo AST.</w:t>
            </w:r>
          </w:p>
        </w:tc>
      </w:tr>
      <w:tr w:rsidR="009700E5" w14:paraId="08A28284" w14:textId="77777777">
        <w:tc>
          <w:tcPr>
            <w:tcW w:w="2092" w:type="dxa"/>
          </w:tcPr>
          <w:p w14:paraId="1D1B7546" w14:textId="77777777" w:rsidR="009700E5" w:rsidRPr="009700E5" w:rsidRDefault="002C033C">
            <w:pPr>
              <w:pStyle w:val="TextTi12"/>
              <w:keepNext/>
              <w:keepLines/>
              <w:jc w:val="left"/>
              <w:rPr>
                <w:sz w:val="22"/>
                <w:szCs w:val="22"/>
                <w:rPrChange w:id="75" w:author="Author" w:date="2025-08-22T15:12:00Z">
                  <w:rPr>
                    <w:noProof w:val="0"/>
                    <w:sz w:val="22"/>
                    <w:szCs w:val="22"/>
                  </w:rPr>
                </w:rPrChange>
              </w:rPr>
              <w:pPrChange w:id="76" w:author="TCS" w:date="2026-03-20T12:39:00Z">
                <w:pPr>
                  <w:pStyle w:val="TextTi12"/>
                  <w:jc w:val="left"/>
                </w:pPr>
              </w:pPrChange>
            </w:pPr>
            <w:r>
              <w:rPr>
                <w:rFonts w:eastAsia="MS Mincho"/>
                <w:sz w:val="22"/>
                <w:szCs w:val="22"/>
              </w:rPr>
              <w:sym w:font="Symbol" w:char="F03E"/>
            </w:r>
            <w:r>
              <w:rPr>
                <w:sz w:val="22"/>
                <w:szCs w:val="22"/>
                <w:rPrChange w:id="77" w:author="Author" w:date="2025-08-22T15:12:00Z">
                  <w:rPr>
                    <w:noProof w:val="0"/>
                    <w:sz w:val="22"/>
                    <w:szCs w:val="22"/>
                  </w:rPr>
                </w:rPrChange>
              </w:rPr>
              <w:t> 3</w:t>
            </w:r>
            <w:r>
              <w:rPr>
                <w:sz w:val="22"/>
                <w:szCs w:val="22"/>
                <w:rPrChange w:id="78" w:author="Author" w:date="2025-08-22T15:12:00Z">
                  <w:rPr>
                    <w:noProof w:val="0"/>
                    <w:sz w:val="22"/>
                    <w:szCs w:val="22"/>
                  </w:rPr>
                </w:rPrChange>
              </w:rPr>
              <w:noBreakHyphen/>
              <w:t> až 5</w:t>
            </w:r>
            <w:r>
              <w:rPr>
                <w:sz w:val="22"/>
                <w:szCs w:val="22"/>
                <w:rPrChange w:id="79" w:author="Author" w:date="2025-08-22T15:12:00Z">
                  <w:rPr>
                    <w:noProof w:val="0"/>
                    <w:sz w:val="22"/>
                    <w:szCs w:val="22"/>
                  </w:rPr>
                </w:rPrChange>
              </w:rPr>
              <w:noBreakHyphen/>
              <w:t>násobok ULN</w:t>
            </w:r>
          </w:p>
          <w:p w14:paraId="416ECD8E" w14:textId="77777777" w:rsidR="009700E5" w:rsidRPr="009700E5" w:rsidRDefault="009700E5">
            <w:pPr>
              <w:pStyle w:val="TextTi12"/>
              <w:keepNext/>
              <w:keepLines/>
              <w:jc w:val="left"/>
              <w:rPr>
                <w:sz w:val="22"/>
                <w:szCs w:val="22"/>
                <w:rPrChange w:id="80" w:author="Author" w:date="2025-08-22T15:12:00Z">
                  <w:rPr>
                    <w:noProof w:val="0"/>
                    <w:sz w:val="22"/>
                    <w:szCs w:val="22"/>
                  </w:rPr>
                </w:rPrChange>
              </w:rPr>
              <w:pPrChange w:id="81" w:author="TCS" w:date="2026-03-20T12:39:00Z">
                <w:pPr>
                  <w:pStyle w:val="TextTi12"/>
                  <w:jc w:val="left"/>
                </w:pPr>
              </w:pPrChange>
            </w:pPr>
          </w:p>
        </w:tc>
        <w:tc>
          <w:tcPr>
            <w:tcW w:w="7121" w:type="dxa"/>
          </w:tcPr>
          <w:p w14:paraId="52D0AA3C" w14:textId="77777777" w:rsidR="009700E5" w:rsidRDefault="002C033C">
            <w:pPr>
              <w:keepNext/>
              <w:keepLines/>
              <w:pPrChange w:id="82" w:author="TCS" w:date="2026-03-20T12:39:00Z">
                <w:pPr/>
              </w:pPrChange>
            </w:pPr>
            <w:r>
              <w:t>Úprava dávky súbežne podávaného MTX, ak je to vhodné.</w:t>
            </w:r>
          </w:p>
          <w:p w14:paraId="2A1F9DFC" w14:textId="77777777" w:rsidR="009700E5" w:rsidRPr="009700E5" w:rsidRDefault="009700E5">
            <w:pPr>
              <w:pStyle w:val="TextTi12"/>
              <w:keepNext/>
              <w:keepLines/>
              <w:rPr>
                <w:sz w:val="22"/>
                <w:szCs w:val="22"/>
                <w:rPrChange w:id="83" w:author="Author" w:date="2025-08-22T15:12:00Z">
                  <w:rPr>
                    <w:noProof w:val="0"/>
                    <w:sz w:val="22"/>
                    <w:szCs w:val="22"/>
                  </w:rPr>
                </w:rPrChange>
              </w:rPr>
              <w:pPrChange w:id="84" w:author="TCS" w:date="2026-03-20T12:39:00Z">
                <w:pPr>
                  <w:pStyle w:val="TextTi12"/>
                </w:pPr>
              </w:pPrChange>
            </w:pPr>
          </w:p>
          <w:p w14:paraId="19FC8C63" w14:textId="77777777" w:rsidR="009700E5" w:rsidRPr="009700E5" w:rsidRDefault="002C033C">
            <w:pPr>
              <w:pStyle w:val="TextTi12"/>
              <w:keepNext/>
              <w:keepLines/>
              <w:jc w:val="left"/>
              <w:rPr>
                <w:sz w:val="22"/>
                <w:szCs w:val="22"/>
                <w:rPrChange w:id="85" w:author="Author" w:date="2025-08-22T15:12:00Z">
                  <w:rPr>
                    <w:noProof w:val="0"/>
                    <w:sz w:val="22"/>
                    <w:szCs w:val="22"/>
                  </w:rPr>
                </w:rPrChange>
              </w:rPr>
              <w:pPrChange w:id="86" w:author="TCS" w:date="2026-03-20T12:39:00Z">
                <w:pPr>
                  <w:pStyle w:val="TextTi12"/>
                  <w:jc w:val="left"/>
                </w:pPr>
              </w:pPrChange>
            </w:pPr>
            <w:r>
              <w:rPr>
                <w:sz w:val="22"/>
                <w:szCs w:val="22"/>
                <w:rPrChange w:id="87" w:author="Author" w:date="2025-08-22T15:12:00Z">
                  <w:rPr>
                    <w:noProof w:val="0"/>
                    <w:sz w:val="22"/>
                    <w:szCs w:val="22"/>
                  </w:rPr>
                </w:rPrChange>
              </w:rPr>
              <w:t xml:space="preserve">Prerušte podávanie tocilizumabu, pokým bude hodnota </w:t>
            </w:r>
            <w:r>
              <w:rPr>
                <w:rFonts w:eastAsia="MS Mincho"/>
                <w:sz w:val="22"/>
                <w:szCs w:val="22"/>
              </w:rPr>
              <w:sym w:font="Symbol" w:char="F03C"/>
            </w:r>
            <w:r>
              <w:rPr>
                <w:sz w:val="22"/>
                <w:szCs w:val="22"/>
                <w:rPrChange w:id="88" w:author="Author" w:date="2025-08-22T15:12:00Z">
                  <w:rPr>
                    <w:noProof w:val="0"/>
                    <w:sz w:val="22"/>
                    <w:szCs w:val="22"/>
                  </w:rPr>
                </w:rPrChange>
              </w:rPr>
              <w:t> 3</w:t>
            </w:r>
            <w:r>
              <w:rPr>
                <w:sz w:val="22"/>
                <w:szCs w:val="22"/>
                <w:rPrChange w:id="89" w:author="Author" w:date="2025-08-22T15:12:00Z">
                  <w:rPr>
                    <w:noProof w:val="0"/>
                    <w:sz w:val="22"/>
                    <w:szCs w:val="22"/>
                  </w:rPr>
                </w:rPrChange>
              </w:rPr>
              <w:noBreakHyphen/>
              <w:t xml:space="preserve">násobok ULN a postupujte podľa vyššie uvedených odporúčaní pre </w:t>
            </w:r>
            <w:r>
              <w:rPr>
                <w:rFonts w:eastAsia="MS Mincho"/>
                <w:sz w:val="22"/>
                <w:szCs w:val="22"/>
              </w:rPr>
              <w:sym w:font="Symbol" w:char="F03E"/>
            </w:r>
            <w:r>
              <w:rPr>
                <w:sz w:val="22"/>
                <w:szCs w:val="22"/>
                <w:rPrChange w:id="90" w:author="Author" w:date="2025-08-22T15:12:00Z">
                  <w:rPr>
                    <w:noProof w:val="0"/>
                    <w:sz w:val="22"/>
                    <w:szCs w:val="22"/>
                  </w:rPr>
                </w:rPrChange>
              </w:rPr>
              <w:t> 1</w:t>
            </w:r>
            <w:r>
              <w:rPr>
                <w:sz w:val="22"/>
                <w:szCs w:val="22"/>
                <w:rPrChange w:id="91" w:author="Author" w:date="2025-08-22T15:12:00Z">
                  <w:rPr>
                    <w:noProof w:val="0"/>
                    <w:sz w:val="22"/>
                    <w:szCs w:val="22"/>
                  </w:rPr>
                </w:rPrChange>
              </w:rPr>
              <w:noBreakHyphen/>
              <w:t> až 3</w:t>
            </w:r>
            <w:r>
              <w:rPr>
                <w:sz w:val="22"/>
                <w:szCs w:val="22"/>
                <w:rPrChange w:id="92" w:author="Author" w:date="2025-08-22T15:12:00Z">
                  <w:rPr>
                    <w:noProof w:val="0"/>
                    <w:sz w:val="22"/>
                    <w:szCs w:val="22"/>
                  </w:rPr>
                </w:rPrChange>
              </w:rPr>
              <w:noBreakHyphen/>
              <w:t>násobok ULN.</w:t>
            </w:r>
          </w:p>
        </w:tc>
      </w:tr>
      <w:tr w:rsidR="009700E5" w14:paraId="0E200220" w14:textId="77777777">
        <w:tc>
          <w:tcPr>
            <w:tcW w:w="2092" w:type="dxa"/>
          </w:tcPr>
          <w:p w14:paraId="5D75BF8B" w14:textId="77777777" w:rsidR="009700E5" w:rsidRPr="009700E5" w:rsidRDefault="002C033C">
            <w:pPr>
              <w:pStyle w:val="TextTi12"/>
              <w:keepNext/>
              <w:keepLines/>
              <w:jc w:val="left"/>
              <w:rPr>
                <w:sz w:val="22"/>
                <w:szCs w:val="22"/>
                <w:rPrChange w:id="93" w:author="Author" w:date="2025-08-22T15:12:00Z">
                  <w:rPr>
                    <w:noProof w:val="0"/>
                    <w:sz w:val="22"/>
                    <w:szCs w:val="22"/>
                  </w:rPr>
                </w:rPrChange>
              </w:rPr>
            </w:pPr>
            <w:r>
              <w:rPr>
                <w:rFonts w:eastAsia="MS Mincho"/>
                <w:sz w:val="22"/>
                <w:szCs w:val="22"/>
              </w:rPr>
              <w:sym w:font="Symbol" w:char="F03E"/>
            </w:r>
            <w:r>
              <w:rPr>
                <w:sz w:val="22"/>
                <w:szCs w:val="22"/>
                <w:rPrChange w:id="94" w:author="Author" w:date="2025-08-22T15:12:00Z">
                  <w:rPr>
                    <w:noProof w:val="0"/>
                    <w:sz w:val="22"/>
                    <w:szCs w:val="22"/>
                  </w:rPr>
                </w:rPrChange>
              </w:rPr>
              <w:t> 5</w:t>
            </w:r>
            <w:r>
              <w:rPr>
                <w:sz w:val="22"/>
                <w:szCs w:val="22"/>
                <w:rPrChange w:id="95" w:author="Author" w:date="2025-08-22T15:12:00Z">
                  <w:rPr>
                    <w:noProof w:val="0"/>
                    <w:sz w:val="22"/>
                    <w:szCs w:val="22"/>
                  </w:rPr>
                </w:rPrChange>
              </w:rPr>
              <w:noBreakHyphen/>
              <w:t>násobok ULN</w:t>
            </w:r>
          </w:p>
        </w:tc>
        <w:tc>
          <w:tcPr>
            <w:tcW w:w="7121" w:type="dxa"/>
          </w:tcPr>
          <w:p w14:paraId="09421D2D" w14:textId="77777777" w:rsidR="009700E5" w:rsidRPr="009700E5" w:rsidRDefault="002C033C">
            <w:pPr>
              <w:pStyle w:val="TextTi12"/>
              <w:keepNext/>
              <w:keepLines/>
              <w:rPr>
                <w:sz w:val="22"/>
                <w:szCs w:val="22"/>
                <w:rPrChange w:id="96" w:author="Author" w:date="2025-08-22T15:12:00Z">
                  <w:rPr>
                    <w:noProof w:val="0"/>
                    <w:sz w:val="22"/>
                    <w:szCs w:val="22"/>
                  </w:rPr>
                </w:rPrChange>
              </w:rPr>
            </w:pPr>
            <w:r>
              <w:rPr>
                <w:sz w:val="22"/>
                <w:szCs w:val="22"/>
                <w:rPrChange w:id="97" w:author="Author" w:date="2025-08-22T15:12:00Z">
                  <w:rPr>
                    <w:noProof w:val="0"/>
                    <w:sz w:val="22"/>
                    <w:szCs w:val="22"/>
                  </w:rPr>
                </w:rPrChange>
              </w:rPr>
              <w:t>Ukončite liečbu tocilizumabom.</w:t>
            </w:r>
          </w:p>
          <w:p w14:paraId="48660D7B" w14:textId="77777777" w:rsidR="009700E5" w:rsidRPr="009700E5" w:rsidRDefault="002C033C">
            <w:pPr>
              <w:pStyle w:val="TextTi12"/>
              <w:keepNext/>
              <w:keepLines/>
              <w:jc w:val="left"/>
              <w:rPr>
                <w:sz w:val="22"/>
                <w:szCs w:val="22"/>
                <w:rPrChange w:id="98" w:author="Author" w:date="2025-08-22T15:12:00Z">
                  <w:rPr>
                    <w:noProof w:val="0"/>
                    <w:sz w:val="22"/>
                    <w:szCs w:val="22"/>
                  </w:rPr>
                </w:rPrChange>
              </w:rPr>
            </w:pPr>
            <w:r>
              <w:rPr>
                <w:sz w:val="22"/>
                <w:szCs w:val="22"/>
                <w:rPrChange w:id="99" w:author="Author" w:date="2025-08-22T15:12:00Z">
                  <w:rPr>
                    <w:noProof w:val="0"/>
                    <w:sz w:val="22"/>
                    <w:szCs w:val="22"/>
                  </w:rPr>
                </w:rPrChange>
              </w:rPr>
              <w:t>Rozhodnutie o ukončení liečby u pacientov so sJIA pre laboratórne odchýlky musí byť založené na lekárskom zhodnotení každého individuálneho pacienta.</w:t>
            </w:r>
          </w:p>
        </w:tc>
      </w:tr>
    </w:tbl>
    <w:p w14:paraId="7CFE4250" w14:textId="77777777" w:rsidR="009700E5" w:rsidRDefault="009700E5"/>
    <w:p w14:paraId="4142FC36" w14:textId="77777777" w:rsidR="009700E5" w:rsidRDefault="002C033C">
      <w:pPr>
        <w:keepNext/>
        <w:keepLines/>
        <w:ind w:left="567" w:hanging="283"/>
        <w:pPrChange w:id="100" w:author="Author" w:date="2025-07-18T10:39:00Z">
          <w:pPr>
            <w:keepNext/>
            <w:keepLines/>
            <w:ind w:left="567" w:hanging="567"/>
          </w:pPr>
        </w:pPrChange>
      </w:pPr>
      <w:r>
        <w:rPr>
          <w:szCs w:val="22"/>
        </w:rPr>
        <w:sym w:font="Symbol" w:char="F0B7"/>
      </w:r>
      <w:r>
        <w:tab/>
        <w:t>Nízky absolútny počet neutrofilov (ANC)</w:t>
      </w:r>
    </w:p>
    <w:p w14:paraId="41D274EA" w14:textId="77777777" w:rsidR="009700E5" w:rsidRDefault="009700E5">
      <w:pPr>
        <w:keepNext/>
        <w:keepLines/>
      </w:pPr>
    </w:p>
    <w:tbl>
      <w:tblPr>
        <w:tblW w:w="92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2"/>
        <w:gridCol w:w="7121"/>
      </w:tblGrid>
      <w:tr w:rsidR="009700E5" w14:paraId="7B26E626" w14:textId="77777777">
        <w:tc>
          <w:tcPr>
            <w:tcW w:w="2092" w:type="dxa"/>
          </w:tcPr>
          <w:p w14:paraId="41DC11EB" w14:textId="77777777" w:rsidR="009700E5" w:rsidRDefault="002C033C">
            <w:pPr>
              <w:keepNext/>
              <w:keepLines/>
              <w:jc w:val="center"/>
              <w:rPr>
                <w:b/>
                <w:szCs w:val="22"/>
              </w:rPr>
            </w:pPr>
            <w:r>
              <w:rPr>
                <w:b/>
                <w:szCs w:val="22"/>
              </w:rPr>
              <w:t>Laboratórna hodnota (bunky </w:t>
            </w:r>
            <w:r>
              <w:rPr>
                <w:rFonts w:eastAsia="MS Mincho"/>
                <w:b/>
                <w:bCs/>
                <w:szCs w:val="22"/>
              </w:rPr>
              <w:sym w:font="Symbol" w:char="F0B4"/>
            </w:r>
            <w:r>
              <w:rPr>
                <w:rFonts w:ascii="Arial" w:eastAsia="MS Mincho" w:hAnsi="Arial" w:cs="Arial"/>
                <w:szCs w:val="22"/>
              </w:rPr>
              <w:t> </w:t>
            </w:r>
            <w:r>
              <w:rPr>
                <w:b/>
                <w:szCs w:val="22"/>
              </w:rPr>
              <w:t>10</w:t>
            </w:r>
            <w:r>
              <w:rPr>
                <w:b/>
                <w:szCs w:val="22"/>
                <w:vertAlign w:val="superscript"/>
              </w:rPr>
              <w:t>9</w:t>
            </w:r>
            <w:r>
              <w:rPr>
                <w:b/>
                <w:szCs w:val="22"/>
              </w:rPr>
              <w:t>/l)</w:t>
            </w:r>
          </w:p>
          <w:p w14:paraId="32A84734" w14:textId="77777777" w:rsidR="009700E5" w:rsidRPr="009700E5" w:rsidRDefault="009700E5">
            <w:pPr>
              <w:pStyle w:val="TextTi12"/>
              <w:keepNext/>
              <w:keepLines/>
              <w:jc w:val="center"/>
              <w:rPr>
                <w:b/>
                <w:sz w:val="22"/>
                <w:szCs w:val="22"/>
                <w:rPrChange w:id="101" w:author="Author" w:date="2025-08-22T15:12:00Z">
                  <w:rPr>
                    <w:b/>
                    <w:noProof w:val="0"/>
                    <w:sz w:val="22"/>
                    <w:szCs w:val="22"/>
                  </w:rPr>
                </w:rPrChange>
              </w:rPr>
            </w:pPr>
          </w:p>
        </w:tc>
        <w:tc>
          <w:tcPr>
            <w:tcW w:w="7121" w:type="dxa"/>
          </w:tcPr>
          <w:p w14:paraId="7CC05FC4" w14:textId="77777777" w:rsidR="009700E5" w:rsidRPr="009700E5" w:rsidRDefault="002C033C">
            <w:pPr>
              <w:pStyle w:val="TextTi12"/>
              <w:keepNext/>
              <w:keepLines/>
              <w:jc w:val="center"/>
              <w:rPr>
                <w:b/>
                <w:sz w:val="22"/>
                <w:szCs w:val="22"/>
                <w:rPrChange w:id="102" w:author="Author" w:date="2025-08-22T15:12:00Z">
                  <w:rPr>
                    <w:b/>
                    <w:noProof w:val="0"/>
                    <w:sz w:val="22"/>
                    <w:szCs w:val="22"/>
                  </w:rPr>
                </w:rPrChange>
              </w:rPr>
            </w:pPr>
            <w:r>
              <w:rPr>
                <w:b/>
                <w:sz w:val="22"/>
                <w:szCs w:val="22"/>
                <w:rPrChange w:id="103" w:author="Author" w:date="2025-08-22T15:12:00Z">
                  <w:rPr>
                    <w:b/>
                    <w:noProof w:val="0"/>
                    <w:sz w:val="22"/>
                    <w:szCs w:val="22"/>
                  </w:rPr>
                </w:rPrChange>
              </w:rPr>
              <w:t>Opatrenie</w:t>
            </w:r>
          </w:p>
        </w:tc>
      </w:tr>
      <w:tr w:rsidR="009700E5" w14:paraId="2DB9DB88" w14:textId="77777777">
        <w:tc>
          <w:tcPr>
            <w:tcW w:w="2092" w:type="dxa"/>
          </w:tcPr>
          <w:p w14:paraId="1E583B10" w14:textId="77777777" w:rsidR="009700E5" w:rsidRPr="009700E5" w:rsidRDefault="002C033C">
            <w:pPr>
              <w:pStyle w:val="TextTi12"/>
              <w:jc w:val="left"/>
              <w:rPr>
                <w:sz w:val="22"/>
                <w:szCs w:val="22"/>
                <w:rPrChange w:id="104" w:author="Author" w:date="2025-08-22T15:12:00Z">
                  <w:rPr>
                    <w:noProof w:val="0"/>
                    <w:sz w:val="22"/>
                    <w:szCs w:val="22"/>
                  </w:rPr>
                </w:rPrChange>
              </w:rPr>
            </w:pPr>
            <w:r>
              <w:rPr>
                <w:sz w:val="22"/>
                <w:szCs w:val="22"/>
                <w:rPrChange w:id="105" w:author="Author" w:date="2025-08-22T15:12:00Z">
                  <w:rPr>
                    <w:noProof w:val="0"/>
                    <w:sz w:val="22"/>
                    <w:szCs w:val="22"/>
                  </w:rPr>
                </w:rPrChange>
              </w:rPr>
              <w:t xml:space="preserve">ANC </w:t>
            </w:r>
            <w:r>
              <w:rPr>
                <w:rFonts w:eastAsia="MS Mincho"/>
                <w:sz w:val="22"/>
                <w:szCs w:val="22"/>
              </w:rPr>
              <w:sym w:font="Symbol" w:char="F03E"/>
            </w:r>
            <w:r>
              <w:rPr>
                <w:sz w:val="22"/>
                <w:szCs w:val="22"/>
                <w:rPrChange w:id="106" w:author="Author" w:date="2025-08-22T15:12:00Z">
                  <w:rPr>
                    <w:noProof w:val="0"/>
                    <w:sz w:val="22"/>
                    <w:szCs w:val="22"/>
                  </w:rPr>
                </w:rPrChange>
              </w:rPr>
              <w:t> 1</w:t>
            </w:r>
          </w:p>
        </w:tc>
        <w:tc>
          <w:tcPr>
            <w:tcW w:w="7121" w:type="dxa"/>
          </w:tcPr>
          <w:p w14:paraId="39DEA702" w14:textId="77777777" w:rsidR="009700E5" w:rsidRPr="009700E5" w:rsidRDefault="002C033C">
            <w:pPr>
              <w:pStyle w:val="TextTi12"/>
              <w:rPr>
                <w:sz w:val="22"/>
                <w:szCs w:val="22"/>
                <w:rPrChange w:id="107" w:author="Author" w:date="2025-08-22T15:12:00Z">
                  <w:rPr>
                    <w:noProof w:val="0"/>
                    <w:sz w:val="22"/>
                    <w:szCs w:val="22"/>
                  </w:rPr>
                </w:rPrChange>
              </w:rPr>
            </w:pPr>
            <w:r>
              <w:rPr>
                <w:sz w:val="22"/>
                <w:szCs w:val="22"/>
                <w:rPrChange w:id="108" w:author="Author" w:date="2025-08-22T15:12:00Z">
                  <w:rPr>
                    <w:noProof w:val="0"/>
                    <w:sz w:val="22"/>
                    <w:szCs w:val="22"/>
                  </w:rPr>
                </w:rPrChange>
              </w:rPr>
              <w:t>Udržiavajte dávku.</w:t>
            </w:r>
          </w:p>
        </w:tc>
      </w:tr>
      <w:tr w:rsidR="009700E5" w14:paraId="06F836CE" w14:textId="77777777">
        <w:tc>
          <w:tcPr>
            <w:tcW w:w="2092" w:type="dxa"/>
          </w:tcPr>
          <w:p w14:paraId="4E27C826" w14:textId="77777777" w:rsidR="009700E5" w:rsidRPr="009700E5" w:rsidRDefault="002C033C">
            <w:pPr>
              <w:pStyle w:val="TextTi12"/>
              <w:jc w:val="left"/>
              <w:rPr>
                <w:sz w:val="22"/>
                <w:szCs w:val="22"/>
                <w:rPrChange w:id="109" w:author="Author" w:date="2025-08-22T15:12:00Z">
                  <w:rPr>
                    <w:noProof w:val="0"/>
                    <w:sz w:val="22"/>
                    <w:szCs w:val="22"/>
                  </w:rPr>
                </w:rPrChange>
              </w:rPr>
            </w:pPr>
            <w:r>
              <w:rPr>
                <w:sz w:val="22"/>
                <w:szCs w:val="22"/>
                <w:rPrChange w:id="110" w:author="Author" w:date="2025-08-22T15:12:00Z">
                  <w:rPr>
                    <w:noProof w:val="0"/>
                    <w:sz w:val="22"/>
                    <w:szCs w:val="22"/>
                  </w:rPr>
                </w:rPrChange>
              </w:rPr>
              <w:t>ANC 0,5 až 1</w:t>
            </w:r>
          </w:p>
        </w:tc>
        <w:tc>
          <w:tcPr>
            <w:tcW w:w="7121" w:type="dxa"/>
          </w:tcPr>
          <w:p w14:paraId="6736282D" w14:textId="77777777" w:rsidR="009700E5" w:rsidRDefault="002C033C">
            <w:pPr>
              <w:keepNext/>
              <w:rPr>
                <w:szCs w:val="22"/>
              </w:rPr>
            </w:pPr>
            <w:r>
              <w:rPr>
                <w:szCs w:val="22"/>
              </w:rPr>
              <w:t>Prerušte podávanie tocilizumabu.</w:t>
            </w:r>
          </w:p>
          <w:p w14:paraId="23B04667" w14:textId="77777777" w:rsidR="009700E5" w:rsidRDefault="009700E5">
            <w:pPr>
              <w:keepNext/>
              <w:rPr>
                <w:szCs w:val="22"/>
              </w:rPr>
            </w:pPr>
          </w:p>
          <w:p w14:paraId="3C89A127" w14:textId="77777777" w:rsidR="009700E5" w:rsidRPr="009700E5" w:rsidRDefault="002C033C">
            <w:pPr>
              <w:pStyle w:val="TextTi12"/>
              <w:jc w:val="left"/>
              <w:rPr>
                <w:sz w:val="22"/>
                <w:szCs w:val="22"/>
                <w:rPrChange w:id="111" w:author="Author" w:date="2025-08-22T15:12:00Z">
                  <w:rPr>
                    <w:noProof w:val="0"/>
                    <w:sz w:val="22"/>
                    <w:szCs w:val="22"/>
                  </w:rPr>
                </w:rPrChange>
              </w:rPr>
            </w:pPr>
            <w:r>
              <w:rPr>
                <w:sz w:val="22"/>
                <w:szCs w:val="22"/>
                <w:rPrChange w:id="112" w:author="Author" w:date="2025-08-22T15:12:00Z">
                  <w:rPr>
                    <w:noProof w:val="0"/>
                    <w:sz w:val="22"/>
                    <w:szCs w:val="22"/>
                  </w:rPr>
                </w:rPrChange>
              </w:rPr>
              <w:t xml:space="preserve">Keď sa ANC zvýši na </w:t>
            </w:r>
            <w:r>
              <w:rPr>
                <w:rFonts w:eastAsia="MS Mincho"/>
                <w:sz w:val="22"/>
                <w:szCs w:val="22"/>
              </w:rPr>
              <w:sym w:font="Symbol" w:char="F03E"/>
            </w:r>
            <w:r>
              <w:rPr>
                <w:sz w:val="22"/>
                <w:szCs w:val="22"/>
                <w:rPrChange w:id="113" w:author="Author" w:date="2025-08-22T15:12:00Z">
                  <w:rPr>
                    <w:noProof w:val="0"/>
                    <w:sz w:val="22"/>
                    <w:szCs w:val="22"/>
                  </w:rPr>
                </w:rPrChange>
              </w:rPr>
              <w:t> 1 </w:t>
            </w:r>
            <w:r>
              <w:rPr>
                <w:rFonts w:eastAsia="MS Mincho"/>
                <w:sz w:val="22"/>
                <w:szCs w:val="22"/>
              </w:rPr>
              <w:sym w:font="Symbol" w:char="F0B4"/>
            </w:r>
            <w:r>
              <w:rPr>
                <w:sz w:val="22"/>
                <w:szCs w:val="22"/>
                <w:rPrChange w:id="114" w:author="Author" w:date="2025-08-22T15:12:00Z">
                  <w:rPr>
                    <w:noProof w:val="0"/>
                    <w:sz w:val="22"/>
                    <w:szCs w:val="22"/>
                  </w:rPr>
                </w:rPrChange>
              </w:rPr>
              <w:t> 10</w:t>
            </w:r>
            <w:r>
              <w:rPr>
                <w:sz w:val="22"/>
                <w:szCs w:val="22"/>
                <w:vertAlign w:val="superscript"/>
                <w:rPrChange w:id="115" w:author="Author" w:date="2025-08-22T15:12:00Z">
                  <w:rPr>
                    <w:noProof w:val="0"/>
                    <w:sz w:val="22"/>
                    <w:szCs w:val="22"/>
                    <w:vertAlign w:val="superscript"/>
                  </w:rPr>
                </w:rPrChange>
              </w:rPr>
              <w:t>9</w:t>
            </w:r>
            <w:r>
              <w:rPr>
                <w:sz w:val="22"/>
                <w:szCs w:val="22"/>
                <w:rPrChange w:id="116" w:author="Author" w:date="2025-08-22T15:12:00Z">
                  <w:rPr>
                    <w:noProof w:val="0"/>
                    <w:sz w:val="22"/>
                    <w:szCs w:val="22"/>
                  </w:rPr>
                </w:rPrChange>
              </w:rPr>
              <w:t>/l, liečbu znovu začnite.</w:t>
            </w:r>
          </w:p>
        </w:tc>
      </w:tr>
      <w:tr w:rsidR="009700E5" w14:paraId="6E76DBA6" w14:textId="77777777">
        <w:tc>
          <w:tcPr>
            <w:tcW w:w="2092" w:type="dxa"/>
          </w:tcPr>
          <w:p w14:paraId="7B5B23F2" w14:textId="77777777" w:rsidR="009700E5" w:rsidRPr="009700E5" w:rsidRDefault="002C033C">
            <w:pPr>
              <w:pStyle w:val="TextTi12"/>
              <w:jc w:val="left"/>
              <w:rPr>
                <w:sz w:val="22"/>
                <w:szCs w:val="22"/>
                <w:rPrChange w:id="117" w:author="Author" w:date="2025-08-22T15:12:00Z">
                  <w:rPr>
                    <w:noProof w:val="0"/>
                    <w:sz w:val="22"/>
                    <w:szCs w:val="22"/>
                  </w:rPr>
                </w:rPrChange>
              </w:rPr>
            </w:pPr>
            <w:r>
              <w:rPr>
                <w:sz w:val="22"/>
                <w:szCs w:val="22"/>
                <w:rPrChange w:id="118" w:author="Author" w:date="2025-08-22T15:12:00Z">
                  <w:rPr>
                    <w:noProof w:val="0"/>
                    <w:sz w:val="22"/>
                    <w:szCs w:val="22"/>
                  </w:rPr>
                </w:rPrChange>
              </w:rPr>
              <w:t xml:space="preserve">ANC </w:t>
            </w:r>
            <w:r>
              <w:rPr>
                <w:rFonts w:eastAsia="MS Mincho"/>
                <w:sz w:val="22"/>
                <w:szCs w:val="22"/>
              </w:rPr>
              <w:sym w:font="Symbol" w:char="F03C"/>
            </w:r>
            <w:r>
              <w:rPr>
                <w:sz w:val="22"/>
                <w:szCs w:val="22"/>
                <w:rPrChange w:id="119" w:author="Author" w:date="2025-08-22T15:12:00Z">
                  <w:rPr>
                    <w:noProof w:val="0"/>
                    <w:sz w:val="22"/>
                    <w:szCs w:val="22"/>
                  </w:rPr>
                </w:rPrChange>
              </w:rPr>
              <w:t> 0,5</w:t>
            </w:r>
          </w:p>
        </w:tc>
        <w:tc>
          <w:tcPr>
            <w:tcW w:w="7121" w:type="dxa"/>
          </w:tcPr>
          <w:p w14:paraId="727EF412" w14:textId="77777777" w:rsidR="009700E5" w:rsidRPr="009700E5" w:rsidRDefault="002C033C">
            <w:pPr>
              <w:pStyle w:val="TextTi12"/>
              <w:rPr>
                <w:sz w:val="22"/>
                <w:szCs w:val="22"/>
                <w:rPrChange w:id="120" w:author="Author" w:date="2025-08-22T15:12:00Z">
                  <w:rPr>
                    <w:noProof w:val="0"/>
                    <w:sz w:val="22"/>
                    <w:szCs w:val="22"/>
                  </w:rPr>
                </w:rPrChange>
              </w:rPr>
            </w:pPr>
            <w:r>
              <w:rPr>
                <w:sz w:val="22"/>
                <w:szCs w:val="22"/>
                <w:rPrChange w:id="121" w:author="Author" w:date="2025-08-22T15:12:00Z">
                  <w:rPr>
                    <w:noProof w:val="0"/>
                    <w:sz w:val="22"/>
                    <w:szCs w:val="22"/>
                  </w:rPr>
                </w:rPrChange>
              </w:rPr>
              <w:t>Ukončite liečbu tocilizumabom.</w:t>
            </w:r>
          </w:p>
          <w:p w14:paraId="0B664BCE" w14:textId="77777777" w:rsidR="009700E5" w:rsidRPr="009700E5" w:rsidRDefault="002C033C">
            <w:pPr>
              <w:pStyle w:val="TextTi12"/>
              <w:jc w:val="left"/>
              <w:rPr>
                <w:sz w:val="22"/>
                <w:szCs w:val="22"/>
                <w:rPrChange w:id="122" w:author="Author" w:date="2025-08-22T15:12:00Z">
                  <w:rPr>
                    <w:noProof w:val="0"/>
                    <w:sz w:val="22"/>
                    <w:szCs w:val="22"/>
                  </w:rPr>
                </w:rPrChange>
              </w:rPr>
            </w:pPr>
            <w:r>
              <w:rPr>
                <w:sz w:val="22"/>
                <w:szCs w:val="22"/>
                <w:rPrChange w:id="123" w:author="Author" w:date="2025-08-22T15:12:00Z">
                  <w:rPr>
                    <w:noProof w:val="0"/>
                    <w:sz w:val="22"/>
                    <w:szCs w:val="22"/>
                  </w:rPr>
                </w:rPrChange>
              </w:rPr>
              <w:t>Rozhodnutie o ukončení liečby u pacientov so sJIA pre laboratórne odchýlky musí byť založené na lekárskom zhodnotení každého individuálneho pacienta.</w:t>
            </w:r>
          </w:p>
        </w:tc>
      </w:tr>
    </w:tbl>
    <w:p w14:paraId="60D569E3" w14:textId="77777777" w:rsidR="009700E5" w:rsidRDefault="009700E5"/>
    <w:p w14:paraId="764C0998" w14:textId="77777777" w:rsidR="009700E5" w:rsidRDefault="002C033C">
      <w:pPr>
        <w:keepNext/>
        <w:keepLines/>
        <w:ind w:left="567" w:hanging="283"/>
        <w:pPrChange w:id="124" w:author="Author" w:date="2025-07-18T10:39:00Z">
          <w:pPr>
            <w:keepNext/>
            <w:keepLines/>
            <w:ind w:left="567" w:hanging="567"/>
          </w:pPr>
        </w:pPrChange>
      </w:pPr>
      <w:r>
        <w:rPr>
          <w:szCs w:val="22"/>
        </w:rPr>
        <w:lastRenderedPageBreak/>
        <w:sym w:font="Symbol" w:char="F0B7"/>
      </w:r>
      <w:r>
        <w:tab/>
        <w:t>Nízky počet trombocytov</w:t>
      </w:r>
    </w:p>
    <w:p w14:paraId="5E190E25" w14:textId="77777777" w:rsidR="009700E5" w:rsidRDefault="009700E5">
      <w:pPr>
        <w:keepNext/>
        <w:keepLines/>
      </w:pPr>
    </w:p>
    <w:tbl>
      <w:tblPr>
        <w:tblW w:w="92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2"/>
        <w:gridCol w:w="7121"/>
      </w:tblGrid>
      <w:tr w:rsidR="009700E5" w14:paraId="33CAE228" w14:textId="77777777">
        <w:trPr>
          <w:trHeight w:val="1214"/>
        </w:trPr>
        <w:tc>
          <w:tcPr>
            <w:tcW w:w="2092" w:type="dxa"/>
          </w:tcPr>
          <w:p w14:paraId="02407A16" w14:textId="77777777" w:rsidR="009700E5" w:rsidRDefault="002C033C">
            <w:pPr>
              <w:keepNext/>
              <w:keepLines/>
              <w:jc w:val="center"/>
              <w:rPr>
                <w:b/>
                <w:szCs w:val="22"/>
              </w:rPr>
            </w:pPr>
            <w:r>
              <w:rPr>
                <w:b/>
              </w:rPr>
              <w:t>Laboratórna hodnota (bunky </w:t>
            </w:r>
            <w:r>
              <w:rPr>
                <w:rFonts w:eastAsia="MS Mincho"/>
                <w:b/>
                <w:bCs/>
                <w:szCs w:val="22"/>
              </w:rPr>
              <w:sym w:font="Symbol" w:char="F0B4"/>
            </w:r>
            <w:r>
              <w:rPr>
                <w:b/>
              </w:rPr>
              <w:t> 10</w:t>
            </w:r>
            <w:r>
              <w:rPr>
                <w:b/>
                <w:vertAlign w:val="superscript"/>
              </w:rPr>
              <w:t>3</w:t>
            </w:r>
            <w:r>
              <w:rPr>
                <w:b/>
              </w:rPr>
              <w:t>/</w:t>
            </w:r>
            <w:r>
              <w:rPr>
                <w:rFonts w:eastAsia="MS Mincho"/>
                <w:b/>
                <w:bCs/>
                <w:szCs w:val="22"/>
              </w:rPr>
              <w:sym w:font="Symbol" w:char="F06D"/>
            </w:r>
            <w:r>
              <w:rPr>
                <w:b/>
              </w:rPr>
              <w:t>l)</w:t>
            </w:r>
          </w:p>
        </w:tc>
        <w:tc>
          <w:tcPr>
            <w:tcW w:w="7121" w:type="dxa"/>
          </w:tcPr>
          <w:p w14:paraId="7E984CE5" w14:textId="77777777" w:rsidR="009700E5" w:rsidRPr="009700E5" w:rsidRDefault="002C033C">
            <w:pPr>
              <w:pStyle w:val="TextTi12"/>
              <w:keepNext/>
              <w:keepLines/>
              <w:jc w:val="center"/>
              <w:rPr>
                <w:b/>
                <w:sz w:val="22"/>
                <w:szCs w:val="22"/>
                <w:rPrChange w:id="125" w:author="Author" w:date="2025-08-22T15:12:00Z">
                  <w:rPr>
                    <w:b/>
                    <w:noProof w:val="0"/>
                    <w:sz w:val="22"/>
                    <w:szCs w:val="22"/>
                  </w:rPr>
                </w:rPrChange>
              </w:rPr>
            </w:pPr>
            <w:r>
              <w:rPr>
                <w:b/>
                <w:rPrChange w:id="126" w:author="Author" w:date="2025-08-22T15:12:00Z">
                  <w:rPr>
                    <w:b/>
                    <w:noProof w:val="0"/>
                  </w:rPr>
                </w:rPrChange>
              </w:rPr>
              <w:t>Opatrenie</w:t>
            </w:r>
          </w:p>
        </w:tc>
      </w:tr>
      <w:tr w:rsidR="009700E5" w14:paraId="370DCE84" w14:textId="77777777">
        <w:trPr>
          <w:trHeight w:val="1699"/>
        </w:trPr>
        <w:tc>
          <w:tcPr>
            <w:tcW w:w="2092" w:type="dxa"/>
          </w:tcPr>
          <w:p w14:paraId="0952F7C5" w14:textId="77777777" w:rsidR="009700E5" w:rsidRPr="009700E5" w:rsidRDefault="002C033C">
            <w:pPr>
              <w:pStyle w:val="TextTi12"/>
              <w:keepNext/>
              <w:keepLines/>
              <w:jc w:val="left"/>
              <w:rPr>
                <w:sz w:val="22"/>
                <w:szCs w:val="22"/>
                <w:rPrChange w:id="127" w:author="Author" w:date="2025-08-22T15:12:00Z">
                  <w:rPr>
                    <w:noProof w:val="0"/>
                    <w:sz w:val="22"/>
                    <w:szCs w:val="22"/>
                  </w:rPr>
                </w:rPrChange>
              </w:rPr>
            </w:pPr>
            <w:r>
              <w:rPr>
                <w:sz w:val="22"/>
                <w:szCs w:val="22"/>
                <w:rPrChange w:id="128" w:author="Author" w:date="2025-08-22T15:12:00Z">
                  <w:rPr>
                    <w:noProof w:val="0"/>
                    <w:sz w:val="22"/>
                    <w:szCs w:val="22"/>
                  </w:rPr>
                </w:rPrChange>
              </w:rPr>
              <w:t>50 až 100</w:t>
            </w:r>
          </w:p>
        </w:tc>
        <w:tc>
          <w:tcPr>
            <w:tcW w:w="7121" w:type="dxa"/>
          </w:tcPr>
          <w:p w14:paraId="4EF7EEDF" w14:textId="77777777" w:rsidR="009700E5" w:rsidRDefault="002C033C">
            <w:pPr>
              <w:keepNext/>
              <w:keepLines/>
              <w:rPr>
                <w:szCs w:val="22"/>
              </w:rPr>
            </w:pPr>
            <w:r>
              <w:rPr>
                <w:szCs w:val="22"/>
              </w:rPr>
              <w:t>Úprava dávky súbežne podávaného MTX, ak je to vhodné.</w:t>
            </w:r>
          </w:p>
          <w:p w14:paraId="1893C498" w14:textId="77777777" w:rsidR="009700E5" w:rsidRDefault="009700E5">
            <w:pPr>
              <w:keepNext/>
              <w:keepLines/>
              <w:rPr>
                <w:szCs w:val="22"/>
              </w:rPr>
            </w:pPr>
          </w:p>
          <w:p w14:paraId="77E9BE0D" w14:textId="77777777" w:rsidR="009700E5" w:rsidRDefault="002C033C">
            <w:pPr>
              <w:keepNext/>
              <w:keepLines/>
              <w:rPr>
                <w:szCs w:val="22"/>
              </w:rPr>
            </w:pPr>
            <w:r>
              <w:rPr>
                <w:szCs w:val="22"/>
              </w:rPr>
              <w:t>Prerušte podávanie tocilizumabu.</w:t>
            </w:r>
          </w:p>
          <w:p w14:paraId="5D2CF9D3" w14:textId="77777777" w:rsidR="009700E5" w:rsidRPr="009700E5" w:rsidRDefault="009700E5">
            <w:pPr>
              <w:pStyle w:val="TextTi12"/>
              <w:keepNext/>
              <w:keepLines/>
              <w:spacing w:after="0" w:line="240" w:lineRule="auto"/>
              <w:rPr>
                <w:sz w:val="22"/>
                <w:szCs w:val="22"/>
                <w:rPrChange w:id="129" w:author="Author" w:date="2025-08-22T15:12:00Z">
                  <w:rPr>
                    <w:noProof w:val="0"/>
                    <w:sz w:val="22"/>
                    <w:szCs w:val="22"/>
                  </w:rPr>
                </w:rPrChange>
              </w:rPr>
            </w:pPr>
          </w:p>
          <w:p w14:paraId="2178EC4B" w14:textId="77777777" w:rsidR="009700E5" w:rsidRPr="009700E5" w:rsidRDefault="002C033C">
            <w:pPr>
              <w:pStyle w:val="TextTi12"/>
              <w:keepNext/>
              <w:keepLines/>
              <w:spacing w:after="0" w:line="240" w:lineRule="auto"/>
              <w:jc w:val="left"/>
              <w:rPr>
                <w:sz w:val="22"/>
                <w:szCs w:val="22"/>
                <w:rPrChange w:id="130" w:author="Author" w:date="2025-08-22T15:12:00Z">
                  <w:rPr>
                    <w:noProof w:val="0"/>
                    <w:sz w:val="22"/>
                    <w:szCs w:val="22"/>
                  </w:rPr>
                </w:rPrChange>
              </w:rPr>
            </w:pPr>
            <w:r>
              <w:rPr>
                <w:sz w:val="22"/>
                <w:szCs w:val="22"/>
                <w:rPrChange w:id="131" w:author="Author" w:date="2025-08-22T15:12:00Z">
                  <w:rPr>
                    <w:noProof w:val="0"/>
                    <w:sz w:val="22"/>
                    <w:szCs w:val="22"/>
                  </w:rPr>
                </w:rPrChange>
              </w:rPr>
              <w:t xml:space="preserve">Keď bude počet trombocytov </w:t>
            </w:r>
            <w:r>
              <w:rPr>
                <w:rFonts w:eastAsia="MS Mincho"/>
                <w:sz w:val="22"/>
                <w:szCs w:val="22"/>
              </w:rPr>
              <w:sym w:font="Symbol" w:char="F03E"/>
            </w:r>
            <w:r>
              <w:rPr>
                <w:sz w:val="22"/>
                <w:szCs w:val="22"/>
                <w:rPrChange w:id="132" w:author="Author" w:date="2025-08-22T15:12:00Z">
                  <w:rPr>
                    <w:noProof w:val="0"/>
                    <w:sz w:val="22"/>
                    <w:szCs w:val="22"/>
                  </w:rPr>
                </w:rPrChange>
              </w:rPr>
              <w:t> 100 </w:t>
            </w:r>
            <w:r>
              <w:rPr>
                <w:rFonts w:eastAsia="MS Mincho"/>
                <w:sz w:val="22"/>
                <w:szCs w:val="22"/>
              </w:rPr>
              <w:sym w:font="Symbol" w:char="F0B4"/>
            </w:r>
            <w:r>
              <w:rPr>
                <w:sz w:val="22"/>
                <w:szCs w:val="22"/>
                <w:rPrChange w:id="133" w:author="Author" w:date="2025-08-22T15:12:00Z">
                  <w:rPr>
                    <w:noProof w:val="0"/>
                    <w:sz w:val="22"/>
                    <w:szCs w:val="22"/>
                  </w:rPr>
                </w:rPrChange>
              </w:rPr>
              <w:t> 10</w:t>
            </w:r>
            <w:r>
              <w:rPr>
                <w:sz w:val="22"/>
                <w:szCs w:val="22"/>
                <w:vertAlign w:val="superscript"/>
                <w:rPrChange w:id="134" w:author="Author" w:date="2025-08-22T15:12:00Z">
                  <w:rPr>
                    <w:noProof w:val="0"/>
                    <w:sz w:val="22"/>
                    <w:szCs w:val="22"/>
                    <w:vertAlign w:val="superscript"/>
                  </w:rPr>
                </w:rPrChange>
              </w:rPr>
              <w:t>3</w:t>
            </w:r>
            <w:r>
              <w:rPr>
                <w:sz w:val="22"/>
                <w:szCs w:val="22"/>
                <w:rPrChange w:id="135" w:author="Author" w:date="2025-08-22T15:12:00Z">
                  <w:rPr>
                    <w:noProof w:val="0"/>
                    <w:sz w:val="22"/>
                    <w:szCs w:val="22"/>
                  </w:rPr>
                </w:rPrChange>
              </w:rPr>
              <w:t>/</w:t>
            </w:r>
            <w:r>
              <w:rPr>
                <w:rFonts w:eastAsia="MS Mincho"/>
                <w:szCs w:val="22"/>
              </w:rPr>
              <w:sym w:font="Symbol" w:char="F06D"/>
            </w:r>
            <w:r>
              <w:rPr>
                <w:sz w:val="22"/>
                <w:szCs w:val="22"/>
                <w:rPrChange w:id="136" w:author="Author" w:date="2025-08-22T15:12:00Z">
                  <w:rPr>
                    <w:noProof w:val="0"/>
                    <w:sz w:val="22"/>
                    <w:szCs w:val="22"/>
                  </w:rPr>
                </w:rPrChange>
              </w:rPr>
              <w:t>l, liečbu znovu začnite.</w:t>
            </w:r>
          </w:p>
        </w:tc>
      </w:tr>
      <w:tr w:rsidR="009700E5" w14:paraId="0BF82C27" w14:textId="77777777">
        <w:tc>
          <w:tcPr>
            <w:tcW w:w="2092" w:type="dxa"/>
          </w:tcPr>
          <w:p w14:paraId="27B86C8E" w14:textId="77777777" w:rsidR="009700E5" w:rsidRPr="009700E5" w:rsidRDefault="002C033C">
            <w:pPr>
              <w:pStyle w:val="TextTi12"/>
              <w:keepNext/>
              <w:keepLines/>
              <w:jc w:val="left"/>
              <w:rPr>
                <w:sz w:val="22"/>
                <w:szCs w:val="22"/>
                <w:rPrChange w:id="137" w:author="Author" w:date="2025-08-22T15:12:00Z">
                  <w:rPr>
                    <w:noProof w:val="0"/>
                    <w:sz w:val="22"/>
                    <w:szCs w:val="22"/>
                  </w:rPr>
                </w:rPrChange>
              </w:rPr>
            </w:pPr>
            <w:r>
              <w:rPr>
                <w:rFonts w:eastAsia="MS Mincho"/>
                <w:sz w:val="22"/>
                <w:szCs w:val="22"/>
              </w:rPr>
              <w:sym w:font="Symbol" w:char="F03C"/>
            </w:r>
            <w:r>
              <w:rPr>
                <w:rFonts w:eastAsia="MS Mincho"/>
                <w:sz w:val="22"/>
                <w:szCs w:val="22"/>
              </w:rPr>
              <w:t> </w:t>
            </w:r>
            <w:r>
              <w:rPr>
                <w:sz w:val="22"/>
                <w:szCs w:val="22"/>
                <w:rPrChange w:id="138" w:author="Author" w:date="2025-08-22T15:12:00Z">
                  <w:rPr>
                    <w:noProof w:val="0"/>
                    <w:sz w:val="22"/>
                    <w:szCs w:val="22"/>
                  </w:rPr>
                </w:rPrChange>
              </w:rPr>
              <w:t>50</w:t>
            </w:r>
          </w:p>
        </w:tc>
        <w:tc>
          <w:tcPr>
            <w:tcW w:w="7121" w:type="dxa"/>
          </w:tcPr>
          <w:p w14:paraId="69294BD1" w14:textId="77777777" w:rsidR="009700E5" w:rsidRPr="009700E5" w:rsidRDefault="002C033C">
            <w:pPr>
              <w:pStyle w:val="TextTi12"/>
              <w:keepNext/>
              <w:keepLines/>
              <w:rPr>
                <w:sz w:val="22"/>
                <w:szCs w:val="22"/>
                <w:rPrChange w:id="139" w:author="Author" w:date="2025-08-22T15:12:00Z">
                  <w:rPr>
                    <w:noProof w:val="0"/>
                    <w:sz w:val="22"/>
                    <w:szCs w:val="22"/>
                  </w:rPr>
                </w:rPrChange>
              </w:rPr>
            </w:pPr>
            <w:r>
              <w:rPr>
                <w:sz w:val="22"/>
                <w:szCs w:val="22"/>
                <w:rPrChange w:id="140" w:author="Author" w:date="2025-08-22T15:12:00Z">
                  <w:rPr>
                    <w:noProof w:val="0"/>
                    <w:sz w:val="22"/>
                    <w:szCs w:val="22"/>
                  </w:rPr>
                </w:rPrChange>
              </w:rPr>
              <w:t>Ukončite liečbu tocilizumabom.</w:t>
            </w:r>
          </w:p>
          <w:p w14:paraId="704E6EA9" w14:textId="77777777" w:rsidR="009700E5" w:rsidRPr="009700E5" w:rsidRDefault="002C033C">
            <w:pPr>
              <w:pStyle w:val="TextTi12"/>
              <w:keepNext/>
              <w:keepLines/>
              <w:jc w:val="left"/>
              <w:rPr>
                <w:sz w:val="22"/>
                <w:szCs w:val="22"/>
                <w:rPrChange w:id="141" w:author="Author" w:date="2025-08-22T15:12:00Z">
                  <w:rPr>
                    <w:noProof w:val="0"/>
                    <w:sz w:val="22"/>
                    <w:szCs w:val="22"/>
                  </w:rPr>
                </w:rPrChange>
              </w:rPr>
            </w:pPr>
            <w:r>
              <w:rPr>
                <w:sz w:val="22"/>
                <w:szCs w:val="22"/>
                <w:rPrChange w:id="142" w:author="Author" w:date="2025-08-22T15:12:00Z">
                  <w:rPr>
                    <w:noProof w:val="0"/>
                    <w:sz w:val="22"/>
                    <w:szCs w:val="22"/>
                  </w:rPr>
                </w:rPrChange>
              </w:rPr>
              <w:t>Rozhodnutie o ukončení liečby u pacientov so sJIA pre laboratórne odchýlky musí byť založené na lekárskom zhodnotení každého individuálneho pacienta.</w:t>
            </w:r>
          </w:p>
        </w:tc>
      </w:tr>
    </w:tbl>
    <w:p w14:paraId="4AC2973A" w14:textId="77777777" w:rsidR="009700E5" w:rsidRDefault="009700E5">
      <w:pPr>
        <w:keepNext/>
        <w:keepLines/>
      </w:pPr>
    </w:p>
    <w:p w14:paraId="26307BB7" w14:textId="77777777" w:rsidR="009700E5" w:rsidRDefault="002C033C">
      <w:pPr>
        <w:keepNext/>
      </w:pPr>
      <w:r>
        <w:t>K dispozícii nie sú dostatočné klinické údaje na posúdenie vplyvu zníženia dávky tocilizumabu u pacientov so sJIA, u ktorých sa vyskytli laboratórne odchýlky.</w:t>
      </w:r>
    </w:p>
    <w:p w14:paraId="2D06E7AF" w14:textId="77777777" w:rsidR="009700E5" w:rsidRDefault="009700E5">
      <w:pPr>
        <w:keepNext/>
      </w:pPr>
    </w:p>
    <w:p w14:paraId="7CF2F3FF" w14:textId="77777777" w:rsidR="009700E5" w:rsidRDefault="002C033C">
      <w:pPr>
        <w:keepNext/>
      </w:pPr>
      <w:r>
        <w:t>Dostupné údaje naznačujú, že klinické zlepšenie je pozorované do 6 týždňov od začatia liečby tocilizumabom. U pacienta, ktorý nevykazuje žiadne zlepšenie v tomto časovom rozpätí, sa musí pokračujúca liečba prehodnotiť.</w:t>
      </w:r>
    </w:p>
    <w:p w14:paraId="0F876C29" w14:textId="77777777" w:rsidR="009700E5" w:rsidRDefault="009700E5"/>
    <w:p w14:paraId="594D115F" w14:textId="77777777" w:rsidR="009700E5" w:rsidRDefault="002C033C">
      <w:pPr>
        <w:keepNext/>
        <w:keepLines/>
        <w:rPr>
          <w:i/>
          <w:iCs/>
        </w:rPr>
      </w:pPr>
      <w:r>
        <w:rPr>
          <w:i/>
          <w:iCs/>
        </w:rPr>
        <w:t>Pacienti s pJIA</w:t>
      </w:r>
    </w:p>
    <w:p w14:paraId="7CA0575A" w14:textId="77777777" w:rsidR="009700E5" w:rsidRDefault="002C033C">
      <w:pPr>
        <w:keepNext/>
        <w:keepLines/>
      </w:pPr>
      <w:r>
        <w:t>Odporúčané dávkovanie pre pacientov starších ako 2 roky je 8 mg/kg raz za 4 týždne u pacientov s telesnou hmotnosťou vyššou alebo rovnou 30 kg alebo 10 mg/kg raz za 4 týždne u pacientov s telesnou hmotnosťou nižšou ako 30 kg. Dávka sa musí vypočítať na základe telesnej hmotnosti pacienta pri každom podaní. Zmena dávky má byť založená iba na konzistentnej zmene telesnej hmotnosti pacienta v čase.</w:t>
      </w:r>
    </w:p>
    <w:p w14:paraId="2E4422D7" w14:textId="77777777" w:rsidR="009700E5" w:rsidRDefault="009700E5"/>
    <w:p w14:paraId="06F9516C" w14:textId="77777777" w:rsidR="009700E5" w:rsidRDefault="002C033C">
      <w:r>
        <w:t>Bezpečnosť a účinnosť intravenózneho tocilizumabu u detí mladších ako 2 roky neboli stanovené. V súčasnosti dostupné údaje sú opísané v častiach 4.8, 5.1 a 5.2, ale neumožňujú uviesť odporúčania na dávkovanie.</w:t>
      </w:r>
    </w:p>
    <w:p w14:paraId="25B5625F" w14:textId="77777777" w:rsidR="009700E5" w:rsidRDefault="009700E5">
      <w:pPr>
        <w:rPr>
          <w:szCs w:val="22"/>
        </w:rPr>
      </w:pPr>
    </w:p>
    <w:p w14:paraId="3A8B8A96" w14:textId="77777777" w:rsidR="009700E5" w:rsidRDefault="002C033C">
      <w:r>
        <w:rPr>
          <w:szCs w:val="22"/>
        </w:rPr>
        <w:t>Prerušenie dávok tocilizumabu kvôli laboratórnym odchýlkam sa odporúča u pacientov s pJIA v tabuľke nižšie. Ak je to vhodné, dávka súčasne podávaného MTX a/alebo iných liekov sa má upraviť alebo podávanie sa má zastaviť a dávkovanie tocilizumabu sa má prerušiť až do zhodnotenia klinického stavu. Pretože je veľa pridružených chorobných stavov pri pJIA, ktoré môžu ovplyvniť laboratórne hodnoty, rozhodnutie o ukončení používania tocilizumabu pre laboratórne odchýlky má byť založené na lekárskom zhodnotení každého individuálneho pacienta.</w:t>
      </w:r>
    </w:p>
    <w:p w14:paraId="16507F8D" w14:textId="77777777" w:rsidR="009700E5" w:rsidRDefault="009700E5"/>
    <w:p w14:paraId="2939FCA5" w14:textId="77777777" w:rsidR="009700E5" w:rsidRDefault="002C033C">
      <w:pPr>
        <w:keepNext/>
        <w:keepLines/>
        <w:ind w:left="567" w:hanging="283"/>
        <w:rPr>
          <w:szCs w:val="22"/>
        </w:rPr>
        <w:pPrChange w:id="143" w:author="Author" w:date="2025-07-18T10:39:00Z">
          <w:pPr>
            <w:keepNext/>
            <w:keepLines/>
            <w:ind w:left="567" w:hanging="567"/>
          </w:pPr>
        </w:pPrChange>
      </w:pPr>
      <w:r>
        <w:rPr>
          <w:szCs w:val="22"/>
        </w:rPr>
        <w:lastRenderedPageBreak/>
        <w:sym w:font="Symbol" w:char="F0B7"/>
      </w:r>
      <w:r>
        <w:tab/>
      </w:r>
      <w:r>
        <w:rPr>
          <w:szCs w:val="22"/>
        </w:rPr>
        <w:t>Odchýlky hodnôt pečeňových enzýmov</w:t>
      </w:r>
    </w:p>
    <w:p w14:paraId="309E172A" w14:textId="77777777" w:rsidR="009700E5" w:rsidRDefault="009700E5">
      <w:pPr>
        <w:keepNext/>
        <w:keepLines/>
        <w:rPr>
          <w:szCs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7009"/>
      </w:tblGrid>
      <w:tr w:rsidR="009700E5" w14:paraId="68A81330" w14:textId="77777777">
        <w:tc>
          <w:tcPr>
            <w:tcW w:w="2092" w:type="dxa"/>
          </w:tcPr>
          <w:p w14:paraId="3BEB7C33" w14:textId="77777777" w:rsidR="009700E5" w:rsidRDefault="002C033C">
            <w:pPr>
              <w:keepNext/>
              <w:keepLines/>
              <w:jc w:val="center"/>
              <w:rPr>
                <w:rFonts w:eastAsia="MS Mincho"/>
                <w:b/>
                <w:szCs w:val="22"/>
              </w:rPr>
            </w:pPr>
            <w:r>
              <w:rPr>
                <w:b/>
                <w:szCs w:val="22"/>
              </w:rPr>
              <w:t>Laboratórna hodnota</w:t>
            </w:r>
          </w:p>
        </w:tc>
        <w:tc>
          <w:tcPr>
            <w:tcW w:w="7121" w:type="dxa"/>
          </w:tcPr>
          <w:p w14:paraId="5408977A" w14:textId="77777777" w:rsidR="009700E5" w:rsidRPr="009700E5" w:rsidRDefault="002C033C">
            <w:pPr>
              <w:pStyle w:val="TextTi12"/>
              <w:keepNext/>
              <w:keepLines/>
              <w:spacing w:after="0"/>
              <w:jc w:val="center"/>
              <w:rPr>
                <w:rFonts w:eastAsia="MS Mincho"/>
                <w:b/>
                <w:sz w:val="22"/>
                <w:szCs w:val="22"/>
                <w:rPrChange w:id="144" w:author="Author" w:date="2025-08-22T15:12:00Z">
                  <w:rPr>
                    <w:rFonts w:eastAsia="MS Mincho"/>
                    <w:b/>
                    <w:noProof w:val="0"/>
                    <w:sz w:val="22"/>
                    <w:szCs w:val="22"/>
                  </w:rPr>
                </w:rPrChange>
              </w:rPr>
            </w:pPr>
            <w:r>
              <w:rPr>
                <w:b/>
                <w:sz w:val="22"/>
                <w:szCs w:val="22"/>
                <w:rPrChange w:id="145" w:author="Author" w:date="2025-08-22T15:12:00Z">
                  <w:rPr>
                    <w:b/>
                    <w:noProof w:val="0"/>
                    <w:sz w:val="22"/>
                    <w:szCs w:val="22"/>
                  </w:rPr>
                </w:rPrChange>
              </w:rPr>
              <w:t>Opatrenie</w:t>
            </w:r>
          </w:p>
        </w:tc>
      </w:tr>
      <w:tr w:rsidR="009700E5" w14:paraId="3F1A4688" w14:textId="77777777">
        <w:tc>
          <w:tcPr>
            <w:tcW w:w="2092" w:type="dxa"/>
          </w:tcPr>
          <w:p w14:paraId="12F4F98C" w14:textId="77777777" w:rsidR="009700E5" w:rsidRPr="009700E5" w:rsidRDefault="002C033C">
            <w:pPr>
              <w:pStyle w:val="TextTi12"/>
              <w:keepNext/>
              <w:keepLines/>
              <w:spacing w:after="0"/>
              <w:jc w:val="left"/>
              <w:rPr>
                <w:rFonts w:eastAsia="MS Mincho"/>
                <w:sz w:val="22"/>
                <w:szCs w:val="22"/>
                <w:rPrChange w:id="146" w:author="Author" w:date="2025-08-22T15:12:00Z">
                  <w:rPr>
                    <w:rFonts w:eastAsia="MS Mincho"/>
                    <w:noProof w:val="0"/>
                    <w:sz w:val="22"/>
                    <w:szCs w:val="22"/>
                  </w:rPr>
                </w:rPrChange>
              </w:rPr>
            </w:pPr>
            <w:r>
              <w:rPr>
                <w:rFonts w:eastAsia="MS Mincho"/>
                <w:sz w:val="22"/>
                <w:szCs w:val="22"/>
              </w:rPr>
              <w:sym w:font="Symbol" w:char="F03E"/>
            </w:r>
            <w:r>
              <w:rPr>
                <w:sz w:val="22"/>
                <w:szCs w:val="22"/>
                <w:rPrChange w:id="147" w:author="Author" w:date="2025-08-22T15:12:00Z">
                  <w:rPr>
                    <w:noProof w:val="0"/>
                    <w:sz w:val="22"/>
                    <w:szCs w:val="22"/>
                  </w:rPr>
                </w:rPrChange>
              </w:rPr>
              <w:t> 1</w:t>
            </w:r>
            <w:r>
              <w:rPr>
                <w:sz w:val="22"/>
                <w:szCs w:val="22"/>
                <w:rPrChange w:id="148" w:author="Author" w:date="2025-08-22T15:12:00Z">
                  <w:rPr>
                    <w:noProof w:val="0"/>
                    <w:sz w:val="22"/>
                    <w:szCs w:val="22"/>
                  </w:rPr>
                </w:rPrChange>
              </w:rPr>
              <w:noBreakHyphen/>
              <w:t> až 3</w:t>
            </w:r>
            <w:r>
              <w:rPr>
                <w:sz w:val="22"/>
                <w:szCs w:val="22"/>
                <w:rPrChange w:id="149" w:author="Author" w:date="2025-08-22T15:12:00Z">
                  <w:rPr>
                    <w:noProof w:val="0"/>
                    <w:sz w:val="22"/>
                    <w:szCs w:val="22"/>
                  </w:rPr>
                </w:rPrChange>
              </w:rPr>
              <w:noBreakHyphen/>
              <w:t>násobok ULN</w:t>
            </w:r>
          </w:p>
        </w:tc>
        <w:tc>
          <w:tcPr>
            <w:tcW w:w="7121" w:type="dxa"/>
          </w:tcPr>
          <w:p w14:paraId="5B1632EB" w14:textId="77777777" w:rsidR="009700E5" w:rsidRDefault="002C033C">
            <w:pPr>
              <w:keepNext/>
              <w:keepLines/>
              <w:rPr>
                <w:szCs w:val="22"/>
              </w:rPr>
            </w:pPr>
            <w:r>
              <w:rPr>
                <w:szCs w:val="22"/>
              </w:rPr>
              <w:t>Úprava dávky súbežne podávaného MTX, ak je to vhodné.</w:t>
            </w:r>
          </w:p>
          <w:p w14:paraId="7DAC5103" w14:textId="77777777" w:rsidR="009700E5" w:rsidRPr="009700E5" w:rsidRDefault="009700E5">
            <w:pPr>
              <w:pStyle w:val="TextTi12"/>
              <w:keepNext/>
              <w:keepLines/>
              <w:spacing w:after="0"/>
              <w:jc w:val="left"/>
              <w:rPr>
                <w:sz w:val="22"/>
                <w:szCs w:val="22"/>
                <w:rPrChange w:id="150" w:author="Author" w:date="2025-08-22T15:12:00Z">
                  <w:rPr>
                    <w:noProof w:val="0"/>
                    <w:sz w:val="22"/>
                    <w:szCs w:val="22"/>
                  </w:rPr>
                </w:rPrChange>
              </w:rPr>
            </w:pPr>
          </w:p>
          <w:p w14:paraId="56ACD2A7" w14:textId="77777777" w:rsidR="009700E5" w:rsidRPr="009700E5" w:rsidRDefault="002C033C">
            <w:pPr>
              <w:pStyle w:val="TextTi12"/>
              <w:keepNext/>
              <w:keepLines/>
              <w:spacing w:after="0"/>
              <w:jc w:val="left"/>
              <w:rPr>
                <w:rFonts w:eastAsia="MS Mincho"/>
                <w:sz w:val="22"/>
                <w:szCs w:val="22"/>
                <w:rPrChange w:id="151" w:author="Author" w:date="2025-08-22T15:12:00Z">
                  <w:rPr>
                    <w:rFonts w:eastAsia="MS Mincho"/>
                    <w:noProof w:val="0"/>
                    <w:sz w:val="22"/>
                    <w:szCs w:val="22"/>
                  </w:rPr>
                </w:rPrChange>
              </w:rPr>
            </w:pPr>
            <w:r>
              <w:rPr>
                <w:sz w:val="22"/>
                <w:szCs w:val="22"/>
                <w:rPrChange w:id="152" w:author="Author" w:date="2025-08-22T15:12:00Z">
                  <w:rPr>
                    <w:noProof w:val="0"/>
                    <w:sz w:val="22"/>
                    <w:szCs w:val="22"/>
                  </w:rPr>
                </w:rPrChange>
              </w:rPr>
              <w:t>Pri pretrvávajúcich vzostupoch v tomto rozpätí, prerušte podávanie tocilizumabu, kým dôjde k normalizácii hodnôt ALT alebo AST.</w:t>
            </w:r>
          </w:p>
        </w:tc>
      </w:tr>
      <w:tr w:rsidR="009700E5" w14:paraId="19D4F069" w14:textId="77777777">
        <w:tc>
          <w:tcPr>
            <w:tcW w:w="2092" w:type="dxa"/>
          </w:tcPr>
          <w:p w14:paraId="6E109E87" w14:textId="77777777" w:rsidR="009700E5" w:rsidRPr="009700E5" w:rsidRDefault="002C033C">
            <w:pPr>
              <w:pStyle w:val="TextTi12"/>
              <w:keepNext/>
              <w:keepLines/>
              <w:spacing w:after="0"/>
              <w:jc w:val="left"/>
              <w:rPr>
                <w:rFonts w:eastAsia="MS Mincho"/>
                <w:sz w:val="22"/>
                <w:szCs w:val="22"/>
                <w:rPrChange w:id="153" w:author="Author" w:date="2025-08-22T15:12:00Z">
                  <w:rPr>
                    <w:rFonts w:eastAsia="MS Mincho"/>
                    <w:noProof w:val="0"/>
                    <w:sz w:val="22"/>
                    <w:szCs w:val="22"/>
                  </w:rPr>
                </w:rPrChange>
              </w:rPr>
            </w:pPr>
            <w:r>
              <w:rPr>
                <w:rFonts w:eastAsia="MS Mincho"/>
                <w:sz w:val="22"/>
                <w:szCs w:val="22"/>
              </w:rPr>
              <w:sym w:font="Symbol" w:char="F03E"/>
            </w:r>
            <w:r>
              <w:rPr>
                <w:rFonts w:eastAsia="MS Mincho"/>
                <w:sz w:val="22"/>
                <w:szCs w:val="22"/>
              </w:rPr>
              <w:t> </w:t>
            </w:r>
            <w:r>
              <w:rPr>
                <w:sz w:val="22"/>
                <w:szCs w:val="22"/>
                <w:rPrChange w:id="154" w:author="Author" w:date="2025-08-22T15:12:00Z">
                  <w:rPr>
                    <w:noProof w:val="0"/>
                    <w:sz w:val="22"/>
                    <w:szCs w:val="22"/>
                  </w:rPr>
                </w:rPrChange>
              </w:rPr>
              <w:t>3</w:t>
            </w:r>
            <w:r>
              <w:rPr>
                <w:sz w:val="22"/>
                <w:szCs w:val="22"/>
                <w:rPrChange w:id="155" w:author="Author" w:date="2025-08-22T15:12:00Z">
                  <w:rPr>
                    <w:noProof w:val="0"/>
                    <w:sz w:val="22"/>
                    <w:szCs w:val="22"/>
                  </w:rPr>
                </w:rPrChange>
              </w:rPr>
              <w:noBreakHyphen/>
              <w:t> až 5</w:t>
            </w:r>
            <w:r>
              <w:rPr>
                <w:sz w:val="22"/>
                <w:szCs w:val="22"/>
                <w:rPrChange w:id="156" w:author="Author" w:date="2025-08-22T15:12:00Z">
                  <w:rPr>
                    <w:noProof w:val="0"/>
                    <w:sz w:val="22"/>
                    <w:szCs w:val="22"/>
                  </w:rPr>
                </w:rPrChange>
              </w:rPr>
              <w:noBreakHyphen/>
              <w:t>násobok ULN</w:t>
            </w:r>
          </w:p>
        </w:tc>
        <w:tc>
          <w:tcPr>
            <w:tcW w:w="7121" w:type="dxa"/>
          </w:tcPr>
          <w:p w14:paraId="0E9E9A0E" w14:textId="77777777" w:rsidR="009700E5" w:rsidRDefault="002C033C">
            <w:pPr>
              <w:keepNext/>
              <w:keepLines/>
              <w:rPr>
                <w:szCs w:val="22"/>
              </w:rPr>
            </w:pPr>
            <w:r>
              <w:rPr>
                <w:szCs w:val="22"/>
              </w:rPr>
              <w:t>Upravte dávku súbežne podávaného MTX, ak je to vhodné.</w:t>
            </w:r>
          </w:p>
          <w:p w14:paraId="7588CC0C" w14:textId="77777777" w:rsidR="009700E5" w:rsidRPr="009700E5" w:rsidRDefault="009700E5">
            <w:pPr>
              <w:pStyle w:val="TextTi12"/>
              <w:keepNext/>
              <w:keepLines/>
              <w:spacing w:after="0"/>
              <w:jc w:val="left"/>
              <w:rPr>
                <w:sz w:val="22"/>
                <w:szCs w:val="22"/>
                <w:rPrChange w:id="157" w:author="Author" w:date="2025-08-22T15:12:00Z">
                  <w:rPr>
                    <w:noProof w:val="0"/>
                    <w:sz w:val="22"/>
                    <w:szCs w:val="22"/>
                  </w:rPr>
                </w:rPrChange>
              </w:rPr>
            </w:pPr>
          </w:p>
          <w:p w14:paraId="1C08D4B5" w14:textId="77777777" w:rsidR="009700E5" w:rsidRPr="009700E5" w:rsidRDefault="002C033C">
            <w:pPr>
              <w:pStyle w:val="TextTi12"/>
              <w:keepNext/>
              <w:keepLines/>
              <w:spacing w:after="0"/>
              <w:jc w:val="left"/>
              <w:rPr>
                <w:rFonts w:eastAsia="MS Mincho"/>
                <w:sz w:val="22"/>
                <w:szCs w:val="22"/>
                <w:rPrChange w:id="158" w:author="Author" w:date="2025-08-22T15:12:00Z">
                  <w:rPr>
                    <w:rFonts w:eastAsia="MS Mincho"/>
                    <w:noProof w:val="0"/>
                    <w:sz w:val="22"/>
                    <w:szCs w:val="22"/>
                  </w:rPr>
                </w:rPrChange>
              </w:rPr>
            </w:pPr>
            <w:r>
              <w:rPr>
                <w:sz w:val="22"/>
                <w:szCs w:val="22"/>
                <w:rPrChange w:id="159" w:author="Author" w:date="2025-08-22T15:12:00Z">
                  <w:rPr>
                    <w:noProof w:val="0"/>
                    <w:sz w:val="22"/>
                    <w:szCs w:val="22"/>
                  </w:rPr>
                </w:rPrChange>
              </w:rPr>
              <w:t xml:space="preserve">Prerušte podávanie tocilizumabu, pokým bude hodnota </w:t>
            </w:r>
            <w:r>
              <w:rPr>
                <w:rFonts w:eastAsia="MS Mincho"/>
                <w:sz w:val="22"/>
                <w:szCs w:val="22"/>
              </w:rPr>
              <w:sym w:font="Symbol" w:char="F03C"/>
            </w:r>
            <w:r>
              <w:rPr>
                <w:sz w:val="22"/>
                <w:szCs w:val="22"/>
                <w:rPrChange w:id="160" w:author="Author" w:date="2025-08-22T15:12:00Z">
                  <w:rPr>
                    <w:noProof w:val="0"/>
                    <w:sz w:val="22"/>
                    <w:szCs w:val="22"/>
                  </w:rPr>
                </w:rPrChange>
              </w:rPr>
              <w:t> 3</w:t>
            </w:r>
            <w:r>
              <w:rPr>
                <w:sz w:val="22"/>
                <w:szCs w:val="22"/>
                <w:rPrChange w:id="161" w:author="Author" w:date="2025-08-22T15:12:00Z">
                  <w:rPr>
                    <w:noProof w:val="0"/>
                    <w:sz w:val="22"/>
                    <w:szCs w:val="22"/>
                  </w:rPr>
                </w:rPrChange>
              </w:rPr>
              <w:noBreakHyphen/>
              <w:t xml:space="preserve">násobok ULN a postupujte podľa vyššie uvedených odporúčaní pre </w:t>
            </w:r>
            <w:r>
              <w:rPr>
                <w:rFonts w:eastAsia="MS Mincho"/>
                <w:sz w:val="22"/>
                <w:szCs w:val="22"/>
              </w:rPr>
              <w:sym w:font="Symbol" w:char="F03E"/>
            </w:r>
            <w:r>
              <w:rPr>
                <w:sz w:val="22"/>
                <w:szCs w:val="22"/>
                <w:rPrChange w:id="162" w:author="Author" w:date="2025-08-22T15:12:00Z">
                  <w:rPr>
                    <w:noProof w:val="0"/>
                    <w:sz w:val="22"/>
                    <w:szCs w:val="22"/>
                  </w:rPr>
                </w:rPrChange>
              </w:rPr>
              <w:t> 1</w:t>
            </w:r>
            <w:r>
              <w:rPr>
                <w:sz w:val="22"/>
                <w:szCs w:val="22"/>
                <w:rPrChange w:id="163" w:author="Author" w:date="2025-08-22T15:12:00Z">
                  <w:rPr>
                    <w:noProof w:val="0"/>
                    <w:sz w:val="22"/>
                    <w:szCs w:val="22"/>
                  </w:rPr>
                </w:rPrChange>
              </w:rPr>
              <w:noBreakHyphen/>
              <w:t> až 3</w:t>
            </w:r>
            <w:r>
              <w:rPr>
                <w:sz w:val="22"/>
                <w:szCs w:val="22"/>
                <w:rPrChange w:id="164" w:author="Author" w:date="2025-08-22T15:12:00Z">
                  <w:rPr>
                    <w:noProof w:val="0"/>
                    <w:sz w:val="22"/>
                    <w:szCs w:val="22"/>
                  </w:rPr>
                </w:rPrChange>
              </w:rPr>
              <w:noBreakHyphen/>
              <w:t>násobok ULN</w:t>
            </w:r>
          </w:p>
        </w:tc>
      </w:tr>
      <w:tr w:rsidR="009700E5" w14:paraId="60C85B30" w14:textId="77777777">
        <w:tc>
          <w:tcPr>
            <w:tcW w:w="2092" w:type="dxa"/>
          </w:tcPr>
          <w:p w14:paraId="191798A8" w14:textId="77777777" w:rsidR="009700E5" w:rsidRPr="009700E5" w:rsidRDefault="002C033C">
            <w:pPr>
              <w:pStyle w:val="TextTi12"/>
              <w:keepNext/>
              <w:keepLines/>
              <w:spacing w:after="0"/>
              <w:jc w:val="left"/>
              <w:rPr>
                <w:rFonts w:eastAsia="MS Mincho"/>
                <w:sz w:val="22"/>
                <w:szCs w:val="22"/>
                <w:rPrChange w:id="165" w:author="Author" w:date="2025-08-22T15:12:00Z">
                  <w:rPr>
                    <w:rFonts w:eastAsia="MS Mincho"/>
                    <w:noProof w:val="0"/>
                    <w:sz w:val="22"/>
                    <w:szCs w:val="22"/>
                  </w:rPr>
                </w:rPrChange>
              </w:rPr>
            </w:pPr>
            <w:r>
              <w:rPr>
                <w:rFonts w:eastAsia="MS Mincho"/>
                <w:sz w:val="22"/>
                <w:szCs w:val="22"/>
              </w:rPr>
              <w:sym w:font="Symbol" w:char="F03E"/>
            </w:r>
            <w:r>
              <w:rPr>
                <w:sz w:val="22"/>
                <w:szCs w:val="22"/>
                <w:rPrChange w:id="166" w:author="Author" w:date="2025-08-22T15:12:00Z">
                  <w:rPr>
                    <w:noProof w:val="0"/>
                    <w:sz w:val="22"/>
                    <w:szCs w:val="22"/>
                  </w:rPr>
                </w:rPrChange>
              </w:rPr>
              <w:t> 5</w:t>
            </w:r>
            <w:r>
              <w:rPr>
                <w:sz w:val="22"/>
                <w:szCs w:val="22"/>
                <w:rPrChange w:id="167" w:author="Author" w:date="2025-08-22T15:12:00Z">
                  <w:rPr>
                    <w:noProof w:val="0"/>
                    <w:sz w:val="22"/>
                    <w:szCs w:val="22"/>
                  </w:rPr>
                </w:rPrChange>
              </w:rPr>
              <w:noBreakHyphen/>
              <w:t>násobok ULN</w:t>
            </w:r>
          </w:p>
        </w:tc>
        <w:tc>
          <w:tcPr>
            <w:tcW w:w="7121" w:type="dxa"/>
          </w:tcPr>
          <w:p w14:paraId="39481476" w14:textId="77777777" w:rsidR="009700E5" w:rsidRPr="009700E5" w:rsidRDefault="002C033C">
            <w:pPr>
              <w:pStyle w:val="TextTi12"/>
              <w:keepNext/>
              <w:keepLines/>
              <w:spacing w:after="0"/>
              <w:jc w:val="left"/>
              <w:rPr>
                <w:sz w:val="22"/>
                <w:szCs w:val="22"/>
                <w:rPrChange w:id="168" w:author="Author" w:date="2025-08-22T15:12:00Z">
                  <w:rPr>
                    <w:noProof w:val="0"/>
                    <w:sz w:val="22"/>
                    <w:szCs w:val="22"/>
                  </w:rPr>
                </w:rPrChange>
              </w:rPr>
            </w:pPr>
            <w:r>
              <w:rPr>
                <w:sz w:val="22"/>
                <w:szCs w:val="22"/>
                <w:rPrChange w:id="169" w:author="Author" w:date="2025-08-22T15:12:00Z">
                  <w:rPr>
                    <w:noProof w:val="0"/>
                    <w:sz w:val="22"/>
                    <w:szCs w:val="22"/>
                  </w:rPr>
                </w:rPrChange>
              </w:rPr>
              <w:t>Ukončite liečbu tocilizumabom.</w:t>
            </w:r>
          </w:p>
          <w:p w14:paraId="1D45CBE2" w14:textId="77777777" w:rsidR="009700E5" w:rsidRPr="009700E5" w:rsidRDefault="009700E5">
            <w:pPr>
              <w:pStyle w:val="TextTi12"/>
              <w:keepNext/>
              <w:keepLines/>
              <w:spacing w:after="0"/>
              <w:jc w:val="left"/>
              <w:rPr>
                <w:sz w:val="22"/>
                <w:szCs w:val="22"/>
                <w:rPrChange w:id="170" w:author="Author" w:date="2025-08-22T15:12:00Z">
                  <w:rPr>
                    <w:noProof w:val="0"/>
                    <w:sz w:val="22"/>
                    <w:szCs w:val="22"/>
                  </w:rPr>
                </w:rPrChange>
              </w:rPr>
            </w:pPr>
          </w:p>
          <w:p w14:paraId="19AB6EDA" w14:textId="77777777" w:rsidR="009700E5" w:rsidRPr="009700E5" w:rsidRDefault="002C033C">
            <w:pPr>
              <w:pStyle w:val="TextTi12"/>
              <w:keepNext/>
              <w:keepLines/>
              <w:spacing w:after="0"/>
              <w:jc w:val="left"/>
              <w:rPr>
                <w:rFonts w:eastAsia="MS Mincho"/>
                <w:sz w:val="22"/>
                <w:szCs w:val="22"/>
                <w:rPrChange w:id="171" w:author="Author" w:date="2025-08-22T15:12:00Z">
                  <w:rPr>
                    <w:rFonts w:eastAsia="MS Mincho"/>
                    <w:noProof w:val="0"/>
                    <w:sz w:val="22"/>
                    <w:szCs w:val="22"/>
                  </w:rPr>
                </w:rPrChange>
              </w:rPr>
            </w:pPr>
            <w:r>
              <w:rPr>
                <w:sz w:val="22"/>
                <w:szCs w:val="22"/>
                <w:rPrChange w:id="172" w:author="Author" w:date="2025-08-22T15:12:00Z">
                  <w:rPr>
                    <w:noProof w:val="0"/>
                    <w:sz w:val="22"/>
                    <w:szCs w:val="22"/>
                  </w:rPr>
                </w:rPrChange>
              </w:rPr>
              <w:t>Rozhodnutie o ukončení liečby u pacientov s pJIA pre laboratórne odchýlky musí byť založené na lekárskom zhodnotení každého individuálneho pacienta.</w:t>
            </w:r>
          </w:p>
        </w:tc>
      </w:tr>
    </w:tbl>
    <w:p w14:paraId="015F30E9" w14:textId="77777777" w:rsidR="009700E5" w:rsidRDefault="009700E5">
      <w:pPr>
        <w:rPr>
          <w:szCs w:val="22"/>
        </w:rPr>
      </w:pPr>
    </w:p>
    <w:p w14:paraId="3BE40069" w14:textId="77777777" w:rsidR="009700E5" w:rsidRDefault="002C033C">
      <w:pPr>
        <w:keepNext/>
        <w:keepLines/>
        <w:ind w:left="567" w:hanging="283"/>
        <w:pPrChange w:id="173" w:author="Author" w:date="2025-07-18T10:39:00Z">
          <w:pPr>
            <w:keepNext/>
            <w:keepLines/>
            <w:ind w:left="567" w:hanging="567"/>
          </w:pPr>
        </w:pPrChange>
      </w:pPr>
      <w:r>
        <w:rPr>
          <w:szCs w:val="22"/>
        </w:rPr>
        <w:sym w:font="Symbol" w:char="F0B7"/>
      </w:r>
      <w:r>
        <w:tab/>
        <w:t>Nízky absolútny počet neutrofilov (ANC)</w:t>
      </w:r>
    </w:p>
    <w:p w14:paraId="34F0849A" w14:textId="77777777" w:rsidR="009700E5" w:rsidRDefault="009700E5">
      <w:pPr>
        <w:rPr>
          <w:szCs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2"/>
        <w:gridCol w:w="7013"/>
      </w:tblGrid>
      <w:tr w:rsidR="009700E5" w14:paraId="2DADA3C1" w14:textId="77777777">
        <w:tc>
          <w:tcPr>
            <w:tcW w:w="2092" w:type="dxa"/>
          </w:tcPr>
          <w:p w14:paraId="0A1BDFB1" w14:textId="77777777" w:rsidR="009700E5" w:rsidRDefault="002C033C">
            <w:pPr>
              <w:keepNext/>
              <w:keepLines/>
              <w:jc w:val="center"/>
              <w:rPr>
                <w:b/>
                <w:szCs w:val="22"/>
              </w:rPr>
            </w:pPr>
            <w:r>
              <w:rPr>
                <w:b/>
                <w:szCs w:val="22"/>
              </w:rPr>
              <w:t>Laboratórna hodnota (bunky </w:t>
            </w:r>
            <w:r>
              <w:rPr>
                <w:rFonts w:eastAsia="MS Mincho"/>
                <w:b/>
                <w:bCs/>
                <w:szCs w:val="22"/>
              </w:rPr>
              <w:sym w:font="Symbol" w:char="F0B4"/>
            </w:r>
            <w:r>
              <w:rPr>
                <w:b/>
                <w:szCs w:val="22"/>
              </w:rPr>
              <w:t> 10</w:t>
            </w:r>
            <w:r>
              <w:rPr>
                <w:b/>
                <w:szCs w:val="22"/>
                <w:vertAlign w:val="superscript"/>
              </w:rPr>
              <w:t>9</w:t>
            </w:r>
            <w:r>
              <w:rPr>
                <w:b/>
                <w:szCs w:val="22"/>
              </w:rPr>
              <w:t>/l)</w:t>
            </w:r>
          </w:p>
        </w:tc>
        <w:tc>
          <w:tcPr>
            <w:tcW w:w="7121" w:type="dxa"/>
          </w:tcPr>
          <w:p w14:paraId="6A61314F" w14:textId="77777777" w:rsidR="009700E5" w:rsidRPr="009700E5" w:rsidRDefault="002C033C">
            <w:pPr>
              <w:pStyle w:val="TextTi12"/>
              <w:keepNext/>
              <w:keepLines/>
              <w:jc w:val="center"/>
              <w:rPr>
                <w:b/>
                <w:sz w:val="22"/>
                <w:szCs w:val="22"/>
                <w:rPrChange w:id="174" w:author="Author" w:date="2025-08-22T15:12:00Z">
                  <w:rPr>
                    <w:b/>
                    <w:noProof w:val="0"/>
                    <w:sz w:val="22"/>
                    <w:szCs w:val="22"/>
                  </w:rPr>
                </w:rPrChange>
              </w:rPr>
            </w:pPr>
            <w:r>
              <w:rPr>
                <w:b/>
                <w:sz w:val="22"/>
                <w:szCs w:val="22"/>
                <w:rPrChange w:id="175" w:author="Author" w:date="2025-08-22T15:12:00Z">
                  <w:rPr>
                    <w:b/>
                    <w:noProof w:val="0"/>
                    <w:sz w:val="22"/>
                    <w:szCs w:val="22"/>
                  </w:rPr>
                </w:rPrChange>
              </w:rPr>
              <w:t>Opatrenie</w:t>
            </w:r>
          </w:p>
        </w:tc>
      </w:tr>
      <w:tr w:rsidR="009700E5" w14:paraId="476A46C8" w14:textId="77777777">
        <w:tc>
          <w:tcPr>
            <w:tcW w:w="2092" w:type="dxa"/>
          </w:tcPr>
          <w:p w14:paraId="796FE6D8" w14:textId="77777777" w:rsidR="009700E5" w:rsidRPr="009700E5" w:rsidRDefault="002C033C">
            <w:pPr>
              <w:pStyle w:val="TextTi12"/>
              <w:jc w:val="left"/>
              <w:rPr>
                <w:sz w:val="22"/>
                <w:szCs w:val="22"/>
                <w:rPrChange w:id="176" w:author="Author" w:date="2025-08-22T15:12:00Z">
                  <w:rPr>
                    <w:noProof w:val="0"/>
                    <w:sz w:val="22"/>
                    <w:szCs w:val="22"/>
                  </w:rPr>
                </w:rPrChange>
              </w:rPr>
            </w:pPr>
            <w:r>
              <w:rPr>
                <w:sz w:val="22"/>
                <w:szCs w:val="22"/>
                <w:rPrChange w:id="177" w:author="Author" w:date="2025-08-22T15:12:00Z">
                  <w:rPr>
                    <w:noProof w:val="0"/>
                    <w:sz w:val="22"/>
                    <w:szCs w:val="22"/>
                  </w:rPr>
                </w:rPrChange>
              </w:rPr>
              <w:t xml:space="preserve">ANC </w:t>
            </w:r>
            <w:r>
              <w:rPr>
                <w:rFonts w:eastAsia="MS Mincho"/>
                <w:sz w:val="22"/>
                <w:szCs w:val="22"/>
              </w:rPr>
              <w:sym w:font="Symbol" w:char="F03E"/>
            </w:r>
            <w:r>
              <w:rPr>
                <w:sz w:val="22"/>
                <w:szCs w:val="22"/>
                <w:rPrChange w:id="178" w:author="Author" w:date="2025-08-22T15:12:00Z">
                  <w:rPr>
                    <w:noProof w:val="0"/>
                    <w:sz w:val="22"/>
                    <w:szCs w:val="22"/>
                  </w:rPr>
                </w:rPrChange>
              </w:rPr>
              <w:t> 1</w:t>
            </w:r>
          </w:p>
        </w:tc>
        <w:tc>
          <w:tcPr>
            <w:tcW w:w="7121" w:type="dxa"/>
          </w:tcPr>
          <w:p w14:paraId="54F7F476" w14:textId="77777777" w:rsidR="009700E5" w:rsidRPr="009700E5" w:rsidRDefault="002C033C">
            <w:pPr>
              <w:pStyle w:val="TextTi12"/>
              <w:spacing w:after="0"/>
              <w:rPr>
                <w:sz w:val="22"/>
                <w:szCs w:val="22"/>
                <w:rPrChange w:id="179" w:author="Author" w:date="2025-08-22T15:12:00Z">
                  <w:rPr>
                    <w:noProof w:val="0"/>
                    <w:sz w:val="22"/>
                    <w:szCs w:val="22"/>
                  </w:rPr>
                </w:rPrChange>
              </w:rPr>
            </w:pPr>
            <w:r>
              <w:rPr>
                <w:sz w:val="22"/>
                <w:szCs w:val="22"/>
                <w:rPrChange w:id="180" w:author="Author" w:date="2025-08-22T15:12:00Z">
                  <w:rPr>
                    <w:noProof w:val="0"/>
                    <w:sz w:val="22"/>
                    <w:szCs w:val="22"/>
                  </w:rPr>
                </w:rPrChange>
              </w:rPr>
              <w:t>Udržiavajte dávku.</w:t>
            </w:r>
          </w:p>
        </w:tc>
      </w:tr>
      <w:tr w:rsidR="009700E5" w14:paraId="36853817" w14:textId="77777777">
        <w:tc>
          <w:tcPr>
            <w:tcW w:w="2092" w:type="dxa"/>
          </w:tcPr>
          <w:p w14:paraId="532A406B" w14:textId="77777777" w:rsidR="009700E5" w:rsidRPr="009700E5" w:rsidRDefault="002C033C">
            <w:pPr>
              <w:pStyle w:val="TextTi12"/>
              <w:jc w:val="left"/>
              <w:rPr>
                <w:sz w:val="22"/>
                <w:szCs w:val="22"/>
                <w:rPrChange w:id="181" w:author="Author" w:date="2025-08-22T15:12:00Z">
                  <w:rPr>
                    <w:noProof w:val="0"/>
                    <w:sz w:val="22"/>
                    <w:szCs w:val="22"/>
                  </w:rPr>
                </w:rPrChange>
              </w:rPr>
            </w:pPr>
            <w:r>
              <w:rPr>
                <w:sz w:val="22"/>
                <w:szCs w:val="22"/>
                <w:rPrChange w:id="182" w:author="Author" w:date="2025-08-22T15:12:00Z">
                  <w:rPr>
                    <w:noProof w:val="0"/>
                    <w:sz w:val="22"/>
                    <w:szCs w:val="22"/>
                  </w:rPr>
                </w:rPrChange>
              </w:rPr>
              <w:t>ANC 0,5 až 1</w:t>
            </w:r>
          </w:p>
        </w:tc>
        <w:tc>
          <w:tcPr>
            <w:tcW w:w="7121" w:type="dxa"/>
          </w:tcPr>
          <w:p w14:paraId="16F639F1" w14:textId="77777777" w:rsidR="009700E5" w:rsidRDefault="002C033C">
            <w:pPr>
              <w:rPr>
                <w:szCs w:val="22"/>
              </w:rPr>
            </w:pPr>
            <w:r>
              <w:rPr>
                <w:szCs w:val="22"/>
              </w:rPr>
              <w:t>Prerušte podávanie tocilizumabu.</w:t>
            </w:r>
          </w:p>
          <w:p w14:paraId="7F1989B2" w14:textId="77777777" w:rsidR="009700E5" w:rsidRDefault="009700E5">
            <w:pPr>
              <w:rPr>
                <w:szCs w:val="22"/>
              </w:rPr>
            </w:pPr>
          </w:p>
          <w:p w14:paraId="11C465E2" w14:textId="77777777" w:rsidR="009700E5" w:rsidRPr="009700E5" w:rsidRDefault="002C033C">
            <w:pPr>
              <w:pStyle w:val="TextTi12"/>
              <w:spacing w:after="0"/>
              <w:jc w:val="left"/>
              <w:rPr>
                <w:sz w:val="22"/>
                <w:szCs w:val="22"/>
                <w:rPrChange w:id="183" w:author="Author" w:date="2025-08-22T15:12:00Z">
                  <w:rPr>
                    <w:noProof w:val="0"/>
                    <w:sz w:val="22"/>
                    <w:szCs w:val="22"/>
                  </w:rPr>
                </w:rPrChange>
              </w:rPr>
            </w:pPr>
            <w:r>
              <w:rPr>
                <w:sz w:val="22"/>
                <w:szCs w:val="22"/>
                <w:rPrChange w:id="184" w:author="Author" w:date="2025-08-22T15:12:00Z">
                  <w:rPr>
                    <w:noProof w:val="0"/>
                    <w:sz w:val="22"/>
                    <w:szCs w:val="22"/>
                  </w:rPr>
                </w:rPrChange>
              </w:rPr>
              <w:t xml:space="preserve">Keď sa ANC zvýši na </w:t>
            </w:r>
            <w:r>
              <w:rPr>
                <w:rFonts w:eastAsia="MS Mincho"/>
                <w:sz w:val="22"/>
                <w:szCs w:val="22"/>
              </w:rPr>
              <w:sym w:font="Symbol" w:char="F03E"/>
            </w:r>
            <w:r>
              <w:rPr>
                <w:sz w:val="22"/>
                <w:szCs w:val="22"/>
                <w:rPrChange w:id="185" w:author="Author" w:date="2025-08-22T15:12:00Z">
                  <w:rPr>
                    <w:noProof w:val="0"/>
                    <w:sz w:val="22"/>
                    <w:szCs w:val="22"/>
                  </w:rPr>
                </w:rPrChange>
              </w:rPr>
              <w:t> 1 </w:t>
            </w:r>
            <w:r>
              <w:rPr>
                <w:rFonts w:eastAsia="MS Mincho"/>
                <w:sz w:val="22"/>
                <w:szCs w:val="22"/>
              </w:rPr>
              <w:sym w:font="Symbol" w:char="F0B4"/>
            </w:r>
            <w:r>
              <w:rPr>
                <w:sz w:val="22"/>
                <w:szCs w:val="22"/>
                <w:rPrChange w:id="186" w:author="Author" w:date="2025-08-22T15:12:00Z">
                  <w:rPr>
                    <w:noProof w:val="0"/>
                    <w:sz w:val="22"/>
                    <w:szCs w:val="22"/>
                  </w:rPr>
                </w:rPrChange>
              </w:rPr>
              <w:t> 10</w:t>
            </w:r>
            <w:r>
              <w:rPr>
                <w:sz w:val="22"/>
                <w:szCs w:val="22"/>
                <w:vertAlign w:val="superscript"/>
                <w:rPrChange w:id="187" w:author="Author" w:date="2025-08-22T15:12:00Z">
                  <w:rPr>
                    <w:noProof w:val="0"/>
                    <w:sz w:val="22"/>
                    <w:szCs w:val="22"/>
                    <w:vertAlign w:val="superscript"/>
                  </w:rPr>
                </w:rPrChange>
              </w:rPr>
              <w:t>9</w:t>
            </w:r>
            <w:r>
              <w:rPr>
                <w:sz w:val="22"/>
                <w:szCs w:val="22"/>
                <w:rPrChange w:id="188" w:author="Author" w:date="2025-08-22T15:12:00Z">
                  <w:rPr>
                    <w:noProof w:val="0"/>
                    <w:sz w:val="22"/>
                    <w:szCs w:val="22"/>
                  </w:rPr>
                </w:rPrChange>
              </w:rPr>
              <w:t>/l, liečbu znovu začnite.</w:t>
            </w:r>
          </w:p>
        </w:tc>
      </w:tr>
      <w:tr w:rsidR="009700E5" w14:paraId="704AB11E" w14:textId="77777777">
        <w:tc>
          <w:tcPr>
            <w:tcW w:w="2092" w:type="dxa"/>
          </w:tcPr>
          <w:p w14:paraId="2FC58B8B" w14:textId="77777777" w:rsidR="009700E5" w:rsidRPr="009700E5" w:rsidRDefault="002C033C">
            <w:pPr>
              <w:pStyle w:val="TextTi12"/>
              <w:jc w:val="left"/>
              <w:rPr>
                <w:sz w:val="22"/>
                <w:szCs w:val="22"/>
                <w:rPrChange w:id="189" w:author="Author" w:date="2025-08-22T15:12:00Z">
                  <w:rPr>
                    <w:noProof w:val="0"/>
                    <w:sz w:val="22"/>
                    <w:szCs w:val="22"/>
                  </w:rPr>
                </w:rPrChange>
              </w:rPr>
            </w:pPr>
            <w:r>
              <w:rPr>
                <w:sz w:val="22"/>
                <w:szCs w:val="22"/>
                <w:rPrChange w:id="190" w:author="Author" w:date="2025-08-22T15:12:00Z">
                  <w:rPr>
                    <w:noProof w:val="0"/>
                    <w:sz w:val="22"/>
                    <w:szCs w:val="22"/>
                  </w:rPr>
                </w:rPrChange>
              </w:rPr>
              <w:t xml:space="preserve">ANC </w:t>
            </w:r>
            <w:r>
              <w:rPr>
                <w:rFonts w:eastAsia="MS Mincho"/>
                <w:sz w:val="22"/>
                <w:szCs w:val="22"/>
              </w:rPr>
              <w:sym w:font="Symbol" w:char="F03C"/>
            </w:r>
            <w:r>
              <w:rPr>
                <w:sz w:val="22"/>
                <w:szCs w:val="22"/>
                <w:rPrChange w:id="191" w:author="Author" w:date="2025-08-22T15:12:00Z">
                  <w:rPr>
                    <w:noProof w:val="0"/>
                    <w:sz w:val="22"/>
                    <w:szCs w:val="22"/>
                  </w:rPr>
                </w:rPrChange>
              </w:rPr>
              <w:t> 0,5</w:t>
            </w:r>
          </w:p>
        </w:tc>
        <w:tc>
          <w:tcPr>
            <w:tcW w:w="7121" w:type="dxa"/>
          </w:tcPr>
          <w:p w14:paraId="48872E62" w14:textId="77777777" w:rsidR="009700E5" w:rsidRPr="009700E5" w:rsidRDefault="002C033C">
            <w:pPr>
              <w:pStyle w:val="TextTi12"/>
              <w:spacing w:after="0"/>
              <w:rPr>
                <w:sz w:val="22"/>
                <w:szCs w:val="22"/>
                <w:rPrChange w:id="192" w:author="Author" w:date="2025-08-22T15:12:00Z">
                  <w:rPr>
                    <w:noProof w:val="0"/>
                    <w:sz w:val="22"/>
                    <w:szCs w:val="22"/>
                  </w:rPr>
                </w:rPrChange>
              </w:rPr>
            </w:pPr>
            <w:r>
              <w:rPr>
                <w:sz w:val="22"/>
                <w:szCs w:val="22"/>
                <w:rPrChange w:id="193" w:author="Author" w:date="2025-08-22T15:12:00Z">
                  <w:rPr>
                    <w:noProof w:val="0"/>
                    <w:sz w:val="22"/>
                    <w:szCs w:val="22"/>
                  </w:rPr>
                </w:rPrChange>
              </w:rPr>
              <w:t>Ukončite liečbu tocilizumabom.</w:t>
            </w:r>
          </w:p>
          <w:p w14:paraId="050B4C1B" w14:textId="77777777" w:rsidR="009700E5" w:rsidRPr="009700E5" w:rsidRDefault="009700E5">
            <w:pPr>
              <w:pStyle w:val="TextTi12"/>
              <w:spacing w:after="0"/>
              <w:rPr>
                <w:sz w:val="22"/>
                <w:szCs w:val="22"/>
                <w:rPrChange w:id="194" w:author="Author" w:date="2025-08-22T15:12:00Z">
                  <w:rPr>
                    <w:noProof w:val="0"/>
                    <w:sz w:val="22"/>
                    <w:szCs w:val="22"/>
                  </w:rPr>
                </w:rPrChange>
              </w:rPr>
            </w:pPr>
          </w:p>
          <w:p w14:paraId="1D736DDE" w14:textId="77777777" w:rsidR="009700E5" w:rsidRPr="009700E5" w:rsidRDefault="002C033C">
            <w:pPr>
              <w:pStyle w:val="TextTi12"/>
              <w:spacing w:after="0"/>
              <w:jc w:val="left"/>
              <w:rPr>
                <w:sz w:val="22"/>
                <w:szCs w:val="22"/>
                <w:rPrChange w:id="195" w:author="Author" w:date="2025-08-22T15:12:00Z">
                  <w:rPr>
                    <w:noProof w:val="0"/>
                    <w:sz w:val="22"/>
                    <w:szCs w:val="22"/>
                  </w:rPr>
                </w:rPrChange>
              </w:rPr>
            </w:pPr>
            <w:r>
              <w:rPr>
                <w:sz w:val="22"/>
                <w:szCs w:val="22"/>
                <w:rPrChange w:id="196" w:author="Author" w:date="2025-08-22T15:12:00Z">
                  <w:rPr>
                    <w:noProof w:val="0"/>
                    <w:sz w:val="22"/>
                    <w:szCs w:val="22"/>
                  </w:rPr>
                </w:rPrChange>
              </w:rPr>
              <w:t>Rozhodnutie o ukončení liečby</w:t>
            </w:r>
            <w:r>
              <w:rPr>
                <w:rPrChange w:id="197" w:author="Author" w:date="2025-08-22T15:12:00Z">
                  <w:rPr>
                    <w:noProof w:val="0"/>
                  </w:rPr>
                </w:rPrChange>
              </w:rPr>
              <w:t xml:space="preserve"> u pacientov s</w:t>
            </w:r>
            <w:r>
              <w:rPr>
                <w:sz w:val="22"/>
                <w:szCs w:val="22"/>
                <w:rPrChange w:id="198" w:author="Author" w:date="2025-08-22T15:12:00Z">
                  <w:rPr>
                    <w:noProof w:val="0"/>
                    <w:sz w:val="22"/>
                    <w:szCs w:val="22"/>
                  </w:rPr>
                </w:rPrChange>
              </w:rPr>
              <w:t xml:space="preserve"> pJIA pre laboratórne odchýlky musí byť založené na lekárskom zhodnotení každého individuálneho pacienta.</w:t>
            </w:r>
          </w:p>
        </w:tc>
      </w:tr>
    </w:tbl>
    <w:p w14:paraId="7C79B312" w14:textId="77777777" w:rsidR="009700E5" w:rsidRDefault="009700E5">
      <w:pPr>
        <w:rPr>
          <w:szCs w:val="22"/>
        </w:rPr>
      </w:pPr>
    </w:p>
    <w:p w14:paraId="63D7BE63" w14:textId="77777777" w:rsidR="009700E5" w:rsidRDefault="002C033C">
      <w:pPr>
        <w:keepNext/>
        <w:keepLines/>
        <w:ind w:left="567" w:hanging="283"/>
        <w:rPr>
          <w:szCs w:val="22"/>
        </w:rPr>
        <w:pPrChange w:id="199" w:author="Author" w:date="2025-07-18T10:39:00Z">
          <w:pPr>
            <w:keepNext/>
            <w:keepLines/>
            <w:ind w:left="567" w:hanging="567"/>
          </w:pPr>
        </w:pPrChange>
      </w:pPr>
      <w:r>
        <w:rPr>
          <w:szCs w:val="22"/>
        </w:rPr>
        <w:sym w:font="Symbol" w:char="F0B7"/>
      </w:r>
      <w:r>
        <w:tab/>
      </w:r>
      <w:r>
        <w:rPr>
          <w:szCs w:val="22"/>
        </w:rPr>
        <w:t xml:space="preserve">Nízky počet trombocytov </w:t>
      </w:r>
    </w:p>
    <w:p w14:paraId="66AFB7C0" w14:textId="77777777" w:rsidR="009700E5" w:rsidRDefault="009700E5">
      <w:pPr>
        <w:keepNext/>
        <w:keepLines/>
        <w:rPr>
          <w:szCs w:val="22"/>
        </w:rPr>
      </w:pPr>
    </w:p>
    <w:tbl>
      <w:tblPr>
        <w:tblW w:w="92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2"/>
        <w:gridCol w:w="7121"/>
      </w:tblGrid>
      <w:tr w:rsidR="009700E5" w14:paraId="742EDDF8" w14:textId="77777777">
        <w:tc>
          <w:tcPr>
            <w:tcW w:w="2092" w:type="dxa"/>
          </w:tcPr>
          <w:p w14:paraId="7E292E24" w14:textId="77777777" w:rsidR="009700E5" w:rsidRDefault="002C033C">
            <w:pPr>
              <w:keepNext/>
              <w:keepLines/>
              <w:jc w:val="center"/>
              <w:rPr>
                <w:b/>
                <w:szCs w:val="22"/>
              </w:rPr>
            </w:pPr>
            <w:r>
              <w:rPr>
                <w:b/>
                <w:szCs w:val="22"/>
              </w:rPr>
              <w:t>Laboratórna hodnota (bunky </w:t>
            </w:r>
            <w:r>
              <w:rPr>
                <w:rFonts w:eastAsia="MS Mincho"/>
                <w:b/>
                <w:bCs/>
                <w:szCs w:val="22"/>
              </w:rPr>
              <w:sym w:font="Symbol" w:char="F0B4"/>
            </w:r>
            <w:r>
              <w:rPr>
                <w:rFonts w:eastAsia="MS Mincho"/>
                <w:b/>
                <w:bCs/>
                <w:szCs w:val="22"/>
              </w:rPr>
              <w:t> </w:t>
            </w:r>
            <w:r>
              <w:rPr>
                <w:b/>
                <w:szCs w:val="22"/>
              </w:rPr>
              <w:t>10</w:t>
            </w:r>
            <w:r>
              <w:rPr>
                <w:b/>
                <w:szCs w:val="22"/>
                <w:vertAlign w:val="superscript"/>
              </w:rPr>
              <w:t>3</w:t>
            </w:r>
            <w:r>
              <w:rPr>
                <w:b/>
                <w:szCs w:val="22"/>
              </w:rPr>
              <w:t>/</w:t>
            </w:r>
            <w:r>
              <w:rPr>
                <w:rFonts w:eastAsia="MS Mincho"/>
                <w:b/>
                <w:bCs/>
                <w:szCs w:val="22"/>
              </w:rPr>
              <w:sym w:font="Symbol" w:char="F06D"/>
            </w:r>
            <w:r>
              <w:rPr>
                <w:b/>
                <w:szCs w:val="22"/>
              </w:rPr>
              <w:t>l)</w:t>
            </w:r>
          </w:p>
        </w:tc>
        <w:tc>
          <w:tcPr>
            <w:tcW w:w="7121" w:type="dxa"/>
          </w:tcPr>
          <w:p w14:paraId="0CDC22C7" w14:textId="77777777" w:rsidR="009700E5" w:rsidRPr="009700E5" w:rsidRDefault="002C033C">
            <w:pPr>
              <w:pStyle w:val="TextTi12"/>
              <w:keepNext/>
              <w:keepLines/>
              <w:jc w:val="center"/>
              <w:rPr>
                <w:b/>
                <w:sz w:val="22"/>
                <w:szCs w:val="22"/>
                <w:rPrChange w:id="200" w:author="Author" w:date="2025-08-22T15:12:00Z">
                  <w:rPr>
                    <w:b/>
                    <w:noProof w:val="0"/>
                    <w:sz w:val="22"/>
                    <w:szCs w:val="22"/>
                  </w:rPr>
                </w:rPrChange>
              </w:rPr>
            </w:pPr>
            <w:r>
              <w:rPr>
                <w:b/>
                <w:sz w:val="22"/>
                <w:szCs w:val="22"/>
                <w:rPrChange w:id="201" w:author="Author" w:date="2025-08-22T15:12:00Z">
                  <w:rPr>
                    <w:b/>
                    <w:noProof w:val="0"/>
                    <w:sz w:val="22"/>
                    <w:szCs w:val="22"/>
                  </w:rPr>
                </w:rPrChange>
              </w:rPr>
              <w:t>Opatrenie</w:t>
            </w:r>
          </w:p>
        </w:tc>
      </w:tr>
      <w:tr w:rsidR="009700E5" w14:paraId="4FAAA339" w14:textId="77777777">
        <w:tc>
          <w:tcPr>
            <w:tcW w:w="2092" w:type="dxa"/>
          </w:tcPr>
          <w:p w14:paraId="45065D58" w14:textId="77777777" w:rsidR="009700E5" w:rsidRPr="009700E5" w:rsidRDefault="002C033C">
            <w:pPr>
              <w:pStyle w:val="TextTi12"/>
              <w:keepNext/>
              <w:keepLines/>
              <w:jc w:val="left"/>
              <w:rPr>
                <w:sz w:val="22"/>
                <w:szCs w:val="22"/>
                <w:rPrChange w:id="202" w:author="Author" w:date="2025-08-22T15:12:00Z">
                  <w:rPr>
                    <w:noProof w:val="0"/>
                    <w:sz w:val="22"/>
                    <w:szCs w:val="22"/>
                  </w:rPr>
                </w:rPrChange>
              </w:rPr>
            </w:pPr>
            <w:r>
              <w:rPr>
                <w:sz w:val="22"/>
                <w:szCs w:val="22"/>
                <w:rPrChange w:id="203" w:author="Author" w:date="2025-08-22T15:12:00Z">
                  <w:rPr>
                    <w:noProof w:val="0"/>
                    <w:sz w:val="22"/>
                    <w:szCs w:val="22"/>
                  </w:rPr>
                </w:rPrChange>
              </w:rPr>
              <w:t>50 až 100</w:t>
            </w:r>
          </w:p>
        </w:tc>
        <w:tc>
          <w:tcPr>
            <w:tcW w:w="7121" w:type="dxa"/>
          </w:tcPr>
          <w:p w14:paraId="2037C253" w14:textId="77777777" w:rsidR="009700E5" w:rsidRDefault="002C033C">
            <w:pPr>
              <w:keepNext/>
              <w:keepLines/>
              <w:rPr>
                <w:szCs w:val="22"/>
              </w:rPr>
            </w:pPr>
            <w:r>
              <w:rPr>
                <w:szCs w:val="22"/>
              </w:rPr>
              <w:t>Úprava dávky súbežne podávaného MTX, ak je to vhodné.</w:t>
            </w:r>
          </w:p>
          <w:p w14:paraId="1626BD53" w14:textId="77777777" w:rsidR="009700E5" w:rsidRDefault="009700E5">
            <w:pPr>
              <w:keepNext/>
              <w:keepLines/>
              <w:rPr>
                <w:szCs w:val="22"/>
              </w:rPr>
            </w:pPr>
          </w:p>
          <w:p w14:paraId="6739E474" w14:textId="77777777" w:rsidR="009700E5" w:rsidRDefault="002C033C">
            <w:pPr>
              <w:keepNext/>
              <w:keepLines/>
              <w:rPr>
                <w:szCs w:val="22"/>
              </w:rPr>
            </w:pPr>
            <w:r>
              <w:rPr>
                <w:szCs w:val="22"/>
              </w:rPr>
              <w:t>Prerušte podávanie tocilizumabu.</w:t>
            </w:r>
          </w:p>
          <w:p w14:paraId="32FE2509" w14:textId="77777777" w:rsidR="009700E5" w:rsidRPr="009700E5" w:rsidRDefault="009700E5">
            <w:pPr>
              <w:pStyle w:val="TextTi12"/>
              <w:keepNext/>
              <w:keepLines/>
              <w:spacing w:after="0"/>
              <w:jc w:val="left"/>
              <w:rPr>
                <w:sz w:val="22"/>
                <w:szCs w:val="22"/>
                <w:rPrChange w:id="204" w:author="Author" w:date="2025-08-22T15:12:00Z">
                  <w:rPr>
                    <w:noProof w:val="0"/>
                    <w:sz w:val="22"/>
                    <w:szCs w:val="22"/>
                  </w:rPr>
                </w:rPrChange>
              </w:rPr>
            </w:pPr>
          </w:p>
          <w:p w14:paraId="5ADF9D83" w14:textId="77777777" w:rsidR="009700E5" w:rsidRPr="009700E5" w:rsidRDefault="002C033C">
            <w:pPr>
              <w:pStyle w:val="TextTi12"/>
              <w:keepNext/>
              <w:keepLines/>
              <w:spacing w:after="0"/>
              <w:jc w:val="left"/>
              <w:rPr>
                <w:sz w:val="22"/>
                <w:szCs w:val="22"/>
                <w:rPrChange w:id="205" w:author="Author" w:date="2025-08-22T15:12:00Z">
                  <w:rPr>
                    <w:noProof w:val="0"/>
                    <w:sz w:val="22"/>
                    <w:szCs w:val="22"/>
                  </w:rPr>
                </w:rPrChange>
              </w:rPr>
            </w:pPr>
            <w:r>
              <w:rPr>
                <w:sz w:val="22"/>
                <w:szCs w:val="22"/>
                <w:rPrChange w:id="206" w:author="Author" w:date="2025-08-22T15:12:00Z">
                  <w:rPr>
                    <w:noProof w:val="0"/>
                    <w:sz w:val="22"/>
                    <w:szCs w:val="22"/>
                  </w:rPr>
                </w:rPrChange>
              </w:rPr>
              <w:t xml:space="preserve">Keď bude počet trombocytov </w:t>
            </w:r>
            <w:r>
              <w:rPr>
                <w:rFonts w:eastAsia="MS Mincho"/>
                <w:sz w:val="22"/>
                <w:szCs w:val="22"/>
              </w:rPr>
              <w:sym w:font="Symbol" w:char="F03E"/>
            </w:r>
            <w:r>
              <w:rPr>
                <w:sz w:val="22"/>
                <w:szCs w:val="22"/>
                <w:rPrChange w:id="207" w:author="Author" w:date="2025-08-22T15:12:00Z">
                  <w:rPr>
                    <w:noProof w:val="0"/>
                    <w:sz w:val="22"/>
                    <w:szCs w:val="22"/>
                  </w:rPr>
                </w:rPrChange>
              </w:rPr>
              <w:t> 100 </w:t>
            </w:r>
            <w:r>
              <w:rPr>
                <w:rFonts w:eastAsia="MS Mincho"/>
                <w:sz w:val="22"/>
                <w:szCs w:val="22"/>
              </w:rPr>
              <w:sym w:font="Symbol" w:char="F0B4"/>
            </w:r>
            <w:r>
              <w:rPr>
                <w:sz w:val="22"/>
                <w:szCs w:val="22"/>
                <w:rPrChange w:id="208" w:author="Author" w:date="2025-08-22T15:12:00Z">
                  <w:rPr>
                    <w:noProof w:val="0"/>
                    <w:sz w:val="22"/>
                    <w:szCs w:val="22"/>
                  </w:rPr>
                </w:rPrChange>
              </w:rPr>
              <w:t> 10</w:t>
            </w:r>
            <w:r>
              <w:rPr>
                <w:sz w:val="22"/>
                <w:szCs w:val="22"/>
                <w:vertAlign w:val="superscript"/>
                <w:rPrChange w:id="209" w:author="Author" w:date="2025-08-22T15:12:00Z">
                  <w:rPr>
                    <w:noProof w:val="0"/>
                    <w:sz w:val="22"/>
                    <w:szCs w:val="22"/>
                    <w:vertAlign w:val="superscript"/>
                  </w:rPr>
                </w:rPrChange>
              </w:rPr>
              <w:t>3</w:t>
            </w:r>
            <w:r>
              <w:rPr>
                <w:sz w:val="22"/>
                <w:szCs w:val="22"/>
                <w:rPrChange w:id="210" w:author="Author" w:date="2025-08-22T15:12:00Z">
                  <w:rPr>
                    <w:noProof w:val="0"/>
                    <w:sz w:val="22"/>
                    <w:szCs w:val="22"/>
                  </w:rPr>
                </w:rPrChange>
              </w:rPr>
              <w:t>/</w:t>
            </w:r>
            <w:r>
              <w:rPr>
                <w:rFonts w:eastAsia="MS Mincho"/>
                <w:szCs w:val="22"/>
              </w:rPr>
              <w:sym w:font="Symbol" w:char="F06D"/>
            </w:r>
            <w:r>
              <w:rPr>
                <w:sz w:val="22"/>
                <w:szCs w:val="22"/>
                <w:rPrChange w:id="211" w:author="Author" w:date="2025-08-22T15:12:00Z">
                  <w:rPr>
                    <w:noProof w:val="0"/>
                    <w:sz w:val="22"/>
                    <w:szCs w:val="22"/>
                  </w:rPr>
                </w:rPrChange>
              </w:rPr>
              <w:t>l, liečbu znovu začnite.</w:t>
            </w:r>
          </w:p>
        </w:tc>
      </w:tr>
      <w:tr w:rsidR="009700E5" w14:paraId="046AC164" w14:textId="77777777">
        <w:tc>
          <w:tcPr>
            <w:tcW w:w="2092" w:type="dxa"/>
          </w:tcPr>
          <w:p w14:paraId="6044AC7A" w14:textId="77777777" w:rsidR="009700E5" w:rsidRPr="009700E5" w:rsidRDefault="002C033C">
            <w:pPr>
              <w:pStyle w:val="TextTi12"/>
              <w:keepNext/>
              <w:keepLines/>
              <w:jc w:val="left"/>
              <w:rPr>
                <w:sz w:val="22"/>
                <w:szCs w:val="22"/>
                <w:rPrChange w:id="212" w:author="Author" w:date="2025-08-22T15:12:00Z">
                  <w:rPr>
                    <w:noProof w:val="0"/>
                    <w:sz w:val="22"/>
                    <w:szCs w:val="22"/>
                  </w:rPr>
                </w:rPrChange>
              </w:rPr>
            </w:pPr>
            <w:r>
              <w:rPr>
                <w:rFonts w:eastAsia="MS Mincho"/>
                <w:sz w:val="22"/>
                <w:szCs w:val="22"/>
              </w:rPr>
              <w:sym w:font="Symbol" w:char="F03C"/>
            </w:r>
            <w:r>
              <w:rPr>
                <w:sz w:val="22"/>
                <w:szCs w:val="22"/>
                <w:rPrChange w:id="213" w:author="Author" w:date="2025-08-22T15:12:00Z">
                  <w:rPr>
                    <w:noProof w:val="0"/>
                    <w:sz w:val="22"/>
                    <w:szCs w:val="22"/>
                  </w:rPr>
                </w:rPrChange>
              </w:rPr>
              <w:t> 50</w:t>
            </w:r>
          </w:p>
        </w:tc>
        <w:tc>
          <w:tcPr>
            <w:tcW w:w="7121" w:type="dxa"/>
          </w:tcPr>
          <w:p w14:paraId="4599BE4E" w14:textId="77777777" w:rsidR="009700E5" w:rsidRPr="009700E5" w:rsidRDefault="002C033C">
            <w:pPr>
              <w:pStyle w:val="TextTi12"/>
              <w:keepNext/>
              <w:keepLines/>
              <w:spacing w:after="0"/>
              <w:jc w:val="left"/>
              <w:rPr>
                <w:sz w:val="22"/>
                <w:szCs w:val="22"/>
                <w:rPrChange w:id="214" w:author="Author" w:date="2025-08-22T15:12:00Z">
                  <w:rPr>
                    <w:noProof w:val="0"/>
                    <w:sz w:val="22"/>
                    <w:szCs w:val="22"/>
                  </w:rPr>
                </w:rPrChange>
              </w:rPr>
            </w:pPr>
            <w:r>
              <w:rPr>
                <w:sz w:val="22"/>
                <w:szCs w:val="22"/>
                <w:rPrChange w:id="215" w:author="Author" w:date="2025-08-22T15:12:00Z">
                  <w:rPr>
                    <w:noProof w:val="0"/>
                    <w:sz w:val="22"/>
                    <w:szCs w:val="22"/>
                  </w:rPr>
                </w:rPrChange>
              </w:rPr>
              <w:t>Ukončite liečbu tocilizumabom.</w:t>
            </w:r>
          </w:p>
          <w:p w14:paraId="36268516" w14:textId="77777777" w:rsidR="009700E5" w:rsidRPr="009700E5" w:rsidRDefault="009700E5">
            <w:pPr>
              <w:pStyle w:val="TextTi12"/>
              <w:keepNext/>
              <w:keepLines/>
              <w:spacing w:after="0"/>
              <w:jc w:val="left"/>
              <w:rPr>
                <w:sz w:val="22"/>
                <w:szCs w:val="22"/>
                <w:rPrChange w:id="216" w:author="Author" w:date="2025-08-22T15:12:00Z">
                  <w:rPr>
                    <w:noProof w:val="0"/>
                    <w:sz w:val="22"/>
                    <w:szCs w:val="22"/>
                  </w:rPr>
                </w:rPrChange>
              </w:rPr>
            </w:pPr>
          </w:p>
          <w:p w14:paraId="7ECC7328" w14:textId="77777777" w:rsidR="009700E5" w:rsidRPr="009700E5" w:rsidRDefault="002C033C">
            <w:pPr>
              <w:pStyle w:val="TextTi12"/>
              <w:keepNext/>
              <w:keepLines/>
              <w:spacing w:after="0"/>
              <w:jc w:val="left"/>
              <w:rPr>
                <w:sz w:val="22"/>
                <w:szCs w:val="22"/>
                <w:rPrChange w:id="217" w:author="Author" w:date="2025-08-22T15:12:00Z">
                  <w:rPr>
                    <w:noProof w:val="0"/>
                    <w:sz w:val="22"/>
                    <w:szCs w:val="22"/>
                  </w:rPr>
                </w:rPrChange>
              </w:rPr>
            </w:pPr>
            <w:r>
              <w:rPr>
                <w:sz w:val="22"/>
                <w:szCs w:val="22"/>
                <w:rPrChange w:id="218" w:author="Author" w:date="2025-08-22T15:12:00Z">
                  <w:rPr>
                    <w:noProof w:val="0"/>
                    <w:sz w:val="22"/>
                    <w:szCs w:val="22"/>
                  </w:rPr>
                </w:rPrChange>
              </w:rPr>
              <w:t xml:space="preserve">Rozhodnutie o ukončení liečby </w:t>
            </w:r>
            <w:r>
              <w:rPr>
                <w:rPrChange w:id="219" w:author="Author" w:date="2025-08-22T15:12:00Z">
                  <w:rPr>
                    <w:noProof w:val="0"/>
                  </w:rPr>
                </w:rPrChange>
              </w:rPr>
              <w:t>u pacientov s</w:t>
            </w:r>
            <w:r>
              <w:rPr>
                <w:sz w:val="22"/>
                <w:szCs w:val="22"/>
                <w:rPrChange w:id="220" w:author="Author" w:date="2025-08-22T15:12:00Z">
                  <w:rPr>
                    <w:noProof w:val="0"/>
                    <w:sz w:val="22"/>
                    <w:szCs w:val="22"/>
                  </w:rPr>
                </w:rPrChange>
              </w:rPr>
              <w:t xml:space="preserve"> pJIA pre laboratórne odchýlky musí byť založené na lekárskom zhodnotení každého individuálneho pacienta.</w:t>
            </w:r>
          </w:p>
        </w:tc>
      </w:tr>
    </w:tbl>
    <w:p w14:paraId="0E89D68C" w14:textId="77777777" w:rsidR="009700E5" w:rsidRDefault="009700E5"/>
    <w:p w14:paraId="58F87BB2" w14:textId="77777777" w:rsidR="009700E5" w:rsidRDefault="002C033C">
      <w:pPr>
        <w:keepNext/>
      </w:pPr>
      <w:r>
        <w:lastRenderedPageBreak/>
        <w:t>Zníženie dávky tocilizumabu kvôli laboratórnym odchýlkam sa u pacientov s pJIA neskúmalo.</w:t>
      </w:r>
    </w:p>
    <w:p w14:paraId="4FAE3667" w14:textId="77777777" w:rsidR="009700E5" w:rsidRDefault="009700E5">
      <w:pPr>
        <w:keepNext/>
      </w:pPr>
    </w:p>
    <w:p w14:paraId="6969E5FB" w14:textId="77777777" w:rsidR="009700E5" w:rsidRDefault="002C033C">
      <w:pPr>
        <w:keepNext/>
      </w:pPr>
      <w:r>
        <w:t>Dostupné údaje naznačujú, že klinické zlepšenie je pozorované v priebehu 12 týždňov od začatia liečby tocilizumabom. U pacienta, ktorý nevykazuje žiadne zlepšenie v tomto časovom rozpätí, sa musí pokračujúca liečba starostlivo prehodnotiť.</w:t>
      </w:r>
    </w:p>
    <w:p w14:paraId="1EA8C2D9" w14:textId="77777777" w:rsidR="009700E5" w:rsidRDefault="009700E5"/>
    <w:p w14:paraId="4B47D18D" w14:textId="77777777" w:rsidR="009700E5" w:rsidRPr="009700E5" w:rsidRDefault="002C033C">
      <w:pPr>
        <w:pStyle w:val="Heading5"/>
        <w:rPr>
          <w:i/>
          <w:u w:val="single"/>
          <w:rPrChange w:id="221" w:author="Author" w:date="2025-08-22T15:12:00Z">
            <w:rPr>
              <w:i/>
              <w:noProof w:val="0"/>
              <w:u w:val="single"/>
            </w:rPr>
          </w:rPrChange>
        </w:rPr>
      </w:pPr>
      <w:r>
        <w:rPr>
          <w:szCs w:val="22"/>
          <w:u w:val="single"/>
        </w:rPr>
        <w:t>CRS</w:t>
      </w:r>
    </w:p>
    <w:p w14:paraId="1D3EFC72" w14:textId="77777777" w:rsidR="009700E5" w:rsidRDefault="002C033C">
      <w:r>
        <w:rPr>
          <w:szCs w:val="22"/>
        </w:rPr>
        <w:t xml:space="preserve">Tocilizumab sa môže používať u pediatrických pacientov (vo veku 2 rokov a starších) v rovnakom dávkovaní ako u dospelých s CRS. Pozri časť 4.2 Dávkovanie a spôsob podávania, podčasť </w:t>
      </w:r>
      <w:r>
        <w:t>Syndróm uvoľnenia cytokínov (CRS) (dospelí a pediatrickí pacienti)</w:t>
      </w:r>
    </w:p>
    <w:p w14:paraId="14675C50" w14:textId="77777777" w:rsidR="009700E5" w:rsidRDefault="009700E5"/>
    <w:p w14:paraId="5C4D13B2" w14:textId="77777777" w:rsidR="009700E5" w:rsidRDefault="002C033C">
      <w:pPr>
        <w:rPr>
          <w:rFonts w:eastAsia="SimSun"/>
          <w:szCs w:val="22"/>
          <w:u w:val="single"/>
          <w:lang w:eastAsia="zh-CN"/>
        </w:rPr>
      </w:pPr>
      <w:r>
        <w:rPr>
          <w:rFonts w:eastAsia="SimSun"/>
          <w:szCs w:val="22"/>
          <w:u w:val="single"/>
          <w:lang w:eastAsia="zh-CN"/>
        </w:rPr>
        <w:t>Spôsob podávania</w:t>
      </w:r>
    </w:p>
    <w:p w14:paraId="13F97B11" w14:textId="77777777" w:rsidR="009700E5" w:rsidRDefault="002C033C">
      <w:pPr>
        <w:rPr>
          <w:rFonts w:eastAsia="SimSun"/>
          <w:szCs w:val="22"/>
          <w:lang w:eastAsia="zh-CN"/>
        </w:rPr>
      </w:pPr>
      <w:r>
        <w:rPr>
          <w:rFonts w:eastAsia="SimSun"/>
          <w:szCs w:val="22"/>
          <w:lang w:eastAsia="zh-CN"/>
        </w:rPr>
        <w:t xml:space="preserve">Po zriedení sa má tento liek podávať </w:t>
      </w:r>
      <w:r>
        <w:t xml:space="preserve">intravenóznou infúziou trvajúcou 1 hodinu. </w:t>
      </w:r>
      <w:r>
        <w:rPr>
          <w:rFonts w:eastAsia="SimSun"/>
          <w:szCs w:val="22"/>
          <w:lang w:eastAsia="zh-CN"/>
        </w:rPr>
        <w:t>Ak sa vyskytnú prejavy a príznaky reakcie súvisiace s infúziou, podávanie infúzie je potrebné spomaliť alebo zastaviť a ihneď sa musí podať vhodný liek/podporná liečba (pozri časť 4.4).</w:t>
      </w:r>
    </w:p>
    <w:p w14:paraId="64F30820" w14:textId="77777777" w:rsidR="009700E5" w:rsidRDefault="009700E5">
      <w:pPr>
        <w:rPr>
          <w:rFonts w:eastAsia="SimSun"/>
          <w:szCs w:val="22"/>
          <w:lang w:eastAsia="zh-CN"/>
        </w:rPr>
      </w:pPr>
    </w:p>
    <w:p w14:paraId="5A8BA25E" w14:textId="77777777" w:rsidR="009700E5" w:rsidRDefault="002C033C">
      <w:pPr>
        <w:rPr>
          <w:rFonts w:eastAsia="SimSun"/>
          <w:i/>
          <w:iCs/>
          <w:szCs w:val="22"/>
          <w:lang w:eastAsia="zh-CN"/>
        </w:rPr>
      </w:pPr>
      <w:r>
        <w:rPr>
          <w:rFonts w:eastAsia="SimSun"/>
          <w:i/>
          <w:iCs/>
          <w:szCs w:val="22"/>
          <w:lang w:eastAsia="zh-CN"/>
        </w:rPr>
        <w:t>Pacienti s RA, sJIA, pJIA,CRS a</w:t>
      </w:r>
      <w:r>
        <w:rPr>
          <w:i/>
          <w:iCs/>
          <w:szCs w:val="22"/>
        </w:rPr>
        <w:t xml:space="preserve"> COVID</w:t>
      </w:r>
      <w:r>
        <w:rPr>
          <w:i/>
          <w:iCs/>
          <w:szCs w:val="22"/>
        </w:rPr>
        <w:noBreakHyphen/>
        <w:t>19</w:t>
      </w:r>
      <w:r>
        <w:rPr>
          <w:rFonts w:eastAsia="SimSun"/>
          <w:i/>
          <w:iCs/>
          <w:szCs w:val="22"/>
          <w:lang w:eastAsia="zh-CN"/>
        </w:rPr>
        <w:t xml:space="preserve"> </w:t>
      </w:r>
      <w:r>
        <w:t>≥</w:t>
      </w:r>
      <w:r>
        <w:rPr>
          <w:i/>
          <w:iCs/>
        </w:rPr>
        <w:t> 30 kg</w:t>
      </w:r>
    </w:p>
    <w:p w14:paraId="39E0DBD2" w14:textId="77777777" w:rsidR="009700E5" w:rsidRDefault="002C033C">
      <w:pPr>
        <w:rPr>
          <w:rFonts w:eastAsia="SimSun"/>
          <w:szCs w:val="22"/>
          <w:lang w:eastAsia="zh-CN"/>
        </w:rPr>
      </w:pPr>
      <w:r>
        <w:t>Tento liek je potrebné zriediť na konečný objem 100 ml sterilným, nepyrogénnym injekčným roztokom chloridu sodného s koncentráciou 9 mg/ml (0,9 %) za dodržania aseptických podmienok.</w:t>
      </w:r>
    </w:p>
    <w:p w14:paraId="025DE1CE" w14:textId="77777777" w:rsidR="009700E5" w:rsidRDefault="009700E5">
      <w:pPr>
        <w:rPr>
          <w:rFonts w:eastAsia="SimSun"/>
          <w:szCs w:val="22"/>
          <w:lang w:eastAsia="zh-CN"/>
        </w:rPr>
      </w:pPr>
    </w:p>
    <w:p w14:paraId="66AC5F7F" w14:textId="77777777" w:rsidR="009700E5" w:rsidRDefault="002C033C">
      <w:pPr>
        <w:rPr>
          <w:rFonts w:eastAsia="SimSun"/>
          <w:szCs w:val="22"/>
          <w:lang w:eastAsia="zh-CN"/>
        </w:rPr>
      </w:pPr>
      <w:r>
        <w:rPr>
          <w:rFonts w:eastAsia="SimSun"/>
          <w:szCs w:val="22"/>
          <w:lang w:eastAsia="zh-CN"/>
        </w:rPr>
        <w:t>Pokyny na riedenie lieku pred podaním, pozri časť 6.6.</w:t>
      </w:r>
    </w:p>
    <w:p w14:paraId="7DD865CD" w14:textId="77777777" w:rsidR="009700E5" w:rsidRDefault="009700E5">
      <w:pPr>
        <w:rPr>
          <w:rFonts w:eastAsia="SimSun"/>
          <w:szCs w:val="22"/>
          <w:lang w:eastAsia="zh-CN"/>
        </w:rPr>
      </w:pPr>
    </w:p>
    <w:p w14:paraId="71C65212" w14:textId="77777777" w:rsidR="009700E5" w:rsidRDefault="002C033C">
      <w:pPr>
        <w:rPr>
          <w:i/>
          <w:iCs/>
        </w:rPr>
      </w:pPr>
      <w:r>
        <w:rPr>
          <w:rFonts w:eastAsia="SimSun"/>
          <w:i/>
          <w:iCs/>
          <w:szCs w:val="22"/>
          <w:lang w:eastAsia="zh-CN"/>
        </w:rPr>
        <w:t>Pacienti so sJIA, pJIA a CRS</w:t>
      </w:r>
      <w:r>
        <w:rPr>
          <w:i/>
          <w:iCs/>
        </w:rPr>
        <w:t xml:space="preserve"> </w:t>
      </w:r>
      <w:r>
        <w:rPr>
          <w:rFonts w:eastAsia="MS Mincho"/>
          <w:szCs w:val="22"/>
        </w:rPr>
        <w:sym w:font="Symbol" w:char="F03C"/>
      </w:r>
      <w:r>
        <w:rPr>
          <w:i/>
          <w:iCs/>
        </w:rPr>
        <w:t> 30 kg</w:t>
      </w:r>
    </w:p>
    <w:p w14:paraId="60476C41" w14:textId="77777777" w:rsidR="009700E5" w:rsidRDefault="002C033C">
      <w:r>
        <w:t>Tento liek je potrebné zriediť na konečný objem 50 ml sterilným, nepyrogénnym injekčným roztokom chloridu sodného s koncentráciou 9 mg/ml (0,9 %) za dodržania aseptických podmienok.</w:t>
      </w:r>
    </w:p>
    <w:p w14:paraId="2F10F339" w14:textId="77777777" w:rsidR="009700E5" w:rsidRDefault="009700E5"/>
    <w:p w14:paraId="384FA3FB" w14:textId="77777777" w:rsidR="009700E5" w:rsidRDefault="002C033C">
      <w:pPr>
        <w:rPr>
          <w:rFonts w:eastAsia="SimSun"/>
          <w:szCs w:val="22"/>
          <w:lang w:eastAsia="zh-CN"/>
        </w:rPr>
      </w:pPr>
      <w:r>
        <w:rPr>
          <w:rFonts w:eastAsia="SimSun"/>
          <w:szCs w:val="22"/>
          <w:lang w:eastAsia="zh-CN"/>
        </w:rPr>
        <w:t>Pokyny na riedenie lieku pred podaním, pozri časť 6.6.</w:t>
      </w:r>
    </w:p>
    <w:p w14:paraId="62529897" w14:textId="77777777" w:rsidR="009700E5" w:rsidRDefault="009700E5">
      <w:pPr>
        <w:rPr>
          <w:rFonts w:eastAsia="SimSun"/>
          <w:szCs w:val="22"/>
          <w:lang w:eastAsia="zh-CN"/>
        </w:rPr>
      </w:pPr>
      <w:bookmarkStart w:id="222" w:name="_Hlk88021823"/>
    </w:p>
    <w:bookmarkEnd w:id="222"/>
    <w:p w14:paraId="15B4D2D7" w14:textId="77777777" w:rsidR="009700E5" w:rsidRDefault="002C033C">
      <w:pPr>
        <w:keepNext/>
        <w:keepLines/>
      </w:pPr>
      <w:r>
        <w:rPr>
          <w:b/>
        </w:rPr>
        <w:t>4.3</w:t>
      </w:r>
      <w:r>
        <w:rPr>
          <w:b/>
        </w:rPr>
        <w:tab/>
      </w:r>
      <w:r>
        <w:rPr>
          <w:b/>
          <w:szCs w:val="22"/>
        </w:rPr>
        <w:t>Kontraindikácie</w:t>
      </w:r>
    </w:p>
    <w:p w14:paraId="550950DB" w14:textId="77777777" w:rsidR="009700E5" w:rsidRDefault="009700E5">
      <w:pPr>
        <w:keepNext/>
        <w:keepLines/>
      </w:pPr>
    </w:p>
    <w:p w14:paraId="616FB7B9" w14:textId="77777777" w:rsidR="009700E5" w:rsidRDefault="002C033C">
      <w:pPr>
        <w:keepNext/>
        <w:keepLines/>
      </w:pPr>
      <w:r>
        <w:t>Precitlivenosť na liečivo alebo na ktorúkoľvek z pomocných látok uvedených v časti 6.1.</w:t>
      </w:r>
    </w:p>
    <w:p w14:paraId="15E83011" w14:textId="77777777" w:rsidR="009700E5" w:rsidRDefault="009700E5"/>
    <w:p w14:paraId="0788B952" w14:textId="77777777" w:rsidR="009700E5" w:rsidRDefault="002C033C">
      <w:r>
        <w:t xml:space="preserve">Aktívne, závažné infekcie </w:t>
      </w:r>
      <w:bookmarkStart w:id="223" w:name="_Hlk88021862"/>
      <w:r>
        <w:t>s výnimkou COVID</w:t>
      </w:r>
      <w:r>
        <w:noBreakHyphen/>
        <w:t xml:space="preserve">19 </w:t>
      </w:r>
      <w:bookmarkEnd w:id="223"/>
      <w:r>
        <w:t>(pozri časť 4.4).</w:t>
      </w:r>
    </w:p>
    <w:p w14:paraId="233A3AA9" w14:textId="77777777" w:rsidR="009700E5" w:rsidRDefault="009700E5">
      <w:pPr>
        <w:outlineLvl w:val="0"/>
        <w:rPr>
          <w:bCs/>
        </w:rPr>
      </w:pPr>
    </w:p>
    <w:p w14:paraId="0BE91DE5" w14:textId="77777777" w:rsidR="009700E5" w:rsidRDefault="002C033C">
      <w:pPr>
        <w:keepNext/>
        <w:keepLines/>
        <w:outlineLvl w:val="0"/>
        <w:rPr>
          <w:b/>
        </w:rPr>
      </w:pPr>
      <w:r>
        <w:rPr>
          <w:b/>
        </w:rPr>
        <w:t>4.4</w:t>
      </w:r>
      <w:r>
        <w:rPr>
          <w:b/>
        </w:rPr>
        <w:tab/>
      </w:r>
      <w:r>
        <w:rPr>
          <w:b/>
          <w:szCs w:val="22"/>
        </w:rPr>
        <w:t>Osobitné upozornenia a opatrenia pri používaní</w:t>
      </w:r>
    </w:p>
    <w:p w14:paraId="092C8C06" w14:textId="77777777" w:rsidR="009700E5" w:rsidRDefault="009700E5">
      <w:pPr>
        <w:keepNext/>
        <w:keepLines/>
        <w:outlineLvl w:val="0"/>
        <w:rPr>
          <w:b/>
        </w:rPr>
      </w:pPr>
    </w:p>
    <w:p w14:paraId="0D046DA4" w14:textId="77777777" w:rsidR="009700E5" w:rsidRDefault="002C033C">
      <w:pPr>
        <w:rPr>
          <w:iCs/>
          <w:u w:val="single"/>
        </w:rPr>
      </w:pPr>
      <w:r>
        <w:rPr>
          <w:iCs/>
          <w:u w:val="single"/>
        </w:rPr>
        <w:t>Sledovateľnosť</w:t>
      </w:r>
    </w:p>
    <w:p w14:paraId="7DEEED8A" w14:textId="77777777" w:rsidR="009700E5" w:rsidRDefault="009700E5">
      <w:pPr>
        <w:rPr>
          <w:ins w:id="224" w:author="Author" w:date="2025-07-18T10:40:00Z"/>
        </w:rPr>
      </w:pPr>
    </w:p>
    <w:p w14:paraId="521BB37A" w14:textId="77777777" w:rsidR="009700E5" w:rsidRDefault="002C033C">
      <w:r>
        <w:t>Aby sa zlepšila (do)sledovateľnosť biologického lieku, má sa zrozumiteľne zaznamenať názov a číslo šarže podaného lieku.</w:t>
      </w:r>
    </w:p>
    <w:p w14:paraId="0BC14257" w14:textId="77777777" w:rsidR="009700E5" w:rsidRDefault="009700E5">
      <w:pPr>
        <w:keepNext/>
        <w:keepLines/>
        <w:outlineLvl w:val="0"/>
        <w:rPr>
          <w:i/>
        </w:rPr>
      </w:pPr>
    </w:p>
    <w:p w14:paraId="101AB01E" w14:textId="77777777" w:rsidR="009700E5" w:rsidRDefault="002C033C">
      <w:pPr>
        <w:keepNext/>
        <w:keepLines/>
        <w:outlineLvl w:val="0"/>
        <w:rPr>
          <w:u w:val="single"/>
        </w:rPr>
      </w:pPr>
      <w:r>
        <w:rPr>
          <w:rFonts w:eastAsia="SimSun"/>
          <w:szCs w:val="22"/>
          <w:u w:val="single"/>
          <w:lang w:eastAsia="zh-CN"/>
        </w:rPr>
        <w:t>Pacienti s RA, pJIA a sJIA</w:t>
      </w:r>
    </w:p>
    <w:p w14:paraId="6AE31E53" w14:textId="77777777" w:rsidR="009700E5" w:rsidRDefault="009700E5">
      <w:pPr>
        <w:keepNext/>
        <w:keepLines/>
        <w:outlineLvl w:val="0"/>
        <w:rPr>
          <w:ins w:id="225" w:author="Author" w:date="2025-07-18T10:40:00Z"/>
          <w:i/>
        </w:rPr>
      </w:pPr>
    </w:p>
    <w:p w14:paraId="260F5588" w14:textId="77777777" w:rsidR="009700E5" w:rsidRDefault="002C033C">
      <w:pPr>
        <w:keepNext/>
        <w:keepLines/>
        <w:outlineLvl w:val="0"/>
        <w:rPr>
          <w:i/>
        </w:rPr>
      </w:pPr>
      <w:r>
        <w:rPr>
          <w:i/>
        </w:rPr>
        <w:t>Infekcie</w:t>
      </w:r>
    </w:p>
    <w:p w14:paraId="35511427" w14:textId="77777777" w:rsidR="009700E5" w:rsidRDefault="002C033C">
      <w:pPr>
        <w:keepNext/>
        <w:keepLines/>
      </w:pPr>
      <w:r>
        <w:t>Závažné a niekedy fatálne infekcie boli hlásené u pacientov, ktorí dostávali imunosupresívne látky vrátane tocilizumabu (pozri časť 4.8). Liečba sa nesmie začať u pacientov s aktívnymi infekciami (pozri časť 4.3). Ak u pacienta dôjde ku vzniku závažnej infekcie, podávanie tocilizumabu sa musí prerušiť, kým sa infekcia vylieči (pozri časť 4.8). Zdravotnícki pracovníci majú postupovať opatrne, ak uvažujú o použití tohto lieku u pacientov s anamnézou opakujúcich sa alebo chronických infekcií alebo so základnými ochoreniami (napr. divertikulitída, diabetes a intersticiálna choroba pľúc), ktoré ich predisponujú ku vzniku infekcií.</w:t>
      </w:r>
    </w:p>
    <w:p w14:paraId="027EFC88" w14:textId="77777777" w:rsidR="009700E5" w:rsidRDefault="009700E5"/>
    <w:p w14:paraId="5CAA9125" w14:textId="77777777" w:rsidR="009700E5" w:rsidRDefault="002C033C">
      <w:r>
        <w:t>Pacientov, ktorí dostávajú biologické lieky, sa odporúča pozorne sledovať, aby sa včas odhalila závažná infekcia, keďže prejavy a príznaky akútneho zápalu môžu byť zmiernené, čo súvisí s potlačením reakcie akútnej fázy. Pri vyšetrovaní pacienta na možnú infekciu sa musí vziať do úvahy vplyv tocilizumabu na C</w:t>
      </w:r>
      <w:r>
        <w:noBreakHyphen/>
        <w:t xml:space="preserve">reaktívny proteín (CRP), neutrofily a prejavy a príznaky infekcie. Pacientov (mladšie deti so sJIA alebo pJIA, ktoré nie sú schopné popísať svoje príznaky) </w:t>
      </w:r>
      <w:r>
        <w:lastRenderedPageBreak/>
        <w:t>a rodičov/opatrovateľov pacientov so sJIA alebo pJIA, treba poučiť, že keď sa u nich objavia akékoľvek príznaky svedčiace o infekcii, majú sa ihneď skontaktovať so zdravotníckym pracovníkom, aby sa zaistilo rýchle vyšetrenie a náležitá liečba.</w:t>
      </w:r>
    </w:p>
    <w:p w14:paraId="168F2AF0" w14:textId="77777777" w:rsidR="009700E5" w:rsidRDefault="009700E5">
      <w:pPr>
        <w:rPr>
          <w:i/>
        </w:rPr>
      </w:pPr>
    </w:p>
    <w:p w14:paraId="0D6EF249" w14:textId="77777777" w:rsidR="009700E5" w:rsidRDefault="002C033C">
      <w:pPr>
        <w:keepNext/>
        <w:keepLines/>
        <w:rPr>
          <w:i/>
        </w:rPr>
      </w:pPr>
      <w:r>
        <w:rPr>
          <w:i/>
        </w:rPr>
        <w:t>Tuberkulóza (TB)</w:t>
      </w:r>
    </w:p>
    <w:p w14:paraId="74519DBA" w14:textId="77777777" w:rsidR="009700E5" w:rsidRDefault="002C033C">
      <w:r>
        <w:t>Tak ako sa odporúča pre iné typy biologickej liečby, aj pred začatím liečby tocilizumabom majú pacienti s RA, pJIA a sJIA podstúpiť skríningové vyšetrenie na latentnú TB infekciu. Pacienti s latentnou TB sa pred začatím liečby musia liečiť štandardnou antimykobakteriálnou terapiou. Lekári, ktorí predpisujú tocilizumab, majú na mysli riziko falošne negatívnych výsledkov tuberkulinových kožných testov a krvného testu interferón</w:t>
      </w:r>
      <w:r>
        <w:noBreakHyphen/>
        <w:t>gamma TB, zvlášť u pacientov, ktorí sú vážne chorí alebo so zníženou imunitou.</w:t>
      </w:r>
    </w:p>
    <w:p w14:paraId="7A1CE626" w14:textId="77777777" w:rsidR="009700E5" w:rsidRDefault="009700E5"/>
    <w:p w14:paraId="41B62A21" w14:textId="77777777" w:rsidR="009700E5" w:rsidRDefault="002C033C">
      <w:r>
        <w:t>Pacienti majú byť poučení, aby vyhľadali lekársku pomoc, ak príznaky /symptómy (napr. pretrvávajúci kašeľ, chradnutie/úbytok telesnej hmotnosti, mierna horúčka), svedčiace pre tuberkulóznu infekciu, vyskytujúcu sa v priebehu alebo po liečbe týmto liekom.</w:t>
      </w:r>
    </w:p>
    <w:p w14:paraId="047B043E" w14:textId="77777777" w:rsidR="009700E5" w:rsidRDefault="009700E5">
      <w:pPr>
        <w:rPr>
          <w:i/>
        </w:rPr>
      </w:pPr>
    </w:p>
    <w:p w14:paraId="7E5E603D" w14:textId="77777777" w:rsidR="009700E5" w:rsidRDefault="002C033C">
      <w:pPr>
        <w:rPr>
          <w:i/>
        </w:rPr>
      </w:pPr>
      <w:r>
        <w:rPr>
          <w:i/>
        </w:rPr>
        <w:t>Reaktivácia vírusu</w:t>
      </w:r>
    </w:p>
    <w:p w14:paraId="059EFA53" w14:textId="77777777" w:rsidR="009700E5" w:rsidRDefault="002C033C">
      <w:r>
        <w:t>Reaktivácia vírusu (napr. vírusu hepatitídy B) sa zaznamenala pri biologickej liečbe RA. Z klinických skúšaní s tocilizumabom boli vylúčení pacienti, ktorí mali pozitívny skríning na hepatitídu.</w:t>
      </w:r>
    </w:p>
    <w:p w14:paraId="3EF606DD" w14:textId="77777777" w:rsidR="009700E5" w:rsidRDefault="009700E5"/>
    <w:p w14:paraId="7F721569" w14:textId="77777777" w:rsidR="009700E5" w:rsidRDefault="002C033C">
      <w:pPr>
        <w:rPr>
          <w:i/>
        </w:rPr>
      </w:pPr>
      <w:r>
        <w:rPr>
          <w:i/>
        </w:rPr>
        <w:t>Komplikácie divertikulitídy</w:t>
      </w:r>
    </w:p>
    <w:p w14:paraId="56AC6823" w14:textId="77777777" w:rsidR="009700E5" w:rsidRDefault="002C033C">
      <w:r>
        <w:t>Prípady perforácie divertikulu ako komplikácie divertikulitídy boli pri liečbe tocilizumabom u pacientov s RA hlásené menej často (pozri časť 4.8). Tento liek sa má u pacientov s ulceráciou čriev alebo divertikulitídou v anamnéze používať opatrne. Pacienti s príznakmi, ktoré by mohli svedčiť o komplikovanej divertikulitíde, ako sú bolesti brucha, krvácanie a/alebo nevysvetliteľná zmena vo vyprázdňovaní stolice spolu s horúčkou, sa musia promptne vyšetriť, aby sa včas rozpoznala divertikulitída, ktorá môže byť spojená s perforáciou gastrointestinálneho traktu.</w:t>
      </w:r>
    </w:p>
    <w:p w14:paraId="2F23DE75" w14:textId="77777777" w:rsidR="009700E5" w:rsidRDefault="009700E5"/>
    <w:p w14:paraId="0E19FCE2" w14:textId="77777777" w:rsidR="009700E5" w:rsidRDefault="002C033C">
      <w:pPr>
        <w:keepNext/>
        <w:outlineLvl w:val="0"/>
        <w:rPr>
          <w:bCs/>
          <w:i/>
        </w:rPr>
      </w:pPr>
      <w:r>
        <w:rPr>
          <w:i/>
        </w:rPr>
        <w:t>Reakcie z precitlivenosti</w:t>
      </w:r>
    </w:p>
    <w:p w14:paraId="16071D6E" w14:textId="77777777" w:rsidR="009700E5" w:rsidRDefault="002C033C">
      <w:pPr>
        <w:textAlignment w:val="top"/>
        <w:rPr>
          <w:szCs w:val="22"/>
        </w:rPr>
      </w:pPr>
      <w:r>
        <w:rPr>
          <w:szCs w:val="22"/>
        </w:rPr>
        <w:t xml:space="preserve">Boli hlásené závažné reakcie z precitlivenosti súvisiace s infúziou </w:t>
      </w:r>
      <w:r>
        <w:t>tocilizumabu</w:t>
      </w:r>
      <w:r>
        <w:rPr>
          <w:szCs w:val="22"/>
        </w:rPr>
        <w:t xml:space="preserve"> (pozri časť 4.8). Takéto reakcie môžu byť závažnejšie a potenciálne fatálne u pacientov, ktorí mali hypersenzitívne reakcie počas predchádzajúcich infúzií, aj keď dostali premedikáciu kortikosteroidmi a antihistaminikami. Pre prípad anafylaktickej reakcie počas liečby má byť okamžite k dispozícii príslušná liečba. V prípade výskytu anafylaktickej reakcie alebo inej závažnej reakcie z precitlivenosti/závažnej reakcie súvisiacej s infúziou sa musí podávanie </w:t>
      </w:r>
      <w:r>
        <w:t>tocilizumabu</w:t>
      </w:r>
      <w:r>
        <w:rPr>
          <w:szCs w:val="22"/>
        </w:rPr>
        <w:t xml:space="preserve"> okamžite ukončiť a liečbu navždy skončiť.</w:t>
      </w:r>
    </w:p>
    <w:p w14:paraId="2A00C8B3" w14:textId="77777777" w:rsidR="009700E5" w:rsidRDefault="009700E5">
      <w:pPr>
        <w:outlineLvl w:val="0"/>
        <w:rPr>
          <w:i/>
        </w:rPr>
      </w:pPr>
    </w:p>
    <w:p w14:paraId="7B20364B" w14:textId="77777777" w:rsidR="009700E5" w:rsidRDefault="002C033C">
      <w:pPr>
        <w:keepNext/>
        <w:keepLines/>
        <w:outlineLvl w:val="0"/>
        <w:rPr>
          <w:i/>
        </w:rPr>
      </w:pPr>
      <w:r>
        <w:rPr>
          <w:i/>
        </w:rPr>
        <w:t>Aktívne ochorenie pečene a porucha funkcie pečene</w:t>
      </w:r>
    </w:p>
    <w:p w14:paraId="1DCFCF16" w14:textId="77777777" w:rsidR="009700E5" w:rsidRDefault="002C033C">
      <w:r>
        <w:t>Liečba tocilizumabom, najmä keď sa podáva súbežne s MTX, môže byť spojená so zvýšením pečeňových transamináz. Ak sa uvažuje o liečbe pacientov s aktívnym ochorením pečene alebo poruchou funkcie pečene, vyžaduje sa opatrnosť (pozri časti 4.2 a 4.8).</w:t>
      </w:r>
    </w:p>
    <w:p w14:paraId="484851F0" w14:textId="77777777" w:rsidR="009700E5" w:rsidRDefault="009700E5"/>
    <w:p w14:paraId="197C40F4" w14:textId="77777777" w:rsidR="009700E5" w:rsidRDefault="002C033C">
      <w:pPr>
        <w:rPr>
          <w:i/>
        </w:rPr>
      </w:pPr>
      <w:r>
        <w:rPr>
          <w:i/>
        </w:rPr>
        <w:t>Hepatotoxicita</w:t>
      </w:r>
    </w:p>
    <w:p w14:paraId="4ED47F2C" w14:textId="77777777" w:rsidR="009700E5" w:rsidRDefault="002C033C">
      <w:pPr>
        <w:rPr>
          <w:szCs w:val="22"/>
        </w:rPr>
      </w:pPr>
      <w:r>
        <w:t>Pri liečbe tocilizumabom sa často hlásili prechodné alebo sporadické, mierne a stredne závažné zvýšenia pečeňových transamináz (pozri časť 4.8). Vyššia frekvencia týchto zvýšení pečeňových transamináz sa pozorovala vtedy, keď sa v kombinácii s tocilizumabom užívali potenciálne hepatotoxické lieky (napr. MTX). Keď je klinicky indikované, majú sa zvážiť ďalšie vyšetrenia funkcie pečene, vrátane bilirubínu.</w:t>
      </w:r>
    </w:p>
    <w:p w14:paraId="491F8D1B" w14:textId="77777777" w:rsidR="009700E5" w:rsidRDefault="009700E5"/>
    <w:p w14:paraId="5A7521A5" w14:textId="77777777" w:rsidR="009700E5" w:rsidRDefault="002C033C">
      <w:r>
        <w:t>Pri tocilizumabe sa pozorovalo závažné poškodenie pečene vyvolané liekom, vrátane akútneho zlyhania pečene, hepatitídy a žltačky (pozri časť 4.8). Závažné poškodenie pečene sa vyskytlo medzi 2 týždňami a viac ako 5 rokmi po začatí liečby. Boli hlásené prípady zlyhania pečene, ktoré viedli k transplantácii pečene. Pacienti musia byť poučení, aby okamžite vyhľadali lekársku pomoc, ak sa u nich vyskytnú prejavy a príznaky poškodenia pečene.</w:t>
      </w:r>
    </w:p>
    <w:p w14:paraId="5A9892CD" w14:textId="77777777" w:rsidR="009700E5" w:rsidRDefault="009700E5"/>
    <w:p w14:paraId="2A44B6D7" w14:textId="77777777" w:rsidR="009700E5" w:rsidRDefault="002C033C">
      <w:r>
        <w:lastRenderedPageBreak/>
        <w:t>Keď sa uvažuje o začatí liečby u pacientov s hodnotami ALT alebo AST zvýšenými na </w:t>
      </w:r>
      <w:r>
        <w:rPr>
          <w:rFonts w:eastAsia="MS Mincho"/>
          <w:szCs w:val="22"/>
        </w:rPr>
        <w:sym w:font="Symbol" w:char="F03E"/>
      </w:r>
      <w:r>
        <w:t> 1,5</w:t>
      </w:r>
      <w:r>
        <w:noBreakHyphen/>
        <w:t xml:space="preserve">násobok ULN, je nutná opatrnosť. U pacientov s RA, pJIA a sJIA s východiskovými hodnotami ALT alebo AST </w:t>
      </w:r>
      <w:r>
        <w:rPr>
          <w:rFonts w:eastAsia="MS Mincho"/>
          <w:szCs w:val="22"/>
        </w:rPr>
        <w:sym w:font="Symbol" w:char="F03E"/>
      </w:r>
      <w:r>
        <w:t> 5</w:t>
      </w:r>
      <w:r>
        <w:noBreakHyphen/>
        <w:t>násobok ULN sa liečba neodporúča.</w:t>
      </w:r>
    </w:p>
    <w:p w14:paraId="29270CF4" w14:textId="77777777" w:rsidR="009700E5" w:rsidRDefault="009700E5"/>
    <w:p w14:paraId="5A28C4FB" w14:textId="77777777" w:rsidR="009700E5" w:rsidRDefault="002C033C">
      <w:r>
        <w:t xml:space="preserve">U pacientov s RA, pJIA a sJIA sa ALT/AST má skontrolovať raz za 4 až 8 týždňov počas prvých 6 mesiacov liečby a následne raz za 12 týždňov. Odporúčané úpravy dávky vrátane ukončenia liečby tocilizumabom na základe hladín transamináz pozri v časti 4.2. Pri vzostupoch hodnôt ALT alebo AST na </w:t>
      </w:r>
      <w:r>
        <w:rPr>
          <w:rFonts w:eastAsia="MS Mincho"/>
          <w:szCs w:val="22"/>
        </w:rPr>
        <w:sym w:font="Symbol" w:char="F03E"/>
      </w:r>
      <w:r>
        <w:t> 3</w:t>
      </w:r>
      <w:r>
        <w:noBreakHyphen/>
        <w:t> až 5</w:t>
      </w:r>
      <w:r>
        <w:noBreakHyphen/>
        <w:t>násobok ULN, ktoré sa potvrdia opakovaným vyšetrením, sa musí liečba prerušiť.</w:t>
      </w:r>
    </w:p>
    <w:p w14:paraId="6919B0F1" w14:textId="77777777" w:rsidR="009700E5" w:rsidRDefault="009700E5"/>
    <w:p w14:paraId="19A5ECA3" w14:textId="77777777" w:rsidR="009700E5" w:rsidRDefault="002C033C">
      <w:pPr>
        <w:keepNext/>
        <w:keepLines/>
        <w:rPr>
          <w:i/>
        </w:rPr>
      </w:pPr>
      <w:r>
        <w:rPr>
          <w:i/>
        </w:rPr>
        <w:t>Hematologické odchýlky</w:t>
      </w:r>
    </w:p>
    <w:p w14:paraId="0D73EFF3" w14:textId="77777777" w:rsidR="009700E5" w:rsidRDefault="002C033C">
      <w:pPr>
        <w:keepNext/>
        <w:keepLines/>
      </w:pPr>
      <w:r>
        <w:t>Po liečbe tocilizumabom v dávke 8 mg/kg v kombinácii s MTX sa vyskytoval pokles počtu neutrofilov a trombocytov (pozri časť 4.8). U pacientov, ktorí boli predtým liečení inhibítorom TNF, môže existovať zvýšené riziko neutropénie.</w:t>
      </w:r>
    </w:p>
    <w:p w14:paraId="33C902BD" w14:textId="77777777" w:rsidR="009700E5" w:rsidRDefault="009700E5"/>
    <w:p w14:paraId="417ACEBF" w14:textId="77777777" w:rsidR="009700E5" w:rsidRDefault="002C033C">
      <w:pPr>
        <w:textAlignment w:val="top"/>
        <w:rPr>
          <w:szCs w:val="22"/>
        </w:rPr>
      </w:pPr>
      <w:r>
        <w:rPr>
          <w:szCs w:val="22"/>
        </w:rPr>
        <w:t xml:space="preserve">U pacientov, ktorí neboli doteraz liečení tocilizumabom a majú </w:t>
      </w:r>
      <w:r>
        <w:rPr>
          <w:rFonts w:eastAsia="SimSun"/>
          <w:color w:val="000000"/>
          <w:szCs w:val="22"/>
          <w:lang w:eastAsia="zh-CN"/>
        </w:rPr>
        <w:t>ANC nižší ako 2 </w:t>
      </w:r>
      <w:r>
        <w:rPr>
          <w:rFonts w:eastAsia="MS Mincho"/>
          <w:szCs w:val="22"/>
        </w:rPr>
        <w:sym w:font="Symbol" w:char="F0B4"/>
      </w:r>
      <w:r>
        <w:rPr>
          <w:rFonts w:eastAsia="MS Mincho"/>
          <w:szCs w:val="22"/>
        </w:rPr>
        <w:t> </w:t>
      </w:r>
      <w:r>
        <w:rPr>
          <w:rFonts w:eastAsia="SimSun"/>
          <w:color w:val="000000"/>
          <w:szCs w:val="22"/>
          <w:lang w:eastAsia="zh-CN"/>
        </w:rPr>
        <w:t>10</w:t>
      </w:r>
      <w:r>
        <w:rPr>
          <w:rFonts w:eastAsia="SimSun"/>
          <w:color w:val="000000"/>
          <w:szCs w:val="22"/>
          <w:vertAlign w:val="superscript"/>
          <w:lang w:eastAsia="zh-CN"/>
        </w:rPr>
        <w:t>9</w:t>
      </w:r>
      <w:r>
        <w:rPr>
          <w:rFonts w:eastAsia="SimSun"/>
          <w:color w:val="000000"/>
          <w:szCs w:val="22"/>
          <w:lang w:eastAsia="zh-CN"/>
        </w:rPr>
        <w:t xml:space="preserve">/l, </w:t>
      </w:r>
      <w:r>
        <w:rPr>
          <w:szCs w:val="22"/>
        </w:rPr>
        <w:t>sa neodporúča začať liečbu. Keď sa uvažuje o začatí liečby u pacientov s nízkym počtom trombocytov (t.j. počet trombocytov pod 100 </w:t>
      </w:r>
      <w:r>
        <w:rPr>
          <w:rFonts w:eastAsia="MS Mincho"/>
          <w:szCs w:val="22"/>
        </w:rPr>
        <w:sym w:font="Symbol" w:char="F0B4"/>
      </w:r>
      <w:r>
        <w:rPr>
          <w:szCs w:val="22"/>
        </w:rPr>
        <w:t> 10</w:t>
      </w:r>
      <w:r>
        <w:rPr>
          <w:szCs w:val="22"/>
          <w:vertAlign w:val="superscript"/>
        </w:rPr>
        <w:t>3</w:t>
      </w:r>
      <w:r>
        <w:rPr>
          <w:szCs w:val="22"/>
        </w:rPr>
        <w:t>/</w:t>
      </w:r>
      <w:r>
        <w:rPr>
          <w:rFonts w:eastAsia="MS Mincho"/>
          <w:szCs w:val="22"/>
        </w:rPr>
        <w:sym w:font="Symbol" w:char="F06D"/>
      </w:r>
      <w:r>
        <w:rPr>
          <w:szCs w:val="22"/>
        </w:rPr>
        <w:t>l), vyžaduje sa opatrnosť. U pacientov s RA, pJIA a sJIA, u ktorých nastane pokles ANC </w:t>
      </w:r>
      <w:r>
        <w:rPr>
          <w:rFonts w:eastAsia="MS Mincho"/>
          <w:szCs w:val="22"/>
        </w:rPr>
        <w:sym w:font="Symbol" w:char="F03C"/>
      </w:r>
      <w:r>
        <w:rPr>
          <w:szCs w:val="22"/>
        </w:rPr>
        <w:t> 0,5 </w:t>
      </w:r>
      <w:r>
        <w:rPr>
          <w:rFonts w:eastAsia="MS Mincho"/>
          <w:szCs w:val="22"/>
        </w:rPr>
        <w:sym w:font="Symbol" w:char="F0B4"/>
      </w:r>
      <w:r>
        <w:rPr>
          <w:szCs w:val="22"/>
        </w:rPr>
        <w:t> 10</w:t>
      </w:r>
      <w:r>
        <w:rPr>
          <w:szCs w:val="22"/>
          <w:vertAlign w:val="superscript"/>
        </w:rPr>
        <w:t>9</w:t>
      </w:r>
      <w:r>
        <w:rPr>
          <w:szCs w:val="22"/>
        </w:rPr>
        <w:t xml:space="preserve">/l alebo počet trombocytov je </w:t>
      </w:r>
      <w:r>
        <w:rPr>
          <w:rFonts w:eastAsia="MS Mincho"/>
          <w:szCs w:val="22"/>
        </w:rPr>
        <w:sym w:font="Symbol" w:char="F03C"/>
      </w:r>
      <w:r>
        <w:rPr>
          <w:szCs w:val="22"/>
        </w:rPr>
        <w:t> 50 </w:t>
      </w:r>
      <w:r>
        <w:rPr>
          <w:rFonts w:eastAsia="MS Mincho"/>
          <w:szCs w:val="22"/>
        </w:rPr>
        <w:sym w:font="Symbol" w:char="F0B4"/>
      </w:r>
      <w:r>
        <w:rPr>
          <w:rFonts w:eastAsia="MS Mincho"/>
          <w:szCs w:val="22"/>
        </w:rPr>
        <w:t> </w:t>
      </w:r>
      <w:r>
        <w:rPr>
          <w:szCs w:val="22"/>
        </w:rPr>
        <w:t>10</w:t>
      </w:r>
      <w:r>
        <w:rPr>
          <w:szCs w:val="22"/>
          <w:vertAlign w:val="superscript"/>
        </w:rPr>
        <w:t>3</w:t>
      </w:r>
      <w:r>
        <w:rPr>
          <w:szCs w:val="22"/>
        </w:rPr>
        <w:t>/</w:t>
      </w:r>
      <w:r>
        <w:rPr>
          <w:rFonts w:eastAsia="MS Mincho"/>
          <w:szCs w:val="22"/>
        </w:rPr>
        <w:sym w:font="Symbol" w:char="F06D"/>
      </w:r>
      <w:r>
        <w:rPr>
          <w:szCs w:val="22"/>
        </w:rPr>
        <w:t>l, sa neodporúča pokračovať v liečbe.</w:t>
      </w:r>
      <w:bookmarkStart w:id="226" w:name="_Hlk88022783"/>
    </w:p>
    <w:bookmarkEnd w:id="226"/>
    <w:p w14:paraId="1F5A572C" w14:textId="77777777" w:rsidR="009700E5" w:rsidRDefault="009700E5"/>
    <w:p w14:paraId="67CEE808" w14:textId="77777777" w:rsidR="009700E5" w:rsidRDefault="002C033C">
      <w:pPr>
        <w:rPr>
          <w:iCs/>
        </w:rPr>
      </w:pPr>
      <w:r>
        <w:rPr>
          <w:iCs/>
        </w:rPr>
        <w:t>Ťažká neutropénia môže byť spojená so zvýšeným rizikom závažných infekcií, i keď doteraz nie je jasné spojenie medzi zníženým počtom neutrofilov a výskytom závažných infekcií v klinických skúšaniach s tocilizumabom.</w:t>
      </w:r>
    </w:p>
    <w:p w14:paraId="07A86BD4" w14:textId="77777777" w:rsidR="009700E5" w:rsidRDefault="009700E5"/>
    <w:p w14:paraId="633D4D39" w14:textId="77777777" w:rsidR="009700E5" w:rsidRDefault="002C033C">
      <w:r>
        <w:t>U pacientov s RA sa má počet neutrofilov a trombocytov skontrolovať po 4 až 8 týždňoch od začatia liečby a následne v súlade so štandardnou klinickou praxou. Odporúčané úpravy dávky na základe počtu ANC a neutrofilov pozri v časti 4.2.</w:t>
      </w:r>
    </w:p>
    <w:p w14:paraId="41C8802A" w14:textId="77777777" w:rsidR="009700E5" w:rsidRDefault="009700E5"/>
    <w:p w14:paraId="43E999C8" w14:textId="77777777" w:rsidR="009700E5" w:rsidRDefault="002C033C">
      <w:r>
        <w:t>U pacientov s pJIA a sJIA sa má počet neutrofilov a trombocytov skontrolovať v čase druhej infúzie a následne v súlade so správnou klinickou praxou, pozri časť 4.2.</w:t>
      </w:r>
    </w:p>
    <w:p w14:paraId="73BD7547" w14:textId="77777777" w:rsidR="009700E5" w:rsidRDefault="009700E5">
      <w:pPr>
        <w:rPr>
          <w:iCs/>
        </w:rPr>
      </w:pPr>
    </w:p>
    <w:p w14:paraId="46492D03" w14:textId="77777777" w:rsidR="009700E5" w:rsidRDefault="002C033C">
      <w:pPr>
        <w:rPr>
          <w:i/>
        </w:rPr>
      </w:pPr>
      <w:r>
        <w:rPr>
          <w:i/>
        </w:rPr>
        <w:t>Hodnoty lipidov</w:t>
      </w:r>
    </w:p>
    <w:p w14:paraId="0050AEA0" w14:textId="77777777" w:rsidR="009700E5" w:rsidRDefault="002C033C">
      <w:r>
        <w:t>U pacientov liečených tocilizumabom sa pozorovalo zvýšenie hodnôt lipidových parametrov, vrátane hladiny celkového cholesterolu, lipoproteínov s nízkou hustotou (LDL), lipoproteínov s vysokou hustotou (HDL) a triacylglycerolov (pozri časť 4.8). U väčšiny pacientov nedošlo k zvýšeniu aterogénneho indexu a zvýšenie celkového cholesterolu odpovedalo na liečbu hypolipidemikami.</w:t>
      </w:r>
    </w:p>
    <w:p w14:paraId="3247DE22" w14:textId="77777777" w:rsidR="009700E5" w:rsidRDefault="009700E5">
      <w:pPr>
        <w:widowControl w:val="0"/>
      </w:pPr>
    </w:p>
    <w:p w14:paraId="0A218610" w14:textId="77777777" w:rsidR="009700E5" w:rsidRDefault="002C033C">
      <w:pPr>
        <w:keepNext/>
        <w:keepLines/>
        <w:widowControl w:val="0"/>
        <w:pPrChange w:id="227" w:author="Author" w:date="2025-07-22T17:19:00Z">
          <w:pPr>
            <w:widowControl w:val="0"/>
          </w:pPr>
        </w:pPrChange>
      </w:pPr>
      <w:r>
        <w:t>U pacientov s RA, pJIA a sJIA sa má hodnotenie lipidových parametrov vykonať po 4 až 8 týždňoch od začatia liečby. Pacienti sa majú liečiť v súlade s národnými klinickými odporúčaniami pre liečbu hyperlipidémií.</w:t>
      </w:r>
    </w:p>
    <w:p w14:paraId="4320CF28" w14:textId="77777777" w:rsidR="009700E5" w:rsidRDefault="009700E5">
      <w:pPr>
        <w:rPr>
          <w:rFonts w:eastAsia="SimSun"/>
          <w:szCs w:val="22"/>
          <w:lang w:eastAsia="zh-CN"/>
        </w:rPr>
      </w:pPr>
    </w:p>
    <w:p w14:paraId="5CB805F9" w14:textId="77777777" w:rsidR="009700E5" w:rsidRDefault="002C033C">
      <w:pPr>
        <w:keepNext/>
        <w:keepLines/>
        <w:outlineLvl w:val="0"/>
        <w:rPr>
          <w:i/>
        </w:rPr>
      </w:pPr>
      <w:r>
        <w:rPr>
          <w:i/>
        </w:rPr>
        <w:t>Neurologické poruchy</w:t>
      </w:r>
    </w:p>
    <w:p w14:paraId="1ACA167F" w14:textId="77777777" w:rsidR="009700E5" w:rsidRDefault="002C033C">
      <w:pPr>
        <w:outlineLvl w:val="0"/>
      </w:pPr>
      <w:r>
        <w:t xml:space="preserve">Lekári majú venovať zvýšenú pozornosť príznakom, ktoré by mohli svedčiť o vzniku centrálnych demyelinizačných porúch. V súčasnosti nie je známe, či </w:t>
      </w:r>
      <w:r>
        <w:rPr>
          <w:iCs/>
        </w:rPr>
        <w:t>tocilizumab</w:t>
      </w:r>
      <w:r>
        <w:t xml:space="preserve"> môže vyvolať centrálnu demyelinizáciu.</w:t>
      </w:r>
    </w:p>
    <w:p w14:paraId="55CDD556" w14:textId="77777777" w:rsidR="009700E5" w:rsidRDefault="009700E5">
      <w:pPr>
        <w:outlineLvl w:val="0"/>
      </w:pPr>
    </w:p>
    <w:p w14:paraId="547E1DDB" w14:textId="77777777" w:rsidR="009700E5" w:rsidRDefault="002C033C">
      <w:pPr>
        <w:keepNext/>
        <w:keepLines/>
        <w:outlineLvl w:val="0"/>
        <w:rPr>
          <w:i/>
        </w:rPr>
      </w:pPr>
      <w:r>
        <w:rPr>
          <w:i/>
        </w:rPr>
        <w:t>Malignita</w:t>
      </w:r>
    </w:p>
    <w:p w14:paraId="054C3DB1" w14:textId="77777777" w:rsidR="009700E5" w:rsidRDefault="002C033C">
      <w:pPr>
        <w:autoSpaceDE w:val="0"/>
        <w:autoSpaceDN w:val="0"/>
        <w:adjustRightInd w:val="0"/>
        <w:rPr>
          <w:rFonts w:eastAsia="SimSun"/>
          <w:szCs w:val="22"/>
          <w:lang w:eastAsia="zh-CN"/>
        </w:rPr>
      </w:pPr>
      <w:r>
        <w:rPr>
          <w:rFonts w:eastAsia="SimSun"/>
          <w:szCs w:val="22"/>
          <w:lang w:eastAsia="zh-CN"/>
        </w:rPr>
        <w:t>Riziko vzniku malignity je u pacientov s RA zvýšené. Imunomodulačné lieky môžu riziko vzniku malignity zvyšovať. Klinické údaje nie sú dostatočné na zhodnotenie rizika možného výskytu malignity po expozícii tocilizumabu. Hodnotenie dlhodobej bezpečnosti naďalej prebieha.</w:t>
      </w:r>
    </w:p>
    <w:p w14:paraId="58E76EB0" w14:textId="77777777" w:rsidR="009700E5" w:rsidRDefault="009700E5">
      <w:pPr>
        <w:outlineLvl w:val="0"/>
      </w:pPr>
    </w:p>
    <w:p w14:paraId="418E4967" w14:textId="77777777" w:rsidR="009700E5" w:rsidRDefault="002C033C">
      <w:pPr>
        <w:keepNext/>
        <w:outlineLvl w:val="0"/>
        <w:rPr>
          <w:i/>
        </w:rPr>
      </w:pPr>
      <w:r>
        <w:rPr>
          <w:i/>
        </w:rPr>
        <w:t>Očkovania</w:t>
      </w:r>
    </w:p>
    <w:p w14:paraId="0AA2CABD" w14:textId="77777777" w:rsidR="009700E5" w:rsidRDefault="002C033C">
      <w:r>
        <w:t xml:space="preserve">Súbežne s týmto liekom sa nemajú podávať živé a živé oslabené očkovacie látky, keďže klinická bezpečnosť nebola stanovená. </w:t>
      </w:r>
      <w:r>
        <w:rPr>
          <w:szCs w:val="22"/>
        </w:rPr>
        <w:t>V randomizovan</w:t>
      </w:r>
      <w:ins w:id="228" w:author="Author" w:date="2025-07-18T10:41:00Z">
        <w:r>
          <w:rPr>
            <w:szCs w:val="22"/>
          </w:rPr>
          <w:t>om</w:t>
        </w:r>
      </w:ins>
      <w:del w:id="229" w:author="Author" w:date="2025-07-18T10:41:00Z">
        <w:r>
          <w:rPr>
            <w:szCs w:val="22"/>
          </w:rPr>
          <w:delText>ej</w:delText>
        </w:r>
      </w:del>
      <w:r>
        <w:rPr>
          <w:szCs w:val="22"/>
        </w:rPr>
        <w:t> otvoren</w:t>
      </w:r>
      <w:ins w:id="230" w:author="Author" w:date="2025-07-18T10:41:00Z">
        <w:r>
          <w:rPr>
            <w:szCs w:val="22"/>
          </w:rPr>
          <w:t>om klinickom skúšaní</w:t>
        </w:r>
      </w:ins>
      <w:del w:id="231" w:author="Author" w:date="2025-07-18T10:41:00Z">
        <w:r>
          <w:rPr>
            <w:szCs w:val="22"/>
          </w:rPr>
          <w:delText>ej štúdii</w:delText>
        </w:r>
      </w:del>
      <w:r>
        <w:rPr>
          <w:szCs w:val="22"/>
        </w:rPr>
        <w:t xml:space="preserve"> boli dospelí pacienti s RA, liečení tocilizumabom a MTX, schopní dosiahnuť efektívnu odpoveď na 23</w:t>
      </w:r>
      <w:r>
        <w:rPr>
          <w:szCs w:val="22"/>
        </w:rPr>
        <w:noBreakHyphen/>
        <w:t xml:space="preserve">valentnú pneumokokovú polysacharidovú vakcínu a vakcínu s tetanickým toxoidom, ktorá bola porovnateľná s odpoveďou u pacientov len na MTX. </w:t>
      </w:r>
      <w:r>
        <w:t xml:space="preserve">Odporúča sa, aby všetci pacienti, predovšetkým pacienti s pJIA a </w:t>
      </w:r>
      <w:r>
        <w:lastRenderedPageBreak/>
        <w:t>sJIA, boli podrobení aktuálne platným imunizáciám v súlade s aktuálnymi odporúčaniami imunizácie ešte pred začatím liečby. Interval medzi podaním živých vakcín a začatím liečby má byť v súlade s aktuálnymi odporúčaniami imunizácie ohľadne imunosupresívnych látok.</w:t>
      </w:r>
    </w:p>
    <w:p w14:paraId="224871BB" w14:textId="77777777" w:rsidR="009700E5" w:rsidRDefault="009700E5">
      <w:pPr>
        <w:outlineLvl w:val="0"/>
      </w:pPr>
    </w:p>
    <w:p w14:paraId="503FC7D5" w14:textId="77777777" w:rsidR="009700E5" w:rsidRDefault="002C033C">
      <w:pPr>
        <w:keepNext/>
        <w:rPr>
          <w:i/>
        </w:rPr>
      </w:pPr>
      <w:r>
        <w:rPr>
          <w:i/>
        </w:rPr>
        <w:t>Kardiovaskulárne riziko</w:t>
      </w:r>
    </w:p>
    <w:p w14:paraId="39E2195C" w14:textId="77777777" w:rsidR="009700E5" w:rsidRDefault="002C033C">
      <w:r>
        <w:t>Pacienti s RA majú zvýšené riziko kardiovaskulárnych porúch; rizikové faktory (napr. hypertenzia, hyperlipidémia) a musia sa korigovať v rámci bežnej štandardnej zdravotnej starostlivosti.</w:t>
      </w:r>
    </w:p>
    <w:p w14:paraId="31F3B63D" w14:textId="77777777" w:rsidR="009700E5" w:rsidRDefault="009700E5"/>
    <w:p w14:paraId="6DA31780" w14:textId="77777777" w:rsidR="009700E5" w:rsidRDefault="002C033C">
      <w:pPr>
        <w:keepNext/>
        <w:keepLines/>
        <w:rPr>
          <w:i/>
        </w:rPr>
      </w:pPr>
      <w:r>
        <w:rPr>
          <w:i/>
        </w:rPr>
        <w:t>Kombinácia s inhibítormi TNF</w:t>
      </w:r>
    </w:p>
    <w:p w14:paraId="24C9856F" w14:textId="77777777" w:rsidR="009700E5" w:rsidRDefault="002C033C">
      <w:pPr>
        <w:keepNext/>
        <w:keepLines/>
      </w:pPr>
      <w:r>
        <w:t xml:space="preserve">Nie sú skúsenosti s použitím </w:t>
      </w:r>
      <w:r>
        <w:rPr>
          <w:szCs w:val="22"/>
        </w:rPr>
        <w:t>tocilizumabu</w:t>
      </w:r>
      <w:r>
        <w:t xml:space="preserve"> s inhibítormi TNF ani inými biologickými liekmi na liečbu pacientov s RA, pJIA alebo sJIA. Tento liek sa neodporúča používať spolu s inými biologickými liekmi.</w:t>
      </w:r>
    </w:p>
    <w:p w14:paraId="6210B795" w14:textId="77777777" w:rsidR="009700E5" w:rsidRDefault="009700E5">
      <w:pPr>
        <w:rPr>
          <w:del w:id="232" w:author="Author" w:date="2025-07-18T10:41:00Z"/>
        </w:rPr>
      </w:pPr>
    </w:p>
    <w:p w14:paraId="365FBB2D" w14:textId="77777777" w:rsidR="009700E5" w:rsidRDefault="002C033C">
      <w:pPr>
        <w:rPr>
          <w:del w:id="233" w:author="Author" w:date="2025-07-18T10:41:00Z"/>
          <w:i/>
          <w:iCs/>
        </w:rPr>
      </w:pPr>
      <w:del w:id="234" w:author="Author" w:date="2025-07-18T10:41:00Z">
        <w:r>
          <w:rPr>
            <w:i/>
            <w:iCs/>
          </w:rPr>
          <w:delText>Sodík</w:delText>
        </w:r>
      </w:del>
    </w:p>
    <w:p w14:paraId="119C8458" w14:textId="77777777" w:rsidR="009700E5" w:rsidRDefault="002C033C">
      <w:pPr>
        <w:rPr>
          <w:del w:id="235" w:author="Author" w:date="2025-07-18T10:41:00Z"/>
        </w:rPr>
      </w:pPr>
      <w:del w:id="236" w:author="Author" w:date="2025-07-18T10:41:00Z">
        <w:r>
          <w:delText xml:space="preserve">Po zriedení 0,9 % injekčným roztokom chloridu sodného obsahuje tento liek 230,6 mg sodíka v maximálnej dávke 800 mg, čo zodpovedá 11,5 % </w:delText>
        </w:r>
        <w:r>
          <w:rPr>
            <w:szCs w:val="22"/>
          </w:rPr>
          <w:delText>WHO odporúčaného maximálneho denného príjmu 2 g sodíka pre dospelú osobu.</w:delText>
        </w:r>
      </w:del>
    </w:p>
    <w:p w14:paraId="3C8DD306" w14:textId="77777777" w:rsidR="009700E5" w:rsidRDefault="009700E5">
      <w:pPr>
        <w:rPr>
          <w:del w:id="237" w:author="Author" w:date="2025-07-18T10:41:00Z"/>
        </w:rPr>
      </w:pPr>
    </w:p>
    <w:p w14:paraId="27E569B8" w14:textId="77777777" w:rsidR="009700E5" w:rsidRDefault="002C033C">
      <w:pPr>
        <w:rPr>
          <w:del w:id="238" w:author="Author" w:date="2025-07-18T10:41:00Z"/>
          <w:i/>
          <w:iCs/>
        </w:rPr>
      </w:pPr>
      <w:del w:id="239" w:author="Author" w:date="2025-07-18T10:41:00Z">
        <w:r>
          <w:rPr>
            <w:i/>
            <w:iCs/>
          </w:rPr>
          <w:delText>Polysorbát</w:delText>
        </w:r>
      </w:del>
    </w:p>
    <w:p w14:paraId="271577D6" w14:textId="77777777" w:rsidR="009700E5" w:rsidRDefault="002C033C">
      <w:pPr>
        <w:rPr>
          <w:del w:id="240" w:author="Author" w:date="2025-07-18T10:41:00Z"/>
        </w:rPr>
      </w:pPr>
      <w:del w:id="241" w:author="Author" w:date="2025-07-18T10:41:00Z">
        <w:r>
          <w:delText>Tento liek obsahuje 2 mg polysorbátu 80 v každej 80 mg injekčnej liekovke, 5 mg polysorbátu 80 v každej 200 mg injekčnej liekovke a 10 mg polysorbátu 80 v každej 400 mg injekčnej liekovke, čo zodpovedá 0,5 mg/ml. Polysorbáty môžu vyvolať alergické reakcie. Do úvahy sa musia vziať známe alergie pacientov.</w:delText>
        </w:r>
      </w:del>
    </w:p>
    <w:p w14:paraId="7DA304DC" w14:textId="77777777" w:rsidR="009700E5" w:rsidRDefault="009700E5"/>
    <w:p w14:paraId="71FE6DFF" w14:textId="77777777" w:rsidR="009700E5" w:rsidRDefault="002C033C">
      <w:pPr>
        <w:rPr>
          <w:u w:val="single"/>
        </w:rPr>
      </w:pPr>
      <w:r>
        <w:rPr>
          <w:u w:val="single"/>
        </w:rPr>
        <w:t>Pacienti s COVID-19</w:t>
      </w:r>
    </w:p>
    <w:p w14:paraId="48CEB610" w14:textId="77777777" w:rsidR="009700E5" w:rsidRDefault="002C033C">
      <w:pPr>
        <w:ind w:left="567" w:hanging="425"/>
        <w:pPrChange w:id="242" w:author="Author" w:date="2025-07-18T10:42:00Z">
          <w:pPr>
            <w:ind w:left="567" w:hanging="567"/>
          </w:pPr>
        </w:pPrChange>
      </w:pPr>
      <w:r>
        <w:rPr>
          <w:szCs w:val="22"/>
        </w:rPr>
        <w:sym w:font="Symbol" w:char="F0B7"/>
      </w:r>
      <w:r>
        <w:tab/>
        <w:t>Účinnosť tohto lieku nebola stanovená pri liečbe pacientov s COVID</w:t>
      </w:r>
      <w:r>
        <w:noBreakHyphen/>
        <w:t>19, ktorí nemajú zvýšené hodnoty CRP, pozri časť 5.1.</w:t>
      </w:r>
    </w:p>
    <w:p w14:paraId="3D2B6957" w14:textId="77777777" w:rsidR="009700E5" w:rsidRDefault="002C033C">
      <w:pPr>
        <w:ind w:left="567" w:hanging="425"/>
        <w:pPrChange w:id="243" w:author="Author" w:date="2025-07-18T10:42:00Z">
          <w:pPr>
            <w:ind w:left="567" w:hanging="567"/>
          </w:pPr>
        </w:pPrChange>
      </w:pPr>
      <w:r>
        <w:rPr>
          <w:szCs w:val="22"/>
        </w:rPr>
        <w:sym w:font="Symbol" w:char="F0B7"/>
      </w:r>
      <w:r>
        <w:tab/>
      </w:r>
      <w:r>
        <w:rPr>
          <w:szCs w:val="22"/>
        </w:rPr>
        <w:t>Tento liek</w:t>
      </w:r>
      <w:r>
        <w:t xml:space="preserve"> sa nesmie podávať pacientom s COVID</w:t>
      </w:r>
      <w:r>
        <w:noBreakHyphen/>
        <w:t>19, ktorí nedostávajú systémové kortikosteroidy, pretože v tejto podskupine nemožno vylúčiť zvýšenie mortality, pozri časť 5.1.</w:t>
      </w:r>
    </w:p>
    <w:p w14:paraId="45750D2A" w14:textId="77777777" w:rsidR="009700E5" w:rsidRDefault="009700E5"/>
    <w:p w14:paraId="3686E6F0" w14:textId="77777777" w:rsidR="009700E5" w:rsidRDefault="002C033C">
      <w:pPr>
        <w:keepNext/>
        <w:keepLines/>
        <w:rPr>
          <w:i/>
        </w:rPr>
      </w:pPr>
      <w:r>
        <w:rPr>
          <w:i/>
        </w:rPr>
        <w:t>Infekcie</w:t>
      </w:r>
    </w:p>
    <w:p w14:paraId="7056677E" w14:textId="77777777" w:rsidR="009700E5" w:rsidRDefault="002C033C">
      <w:pPr>
        <w:keepNext/>
        <w:keepLines/>
      </w:pPr>
      <w:r>
        <w:t>Pacientom s COVID</w:t>
      </w:r>
      <w:r>
        <w:noBreakHyphen/>
        <w:t>19 sa tento liek nemá podávať, ak majú akúkoľvek ďalšiu súbežnú závažnú aktívnu infekciu. Zdravotnícki pracovníci majú postupovať opatrne, ak uvažujú o použití tocilizumabu u pacientov s anamnézou opakujúcich sa alebo chronických infekcií alebo so základnými ochoreniami (napr. divertikulitída, diabetes a intersticiálna choroba pľúc), ktoré ich predisponujú na vznik infekcií.</w:t>
      </w:r>
    </w:p>
    <w:p w14:paraId="3DCD329A" w14:textId="77777777" w:rsidR="009700E5" w:rsidRDefault="009700E5"/>
    <w:p w14:paraId="041B1218" w14:textId="77777777" w:rsidR="009700E5" w:rsidRDefault="002C033C">
      <w:pPr>
        <w:keepNext/>
        <w:keepLines/>
        <w:rPr>
          <w:i/>
        </w:rPr>
      </w:pPr>
      <w:r>
        <w:rPr>
          <w:i/>
        </w:rPr>
        <w:t>Hepatotoxicita</w:t>
      </w:r>
    </w:p>
    <w:p w14:paraId="1D91D586" w14:textId="77777777" w:rsidR="009700E5" w:rsidRDefault="002C033C">
      <w:pPr>
        <w:keepNext/>
        <w:keepLines/>
      </w:pPr>
      <w:r>
        <w:rPr>
          <w:szCs w:val="22"/>
        </w:rPr>
        <w:t>Pacienti hospitalizovaní z dôvodu COVID</w:t>
      </w:r>
      <w:r>
        <w:rPr>
          <w:szCs w:val="22"/>
        </w:rPr>
        <w:noBreakHyphen/>
        <w:t xml:space="preserve">19 môžu mať zvýšené hladiny ALT alebo AST. </w:t>
      </w:r>
      <w:r>
        <w:rPr>
          <w:rFonts w:eastAsia="MS Mincho"/>
          <w:szCs w:val="22"/>
        </w:rPr>
        <w:t>Multiorgánové zlyhanie vrátane zlyhania funkcie pečene je známou komplikáciou závažnej formy COVID</w:t>
      </w:r>
      <w:r>
        <w:rPr>
          <w:rFonts w:eastAsia="MS Mincho"/>
          <w:szCs w:val="22"/>
        </w:rPr>
        <w:noBreakHyphen/>
        <w:t>19</w:t>
      </w:r>
      <w:r>
        <w:rPr>
          <w:szCs w:val="22"/>
        </w:rPr>
        <w:t xml:space="preserve">. Pri rozhodovaní </w:t>
      </w:r>
      <w:r>
        <w:t>o podaní tocilizumabu sa má zvážiť možný prínos liečby COVID</w:t>
      </w:r>
      <w:r>
        <w:noBreakHyphen/>
        <w:t xml:space="preserve">19 oproti možným rizikám akútnej liečby </w:t>
      </w:r>
      <w:r>
        <w:rPr>
          <w:szCs w:val="22"/>
        </w:rPr>
        <w:t>tocilizumabom. U pacientov s COVID</w:t>
      </w:r>
      <w:r>
        <w:rPr>
          <w:szCs w:val="22"/>
        </w:rPr>
        <w:noBreakHyphen/>
        <w:t>19, ktorí majú hodnotu ALT alebo AST vyššiu ako 10</w:t>
      </w:r>
      <w:r>
        <w:rPr>
          <w:szCs w:val="22"/>
        </w:rPr>
        <w:noBreakHyphen/>
        <w:t xml:space="preserve">násobok ULN, sa liečba </w:t>
      </w:r>
      <w:r>
        <w:t>tocilizumabom</w:t>
      </w:r>
      <w:r>
        <w:rPr>
          <w:szCs w:val="22"/>
        </w:rPr>
        <w:t xml:space="preserve"> neodporúča. </w:t>
      </w:r>
      <w:r>
        <w:t>U pacientov s COVID</w:t>
      </w:r>
      <w:r>
        <w:noBreakHyphen/>
        <w:t>19 sa majú h</w:t>
      </w:r>
      <w:r>
        <w:rPr>
          <w:szCs w:val="22"/>
        </w:rPr>
        <w:t>ladiny ALT/AST sledovať v súlade s platnými štandardnými klinickými postupmi.</w:t>
      </w:r>
    </w:p>
    <w:p w14:paraId="7EB92EFF" w14:textId="77777777" w:rsidR="009700E5" w:rsidRDefault="009700E5"/>
    <w:p w14:paraId="214CEB1E" w14:textId="77777777" w:rsidR="009700E5" w:rsidRDefault="002C033C">
      <w:pPr>
        <w:keepNext/>
        <w:keepLines/>
        <w:rPr>
          <w:i/>
        </w:rPr>
      </w:pPr>
      <w:r>
        <w:rPr>
          <w:i/>
        </w:rPr>
        <w:t>Hematologické odchýlky</w:t>
      </w:r>
    </w:p>
    <w:p w14:paraId="1EE4A8C1" w14:textId="77777777" w:rsidR="009700E5" w:rsidRDefault="002C033C">
      <w:r>
        <w:rPr>
          <w:szCs w:val="22"/>
        </w:rPr>
        <w:t>Pacientom s COVID</w:t>
      </w:r>
      <w:r>
        <w:rPr>
          <w:szCs w:val="22"/>
        </w:rPr>
        <w:noBreakHyphen/>
        <w:t>19, ktorí majú ANC </w:t>
      </w:r>
      <w:r>
        <w:rPr>
          <w:rFonts w:eastAsia="MS Mincho"/>
          <w:szCs w:val="22"/>
        </w:rPr>
        <w:sym w:font="Symbol" w:char="F03C"/>
      </w:r>
      <w:r>
        <w:rPr>
          <w:szCs w:val="22"/>
        </w:rPr>
        <w:t> 1 </w:t>
      </w:r>
      <w:r>
        <w:rPr>
          <w:rFonts w:eastAsia="MS Mincho"/>
          <w:szCs w:val="22"/>
        </w:rPr>
        <w:sym w:font="Symbol" w:char="F0B4"/>
      </w:r>
      <w:r>
        <w:rPr>
          <w:szCs w:val="22"/>
        </w:rPr>
        <w:t> 10</w:t>
      </w:r>
      <w:r>
        <w:rPr>
          <w:szCs w:val="22"/>
          <w:vertAlign w:val="superscript"/>
        </w:rPr>
        <w:t>9</w:t>
      </w:r>
      <w:r>
        <w:rPr>
          <w:szCs w:val="22"/>
        </w:rPr>
        <w:t>/l alebo počet trombocytov </w:t>
      </w:r>
      <w:r>
        <w:rPr>
          <w:rFonts w:eastAsia="MS Mincho"/>
          <w:szCs w:val="22"/>
        </w:rPr>
        <w:sym w:font="Symbol" w:char="F03C"/>
      </w:r>
      <w:r>
        <w:rPr>
          <w:szCs w:val="22"/>
        </w:rPr>
        <w:t> 50 </w:t>
      </w:r>
      <w:r>
        <w:rPr>
          <w:rFonts w:eastAsia="MS Mincho"/>
          <w:szCs w:val="22"/>
        </w:rPr>
        <w:sym w:font="Symbol" w:char="F0B4"/>
      </w:r>
      <w:r>
        <w:rPr>
          <w:szCs w:val="22"/>
        </w:rPr>
        <w:t> 10</w:t>
      </w:r>
      <w:r>
        <w:rPr>
          <w:szCs w:val="22"/>
          <w:vertAlign w:val="superscript"/>
        </w:rPr>
        <w:t>3</w:t>
      </w:r>
      <w:r>
        <w:rPr>
          <w:szCs w:val="22"/>
        </w:rPr>
        <w:t xml:space="preserve">/µl, sa liečba tocilizumabom neodporúča. </w:t>
      </w:r>
      <w:r>
        <w:t xml:space="preserve">Počet neutrofilov a trombocytov sa má </w:t>
      </w:r>
      <w:r>
        <w:rPr>
          <w:szCs w:val="22"/>
        </w:rPr>
        <w:t>sledovať v súlade s platnými štandardnými klinickými postupmi, pozri časť 4.2.</w:t>
      </w:r>
    </w:p>
    <w:p w14:paraId="452AB932" w14:textId="77777777" w:rsidR="009700E5" w:rsidRDefault="009700E5"/>
    <w:p w14:paraId="130F9F24" w14:textId="77777777" w:rsidR="009700E5" w:rsidRDefault="002C033C">
      <w:pPr>
        <w:keepNext/>
        <w:keepLines/>
        <w:rPr>
          <w:u w:val="single"/>
        </w:rPr>
      </w:pPr>
      <w:r>
        <w:rPr>
          <w:u w:val="single"/>
        </w:rPr>
        <w:t>Pediatrická populácia</w:t>
      </w:r>
    </w:p>
    <w:p w14:paraId="5958D1BD" w14:textId="77777777" w:rsidR="009700E5" w:rsidRDefault="002C033C">
      <w:pPr>
        <w:keepNext/>
        <w:keepLines/>
        <w:rPr>
          <w:i/>
        </w:rPr>
      </w:pPr>
      <w:r>
        <w:rPr>
          <w:i/>
        </w:rPr>
        <w:t>Pacienti so sJIA</w:t>
      </w:r>
    </w:p>
    <w:p w14:paraId="3F731933" w14:textId="77777777" w:rsidR="009700E5" w:rsidRDefault="002C033C">
      <w:pPr>
        <w:keepNext/>
        <w:keepLines/>
        <w:rPr>
          <w:ins w:id="244" w:author="Author" w:date="2025-07-18T10:42:00Z"/>
        </w:rPr>
      </w:pPr>
      <w:r>
        <w:t>Syndróm aktivácie makrofágov (MAS) je závažný život ohrozujúci stav, ktorý sa môže vyvinúť u pacientov so sJIA. V klinických skúšaniach sa tocilizumab neskúmal u pacientov počas epizódy aktívneho MAS.</w:t>
      </w:r>
    </w:p>
    <w:p w14:paraId="3D9A95B1" w14:textId="77777777" w:rsidR="009700E5" w:rsidRDefault="009700E5">
      <w:pPr>
        <w:keepNext/>
        <w:keepLines/>
        <w:rPr>
          <w:ins w:id="245" w:author="Author" w:date="2025-07-18T10:42:00Z"/>
        </w:rPr>
      </w:pPr>
    </w:p>
    <w:p w14:paraId="6E6D6ACF" w14:textId="77777777" w:rsidR="009700E5" w:rsidRDefault="002C033C">
      <w:pPr>
        <w:rPr>
          <w:ins w:id="246" w:author="Author" w:date="2025-07-18T10:42:00Z"/>
          <w:i/>
          <w:iCs/>
        </w:rPr>
      </w:pPr>
      <w:ins w:id="247" w:author="Author" w:date="2025-07-18T10:42:00Z">
        <w:r>
          <w:rPr>
            <w:i/>
            <w:iCs/>
          </w:rPr>
          <w:t>Sodík</w:t>
        </w:r>
      </w:ins>
    </w:p>
    <w:p w14:paraId="76A77A49" w14:textId="77777777" w:rsidR="009700E5" w:rsidRDefault="002C033C">
      <w:pPr>
        <w:rPr>
          <w:ins w:id="248" w:author="Author" w:date="2025-07-18T10:42:00Z"/>
        </w:rPr>
      </w:pPr>
      <w:ins w:id="249" w:author="Author" w:date="2025-07-18T10:42:00Z">
        <w:r>
          <w:lastRenderedPageBreak/>
          <w:t xml:space="preserve">Po zriedení 0,9 % injekčným roztokom chloridu sodného obsahuje tento liek 230,6 mg sodíka v maximálnej dávke 800 mg, čo zodpovedá 11,5 % </w:t>
        </w:r>
        <w:r>
          <w:rPr>
            <w:szCs w:val="22"/>
          </w:rPr>
          <w:t>WHO odporúčaného maximálneho denného príjmu 2 g sodíka pre dospelú osobu.</w:t>
        </w:r>
      </w:ins>
    </w:p>
    <w:p w14:paraId="120B42BA" w14:textId="77777777" w:rsidR="009700E5" w:rsidRDefault="009700E5">
      <w:pPr>
        <w:rPr>
          <w:ins w:id="250" w:author="Author" w:date="2025-07-18T10:42:00Z"/>
        </w:rPr>
      </w:pPr>
    </w:p>
    <w:p w14:paraId="550B84F4" w14:textId="77777777" w:rsidR="009700E5" w:rsidRDefault="002C033C">
      <w:pPr>
        <w:rPr>
          <w:ins w:id="251" w:author="Author" w:date="2025-07-18T10:42:00Z"/>
          <w:i/>
          <w:iCs/>
        </w:rPr>
      </w:pPr>
      <w:ins w:id="252" w:author="Author" w:date="2025-07-18T10:42:00Z">
        <w:r>
          <w:rPr>
            <w:i/>
            <w:iCs/>
          </w:rPr>
          <w:t>Polysorbát</w:t>
        </w:r>
      </w:ins>
      <w:ins w:id="253" w:author="Author" w:date="2025-07-20T22:25:00Z">
        <w:r>
          <w:rPr>
            <w:i/>
            <w:iCs/>
          </w:rPr>
          <w:t xml:space="preserve"> 80 (E</w:t>
        </w:r>
      </w:ins>
      <w:ins w:id="254" w:author="Author" w:date="2025-07-21T09:23:00Z">
        <w:r>
          <w:rPr>
            <w:i/>
            <w:iCs/>
          </w:rPr>
          <w:t> </w:t>
        </w:r>
      </w:ins>
      <w:ins w:id="255" w:author="Author" w:date="2025-07-20T22:25:00Z">
        <w:r>
          <w:rPr>
            <w:i/>
            <w:iCs/>
          </w:rPr>
          <w:t>433)</w:t>
        </w:r>
      </w:ins>
    </w:p>
    <w:p w14:paraId="35F86500" w14:textId="77777777" w:rsidR="009700E5" w:rsidRDefault="002C033C">
      <w:pPr>
        <w:rPr>
          <w:ins w:id="256" w:author="Author" w:date="2025-07-24T20:56:00Z"/>
        </w:rPr>
      </w:pPr>
      <w:ins w:id="257" w:author="Author" w:date="2025-07-18T10:42:00Z">
        <w:r>
          <w:t xml:space="preserve">Tento liek obsahuje 2 mg polysorbátu 80 v každej 80 mg injekčnej liekovke, 5 mg polysorbátu 80 v každej 200 mg injekčnej liekovke a 10 mg polysorbátu 80 v každej 400 mg injekčnej liekovke, čo zodpovedá 0,5 mg/ml. </w:t>
        </w:r>
      </w:ins>
    </w:p>
    <w:p w14:paraId="15477B1B" w14:textId="77777777" w:rsidR="009700E5" w:rsidRDefault="002C033C">
      <w:pPr>
        <w:pPrChange w:id="258" w:author="Author" w:date="2025-07-18T10:43:00Z">
          <w:pPr>
            <w:keepNext/>
            <w:keepLines/>
          </w:pPr>
        </w:pPrChange>
      </w:pPr>
      <w:ins w:id="259" w:author="Author" w:date="2025-07-18T10:42:00Z">
        <w:r>
          <w:t>Polysorbáty môžu vyvolať alergické reakcie. Do úvahy sa musia vziať známe alergie pacientov.</w:t>
        </w:r>
      </w:ins>
    </w:p>
    <w:p w14:paraId="724A86EF" w14:textId="77777777" w:rsidR="009700E5" w:rsidRDefault="009700E5"/>
    <w:p w14:paraId="30276DA5" w14:textId="77777777" w:rsidR="009700E5" w:rsidRDefault="002C033C">
      <w:pPr>
        <w:keepNext/>
        <w:keepLines/>
        <w:outlineLvl w:val="0"/>
        <w:pPrChange w:id="260" w:author="TCS" w:date="2026-03-20T12:44:00Z">
          <w:pPr>
            <w:outlineLvl w:val="0"/>
          </w:pPr>
        </w:pPrChange>
      </w:pPr>
      <w:r>
        <w:rPr>
          <w:b/>
        </w:rPr>
        <w:t>4.5</w:t>
      </w:r>
      <w:r>
        <w:rPr>
          <w:b/>
        </w:rPr>
        <w:tab/>
      </w:r>
      <w:r>
        <w:rPr>
          <w:b/>
          <w:szCs w:val="22"/>
        </w:rPr>
        <w:t>Liekové a iné interakcie</w:t>
      </w:r>
    </w:p>
    <w:p w14:paraId="73A61F4A" w14:textId="77777777" w:rsidR="009700E5" w:rsidRDefault="009700E5"/>
    <w:p w14:paraId="470B5D9B" w14:textId="77777777" w:rsidR="009700E5" w:rsidRDefault="002C033C">
      <w:pPr>
        <w:rPr>
          <w:szCs w:val="22"/>
        </w:rPr>
      </w:pPr>
      <w:r>
        <w:rPr>
          <w:szCs w:val="22"/>
        </w:rPr>
        <w:t>Interakčné</w:t>
      </w:r>
      <w:ins w:id="261" w:author="Author" w:date="2025-07-18T10:54:00Z">
        <w:r>
          <w:rPr>
            <w:szCs w:val="22"/>
          </w:rPr>
          <w:t xml:space="preserve"> </w:t>
        </w:r>
      </w:ins>
      <w:del w:id="262" w:author="Author" w:date="2025-07-18T10:54:00Z">
        <w:r>
          <w:rPr>
            <w:szCs w:val="22"/>
          </w:rPr>
          <w:delText xml:space="preserve"> štúdie</w:delText>
        </w:r>
      </w:del>
      <w:ins w:id="263" w:author="Author" w:date="2025-07-18T10:54:00Z">
        <w:r>
          <w:rPr>
            <w:szCs w:val="22"/>
          </w:rPr>
          <w:t>klinické skúšania</w:t>
        </w:r>
      </w:ins>
      <w:r>
        <w:rPr>
          <w:szCs w:val="22"/>
        </w:rPr>
        <w:t xml:space="preserve"> sa uskutočnili iba u dospelých.</w:t>
      </w:r>
    </w:p>
    <w:p w14:paraId="1A12E9BD" w14:textId="77777777" w:rsidR="009700E5" w:rsidRDefault="009700E5"/>
    <w:p w14:paraId="629DB6BF" w14:textId="77777777" w:rsidR="009700E5" w:rsidRDefault="002C033C">
      <w:r>
        <w:rPr>
          <w:rFonts w:eastAsia="SimSun"/>
          <w:lang w:eastAsia="zh-CN" w:bidi="th-TH"/>
        </w:rPr>
        <w:t>Súbežné podanie jednorazovej dávky tocilizumabu 10 mg/kg s MTX v dávke 10 </w:t>
      </w:r>
      <w:r>
        <w:rPr>
          <w:rFonts w:eastAsia="SimSun"/>
          <w:lang w:eastAsia="zh-CN" w:bidi="th-TH"/>
        </w:rPr>
        <w:noBreakHyphen/>
        <w:t> 25 mg podávanej jedenkrát týždenne nemalo klinicky významný vplyv na expozíciu MTX.</w:t>
      </w:r>
    </w:p>
    <w:p w14:paraId="5778BB57" w14:textId="77777777" w:rsidR="009700E5" w:rsidRDefault="009700E5"/>
    <w:p w14:paraId="4DB7DF68" w14:textId="77777777" w:rsidR="009700E5" w:rsidRDefault="002C033C">
      <w:r>
        <w:t>Populačné farmakokinetické analýzy nezistili žiaden vplyv MTX, NSAID alebo kortikosteroidov na klírens tocilizumabu.</w:t>
      </w:r>
    </w:p>
    <w:p w14:paraId="22027AB7" w14:textId="77777777" w:rsidR="009700E5" w:rsidRDefault="009700E5"/>
    <w:p w14:paraId="542A8177" w14:textId="77777777" w:rsidR="009700E5" w:rsidRDefault="002C033C">
      <w:r>
        <w:t>Účinkom cytokínov, ako je napr. IL</w:t>
      </w:r>
      <w:r>
        <w:noBreakHyphen/>
        <w:t>6, ktoré stimulujú chronický zápal, dochádza k potlačeniu expresie pečeňových enzýmov CYP450. Pri začatí liečby silne účinným inhibítorom cytokínov, ako je tocilizumab, preto môže dôjsť k obnoveniu expresie enzýmov CYP450.</w:t>
      </w:r>
    </w:p>
    <w:p w14:paraId="7DB59AE7" w14:textId="77777777" w:rsidR="009700E5" w:rsidRDefault="009700E5"/>
    <w:p w14:paraId="3B04869B" w14:textId="77777777" w:rsidR="009700E5" w:rsidRDefault="002C033C">
      <w:r>
        <w:t xml:space="preserve">Skúšania </w:t>
      </w:r>
      <w:r>
        <w:rPr>
          <w:i/>
          <w:iCs/>
        </w:rPr>
        <w:t>in vitro</w:t>
      </w:r>
      <w:r>
        <w:t xml:space="preserve"> na kultivovaných ľudských hepatocytoch preukázali, že IL</w:t>
      </w:r>
      <w:r>
        <w:noBreakHyphen/>
        <w:t>6 spôsobuje zníženie expresie enzýmov CYP1A2, CYP2C9, CYP2C19 a CYP3A4. Tocilizumab normalizuje expresiu týchto enzýmov.</w:t>
      </w:r>
    </w:p>
    <w:p w14:paraId="37ACB75C" w14:textId="77777777" w:rsidR="009700E5" w:rsidRDefault="009700E5"/>
    <w:p w14:paraId="78031019" w14:textId="77777777" w:rsidR="009700E5" w:rsidRDefault="002C033C">
      <w:r>
        <w:t>V</w:t>
      </w:r>
      <w:del w:id="264" w:author="Author" w:date="2025-07-18T10:54:00Z">
        <w:r>
          <w:delText xml:space="preserve"> </w:delText>
        </w:r>
      </w:del>
      <w:ins w:id="265" w:author="Author" w:date="2025-07-18T10:54:00Z">
        <w:r>
          <w:t> </w:t>
        </w:r>
      </w:ins>
      <w:del w:id="266" w:author="Author" w:date="2025-07-18T10:54:00Z">
        <w:r>
          <w:delText xml:space="preserve">štúdii </w:delText>
        </w:r>
      </w:del>
      <w:ins w:id="267" w:author="Author" w:date="2025-07-18T10:54:00Z">
        <w:r>
          <w:t xml:space="preserve">klinickom skúšaní </w:t>
        </w:r>
      </w:ins>
      <w:r>
        <w:t>s pacientami s RA boli hladiny simvastatínu (CYP3A4) znížené o 57 % jeden týždeň po jednotlivej dávke tocilizumabu na hodnotu podobnú alebo mierne vyššiu, ako sa pozorovala u zdravých ľudí.</w:t>
      </w:r>
    </w:p>
    <w:p w14:paraId="288D7A75" w14:textId="77777777" w:rsidR="009700E5" w:rsidRDefault="009700E5">
      <w:pPr>
        <w:rPr>
          <w:rFonts w:eastAsia="SimSun"/>
          <w:lang w:eastAsia="zh-CN" w:bidi="th-TH"/>
        </w:rPr>
      </w:pPr>
    </w:p>
    <w:p w14:paraId="569F9938" w14:textId="77777777" w:rsidR="009700E5" w:rsidRDefault="002C033C">
      <w:r>
        <w:rPr>
          <w:rFonts w:eastAsia="SimSun"/>
          <w:lang w:eastAsia="zh-CN" w:bidi="th-TH"/>
        </w:rPr>
        <w:t>Pri začatí alebo ukončení liečby tocilizumabom sa musia sledovať pacienti, ktorí užívajú individuálne upravované dávky liekov metabolizovaných prostredníctvom CYP450 3A4, 1A2 alebo 2C9 (napr. metylprednizolón, dexametazón (možnosť vzniku abstinenčného syndrómu v dôsledku vysadenia perorálnych glukokortikoidov), atorvastatín, blokátory kalciového kanála, teofylín, warfarín, fenprokumón, fenytoín, cyklosporín alebo benzodiazepíny), keďže na udržanie ich terapeutického účinku môže byť potrebné zvýšenie dávok. Vzhľadom na dlhý eliminačný polčas (t</w:t>
      </w:r>
      <w:r>
        <w:rPr>
          <w:rFonts w:eastAsia="SimSun"/>
          <w:vertAlign w:val="subscript"/>
          <w:lang w:eastAsia="zh-CN" w:bidi="th-TH"/>
        </w:rPr>
        <w:t>1/2</w:t>
      </w:r>
      <w:r>
        <w:rPr>
          <w:rFonts w:eastAsia="SimSun"/>
          <w:lang w:eastAsia="zh-CN" w:bidi="th-TH"/>
        </w:rPr>
        <w:t>) môže vplyv tocilizumabu na aktivitu enzýmov CYP450 pretrvávať niekoľko týždňov po ukončení liečby.</w:t>
      </w:r>
    </w:p>
    <w:p w14:paraId="43C5D475" w14:textId="77777777" w:rsidR="009700E5" w:rsidRDefault="009700E5">
      <w:pPr>
        <w:outlineLvl w:val="0"/>
        <w:rPr>
          <w:b/>
        </w:rPr>
      </w:pPr>
    </w:p>
    <w:p w14:paraId="1774618D" w14:textId="77777777" w:rsidR="009700E5" w:rsidRDefault="002C033C">
      <w:pPr>
        <w:keepNext/>
        <w:keepLines/>
        <w:outlineLvl w:val="0"/>
        <w:rPr>
          <w:b/>
        </w:rPr>
      </w:pPr>
      <w:r>
        <w:rPr>
          <w:b/>
        </w:rPr>
        <w:t>4.6</w:t>
      </w:r>
      <w:r>
        <w:rPr>
          <w:b/>
        </w:rPr>
        <w:tab/>
        <w:t>Fertilita, g</w:t>
      </w:r>
      <w:r>
        <w:rPr>
          <w:b/>
          <w:szCs w:val="22"/>
        </w:rPr>
        <w:t>ravidita a laktácia</w:t>
      </w:r>
    </w:p>
    <w:p w14:paraId="66CF17EA" w14:textId="77777777" w:rsidR="009700E5" w:rsidRDefault="009700E5">
      <w:pPr>
        <w:keepNext/>
        <w:keepLines/>
        <w:outlineLvl w:val="0"/>
      </w:pPr>
    </w:p>
    <w:p w14:paraId="31D566F7" w14:textId="77777777" w:rsidR="009700E5" w:rsidRDefault="002C033C">
      <w:pPr>
        <w:keepNext/>
        <w:outlineLvl w:val="0"/>
        <w:rPr>
          <w:iCs/>
          <w:u w:val="single"/>
        </w:rPr>
      </w:pPr>
      <w:r>
        <w:rPr>
          <w:iCs/>
          <w:u w:val="single"/>
        </w:rPr>
        <w:t>Ženy vo fertilnom veku</w:t>
      </w:r>
    </w:p>
    <w:p w14:paraId="62DBEE57" w14:textId="77777777" w:rsidR="009700E5" w:rsidRDefault="002C033C">
      <w:r>
        <w:t>Ženy vo fertilnom veku musia používať účinnú antikoncepciu počas liečby a 3 mesiace po ukončení liečby.</w:t>
      </w:r>
    </w:p>
    <w:p w14:paraId="2A536CED" w14:textId="77777777" w:rsidR="009700E5" w:rsidRDefault="009700E5">
      <w:pPr>
        <w:outlineLvl w:val="0"/>
        <w:rPr>
          <w:iCs/>
          <w:u w:val="single"/>
        </w:rPr>
      </w:pPr>
    </w:p>
    <w:p w14:paraId="5D869A76" w14:textId="77777777" w:rsidR="009700E5" w:rsidRDefault="002C033C">
      <w:pPr>
        <w:keepNext/>
        <w:keepLines/>
        <w:outlineLvl w:val="0"/>
        <w:rPr>
          <w:iCs/>
          <w:u w:val="single"/>
        </w:rPr>
      </w:pPr>
      <w:r>
        <w:rPr>
          <w:iCs/>
          <w:u w:val="single"/>
        </w:rPr>
        <w:t>Gravidita</w:t>
      </w:r>
    </w:p>
    <w:p w14:paraId="0FE07CF5" w14:textId="77777777" w:rsidR="009700E5" w:rsidRDefault="002C033C">
      <w:r>
        <w:t xml:space="preserve">Nie sú k dispozícii dostatočné údaje o použití tocilizumabu u gravidných žien. </w:t>
      </w:r>
      <w:ins w:id="268" w:author="Author" w:date="2025-07-21T09:24:00Z">
        <w:r>
          <w:t>Klinické skúšanie</w:t>
        </w:r>
      </w:ins>
      <w:del w:id="269" w:author="Author" w:date="2025-07-21T09:24:00Z">
        <w:r>
          <w:delText>Štúdia</w:delText>
        </w:r>
      </w:del>
      <w:r>
        <w:t xml:space="preserve"> na zvieratách preukázal</w:t>
      </w:r>
      <w:ins w:id="270" w:author="Author" w:date="2025-07-21T09:25:00Z">
        <w:r>
          <w:t>o</w:t>
        </w:r>
      </w:ins>
      <w:del w:id="271" w:author="Author" w:date="2025-07-21T09:25:00Z">
        <w:r>
          <w:delText>a</w:delText>
        </w:r>
      </w:del>
      <w:r>
        <w:t xml:space="preserve"> zvýšené riziko spontánneho potratu/embryofetálneho úmrtia pri podávaní vysokej dávky (pozri časť 5.3). Nie je známe potenciálne riziko u ľudí.</w:t>
      </w:r>
    </w:p>
    <w:p w14:paraId="32267F8C" w14:textId="77777777" w:rsidR="009700E5" w:rsidRDefault="009700E5">
      <w:pPr>
        <w:outlineLvl w:val="0"/>
      </w:pPr>
    </w:p>
    <w:p w14:paraId="09F7EEB6" w14:textId="77777777" w:rsidR="009700E5" w:rsidRDefault="002C033C">
      <w:pPr>
        <w:outlineLvl w:val="0"/>
      </w:pPr>
      <w:r>
        <w:t>RoActemra sa môže používať počas gravidity iba v nevyhnutných prípadoch.</w:t>
      </w:r>
    </w:p>
    <w:p w14:paraId="078D6F39" w14:textId="77777777" w:rsidR="009700E5" w:rsidRDefault="009700E5">
      <w:pPr>
        <w:outlineLvl w:val="0"/>
        <w:rPr>
          <w:iCs/>
        </w:rPr>
      </w:pPr>
    </w:p>
    <w:p w14:paraId="57F08C89" w14:textId="77777777" w:rsidR="009700E5" w:rsidRDefault="002C033C">
      <w:pPr>
        <w:outlineLvl w:val="0"/>
        <w:rPr>
          <w:iCs/>
          <w:u w:val="single"/>
        </w:rPr>
      </w:pPr>
      <w:r>
        <w:rPr>
          <w:iCs/>
          <w:u w:val="single"/>
        </w:rPr>
        <w:t>Dojčenie</w:t>
      </w:r>
    </w:p>
    <w:p w14:paraId="424C51C4" w14:textId="77777777" w:rsidR="009700E5" w:rsidRDefault="002C033C">
      <w:r>
        <w:t>Nie je známe, či sa tocilizumab vylučuje do ľudského mlieka. Vylučovanie tocilizumabu do mlieka sa u zvierat neskúmalo. Rozhodnutie, či ukončiť dojčenie alebo ukončiť/prerušiť liečbu RoActemrou sa má urobiť po zvážení prínosu dojčenia pre dieťa a prínos liečby pre ženu.</w:t>
      </w:r>
    </w:p>
    <w:p w14:paraId="04E9988F" w14:textId="77777777" w:rsidR="009700E5" w:rsidRDefault="009700E5"/>
    <w:p w14:paraId="108E5CF3" w14:textId="77777777" w:rsidR="009700E5" w:rsidRDefault="002C033C">
      <w:r>
        <w:rPr>
          <w:u w:val="single"/>
        </w:rPr>
        <w:t>Fertilita</w:t>
      </w:r>
    </w:p>
    <w:p w14:paraId="40909631" w14:textId="77777777" w:rsidR="009700E5" w:rsidRDefault="002C033C">
      <w:r>
        <w:t>Dostupné predklinické údaje nenaznačujú vplyv liečby tocilizumabom na fertilitu.</w:t>
      </w:r>
    </w:p>
    <w:p w14:paraId="05DEAD52" w14:textId="77777777" w:rsidR="009700E5" w:rsidRDefault="009700E5"/>
    <w:p w14:paraId="4AABDC42" w14:textId="77777777" w:rsidR="009700E5" w:rsidRDefault="002C033C">
      <w:pPr>
        <w:keepNext/>
        <w:outlineLvl w:val="0"/>
      </w:pPr>
      <w:r>
        <w:rPr>
          <w:b/>
        </w:rPr>
        <w:t>4.7</w:t>
      </w:r>
      <w:r>
        <w:rPr>
          <w:b/>
        </w:rPr>
        <w:tab/>
      </w:r>
      <w:r>
        <w:rPr>
          <w:b/>
          <w:szCs w:val="22"/>
        </w:rPr>
        <w:t>Ovplyvnenie schopnosti viesť vozidlá a obsluhovať stroje</w:t>
      </w:r>
    </w:p>
    <w:p w14:paraId="3E2DB608" w14:textId="77777777" w:rsidR="009700E5" w:rsidRDefault="009700E5">
      <w:pPr>
        <w:keepNext/>
      </w:pPr>
    </w:p>
    <w:p w14:paraId="7AAD1384" w14:textId="77777777" w:rsidR="009700E5" w:rsidRDefault="002C033C">
      <w:r>
        <w:rPr>
          <w:szCs w:val="22"/>
        </w:rPr>
        <w:t>RoActemra má malý vplyv na schopnosť viesť vozidlá a obsluhovať stroje, napr. závraty (pozri časť 4.8).</w:t>
      </w:r>
    </w:p>
    <w:p w14:paraId="5CD29B26" w14:textId="77777777" w:rsidR="009700E5" w:rsidRDefault="009700E5">
      <w:pPr>
        <w:keepNext/>
        <w:keepLines/>
        <w:outlineLvl w:val="0"/>
        <w:rPr>
          <w:b/>
        </w:rPr>
      </w:pPr>
    </w:p>
    <w:p w14:paraId="1696E5BC" w14:textId="77777777" w:rsidR="009700E5" w:rsidRDefault="002C033C">
      <w:pPr>
        <w:keepNext/>
        <w:keepLines/>
        <w:outlineLvl w:val="0"/>
        <w:rPr>
          <w:b/>
        </w:rPr>
      </w:pPr>
      <w:r>
        <w:rPr>
          <w:b/>
        </w:rPr>
        <w:t>4.8</w:t>
      </w:r>
      <w:r>
        <w:rPr>
          <w:b/>
        </w:rPr>
        <w:tab/>
      </w:r>
      <w:r>
        <w:rPr>
          <w:b/>
          <w:szCs w:val="22"/>
        </w:rPr>
        <w:t>Nežiaduce účinky</w:t>
      </w:r>
    </w:p>
    <w:p w14:paraId="35F82A79" w14:textId="77777777" w:rsidR="009700E5" w:rsidRDefault="009700E5">
      <w:pPr>
        <w:keepNext/>
        <w:keepLines/>
        <w:outlineLvl w:val="0"/>
      </w:pPr>
    </w:p>
    <w:p w14:paraId="0C82413F" w14:textId="77777777" w:rsidR="009700E5" w:rsidRDefault="002C033C">
      <w:pPr>
        <w:rPr>
          <w:szCs w:val="22"/>
          <w:u w:val="single"/>
        </w:rPr>
      </w:pPr>
      <w:r>
        <w:rPr>
          <w:szCs w:val="22"/>
          <w:u w:val="single"/>
        </w:rPr>
        <w:t>Súhrn bezpečnostného rizika</w:t>
      </w:r>
    </w:p>
    <w:p w14:paraId="7C0DC6D4" w14:textId="77777777" w:rsidR="009700E5" w:rsidRDefault="002C033C">
      <w:pPr>
        <w:rPr>
          <w:i/>
          <w:iCs/>
        </w:rPr>
      </w:pPr>
      <w:r>
        <w:rPr>
          <w:i/>
          <w:iCs/>
        </w:rPr>
        <w:t>RA, sJIA, pJIA a CRS</w:t>
      </w:r>
    </w:p>
    <w:p w14:paraId="3791B504" w14:textId="77777777" w:rsidR="009700E5" w:rsidRDefault="002C033C">
      <w:r>
        <w:t>Najčastejšie hlásené nežiaduce reakcie sú infekcie horných dýchacích ciest, nazofaryngitída, bolesť hlavy, hypertenzia a zvýšené hodnoty ALT.</w:t>
      </w:r>
    </w:p>
    <w:p w14:paraId="6BDA39FC" w14:textId="77777777" w:rsidR="009700E5" w:rsidRDefault="009700E5">
      <w:pPr>
        <w:outlineLvl w:val="0"/>
        <w:rPr>
          <w:bCs/>
        </w:rPr>
      </w:pPr>
    </w:p>
    <w:p w14:paraId="2DEF6917" w14:textId="77777777" w:rsidR="009700E5" w:rsidRDefault="002C033C">
      <w:pPr>
        <w:keepNext/>
        <w:keepLines/>
        <w:outlineLvl w:val="0"/>
      </w:pPr>
      <w:r>
        <w:t>Najvážnejšie nežiaduce reakcie sú závažné infekcie, komplikácie divertikulitídy a reakcie z precitlivenosti.</w:t>
      </w:r>
    </w:p>
    <w:p w14:paraId="549F6A9A" w14:textId="77777777" w:rsidR="009700E5" w:rsidRDefault="009700E5">
      <w:pPr>
        <w:ind w:left="567" w:hanging="567"/>
        <w:outlineLvl w:val="0"/>
        <w:rPr>
          <w:szCs w:val="22"/>
          <w:u w:val="single"/>
        </w:rPr>
      </w:pPr>
      <w:bookmarkStart w:id="272" w:name="_Hlk88023102"/>
    </w:p>
    <w:p w14:paraId="02C96838" w14:textId="77777777" w:rsidR="009700E5" w:rsidRDefault="002C033C">
      <w:pPr>
        <w:ind w:left="567" w:hanging="567"/>
        <w:outlineLvl w:val="0"/>
        <w:rPr>
          <w:i/>
          <w:iCs/>
          <w:szCs w:val="22"/>
        </w:rPr>
      </w:pPr>
      <w:r>
        <w:rPr>
          <w:i/>
          <w:iCs/>
          <w:szCs w:val="22"/>
        </w:rPr>
        <w:t>COVID</w:t>
      </w:r>
      <w:r>
        <w:rPr>
          <w:i/>
          <w:iCs/>
          <w:szCs w:val="22"/>
        </w:rPr>
        <w:noBreakHyphen/>
        <w:t>19</w:t>
      </w:r>
    </w:p>
    <w:p w14:paraId="03AFF0C2" w14:textId="77777777" w:rsidR="009700E5" w:rsidRDefault="002C033C">
      <w:pPr>
        <w:outlineLvl w:val="0"/>
      </w:pPr>
      <w:r>
        <w:t>Najčastejšie hlásené nežiaduce reakcie sú zvýšené hodnoty pečeňových transamináz, zápcha a infekcia močových ciest.</w:t>
      </w:r>
    </w:p>
    <w:p w14:paraId="0FB3EFBD" w14:textId="77777777" w:rsidR="009700E5" w:rsidRDefault="009700E5">
      <w:pPr>
        <w:outlineLvl w:val="0"/>
        <w:rPr>
          <w:szCs w:val="22"/>
        </w:rPr>
      </w:pPr>
    </w:p>
    <w:p w14:paraId="0500E50B" w14:textId="77777777" w:rsidR="009700E5" w:rsidRDefault="002C033C">
      <w:pPr>
        <w:outlineLvl w:val="0"/>
        <w:rPr>
          <w:szCs w:val="22"/>
          <w:u w:val="single"/>
        </w:rPr>
      </w:pPr>
      <w:r>
        <w:rPr>
          <w:szCs w:val="22"/>
          <w:u w:val="single"/>
        </w:rPr>
        <w:t>Tabuľkový zoznam nežiaducich reakcií</w:t>
      </w:r>
    </w:p>
    <w:p w14:paraId="0E5F94DA" w14:textId="77777777" w:rsidR="009700E5" w:rsidRDefault="002C033C">
      <w:pPr>
        <w:rPr>
          <w:szCs w:val="22"/>
          <w:u w:val="single"/>
        </w:rPr>
      </w:pPr>
      <w:r>
        <w:t xml:space="preserve">Nežiaduce reakcie z klinických skúšaní a/alebo zo skúseností po uvedení tocilizumabu na trh vychádzajúcich zo spontánnych hlásení prípadov, prípadov uvedených v literatúre a prípadov z programov neintervenčných </w:t>
      </w:r>
      <w:ins w:id="273" w:author="Author" w:date="2025-07-18T10:55:00Z">
        <w:r>
          <w:t>klinických skúšaní</w:t>
        </w:r>
      </w:ins>
      <w:del w:id="274" w:author="Author" w:date="2025-07-18T10:55:00Z">
        <w:r>
          <w:delText>štúdií</w:delText>
        </w:r>
      </w:del>
      <w:r>
        <w:t xml:space="preserve"> sú uvedené v tabuľke 1 a v tabuľke 2 podľa TOS (triedy orgánových systémov) MedDRA. Zodpovedajúca kategória frekvencie pre každú nežiaducu reakciu je založená na nasledovnej konvencii: veľmi časté (</w:t>
      </w:r>
      <w:r>
        <w:rPr>
          <w:rFonts w:eastAsia="PMingLiU"/>
          <w:szCs w:val="22"/>
          <w:lang w:eastAsia="zh-CN"/>
        </w:rPr>
        <w:t>≥</w:t>
      </w:r>
      <w:r>
        <w:t> 1/10), časté (</w:t>
      </w:r>
      <w:r>
        <w:rPr>
          <w:rFonts w:eastAsia="PMingLiU"/>
          <w:szCs w:val="22"/>
          <w:lang w:eastAsia="zh-CN"/>
        </w:rPr>
        <w:t>≥</w:t>
      </w:r>
      <w:r>
        <w:t xml:space="preserve"> 1/100 až </w:t>
      </w:r>
      <w:r>
        <w:rPr>
          <w:rFonts w:eastAsia="MS Mincho"/>
          <w:szCs w:val="22"/>
        </w:rPr>
        <w:sym w:font="Symbol" w:char="F03C"/>
      </w:r>
      <w:r>
        <w:t> 1/10), menej časté (</w:t>
      </w:r>
      <w:r>
        <w:rPr>
          <w:rFonts w:eastAsia="PMingLiU"/>
          <w:szCs w:val="22"/>
          <w:lang w:eastAsia="zh-CN"/>
        </w:rPr>
        <w:t>≥</w:t>
      </w:r>
      <w:r>
        <w:t xml:space="preserve"> 1/1 000 až </w:t>
      </w:r>
      <w:r>
        <w:rPr>
          <w:rFonts w:eastAsia="MS Mincho"/>
          <w:szCs w:val="22"/>
        </w:rPr>
        <w:sym w:font="Symbol" w:char="F03C"/>
      </w:r>
      <w:r>
        <w:t> 1/100), zriedkavé (</w:t>
      </w:r>
      <w:r>
        <w:rPr>
          <w:rFonts w:eastAsia="PMingLiU"/>
          <w:szCs w:val="22"/>
          <w:lang w:eastAsia="zh-CN"/>
        </w:rPr>
        <w:t>≥</w:t>
      </w:r>
      <w:r>
        <w:t xml:space="preserve"> 1/10 000 až </w:t>
      </w:r>
      <w:r>
        <w:rPr>
          <w:rFonts w:eastAsia="MS Mincho"/>
          <w:szCs w:val="22"/>
        </w:rPr>
        <w:sym w:font="Symbol" w:char="F03C"/>
      </w:r>
      <w:r>
        <w:t> 1/1 000), veľmi zriedkavé (</w:t>
      </w:r>
      <w:r>
        <w:rPr>
          <w:rFonts w:eastAsia="MS Mincho"/>
          <w:szCs w:val="22"/>
        </w:rPr>
        <w:sym w:font="Symbol" w:char="F03C"/>
      </w:r>
      <w:r>
        <w:t> 1/10 000) a neznáme (z dostupných údajov). V rámci jednotlivých skupín frekvencií sú nežiaduce reakcie usporiadané v poradí klesajúcej závažnosti.</w:t>
      </w:r>
    </w:p>
    <w:bookmarkEnd w:id="272"/>
    <w:p w14:paraId="03DE33B9" w14:textId="77777777" w:rsidR="009700E5" w:rsidRDefault="009700E5">
      <w:pPr>
        <w:ind w:left="567" w:hanging="567"/>
        <w:outlineLvl w:val="0"/>
        <w:rPr>
          <w:szCs w:val="22"/>
          <w:u w:val="single"/>
        </w:rPr>
      </w:pPr>
    </w:p>
    <w:p w14:paraId="7E72E4BB" w14:textId="77777777" w:rsidR="009700E5" w:rsidRDefault="002C033C">
      <w:pPr>
        <w:keepNext/>
        <w:keepLines/>
        <w:rPr>
          <w:i/>
          <w:iCs/>
          <w:szCs w:val="22"/>
        </w:rPr>
      </w:pPr>
      <w:r>
        <w:rPr>
          <w:i/>
          <w:iCs/>
          <w:szCs w:val="22"/>
        </w:rPr>
        <w:t>Pacienti s RA</w:t>
      </w:r>
    </w:p>
    <w:p w14:paraId="18BDDC0D" w14:textId="77777777" w:rsidR="009700E5" w:rsidRDefault="009700E5">
      <w:pPr>
        <w:keepNext/>
        <w:keepLines/>
      </w:pPr>
    </w:p>
    <w:p w14:paraId="46AF8F34" w14:textId="77777777" w:rsidR="009700E5" w:rsidRDefault="002C033C">
      <w:pPr>
        <w:keepNext/>
        <w:keepLines/>
        <w:spacing w:line="160" w:lineRule="atLeast"/>
        <w:ind w:left="567" w:hanging="567"/>
        <w:rPr>
          <w:bCs/>
        </w:rPr>
      </w:pPr>
      <w:r>
        <w:rPr>
          <w:i/>
        </w:rPr>
        <w:t>Tabuľka 1. Zoznam nežiaducich reakcií vyskytujúcich sa u pacientov s RA, liečených tocilizumabom v monoterapii alebo v kombinácii s MTX alebo inými DMARDs počas dvojito zaslepeného kontrolovaného obdobia alebo zo skúseností po uvedení lieku na trh</w:t>
      </w:r>
    </w:p>
    <w:p w14:paraId="5815855F" w14:textId="77777777" w:rsidR="009700E5" w:rsidRDefault="009700E5">
      <w:pPr>
        <w:keepNext/>
        <w:keepLines/>
        <w:spacing w:line="200" w:lineRule="exact"/>
        <w:rPr>
          <w:szCs w:val="22"/>
        </w:rPr>
      </w:pP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30"/>
        <w:gridCol w:w="1531"/>
        <w:gridCol w:w="1531"/>
        <w:gridCol w:w="1531"/>
        <w:gridCol w:w="1531"/>
      </w:tblGrid>
      <w:tr w:rsidR="009700E5" w14:paraId="183B8894" w14:textId="77777777">
        <w:trPr>
          <w:cantSplit/>
          <w:tblHeader/>
        </w:trPr>
        <w:tc>
          <w:tcPr>
            <w:tcW w:w="1384" w:type="dxa"/>
            <w:vMerge w:val="restart"/>
          </w:tcPr>
          <w:p w14:paraId="4CAA724A" w14:textId="77777777" w:rsidR="009700E5" w:rsidRDefault="002C033C">
            <w:pPr>
              <w:keepNext/>
              <w:keepLines/>
              <w:jc w:val="center"/>
              <w:rPr>
                <w:b/>
                <w:szCs w:val="22"/>
              </w:rPr>
            </w:pPr>
            <w:r>
              <w:rPr>
                <w:b/>
                <w:szCs w:val="22"/>
              </w:rPr>
              <w:t>TOS MedDRA</w:t>
            </w:r>
          </w:p>
        </w:tc>
        <w:tc>
          <w:tcPr>
            <w:tcW w:w="7654" w:type="dxa"/>
            <w:gridSpan w:val="5"/>
          </w:tcPr>
          <w:p w14:paraId="41EF667C" w14:textId="77777777" w:rsidR="009700E5" w:rsidRDefault="002C033C">
            <w:pPr>
              <w:keepNext/>
              <w:keepLines/>
              <w:jc w:val="center"/>
              <w:rPr>
                <w:b/>
                <w:szCs w:val="22"/>
              </w:rPr>
            </w:pPr>
            <w:r>
              <w:rPr>
                <w:b/>
                <w:szCs w:val="22"/>
              </w:rPr>
              <w:t>Preferovaný termín podľa kategórie frekvencie</w:t>
            </w:r>
          </w:p>
        </w:tc>
      </w:tr>
      <w:tr w:rsidR="009700E5" w14:paraId="3C68D908" w14:textId="77777777">
        <w:trPr>
          <w:cantSplit/>
          <w:tblHeader/>
        </w:trPr>
        <w:tc>
          <w:tcPr>
            <w:tcW w:w="1384" w:type="dxa"/>
            <w:vMerge/>
          </w:tcPr>
          <w:p w14:paraId="3EF34DF6" w14:textId="77777777" w:rsidR="009700E5" w:rsidRDefault="009700E5">
            <w:pPr>
              <w:keepNext/>
              <w:keepLines/>
              <w:jc w:val="center"/>
              <w:rPr>
                <w:b/>
                <w:szCs w:val="22"/>
              </w:rPr>
            </w:pPr>
          </w:p>
        </w:tc>
        <w:tc>
          <w:tcPr>
            <w:tcW w:w="1530" w:type="dxa"/>
          </w:tcPr>
          <w:p w14:paraId="1702B90D" w14:textId="77777777" w:rsidR="009700E5" w:rsidRDefault="002C033C">
            <w:pPr>
              <w:keepNext/>
              <w:keepLines/>
              <w:jc w:val="center"/>
              <w:rPr>
                <w:b/>
                <w:szCs w:val="22"/>
              </w:rPr>
            </w:pPr>
            <w:r>
              <w:rPr>
                <w:b/>
                <w:szCs w:val="22"/>
              </w:rPr>
              <w:t>Veľmi časté</w:t>
            </w:r>
          </w:p>
        </w:tc>
        <w:tc>
          <w:tcPr>
            <w:tcW w:w="1531" w:type="dxa"/>
          </w:tcPr>
          <w:p w14:paraId="5E81E3AA" w14:textId="77777777" w:rsidR="009700E5" w:rsidRDefault="002C033C">
            <w:pPr>
              <w:keepNext/>
              <w:keepLines/>
              <w:jc w:val="center"/>
              <w:rPr>
                <w:b/>
                <w:szCs w:val="22"/>
              </w:rPr>
            </w:pPr>
            <w:r>
              <w:rPr>
                <w:b/>
                <w:szCs w:val="22"/>
              </w:rPr>
              <w:t>Časté</w:t>
            </w:r>
          </w:p>
        </w:tc>
        <w:tc>
          <w:tcPr>
            <w:tcW w:w="1531" w:type="dxa"/>
          </w:tcPr>
          <w:p w14:paraId="3807D696" w14:textId="77777777" w:rsidR="009700E5" w:rsidRDefault="002C033C">
            <w:pPr>
              <w:keepNext/>
              <w:keepLines/>
              <w:jc w:val="center"/>
              <w:rPr>
                <w:b/>
                <w:szCs w:val="22"/>
              </w:rPr>
            </w:pPr>
            <w:r>
              <w:rPr>
                <w:b/>
                <w:szCs w:val="22"/>
              </w:rPr>
              <w:t>Menej časté</w:t>
            </w:r>
          </w:p>
        </w:tc>
        <w:tc>
          <w:tcPr>
            <w:tcW w:w="1531" w:type="dxa"/>
          </w:tcPr>
          <w:p w14:paraId="1FC00C90" w14:textId="77777777" w:rsidR="009700E5" w:rsidRDefault="002C033C">
            <w:pPr>
              <w:keepNext/>
              <w:keepLines/>
              <w:jc w:val="center"/>
              <w:rPr>
                <w:b/>
                <w:szCs w:val="22"/>
              </w:rPr>
            </w:pPr>
            <w:r>
              <w:rPr>
                <w:b/>
                <w:szCs w:val="22"/>
              </w:rPr>
              <w:t>Zriedkavé</w:t>
            </w:r>
          </w:p>
        </w:tc>
        <w:tc>
          <w:tcPr>
            <w:tcW w:w="1531" w:type="dxa"/>
          </w:tcPr>
          <w:p w14:paraId="25AEC283" w14:textId="77777777" w:rsidR="009700E5" w:rsidRDefault="002C033C">
            <w:pPr>
              <w:keepNext/>
              <w:keepLines/>
              <w:jc w:val="center"/>
              <w:rPr>
                <w:b/>
                <w:szCs w:val="22"/>
              </w:rPr>
            </w:pPr>
            <w:r>
              <w:rPr>
                <w:b/>
                <w:szCs w:val="22"/>
              </w:rPr>
              <w:t>Veľmi zriedkavé</w:t>
            </w:r>
          </w:p>
        </w:tc>
      </w:tr>
      <w:tr w:rsidR="009700E5" w14:paraId="67143FB9" w14:textId="77777777">
        <w:trPr>
          <w:cantSplit/>
        </w:trPr>
        <w:tc>
          <w:tcPr>
            <w:tcW w:w="1384" w:type="dxa"/>
          </w:tcPr>
          <w:p w14:paraId="1D5ADFA6" w14:textId="77777777" w:rsidR="009700E5" w:rsidRDefault="002C033C">
            <w:pPr>
              <w:keepNext/>
              <w:keepLines/>
              <w:rPr>
                <w:szCs w:val="22"/>
              </w:rPr>
            </w:pPr>
            <w:r>
              <w:rPr>
                <w:szCs w:val="22"/>
              </w:rPr>
              <w:t>Infekcie a nákazy</w:t>
            </w:r>
          </w:p>
        </w:tc>
        <w:tc>
          <w:tcPr>
            <w:tcW w:w="1530" w:type="dxa"/>
          </w:tcPr>
          <w:p w14:paraId="4242B1AE" w14:textId="77777777" w:rsidR="009700E5" w:rsidRDefault="002C033C">
            <w:pPr>
              <w:keepNext/>
              <w:keepLines/>
              <w:rPr>
                <w:szCs w:val="22"/>
              </w:rPr>
            </w:pPr>
            <w:r>
              <w:rPr>
                <w:szCs w:val="22"/>
              </w:rPr>
              <w:t>Infekcie horných dýchacích ciest</w:t>
            </w:r>
          </w:p>
        </w:tc>
        <w:tc>
          <w:tcPr>
            <w:tcW w:w="1531" w:type="dxa"/>
          </w:tcPr>
          <w:p w14:paraId="13A739E7" w14:textId="77777777" w:rsidR="009700E5" w:rsidRDefault="002C033C">
            <w:pPr>
              <w:keepNext/>
              <w:keepLines/>
              <w:rPr>
                <w:szCs w:val="22"/>
              </w:rPr>
            </w:pPr>
            <w:r>
              <w:rPr>
                <w:szCs w:val="22"/>
              </w:rPr>
              <w:t>Celulitída, pneumónia, jednoduchý opar v oblasti úst, pásový opar</w:t>
            </w:r>
          </w:p>
        </w:tc>
        <w:tc>
          <w:tcPr>
            <w:tcW w:w="1531" w:type="dxa"/>
          </w:tcPr>
          <w:p w14:paraId="116516A8" w14:textId="77777777" w:rsidR="009700E5" w:rsidRDefault="002C033C">
            <w:pPr>
              <w:keepNext/>
              <w:keepLines/>
              <w:rPr>
                <w:szCs w:val="22"/>
              </w:rPr>
            </w:pPr>
            <w:r>
              <w:rPr>
                <w:szCs w:val="22"/>
              </w:rPr>
              <w:t>Divertikulitída</w:t>
            </w:r>
          </w:p>
        </w:tc>
        <w:tc>
          <w:tcPr>
            <w:tcW w:w="1531" w:type="dxa"/>
          </w:tcPr>
          <w:p w14:paraId="6E22E64C" w14:textId="77777777" w:rsidR="009700E5" w:rsidRDefault="009700E5">
            <w:pPr>
              <w:keepNext/>
              <w:keepLines/>
              <w:rPr>
                <w:szCs w:val="22"/>
              </w:rPr>
            </w:pPr>
          </w:p>
        </w:tc>
        <w:tc>
          <w:tcPr>
            <w:tcW w:w="1531" w:type="dxa"/>
          </w:tcPr>
          <w:p w14:paraId="4BE9E573" w14:textId="77777777" w:rsidR="009700E5" w:rsidRDefault="009700E5">
            <w:pPr>
              <w:keepNext/>
              <w:keepLines/>
              <w:rPr>
                <w:szCs w:val="22"/>
              </w:rPr>
            </w:pPr>
          </w:p>
        </w:tc>
      </w:tr>
      <w:tr w:rsidR="009700E5" w14:paraId="33C2A0E8" w14:textId="77777777">
        <w:trPr>
          <w:cantSplit/>
        </w:trPr>
        <w:tc>
          <w:tcPr>
            <w:tcW w:w="1384" w:type="dxa"/>
          </w:tcPr>
          <w:p w14:paraId="0EDD78F9" w14:textId="77777777" w:rsidR="009700E5" w:rsidRDefault="002C033C">
            <w:pPr>
              <w:rPr>
                <w:szCs w:val="22"/>
              </w:rPr>
            </w:pPr>
            <w:r>
              <w:rPr>
                <w:szCs w:val="22"/>
              </w:rPr>
              <w:t>Poruchy krvi a lymfatic-kého systému</w:t>
            </w:r>
          </w:p>
        </w:tc>
        <w:tc>
          <w:tcPr>
            <w:tcW w:w="1530" w:type="dxa"/>
          </w:tcPr>
          <w:p w14:paraId="617696FC" w14:textId="77777777" w:rsidR="009700E5" w:rsidRDefault="009700E5">
            <w:pPr>
              <w:rPr>
                <w:szCs w:val="22"/>
              </w:rPr>
            </w:pPr>
          </w:p>
        </w:tc>
        <w:tc>
          <w:tcPr>
            <w:tcW w:w="1531" w:type="dxa"/>
          </w:tcPr>
          <w:p w14:paraId="1D8B3A09" w14:textId="77777777" w:rsidR="009700E5" w:rsidRDefault="002C033C">
            <w:pPr>
              <w:rPr>
                <w:szCs w:val="22"/>
              </w:rPr>
            </w:pPr>
            <w:r>
              <w:rPr>
                <w:szCs w:val="22"/>
              </w:rPr>
              <w:t>Leukopénia, neutropénia</w:t>
            </w:r>
            <w:r>
              <w:rPr>
                <w:color w:val="1A1A1A"/>
                <w:szCs w:val="22"/>
                <w:lang w:eastAsia="en-GB"/>
              </w:rPr>
              <w:t>, hypofibrino-genémia</w:t>
            </w:r>
          </w:p>
        </w:tc>
        <w:tc>
          <w:tcPr>
            <w:tcW w:w="1531" w:type="dxa"/>
          </w:tcPr>
          <w:p w14:paraId="013E21BF" w14:textId="77777777" w:rsidR="009700E5" w:rsidRDefault="009700E5">
            <w:pPr>
              <w:rPr>
                <w:szCs w:val="22"/>
              </w:rPr>
            </w:pPr>
          </w:p>
        </w:tc>
        <w:tc>
          <w:tcPr>
            <w:tcW w:w="1531" w:type="dxa"/>
          </w:tcPr>
          <w:p w14:paraId="47A151E3" w14:textId="77777777" w:rsidR="009700E5" w:rsidRDefault="009700E5">
            <w:pPr>
              <w:rPr>
                <w:szCs w:val="22"/>
              </w:rPr>
            </w:pPr>
          </w:p>
        </w:tc>
        <w:tc>
          <w:tcPr>
            <w:tcW w:w="1531" w:type="dxa"/>
          </w:tcPr>
          <w:p w14:paraId="12CF3F78" w14:textId="77777777" w:rsidR="009700E5" w:rsidRDefault="009700E5">
            <w:pPr>
              <w:rPr>
                <w:szCs w:val="22"/>
              </w:rPr>
            </w:pPr>
          </w:p>
        </w:tc>
      </w:tr>
      <w:tr w:rsidR="009700E5" w14:paraId="1D1975A9" w14:textId="77777777">
        <w:trPr>
          <w:cantSplit/>
        </w:trPr>
        <w:tc>
          <w:tcPr>
            <w:tcW w:w="1384" w:type="dxa"/>
          </w:tcPr>
          <w:p w14:paraId="4CA3B49B" w14:textId="77777777" w:rsidR="009700E5" w:rsidRDefault="002C033C">
            <w:pPr>
              <w:rPr>
                <w:szCs w:val="22"/>
              </w:rPr>
            </w:pPr>
            <w:r>
              <w:rPr>
                <w:szCs w:val="22"/>
              </w:rPr>
              <w:t>Poruchy imunitného systému</w:t>
            </w:r>
          </w:p>
        </w:tc>
        <w:tc>
          <w:tcPr>
            <w:tcW w:w="1530" w:type="dxa"/>
          </w:tcPr>
          <w:p w14:paraId="3F546D5C" w14:textId="77777777" w:rsidR="009700E5" w:rsidRDefault="009700E5">
            <w:pPr>
              <w:rPr>
                <w:szCs w:val="22"/>
              </w:rPr>
            </w:pPr>
          </w:p>
        </w:tc>
        <w:tc>
          <w:tcPr>
            <w:tcW w:w="1531" w:type="dxa"/>
          </w:tcPr>
          <w:p w14:paraId="24F42E1A" w14:textId="77777777" w:rsidR="009700E5" w:rsidRDefault="009700E5">
            <w:pPr>
              <w:rPr>
                <w:szCs w:val="22"/>
              </w:rPr>
            </w:pPr>
          </w:p>
        </w:tc>
        <w:tc>
          <w:tcPr>
            <w:tcW w:w="1531" w:type="dxa"/>
          </w:tcPr>
          <w:p w14:paraId="46996074" w14:textId="77777777" w:rsidR="009700E5" w:rsidRDefault="009700E5">
            <w:pPr>
              <w:rPr>
                <w:szCs w:val="22"/>
              </w:rPr>
            </w:pPr>
          </w:p>
        </w:tc>
        <w:tc>
          <w:tcPr>
            <w:tcW w:w="1531" w:type="dxa"/>
          </w:tcPr>
          <w:p w14:paraId="05162726" w14:textId="77777777" w:rsidR="009700E5" w:rsidRDefault="002C033C">
            <w:pPr>
              <w:rPr>
                <w:szCs w:val="22"/>
                <w:vertAlign w:val="superscript"/>
              </w:rPr>
            </w:pPr>
            <w:r>
              <w:rPr>
                <w:szCs w:val="22"/>
              </w:rPr>
              <w:t>Anafylaxia (smrteľná)</w:t>
            </w:r>
            <w:r>
              <w:rPr>
                <w:szCs w:val="22"/>
                <w:vertAlign w:val="superscript"/>
              </w:rPr>
              <w:t>1, 2, 3</w:t>
            </w:r>
          </w:p>
        </w:tc>
        <w:tc>
          <w:tcPr>
            <w:tcW w:w="1531" w:type="dxa"/>
          </w:tcPr>
          <w:p w14:paraId="3DE88A96" w14:textId="77777777" w:rsidR="009700E5" w:rsidRDefault="009700E5">
            <w:pPr>
              <w:rPr>
                <w:szCs w:val="22"/>
              </w:rPr>
            </w:pPr>
          </w:p>
        </w:tc>
      </w:tr>
      <w:tr w:rsidR="009700E5" w14:paraId="3C7E0912" w14:textId="77777777">
        <w:trPr>
          <w:cantSplit/>
        </w:trPr>
        <w:tc>
          <w:tcPr>
            <w:tcW w:w="1384" w:type="dxa"/>
          </w:tcPr>
          <w:p w14:paraId="74C38DB6" w14:textId="77777777" w:rsidR="009700E5" w:rsidRDefault="002C033C">
            <w:pPr>
              <w:rPr>
                <w:szCs w:val="22"/>
              </w:rPr>
            </w:pPr>
            <w:r>
              <w:rPr>
                <w:szCs w:val="22"/>
              </w:rPr>
              <w:lastRenderedPageBreak/>
              <w:t>Poruchy endokrin-ného systému</w:t>
            </w:r>
          </w:p>
        </w:tc>
        <w:tc>
          <w:tcPr>
            <w:tcW w:w="1530" w:type="dxa"/>
          </w:tcPr>
          <w:p w14:paraId="0D207D99" w14:textId="77777777" w:rsidR="009700E5" w:rsidRDefault="009700E5">
            <w:pPr>
              <w:rPr>
                <w:szCs w:val="22"/>
              </w:rPr>
            </w:pPr>
          </w:p>
        </w:tc>
        <w:tc>
          <w:tcPr>
            <w:tcW w:w="1531" w:type="dxa"/>
          </w:tcPr>
          <w:p w14:paraId="327F2170" w14:textId="77777777" w:rsidR="009700E5" w:rsidRDefault="009700E5">
            <w:pPr>
              <w:rPr>
                <w:szCs w:val="22"/>
              </w:rPr>
            </w:pPr>
          </w:p>
        </w:tc>
        <w:tc>
          <w:tcPr>
            <w:tcW w:w="1531" w:type="dxa"/>
          </w:tcPr>
          <w:p w14:paraId="52328AC5" w14:textId="77777777" w:rsidR="009700E5" w:rsidRDefault="002C033C">
            <w:pPr>
              <w:rPr>
                <w:szCs w:val="22"/>
              </w:rPr>
            </w:pPr>
            <w:r>
              <w:rPr>
                <w:szCs w:val="22"/>
              </w:rPr>
              <w:t>Hypotyre-oidizmus</w:t>
            </w:r>
          </w:p>
        </w:tc>
        <w:tc>
          <w:tcPr>
            <w:tcW w:w="1531" w:type="dxa"/>
          </w:tcPr>
          <w:p w14:paraId="78029389" w14:textId="77777777" w:rsidR="009700E5" w:rsidRDefault="009700E5">
            <w:pPr>
              <w:rPr>
                <w:szCs w:val="22"/>
              </w:rPr>
            </w:pPr>
          </w:p>
        </w:tc>
        <w:tc>
          <w:tcPr>
            <w:tcW w:w="1531" w:type="dxa"/>
          </w:tcPr>
          <w:p w14:paraId="15E2E529" w14:textId="77777777" w:rsidR="009700E5" w:rsidRDefault="009700E5">
            <w:pPr>
              <w:rPr>
                <w:szCs w:val="22"/>
              </w:rPr>
            </w:pPr>
          </w:p>
        </w:tc>
      </w:tr>
      <w:tr w:rsidR="009700E5" w14:paraId="0EA39DCB" w14:textId="77777777">
        <w:trPr>
          <w:cantSplit/>
        </w:trPr>
        <w:tc>
          <w:tcPr>
            <w:tcW w:w="1384" w:type="dxa"/>
          </w:tcPr>
          <w:p w14:paraId="4A2ED3B3" w14:textId="77777777" w:rsidR="009700E5" w:rsidRDefault="002C033C">
            <w:pPr>
              <w:rPr>
                <w:szCs w:val="22"/>
              </w:rPr>
            </w:pPr>
            <w:r>
              <w:rPr>
                <w:szCs w:val="22"/>
              </w:rPr>
              <w:t>Poruchy metabolizmu a výživy</w:t>
            </w:r>
          </w:p>
        </w:tc>
        <w:tc>
          <w:tcPr>
            <w:tcW w:w="1530" w:type="dxa"/>
          </w:tcPr>
          <w:p w14:paraId="017C63E8" w14:textId="77777777" w:rsidR="009700E5" w:rsidRDefault="002C033C">
            <w:pPr>
              <w:rPr>
                <w:szCs w:val="22"/>
              </w:rPr>
            </w:pPr>
            <w:r>
              <w:rPr>
                <w:szCs w:val="22"/>
              </w:rPr>
              <w:t>Hypercholes-terolémia*</w:t>
            </w:r>
          </w:p>
        </w:tc>
        <w:tc>
          <w:tcPr>
            <w:tcW w:w="1531" w:type="dxa"/>
          </w:tcPr>
          <w:p w14:paraId="1C1161A6" w14:textId="77777777" w:rsidR="009700E5" w:rsidRDefault="009700E5">
            <w:pPr>
              <w:rPr>
                <w:szCs w:val="22"/>
              </w:rPr>
            </w:pPr>
          </w:p>
        </w:tc>
        <w:tc>
          <w:tcPr>
            <w:tcW w:w="1531" w:type="dxa"/>
          </w:tcPr>
          <w:p w14:paraId="61DBD0C8" w14:textId="77777777" w:rsidR="009700E5" w:rsidRDefault="002C033C">
            <w:pPr>
              <w:rPr>
                <w:szCs w:val="22"/>
              </w:rPr>
            </w:pPr>
            <w:r>
              <w:rPr>
                <w:szCs w:val="22"/>
              </w:rPr>
              <w:t>Hypertriacyl-glycerolémia</w:t>
            </w:r>
          </w:p>
        </w:tc>
        <w:tc>
          <w:tcPr>
            <w:tcW w:w="1531" w:type="dxa"/>
          </w:tcPr>
          <w:p w14:paraId="48E565D4" w14:textId="77777777" w:rsidR="009700E5" w:rsidRDefault="009700E5">
            <w:pPr>
              <w:rPr>
                <w:szCs w:val="22"/>
              </w:rPr>
            </w:pPr>
          </w:p>
        </w:tc>
        <w:tc>
          <w:tcPr>
            <w:tcW w:w="1531" w:type="dxa"/>
          </w:tcPr>
          <w:p w14:paraId="23805E05" w14:textId="77777777" w:rsidR="009700E5" w:rsidRDefault="009700E5">
            <w:pPr>
              <w:rPr>
                <w:szCs w:val="22"/>
              </w:rPr>
            </w:pPr>
          </w:p>
        </w:tc>
      </w:tr>
      <w:tr w:rsidR="009700E5" w14:paraId="49D66CF2" w14:textId="77777777">
        <w:trPr>
          <w:cantSplit/>
        </w:trPr>
        <w:tc>
          <w:tcPr>
            <w:tcW w:w="1384" w:type="dxa"/>
          </w:tcPr>
          <w:p w14:paraId="35E91C29" w14:textId="77777777" w:rsidR="009700E5" w:rsidRDefault="002C033C">
            <w:pPr>
              <w:rPr>
                <w:szCs w:val="22"/>
              </w:rPr>
            </w:pPr>
            <w:r>
              <w:rPr>
                <w:szCs w:val="22"/>
              </w:rPr>
              <w:t>Poruchy nervového systému</w:t>
            </w:r>
          </w:p>
        </w:tc>
        <w:tc>
          <w:tcPr>
            <w:tcW w:w="1530" w:type="dxa"/>
          </w:tcPr>
          <w:p w14:paraId="4AEA1933" w14:textId="77777777" w:rsidR="009700E5" w:rsidRDefault="009700E5">
            <w:pPr>
              <w:rPr>
                <w:szCs w:val="22"/>
              </w:rPr>
            </w:pPr>
          </w:p>
        </w:tc>
        <w:tc>
          <w:tcPr>
            <w:tcW w:w="1531" w:type="dxa"/>
          </w:tcPr>
          <w:p w14:paraId="11D59E3C" w14:textId="77777777" w:rsidR="009700E5" w:rsidRDefault="002C033C">
            <w:pPr>
              <w:rPr>
                <w:szCs w:val="22"/>
              </w:rPr>
            </w:pPr>
            <w:r>
              <w:rPr>
                <w:szCs w:val="22"/>
              </w:rPr>
              <w:t>Bolesť hlavy, závraty</w:t>
            </w:r>
          </w:p>
        </w:tc>
        <w:tc>
          <w:tcPr>
            <w:tcW w:w="1531" w:type="dxa"/>
          </w:tcPr>
          <w:p w14:paraId="4B241C11" w14:textId="77777777" w:rsidR="009700E5" w:rsidRDefault="009700E5">
            <w:pPr>
              <w:rPr>
                <w:szCs w:val="22"/>
              </w:rPr>
            </w:pPr>
          </w:p>
        </w:tc>
        <w:tc>
          <w:tcPr>
            <w:tcW w:w="1531" w:type="dxa"/>
          </w:tcPr>
          <w:p w14:paraId="4355A1D3" w14:textId="77777777" w:rsidR="009700E5" w:rsidRDefault="009700E5">
            <w:pPr>
              <w:rPr>
                <w:szCs w:val="22"/>
              </w:rPr>
            </w:pPr>
          </w:p>
        </w:tc>
        <w:tc>
          <w:tcPr>
            <w:tcW w:w="1531" w:type="dxa"/>
          </w:tcPr>
          <w:p w14:paraId="472DF9D6" w14:textId="77777777" w:rsidR="009700E5" w:rsidRDefault="009700E5">
            <w:pPr>
              <w:rPr>
                <w:szCs w:val="22"/>
              </w:rPr>
            </w:pPr>
          </w:p>
        </w:tc>
      </w:tr>
      <w:tr w:rsidR="009700E5" w14:paraId="18EE88F1" w14:textId="77777777">
        <w:trPr>
          <w:cantSplit/>
        </w:trPr>
        <w:tc>
          <w:tcPr>
            <w:tcW w:w="1384" w:type="dxa"/>
          </w:tcPr>
          <w:p w14:paraId="421E5076" w14:textId="77777777" w:rsidR="009700E5" w:rsidRDefault="002C033C">
            <w:pPr>
              <w:rPr>
                <w:szCs w:val="22"/>
              </w:rPr>
            </w:pPr>
            <w:r>
              <w:rPr>
                <w:szCs w:val="22"/>
              </w:rPr>
              <w:t>Poruchy oka</w:t>
            </w:r>
          </w:p>
        </w:tc>
        <w:tc>
          <w:tcPr>
            <w:tcW w:w="1530" w:type="dxa"/>
          </w:tcPr>
          <w:p w14:paraId="2001A2D3" w14:textId="77777777" w:rsidR="009700E5" w:rsidRDefault="009700E5">
            <w:pPr>
              <w:rPr>
                <w:szCs w:val="22"/>
              </w:rPr>
            </w:pPr>
          </w:p>
        </w:tc>
        <w:tc>
          <w:tcPr>
            <w:tcW w:w="1531" w:type="dxa"/>
          </w:tcPr>
          <w:p w14:paraId="79D037F7" w14:textId="77777777" w:rsidR="009700E5" w:rsidRDefault="002C033C">
            <w:pPr>
              <w:rPr>
                <w:szCs w:val="22"/>
              </w:rPr>
            </w:pPr>
            <w:r>
              <w:rPr>
                <w:szCs w:val="22"/>
              </w:rPr>
              <w:t>Konjunktivi-tída</w:t>
            </w:r>
          </w:p>
        </w:tc>
        <w:tc>
          <w:tcPr>
            <w:tcW w:w="1531" w:type="dxa"/>
          </w:tcPr>
          <w:p w14:paraId="43FFEB3A" w14:textId="77777777" w:rsidR="009700E5" w:rsidRDefault="009700E5">
            <w:pPr>
              <w:rPr>
                <w:szCs w:val="22"/>
              </w:rPr>
            </w:pPr>
          </w:p>
        </w:tc>
        <w:tc>
          <w:tcPr>
            <w:tcW w:w="1531" w:type="dxa"/>
          </w:tcPr>
          <w:p w14:paraId="4BEFEA82" w14:textId="77777777" w:rsidR="009700E5" w:rsidRDefault="009700E5">
            <w:pPr>
              <w:rPr>
                <w:szCs w:val="22"/>
              </w:rPr>
            </w:pPr>
          </w:p>
        </w:tc>
        <w:tc>
          <w:tcPr>
            <w:tcW w:w="1531" w:type="dxa"/>
          </w:tcPr>
          <w:p w14:paraId="4E046048" w14:textId="77777777" w:rsidR="009700E5" w:rsidRDefault="009700E5">
            <w:pPr>
              <w:rPr>
                <w:szCs w:val="22"/>
              </w:rPr>
            </w:pPr>
          </w:p>
        </w:tc>
      </w:tr>
      <w:tr w:rsidR="009700E5" w14:paraId="30C74740" w14:textId="77777777">
        <w:trPr>
          <w:cantSplit/>
        </w:trPr>
        <w:tc>
          <w:tcPr>
            <w:tcW w:w="1384" w:type="dxa"/>
          </w:tcPr>
          <w:p w14:paraId="120856C7" w14:textId="77777777" w:rsidR="009700E5" w:rsidRDefault="002C033C">
            <w:pPr>
              <w:rPr>
                <w:szCs w:val="22"/>
              </w:rPr>
            </w:pPr>
            <w:r>
              <w:rPr>
                <w:szCs w:val="22"/>
              </w:rPr>
              <w:t>Poruchy ciev</w:t>
            </w:r>
          </w:p>
        </w:tc>
        <w:tc>
          <w:tcPr>
            <w:tcW w:w="1530" w:type="dxa"/>
          </w:tcPr>
          <w:p w14:paraId="64F5BFDF" w14:textId="77777777" w:rsidR="009700E5" w:rsidRDefault="009700E5">
            <w:pPr>
              <w:rPr>
                <w:szCs w:val="22"/>
              </w:rPr>
            </w:pPr>
          </w:p>
        </w:tc>
        <w:tc>
          <w:tcPr>
            <w:tcW w:w="1531" w:type="dxa"/>
          </w:tcPr>
          <w:p w14:paraId="42CEB4F7" w14:textId="77777777" w:rsidR="009700E5" w:rsidRDefault="002C033C">
            <w:pPr>
              <w:rPr>
                <w:szCs w:val="22"/>
              </w:rPr>
            </w:pPr>
            <w:r>
              <w:rPr>
                <w:szCs w:val="22"/>
              </w:rPr>
              <w:t>Hypertenzia</w:t>
            </w:r>
          </w:p>
        </w:tc>
        <w:tc>
          <w:tcPr>
            <w:tcW w:w="1531" w:type="dxa"/>
          </w:tcPr>
          <w:p w14:paraId="0F01313D" w14:textId="77777777" w:rsidR="009700E5" w:rsidRDefault="009700E5">
            <w:pPr>
              <w:rPr>
                <w:szCs w:val="22"/>
              </w:rPr>
            </w:pPr>
          </w:p>
        </w:tc>
        <w:tc>
          <w:tcPr>
            <w:tcW w:w="1531" w:type="dxa"/>
          </w:tcPr>
          <w:p w14:paraId="3BCAABE8" w14:textId="77777777" w:rsidR="009700E5" w:rsidRDefault="009700E5">
            <w:pPr>
              <w:rPr>
                <w:szCs w:val="22"/>
              </w:rPr>
            </w:pPr>
          </w:p>
        </w:tc>
        <w:tc>
          <w:tcPr>
            <w:tcW w:w="1531" w:type="dxa"/>
          </w:tcPr>
          <w:p w14:paraId="6931A657" w14:textId="77777777" w:rsidR="009700E5" w:rsidRDefault="009700E5">
            <w:pPr>
              <w:rPr>
                <w:szCs w:val="22"/>
              </w:rPr>
            </w:pPr>
          </w:p>
        </w:tc>
      </w:tr>
      <w:tr w:rsidR="009700E5" w14:paraId="205AFA62" w14:textId="77777777">
        <w:trPr>
          <w:cantSplit/>
        </w:trPr>
        <w:tc>
          <w:tcPr>
            <w:tcW w:w="1384" w:type="dxa"/>
          </w:tcPr>
          <w:p w14:paraId="68052E73" w14:textId="77777777" w:rsidR="009700E5" w:rsidRDefault="002C033C">
            <w:pPr>
              <w:rPr>
                <w:szCs w:val="22"/>
              </w:rPr>
            </w:pPr>
            <w:r>
              <w:rPr>
                <w:szCs w:val="22"/>
              </w:rPr>
              <w:t>Poruchy dýchacej sústavy, hrudníka a mediastína</w:t>
            </w:r>
          </w:p>
        </w:tc>
        <w:tc>
          <w:tcPr>
            <w:tcW w:w="1530" w:type="dxa"/>
          </w:tcPr>
          <w:p w14:paraId="29D3E791" w14:textId="77777777" w:rsidR="009700E5" w:rsidRDefault="009700E5">
            <w:pPr>
              <w:rPr>
                <w:szCs w:val="22"/>
              </w:rPr>
            </w:pPr>
          </w:p>
        </w:tc>
        <w:tc>
          <w:tcPr>
            <w:tcW w:w="1531" w:type="dxa"/>
          </w:tcPr>
          <w:p w14:paraId="41676DD5" w14:textId="77777777" w:rsidR="009700E5" w:rsidRDefault="002C033C">
            <w:pPr>
              <w:rPr>
                <w:szCs w:val="22"/>
              </w:rPr>
            </w:pPr>
            <w:r>
              <w:rPr>
                <w:szCs w:val="22"/>
              </w:rPr>
              <w:t>Kašeľ, dyspnoe</w:t>
            </w:r>
          </w:p>
        </w:tc>
        <w:tc>
          <w:tcPr>
            <w:tcW w:w="1531" w:type="dxa"/>
          </w:tcPr>
          <w:p w14:paraId="37ED5B26" w14:textId="77777777" w:rsidR="009700E5" w:rsidRDefault="009700E5">
            <w:pPr>
              <w:rPr>
                <w:szCs w:val="22"/>
              </w:rPr>
            </w:pPr>
          </w:p>
        </w:tc>
        <w:tc>
          <w:tcPr>
            <w:tcW w:w="1531" w:type="dxa"/>
          </w:tcPr>
          <w:p w14:paraId="27CE8152" w14:textId="77777777" w:rsidR="009700E5" w:rsidRDefault="009700E5">
            <w:pPr>
              <w:rPr>
                <w:szCs w:val="22"/>
              </w:rPr>
            </w:pPr>
          </w:p>
        </w:tc>
        <w:tc>
          <w:tcPr>
            <w:tcW w:w="1531" w:type="dxa"/>
          </w:tcPr>
          <w:p w14:paraId="3843E954" w14:textId="77777777" w:rsidR="009700E5" w:rsidRDefault="009700E5">
            <w:pPr>
              <w:rPr>
                <w:szCs w:val="22"/>
              </w:rPr>
            </w:pPr>
          </w:p>
        </w:tc>
      </w:tr>
      <w:tr w:rsidR="009700E5" w14:paraId="4F74D68E" w14:textId="77777777">
        <w:trPr>
          <w:cantSplit/>
        </w:trPr>
        <w:tc>
          <w:tcPr>
            <w:tcW w:w="1384" w:type="dxa"/>
          </w:tcPr>
          <w:p w14:paraId="5D444449" w14:textId="77777777" w:rsidR="009700E5" w:rsidRDefault="002C033C">
            <w:pPr>
              <w:rPr>
                <w:szCs w:val="22"/>
              </w:rPr>
            </w:pPr>
            <w:r>
              <w:rPr>
                <w:szCs w:val="22"/>
              </w:rPr>
              <w:t>Poruchy gastrointes-tinálneho traktu</w:t>
            </w:r>
          </w:p>
        </w:tc>
        <w:tc>
          <w:tcPr>
            <w:tcW w:w="1530" w:type="dxa"/>
          </w:tcPr>
          <w:p w14:paraId="1EFC97B0" w14:textId="77777777" w:rsidR="009700E5" w:rsidRDefault="009700E5">
            <w:pPr>
              <w:rPr>
                <w:szCs w:val="22"/>
              </w:rPr>
            </w:pPr>
          </w:p>
        </w:tc>
        <w:tc>
          <w:tcPr>
            <w:tcW w:w="1531" w:type="dxa"/>
          </w:tcPr>
          <w:p w14:paraId="5B53F561" w14:textId="77777777" w:rsidR="009700E5" w:rsidRDefault="002C033C">
            <w:pPr>
              <w:rPr>
                <w:szCs w:val="22"/>
              </w:rPr>
            </w:pPr>
            <w:r>
              <w:rPr>
                <w:szCs w:val="22"/>
              </w:rPr>
              <w:t>Bolesť brucha, ulcerácia v ústnej dutine, gastritída</w:t>
            </w:r>
          </w:p>
        </w:tc>
        <w:tc>
          <w:tcPr>
            <w:tcW w:w="1531" w:type="dxa"/>
          </w:tcPr>
          <w:p w14:paraId="3EF97E27" w14:textId="77777777" w:rsidR="009700E5" w:rsidRDefault="002C033C">
            <w:pPr>
              <w:rPr>
                <w:szCs w:val="22"/>
              </w:rPr>
            </w:pPr>
            <w:r>
              <w:rPr>
                <w:szCs w:val="22"/>
              </w:rPr>
              <w:t>Stomatitída, žalúdočný vred</w:t>
            </w:r>
          </w:p>
        </w:tc>
        <w:tc>
          <w:tcPr>
            <w:tcW w:w="1531" w:type="dxa"/>
          </w:tcPr>
          <w:p w14:paraId="046977F0" w14:textId="77777777" w:rsidR="009700E5" w:rsidRDefault="009700E5">
            <w:pPr>
              <w:rPr>
                <w:szCs w:val="22"/>
              </w:rPr>
            </w:pPr>
          </w:p>
        </w:tc>
        <w:tc>
          <w:tcPr>
            <w:tcW w:w="1531" w:type="dxa"/>
          </w:tcPr>
          <w:p w14:paraId="5D2AD687" w14:textId="77777777" w:rsidR="009700E5" w:rsidRDefault="009700E5">
            <w:pPr>
              <w:rPr>
                <w:szCs w:val="22"/>
              </w:rPr>
            </w:pPr>
          </w:p>
        </w:tc>
      </w:tr>
      <w:tr w:rsidR="009700E5" w14:paraId="6C99512D" w14:textId="77777777">
        <w:trPr>
          <w:cantSplit/>
        </w:trPr>
        <w:tc>
          <w:tcPr>
            <w:tcW w:w="1384" w:type="dxa"/>
          </w:tcPr>
          <w:p w14:paraId="5057D370" w14:textId="77777777" w:rsidR="009700E5" w:rsidRDefault="002C033C">
            <w:pPr>
              <w:rPr>
                <w:szCs w:val="22"/>
              </w:rPr>
            </w:pPr>
            <w:r>
              <w:rPr>
                <w:szCs w:val="22"/>
              </w:rPr>
              <w:t>Poruchy pečene a žlčových ciest</w:t>
            </w:r>
          </w:p>
        </w:tc>
        <w:tc>
          <w:tcPr>
            <w:tcW w:w="1530" w:type="dxa"/>
          </w:tcPr>
          <w:p w14:paraId="54573EF6" w14:textId="77777777" w:rsidR="009700E5" w:rsidRDefault="009700E5">
            <w:pPr>
              <w:rPr>
                <w:szCs w:val="22"/>
              </w:rPr>
            </w:pPr>
          </w:p>
        </w:tc>
        <w:tc>
          <w:tcPr>
            <w:tcW w:w="1531" w:type="dxa"/>
          </w:tcPr>
          <w:p w14:paraId="321743F3" w14:textId="77777777" w:rsidR="009700E5" w:rsidRDefault="009700E5">
            <w:pPr>
              <w:rPr>
                <w:szCs w:val="22"/>
              </w:rPr>
            </w:pPr>
          </w:p>
        </w:tc>
        <w:tc>
          <w:tcPr>
            <w:tcW w:w="1531" w:type="dxa"/>
          </w:tcPr>
          <w:p w14:paraId="4196A049" w14:textId="77777777" w:rsidR="009700E5" w:rsidRDefault="009700E5">
            <w:pPr>
              <w:rPr>
                <w:szCs w:val="22"/>
              </w:rPr>
            </w:pPr>
          </w:p>
        </w:tc>
        <w:tc>
          <w:tcPr>
            <w:tcW w:w="1531" w:type="dxa"/>
          </w:tcPr>
          <w:p w14:paraId="4A8FF6A5" w14:textId="77777777" w:rsidR="009700E5" w:rsidRDefault="002C033C">
            <w:pPr>
              <w:rPr>
                <w:szCs w:val="22"/>
              </w:rPr>
            </w:pPr>
            <w:r>
              <w:rPr>
                <w:szCs w:val="22"/>
              </w:rPr>
              <w:t>Poškodenie pečene vyvolané liekom, hepatitída, žltačka</w:t>
            </w:r>
          </w:p>
        </w:tc>
        <w:tc>
          <w:tcPr>
            <w:tcW w:w="1531" w:type="dxa"/>
          </w:tcPr>
          <w:p w14:paraId="0FF607E3" w14:textId="77777777" w:rsidR="009700E5" w:rsidRDefault="002C033C">
            <w:pPr>
              <w:rPr>
                <w:szCs w:val="22"/>
              </w:rPr>
            </w:pPr>
            <w:r>
              <w:rPr>
                <w:szCs w:val="22"/>
              </w:rPr>
              <w:t>Zlyhávanie pečene</w:t>
            </w:r>
          </w:p>
        </w:tc>
      </w:tr>
      <w:tr w:rsidR="009700E5" w14:paraId="554D6190" w14:textId="77777777">
        <w:trPr>
          <w:cantSplit/>
        </w:trPr>
        <w:tc>
          <w:tcPr>
            <w:tcW w:w="1384" w:type="dxa"/>
          </w:tcPr>
          <w:p w14:paraId="50CC10A6" w14:textId="77777777" w:rsidR="009700E5" w:rsidRDefault="002C033C">
            <w:pPr>
              <w:rPr>
                <w:szCs w:val="22"/>
              </w:rPr>
            </w:pPr>
            <w:r>
              <w:rPr>
                <w:szCs w:val="22"/>
              </w:rPr>
              <w:t>Poruchy kože a podkožné-ho tkaniva</w:t>
            </w:r>
          </w:p>
        </w:tc>
        <w:tc>
          <w:tcPr>
            <w:tcW w:w="1530" w:type="dxa"/>
          </w:tcPr>
          <w:p w14:paraId="3FA7A053" w14:textId="77777777" w:rsidR="009700E5" w:rsidRDefault="009700E5">
            <w:pPr>
              <w:rPr>
                <w:szCs w:val="22"/>
              </w:rPr>
            </w:pPr>
          </w:p>
        </w:tc>
        <w:tc>
          <w:tcPr>
            <w:tcW w:w="1531" w:type="dxa"/>
          </w:tcPr>
          <w:p w14:paraId="1CBE58D6" w14:textId="77777777" w:rsidR="009700E5" w:rsidRDefault="002C033C">
            <w:pPr>
              <w:rPr>
                <w:szCs w:val="22"/>
              </w:rPr>
            </w:pPr>
            <w:r>
              <w:rPr>
                <w:szCs w:val="22"/>
              </w:rPr>
              <w:t>Vyrážka, pruritus, urtikária</w:t>
            </w:r>
          </w:p>
        </w:tc>
        <w:tc>
          <w:tcPr>
            <w:tcW w:w="1531" w:type="dxa"/>
          </w:tcPr>
          <w:p w14:paraId="4D62C48F" w14:textId="77777777" w:rsidR="009700E5" w:rsidRDefault="009700E5">
            <w:pPr>
              <w:rPr>
                <w:szCs w:val="22"/>
              </w:rPr>
            </w:pPr>
          </w:p>
        </w:tc>
        <w:tc>
          <w:tcPr>
            <w:tcW w:w="1531" w:type="dxa"/>
          </w:tcPr>
          <w:p w14:paraId="611B9257" w14:textId="77777777" w:rsidR="009700E5" w:rsidRDefault="002C033C">
            <w:pPr>
              <w:rPr>
                <w:szCs w:val="22"/>
              </w:rPr>
            </w:pPr>
            <w:r>
              <w:rPr>
                <w:szCs w:val="22"/>
              </w:rPr>
              <w:t>Stevensov-Johnsonov syndróm</w:t>
            </w:r>
            <w:r>
              <w:rPr>
                <w:szCs w:val="22"/>
                <w:vertAlign w:val="superscript"/>
              </w:rPr>
              <w:t>3</w:t>
            </w:r>
          </w:p>
        </w:tc>
        <w:tc>
          <w:tcPr>
            <w:tcW w:w="1531" w:type="dxa"/>
          </w:tcPr>
          <w:p w14:paraId="79C9FF20" w14:textId="77777777" w:rsidR="009700E5" w:rsidRDefault="009700E5">
            <w:pPr>
              <w:rPr>
                <w:szCs w:val="22"/>
              </w:rPr>
            </w:pPr>
          </w:p>
        </w:tc>
      </w:tr>
      <w:tr w:rsidR="009700E5" w14:paraId="2CD0B8B8" w14:textId="77777777">
        <w:trPr>
          <w:cantSplit/>
        </w:trPr>
        <w:tc>
          <w:tcPr>
            <w:tcW w:w="1384" w:type="dxa"/>
          </w:tcPr>
          <w:p w14:paraId="14A4C3BB" w14:textId="77777777" w:rsidR="009700E5" w:rsidRDefault="002C033C">
            <w:pPr>
              <w:rPr>
                <w:szCs w:val="22"/>
              </w:rPr>
            </w:pPr>
            <w:r>
              <w:rPr>
                <w:szCs w:val="22"/>
              </w:rPr>
              <w:t>Poruchy obličiek a močových ciest</w:t>
            </w:r>
          </w:p>
        </w:tc>
        <w:tc>
          <w:tcPr>
            <w:tcW w:w="1530" w:type="dxa"/>
          </w:tcPr>
          <w:p w14:paraId="0FF59E6D" w14:textId="77777777" w:rsidR="009700E5" w:rsidRDefault="009700E5">
            <w:pPr>
              <w:rPr>
                <w:szCs w:val="22"/>
              </w:rPr>
            </w:pPr>
          </w:p>
        </w:tc>
        <w:tc>
          <w:tcPr>
            <w:tcW w:w="1531" w:type="dxa"/>
          </w:tcPr>
          <w:p w14:paraId="5CCB65A2" w14:textId="77777777" w:rsidR="009700E5" w:rsidRDefault="009700E5">
            <w:pPr>
              <w:rPr>
                <w:szCs w:val="22"/>
              </w:rPr>
            </w:pPr>
          </w:p>
        </w:tc>
        <w:tc>
          <w:tcPr>
            <w:tcW w:w="1531" w:type="dxa"/>
          </w:tcPr>
          <w:p w14:paraId="0206CDE0" w14:textId="77777777" w:rsidR="009700E5" w:rsidRDefault="002C033C">
            <w:pPr>
              <w:rPr>
                <w:szCs w:val="22"/>
              </w:rPr>
            </w:pPr>
            <w:r>
              <w:rPr>
                <w:szCs w:val="22"/>
              </w:rPr>
              <w:t>Nefrolitiáza</w:t>
            </w:r>
          </w:p>
        </w:tc>
        <w:tc>
          <w:tcPr>
            <w:tcW w:w="1531" w:type="dxa"/>
          </w:tcPr>
          <w:p w14:paraId="5A14AB91" w14:textId="77777777" w:rsidR="009700E5" w:rsidRDefault="009700E5">
            <w:pPr>
              <w:rPr>
                <w:szCs w:val="22"/>
              </w:rPr>
            </w:pPr>
          </w:p>
        </w:tc>
        <w:tc>
          <w:tcPr>
            <w:tcW w:w="1531" w:type="dxa"/>
          </w:tcPr>
          <w:p w14:paraId="6606C56C" w14:textId="77777777" w:rsidR="009700E5" w:rsidRDefault="009700E5">
            <w:pPr>
              <w:rPr>
                <w:szCs w:val="22"/>
              </w:rPr>
            </w:pPr>
          </w:p>
        </w:tc>
      </w:tr>
      <w:tr w:rsidR="009700E5" w14:paraId="6723F383" w14:textId="77777777">
        <w:trPr>
          <w:cantSplit/>
        </w:trPr>
        <w:tc>
          <w:tcPr>
            <w:tcW w:w="1384" w:type="dxa"/>
          </w:tcPr>
          <w:p w14:paraId="5E4B47AE" w14:textId="77777777" w:rsidR="009700E5" w:rsidRDefault="002C033C">
            <w:pPr>
              <w:rPr>
                <w:szCs w:val="22"/>
              </w:rPr>
            </w:pPr>
            <w:r>
              <w:rPr>
                <w:szCs w:val="22"/>
              </w:rPr>
              <w:t>Celkové poruchy a reakcie v mieste podania</w:t>
            </w:r>
          </w:p>
        </w:tc>
        <w:tc>
          <w:tcPr>
            <w:tcW w:w="1530" w:type="dxa"/>
          </w:tcPr>
          <w:p w14:paraId="0909BA14" w14:textId="77777777" w:rsidR="009700E5" w:rsidRDefault="009700E5">
            <w:pPr>
              <w:rPr>
                <w:szCs w:val="22"/>
              </w:rPr>
            </w:pPr>
          </w:p>
        </w:tc>
        <w:tc>
          <w:tcPr>
            <w:tcW w:w="1531" w:type="dxa"/>
          </w:tcPr>
          <w:p w14:paraId="553438E7" w14:textId="77777777" w:rsidR="009700E5" w:rsidRDefault="002C033C">
            <w:pPr>
              <w:rPr>
                <w:szCs w:val="22"/>
              </w:rPr>
            </w:pPr>
            <w:r>
              <w:rPr>
                <w:szCs w:val="22"/>
              </w:rPr>
              <w:t>Periférny edém, reakcie z precitlive-nosti</w:t>
            </w:r>
          </w:p>
        </w:tc>
        <w:tc>
          <w:tcPr>
            <w:tcW w:w="1531" w:type="dxa"/>
          </w:tcPr>
          <w:p w14:paraId="4F77D321" w14:textId="77777777" w:rsidR="009700E5" w:rsidRDefault="009700E5">
            <w:pPr>
              <w:rPr>
                <w:szCs w:val="22"/>
              </w:rPr>
            </w:pPr>
          </w:p>
        </w:tc>
        <w:tc>
          <w:tcPr>
            <w:tcW w:w="1531" w:type="dxa"/>
          </w:tcPr>
          <w:p w14:paraId="42EB7154" w14:textId="77777777" w:rsidR="009700E5" w:rsidRDefault="009700E5">
            <w:pPr>
              <w:rPr>
                <w:szCs w:val="22"/>
              </w:rPr>
            </w:pPr>
          </w:p>
        </w:tc>
        <w:tc>
          <w:tcPr>
            <w:tcW w:w="1531" w:type="dxa"/>
          </w:tcPr>
          <w:p w14:paraId="5D678346" w14:textId="77777777" w:rsidR="009700E5" w:rsidRDefault="009700E5">
            <w:pPr>
              <w:rPr>
                <w:szCs w:val="22"/>
              </w:rPr>
            </w:pPr>
          </w:p>
        </w:tc>
      </w:tr>
      <w:tr w:rsidR="009700E5" w14:paraId="0A7C9673" w14:textId="77777777">
        <w:trPr>
          <w:cantSplit/>
        </w:trPr>
        <w:tc>
          <w:tcPr>
            <w:tcW w:w="1384" w:type="dxa"/>
          </w:tcPr>
          <w:p w14:paraId="6941D5AF" w14:textId="77777777" w:rsidR="009700E5" w:rsidRDefault="002C033C">
            <w:pPr>
              <w:rPr>
                <w:szCs w:val="22"/>
              </w:rPr>
            </w:pPr>
            <w:r>
              <w:rPr>
                <w:szCs w:val="22"/>
              </w:rPr>
              <w:t>Laboratórne a funkčné vyšetrenia</w:t>
            </w:r>
          </w:p>
        </w:tc>
        <w:tc>
          <w:tcPr>
            <w:tcW w:w="1530" w:type="dxa"/>
          </w:tcPr>
          <w:p w14:paraId="1DAF8666" w14:textId="77777777" w:rsidR="009700E5" w:rsidRDefault="009700E5">
            <w:pPr>
              <w:rPr>
                <w:szCs w:val="22"/>
              </w:rPr>
            </w:pPr>
          </w:p>
        </w:tc>
        <w:tc>
          <w:tcPr>
            <w:tcW w:w="1531" w:type="dxa"/>
          </w:tcPr>
          <w:p w14:paraId="71C3B924" w14:textId="77777777" w:rsidR="009700E5" w:rsidRDefault="002C033C">
            <w:pPr>
              <w:rPr>
                <w:szCs w:val="22"/>
              </w:rPr>
            </w:pPr>
            <w:r>
              <w:rPr>
                <w:szCs w:val="22"/>
              </w:rPr>
              <w:t>Zvýšené hodnoty pečeňových transamináz, zvýšenie telesnej hmotnosti, zvýšené hodnoty celkového bilirubínu*</w:t>
            </w:r>
          </w:p>
        </w:tc>
        <w:tc>
          <w:tcPr>
            <w:tcW w:w="1531" w:type="dxa"/>
          </w:tcPr>
          <w:p w14:paraId="7CA27BDB" w14:textId="77777777" w:rsidR="009700E5" w:rsidRDefault="009700E5">
            <w:pPr>
              <w:rPr>
                <w:szCs w:val="22"/>
              </w:rPr>
            </w:pPr>
          </w:p>
        </w:tc>
        <w:tc>
          <w:tcPr>
            <w:tcW w:w="1531" w:type="dxa"/>
          </w:tcPr>
          <w:p w14:paraId="0076826A" w14:textId="77777777" w:rsidR="009700E5" w:rsidRDefault="009700E5">
            <w:pPr>
              <w:rPr>
                <w:szCs w:val="22"/>
              </w:rPr>
            </w:pPr>
          </w:p>
        </w:tc>
        <w:tc>
          <w:tcPr>
            <w:tcW w:w="1531" w:type="dxa"/>
          </w:tcPr>
          <w:p w14:paraId="5D75C7BD" w14:textId="77777777" w:rsidR="009700E5" w:rsidRDefault="009700E5">
            <w:pPr>
              <w:rPr>
                <w:szCs w:val="22"/>
              </w:rPr>
            </w:pPr>
          </w:p>
        </w:tc>
      </w:tr>
    </w:tbl>
    <w:p w14:paraId="68A47139" w14:textId="77777777" w:rsidR="009700E5" w:rsidRDefault="002C033C">
      <w:pPr>
        <w:widowControl w:val="0"/>
        <w:spacing w:line="200" w:lineRule="exact"/>
        <w:rPr>
          <w:sz w:val="18"/>
          <w:szCs w:val="18"/>
        </w:rPr>
      </w:pPr>
      <w:r>
        <w:rPr>
          <w:sz w:val="18"/>
          <w:szCs w:val="18"/>
        </w:rPr>
        <w:t>*Zahŕňa zvýšenia zozbierané ako časť rutinného laboratórneho pozorovania (pozri text nižšie).</w:t>
      </w:r>
    </w:p>
    <w:p w14:paraId="0798816F" w14:textId="77777777" w:rsidR="009700E5" w:rsidRDefault="002C033C">
      <w:pPr>
        <w:widowControl w:val="0"/>
        <w:spacing w:line="200" w:lineRule="exact"/>
        <w:rPr>
          <w:sz w:val="18"/>
          <w:szCs w:val="18"/>
        </w:rPr>
      </w:pPr>
      <w:r>
        <w:rPr>
          <w:sz w:val="18"/>
          <w:szCs w:val="18"/>
          <w:vertAlign w:val="superscript"/>
        </w:rPr>
        <w:lastRenderedPageBreak/>
        <w:t>1</w:t>
      </w:r>
      <w:r>
        <w:rPr>
          <w:sz w:val="18"/>
          <w:szCs w:val="18"/>
        </w:rPr>
        <w:t xml:space="preserve"> Pozri časť 4.3.</w:t>
      </w:r>
    </w:p>
    <w:p w14:paraId="00AA3E1E" w14:textId="77777777" w:rsidR="009700E5" w:rsidRDefault="002C033C">
      <w:pPr>
        <w:widowControl w:val="0"/>
        <w:spacing w:line="200" w:lineRule="exact"/>
        <w:rPr>
          <w:sz w:val="18"/>
          <w:szCs w:val="18"/>
        </w:rPr>
      </w:pPr>
      <w:r>
        <w:rPr>
          <w:sz w:val="18"/>
          <w:szCs w:val="18"/>
          <w:vertAlign w:val="superscript"/>
        </w:rPr>
        <w:t>2</w:t>
      </w:r>
      <w:r>
        <w:rPr>
          <w:sz w:val="18"/>
          <w:szCs w:val="18"/>
        </w:rPr>
        <w:t xml:space="preserve"> Pozri časť 4.4.</w:t>
      </w:r>
    </w:p>
    <w:p w14:paraId="1E1DC09E" w14:textId="77777777" w:rsidR="009700E5" w:rsidRDefault="002C033C">
      <w:pPr>
        <w:widowControl w:val="0"/>
        <w:spacing w:line="200" w:lineRule="exact"/>
        <w:rPr>
          <w:sz w:val="18"/>
          <w:szCs w:val="18"/>
        </w:rPr>
      </w:pPr>
      <w:r>
        <w:rPr>
          <w:sz w:val="18"/>
          <w:szCs w:val="18"/>
          <w:vertAlign w:val="superscript"/>
        </w:rPr>
        <w:t>3</w:t>
      </w:r>
      <w:r>
        <w:rPr>
          <w:sz w:val="18"/>
          <w:szCs w:val="18"/>
        </w:rPr>
        <w:t xml:space="preserve"> Táto nežiaduca reakcia sa zistila sledovaním lieku po uvedení na trh, ale nepozorovala sa v kontrolovaných klinických skúšaniach. Kategória frekvencie bola odhadnutá ako horná hranica 95 % intervalu spoľahlivosti vypočítaná na základe celkového počtu pacientov vystavených tocilizumabu v klinických skúšaniach.</w:t>
      </w:r>
    </w:p>
    <w:p w14:paraId="76733E52" w14:textId="77777777" w:rsidR="009700E5" w:rsidRDefault="009700E5">
      <w:pPr>
        <w:widowControl w:val="0"/>
        <w:outlineLvl w:val="0"/>
        <w:rPr>
          <w:iCs/>
        </w:rPr>
      </w:pPr>
    </w:p>
    <w:p w14:paraId="3E2ABBB9" w14:textId="77777777" w:rsidR="009700E5" w:rsidRDefault="002C033C">
      <w:pPr>
        <w:keepNext/>
        <w:keepLines/>
        <w:autoSpaceDE w:val="0"/>
        <w:autoSpaceDN w:val="0"/>
        <w:adjustRightInd w:val="0"/>
        <w:rPr>
          <w:i/>
          <w:iCs/>
          <w:szCs w:val="22"/>
        </w:rPr>
      </w:pPr>
      <w:r>
        <w:rPr>
          <w:i/>
          <w:iCs/>
          <w:szCs w:val="22"/>
        </w:rPr>
        <w:t>Pacienti s COVID</w:t>
      </w:r>
      <w:r>
        <w:rPr>
          <w:i/>
          <w:iCs/>
          <w:szCs w:val="22"/>
        </w:rPr>
        <w:noBreakHyphen/>
        <w:t>19</w:t>
      </w:r>
    </w:p>
    <w:p w14:paraId="0870880B" w14:textId="77777777" w:rsidR="009700E5" w:rsidRDefault="002C033C">
      <w:pPr>
        <w:autoSpaceDE w:val="0"/>
        <w:autoSpaceDN w:val="0"/>
        <w:adjustRightInd w:val="0"/>
        <w:rPr>
          <w:rFonts w:eastAsia="Calibri"/>
          <w:szCs w:val="22"/>
        </w:rPr>
      </w:pPr>
      <w:r>
        <w:rPr>
          <w:rFonts w:eastAsia="Calibri"/>
          <w:szCs w:val="22"/>
        </w:rPr>
        <w:t>Hodnotenie bezpečnosti tohto lieku pri liečbe COVID</w:t>
      </w:r>
      <w:r>
        <w:rPr>
          <w:rFonts w:eastAsia="Calibri"/>
          <w:szCs w:val="22"/>
        </w:rPr>
        <w:noBreakHyphen/>
        <w:t>19 bolo založené na 3 randomizovaných, dvojito zaslepených, placebom kontrolovaných klinických skúšaniach (</w:t>
      </w:r>
      <w:ins w:id="275" w:author="Author" w:date="2025-07-18T10:55:00Z">
        <w:r>
          <w:rPr>
            <w:rFonts w:eastAsia="Calibri"/>
            <w:szCs w:val="22"/>
          </w:rPr>
          <w:t>klinické skúšania</w:t>
        </w:r>
      </w:ins>
      <w:del w:id="276" w:author="Author" w:date="2025-07-18T10:55:00Z">
        <w:r>
          <w:rPr>
            <w:rFonts w:eastAsia="Calibri"/>
            <w:szCs w:val="22"/>
          </w:rPr>
          <w:delText>štúdie</w:delText>
        </w:r>
      </w:del>
      <w:r>
        <w:rPr>
          <w:rFonts w:eastAsia="Calibri"/>
          <w:szCs w:val="22"/>
        </w:rPr>
        <w:t xml:space="preserve"> ML42528, WA42380 a WA42511). V týchto </w:t>
      </w:r>
      <w:del w:id="277" w:author="Author" w:date="2025-07-18T10:55:00Z">
        <w:r>
          <w:rPr>
            <w:rFonts w:eastAsia="Calibri"/>
            <w:szCs w:val="22"/>
          </w:rPr>
          <w:delText xml:space="preserve">štúdiách </w:delText>
        </w:r>
      </w:del>
      <w:ins w:id="278" w:author="Author" w:date="2025-07-18T10:55:00Z">
        <w:r>
          <w:rPr>
            <w:rFonts w:eastAsia="Calibri"/>
            <w:szCs w:val="22"/>
          </w:rPr>
          <w:t>klinických skúšan</w:t>
        </w:r>
      </w:ins>
      <w:ins w:id="279" w:author="Author" w:date="2025-07-18T10:56:00Z">
        <w:r>
          <w:rPr>
            <w:rFonts w:eastAsia="Calibri"/>
            <w:szCs w:val="22"/>
          </w:rPr>
          <w:t>iach</w:t>
        </w:r>
      </w:ins>
      <w:ins w:id="280" w:author="Author" w:date="2025-07-18T10:55:00Z">
        <w:r>
          <w:rPr>
            <w:rFonts w:eastAsia="Calibri"/>
            <w:szCs w:val="22"/>
          </w:rPr>
          <w:t xml:space="preserve"> </w:t>
        </w:r>
      </w:ins>
      <w:r>
        <w:rPr>
          <w:rFonts w:eastAsia="Calibri"/>
          <w:szCs w:val="22"/>
        </w:rPr>
        <w:t>bolo tocilizumabu vystavených celkovo 974 pacientov. Zber údajov o bezpečnosti z klinického skúšania RECOVERY bol obmedzený a na tomto mieste nie je prezentovaný.</w:t>
      </w:r>
    </w:p>
    <w:p w14:paraId="601FCDAF" w14:textId="77777777" w:rsidR="009700E5" w:rsidRDefault="009700E5">
      <w:pPr>
        <w:autoSpaceDE w:val="0"/>
        <w:autoSpaceDN w:val="0"/>
        <w:adjustRightInd w:val="0"/>
        <w:rPr>
          <w:rFonts w:eastAsia="Calibri"/>
          <w:szCs w:val="22"/>
        </w:rPr>
      </w:pPr>
    </w:p>
    <w:p w14:paraId="3F229B8D" w14:textId="77777777" w:rsidR="009700E5" w:rsidRPr="009700E5" w:rsidRDefault="002C033C">
      <w:pPr>
        <w:pStyle w:val="Paragraph"/>
        <w:spacing w:after="0" w:line="240" w:lineRule="auto"/>
        <w:rPr>
          <w:rFonts w:ascii="Times New Roman" w:eastAsia="Calibri" w:hAnsi="Times New Roman"/>
          <w:noProof/>
          <w:sz w:val="22"/>
          <w:szCs w:val="22"/>
          <w:lang w:val="sk-SK" w:eastAsia="en-US"/>
          <w:rPrChange w:id="281" w:author="Author" w:date="2025-08-22T15:12:00Z">
            <w:rPr>
              <w:rFonts w:ascii="Times New Roman" w:eastAsia="Calibri" w:hAnsi="Times New Roman"/>
              <w:sz w:val="22"/>
              <w:szCs w:val="22"/>
              <w:lang w:val="sk-SK" w:eastAsia="en-US"/>
            </w:rPr>
          </w:rPrChange>
        </w:rPr>
      </w:pPr>
      <w:r>
        <w:rPr>
          <w:rFonts w:ascii="Times New Roman" w:eastAsia="Calibri" w:hAnsi="Times New Roman"/>
          <w:noProof/>
          <w:sz w:val="22"/>
          <w:szCs w:val="22"/>
          <w:lang w:val="sk-SK" w:eastAsia="en-US"/>
          <w:rPrChange w:id="282" w:author="Author" w:date="2025-08-22T15:12:00Z">
            <w:rPr>
              <w:rFonts w:ascii="Times New Roman" w:eastAsia="Calibri" w:hAnsi="Times New Roman"/>
              <w:sz w:val="22"/>
              <w:szCs w:val="22"/>
              <w:lang w:val="sk-SK" w:eastAsia="en-US"/>
            </w:rPr>
          </w:rPrChange>
        </w:rPr>
        <w:t>Nasledujúce nežiaduce reakcie, uvedené podľa triedy orgánových systémov MedDRA v tabuľke 2, boli posúdené ako súvisiace s liečbou; pochádzajú z nežiaducich udalostí, ktoré sa vyskytli aspoň u 3 % pacientov liečených tocilizumabom a častejšie ako u pacientov, ktorí dostali placebo, v súhrnnej populácii hodnotiteľnej z hľadiska bezpečnosti z klinických skúšaní ML42528, WA42380 a WA42511.</w:t>
      </w:r>
    </w:p>
    <w:p w14:paraId="2DB6360F" w14:textId="77777777" w:rsidR="009700E5" w:rsidRPr="009700E5" w:rsidRDefault="009700E5">
      <w:pPr>
        <w:pStyle w:val="Paragraph"/>
        <w:spacing w:after="0" w:line="240" w:lineRule="auto"/>
        <w:rPr>
          <w:rFonts w:ascii="Times New Roman" w:eastAsia="Calibri" w:hAnsi="Times New Roman"/>
          <w:noProof/>
          <w:sz w:val="22"/>
          <w:szCs w:val="22"/>
          <w:lang w:val="sk-SK" w:eastAsia="en-US"/>
          <w:rPrChange w:id="283" w:author="Author" w:date="2025-08-22T15:12:00Z">
            <w:rPr>
              <w:rFonts w:ascii="Times New Roman" w:eastAsia="Calibri" w:hAnsi="Times New Roman"/>
              <w:sz w:val="22"/>
              <w:szCs w:val="22"/>
              <w:lang w:val="sk-SK" w:eastAsia="en-US"/>
            </w:rPr>
          </w:rPrChange>
        </w:rPr>
      </w:pPr>
    </w:p>
    <w:p w14:paraId="42449C04" w14:textId="77777777" w:rsidR="009700E5" w:rsidRPr="009700E5" w:rsidRDefault="002C033C">
      <w:pPr>
        <w:pStyle w:val="Standard1"/>
        <w:keepNext/>
        <w:keepLines/>
        <w:rPr>
          <w:rFonts w:ascii="Times New Roman" w:hAnsi="Times New Roman"/>
          <w:i/>
          <w:noProof/>
          <w:sz w:val="22"/>
          <w:szCs w:val="22"/>
          <w:lang w:val="sk-SK"/>
          <w:rPrChange w:id="284" w:author="Author" w:date="2025-08-22T15:12:00Z">
            <w:rPr>
              <w:rFonts w:ascii="Times New Roman" w:hAnsi="Times New Roman"/>
              <w:i/>
              <w:sz w:val="22"/>
              <w:szCs w:val="22"/>
              <w:lang w:val="sk-SK"/>
            </w:rPr>
          </w:rPrChange>
        </w:rPr>
      </w:pPr>
      <w:r>
        <w:rPr>
          <w:rFonts w:ascii="Times New Roman" w:hAnsi="Times New Roman"/>
          <w:i/>
          <w:noProof/>
          <w:sz w:val="22"/>
          <w:szCs w:val="22"/>
          <w:lang w:val="sk-SK"/>
          <w:rPrChange w:id="285" w:author="Author" w:date="2025-08-22T15:12:00Z">
            <w:rPr>
              <w:rFonts w:ascii="Times New Roman" w:hAnsi="Times New Roman"/>
              <w:i/>
              <w:sz w:val="22"/>
              <w:szCs w:val="22"/>
              <w:lang w:val="sk-SK"/>
            </w:rPr>
          </w:rPrChange>
        </w:rPr>
        <w:t>Tabuľka 2. Zoznam nežiaducich reakcií</w:t>
      </w:r>
      <w:r>
        <w:rPr>
          <w:rFonts w:ascii="Times New Roman" w:hAnsi="Times New Roman"/>
          <w:bCs/>
          <w:i/>
          <w:noProof/>
          <w:sz w:val="22"/>
          <w:szCs w:val="22"/>
          <w:vertAlign w:val="superscript"/>
          <w:lang w:val="sk-SK"/>
          <w:rPrChange w:id="286" w:author="Author" w:date="2025-08-22T15:12:00Z">
            <w:rPr>
              <w:rFonts w:ascii="Times New Roman" w:hAnsi="Times New Roman"/>
              <w:bCs/>
              <w:i/>
              <w:sz w:val="22"/>
              <w:szCs w:val="22"/>
              <w:vertAlign w:val="superscript"/>
              <w:lang w:val="sk-SK"/>
            </w:rPr>
          </w:rPrChange>
        </w:rPr>
        <w:t>1</w:t>
      </w:r>
      <w:r>
        <w:rPr>
          <w:rFonts w:ascii="Times New Roman" w:hAnsi="Times New Roman"/>
          <w:bCs/>
          <w:i/>
          <w:noProof/>
          <w:sz w:val="22"/>
          <w:szCs w:val="22"/>
          <w:lang w:val="sk-SK"/>
          <w:rPrChange w:id="287" w:author="Author" w:date="2025-08-22T15:12:00Z">
            <w:rPr>
              <w:rFonts w:ascii="Times New Roman" w:hAnsi="Times New Roman"/>
              <w:bCs/>
              <w:i/>
              <w:sz w:val="22"/>
              <w:szCs w:val="22"/>
              <w:lang w:val="sk-SK"/>
            </w:rPr>
          </w:rPrChange>
        </w:rPr>
        <w:t xml:space="preserve"> identifikovaných v súhrnnej populácii hodnotiteľnej z hľadiska bezpečnosti z klinických skúšaní s tocilizumabom u pacientov s </w:t>
      </w:r>
      <w:r>
        <w:rPr>
          <w:rFonts w:ascii="Times New Roman" w:hAnsi="Times New Roman"/>
          <w:i/>
          <w:noProof/>
          <w:sz w:val="22"/>
          <w:szCs w:val="22"/>
          <w:lang w:val="sk-SK"/>
          <w:rPrChange w:id="288" w:author="Author" w:date="2025-08-22T15:12:00Z">
            <w:rPr>
              <w:rFonts w:ascii="Times New Roman" w:hAnsi="Times New Roman"/>
              <w:i/>
              <w:sz w:val="22"/>
              <w:szCs w:val="22"/>
              <w:lang w:val="sk-SK"/>
            </w:rPr>
          </w:rPrChange>
        </w:rPr>
        <w:t>COVID</w:t>
      </w:r>
      <w:r>
        <w:rPr>
          <w:rFonts w:ascii="Times New Roman" w:hAnsi="Times New Roman"/>
          <w:i/>
          <w:noProof/>
          <w:sz w:val="22"/>
          <w:szCs w:val="22"/>
          <w:lang w:val="sk-SK"/>
          <w:rPrChange w:id="289" w:author="Author" w:date="2025-08-22T15:12:00Z">
            <w:rPr>
              <w:rFonts w:ascii="Times New Roman" w:hAnsi="Times New Roman"/>
              <w:i/>
              <w:sz w:val="22"/>
              <w:szCs w:val="22"/>
              <w:lang w:val="sk-SK"/>
            </w:rPr>
          </w:rPrChange>
        </w:rPr>
        <w:noBreakHyphen/>
        <w:t>19</w:t>
      </w:r>
      <w:r>
        <w:rPr>
          <w:rFonts w:ascii="Times New Roman" w:hAnsi="Times New Roman"/>
          <w:i/>
          <w:noProof/>
          <w:sz w:val="22"/>
          <w:szCs w:val="22"/>
          <w:vertAlign w:val="superscript"/>
          <w:lang w:val="sk-SK"/>
          <w:rPrChange w:id="290" w:author="Author" w:date="2025-08-22T15:12:00Z">
            <w:rPr>
              <w:rFonts w:ascii="Times New Roman" w:hAnsi="Times New Roman"/>
              <w:i/>
              <w:sz w:val="22"/>
              <w:szCs w:val="22"/>
              <w:vertAlign w:val="superscript"/>
              <w:lang w:val="sk-SK"/>
            </w:rPr>
          </w:rPrChange>
        </w:rPr>
        <w:t>2</w:t>
      </w:r>
    </w:p>
    <w:p w14:paraId="5D2212A1" w14:textId="77777777" w:rsidR="009700E5" w:rsidRPr="009700E5" w:rsidRDefault="009700E5">
      <w:pPr>
        <w:pStyle w:val="Standard1"/>
        <w:keepNext/>
        <w:keepLines/>
        <w:rPr>
          <w:rFonts w:ascii="Times New Roman" w:hAnsi="Times New Roman"/>
          <w:noProof/>
          <w:sz w:val="22"/>
          <w:szCs w:val="22"/>
          <w:lang w:val="sk-SK"/>
          <w:rPrChange w:id="291" w:author="Author" w:date="2025-08-22T15:12:00Z">
            <w:rPr>
              <w:rFonts w:ascii="Times New Roman" w:hAnsi="Times New Roman"/>
              <w:sz w:val="22"/>
              <w:szCs w:val="22"/>
              <w:lang w:val="sk-SK"/>
            </w:rPr>
          </w:rPrChan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0"/>
        <w:gridCol w:w="4531"/>
      </w:tblGrid>
      <w:tr w:rsidR="009700E5" w14:paraId="1A78DA92" w14:textId="77777777">
        <w:trPr>
          <w:trHeight w:val="494"/>
        </w:trPr>
        <w:tc>
          <w:tcPr>
            <w:tcW w:w="2500" w:type="pct"/>
          </w:tcPr>
          <w:p w14:paraId="7F3187C5" w14:textId="77777777" w:rsidR="009700E5" w:rsidRDefault="002C033C">
            <w:pPr>
              <w:keepNext/>
              <w:keepLines/>
              <w:widowControl w:val="0"/>
              <w:rPr>
                <w:rFonts w:eastAsia="SimSun"/>
                <w:color w:val="000000"/>
                <w:szCs w:val="22"/>
              </w:rPr>
            </w:pPr>
            <w:r>
              <w:rPr>
                <w:rFonts w:eastAsia="SimSun"/>
                <w:b/>
                <w:color w:val="000000"/>
                <w:szCs w:val="22"/>
              </w:rPr>
              <w:t>Trieda orgánových systémov MedDRA</w:t>
            </w:r>
          </w:p>
        </w:tc>
        <w:tc>
          <w:tcPr>
            <w:tcW w:w="2500" w:type="pct"/>
          </w:tcPr>
          <w:p w14:paraId="2A32963D" w14:textId="77777777" w:rsidR="009700E5" w:rsidRDefault="002C033C">
            <w:pPr>
              <w:keepNext/>
              <w:keepLines/>
              <w:widowControl w:val="0"/>
              <w:jc w:val="center"/>
              <w:rPr>
                <w:rFonts w:eastAsia="SimSun"/>
                <w:b/>
                <w:color w:val="000000"/>
                <w:szCs w:val="22"/>
              </w:rPr>
            </w:pPr>
            <w:r>
              <w:rPr>
                <w:rFonts w:eastAsia="SimSun"/>
                <w:b/>
                <w:color w:val="000000"/>
                <w:szCs w:val="22"/>
              </w:rPr>
              <w:t>Preferovaný termín a frekvencia</w:t>
            </w:r>
          </w:p>
          <w:p w14:paraId="71BA7DCB" w14:textId="77777777" w:rsidR="009700E5" w:rsidRDefault="002C033C">
            <w:pPr>
              <w:keepNext/>
              <w:keepLines/>
              <w:widowControl w:val="0"/>
              <w:jc w:val="center"/>
              <w:rPr>
                <w:rFonts w:eastAsia="SimSun"/>
                <w:b/>
                <w:color w:val="000000"/>
                <w:szCs w:val="22"/>
              </w:rPr>
            </w:pPr>
            <w:r>
              <w:rPr>
                <w:rFonts w:eastAsia="SimSun"/>
                <w:b/>
                <w:color w:val="000000"/>
                <w:szCs w:val="22"/>
              </w:rPr>
              <w:t>Časté</w:t>
            </w:r>
          </w:p>
        </w:tc>
      </w:tr>
      <w:tr w:rsidR="009700E5" w14:paraId="7D188F55" w14:textId="77777777">
        <w:trPr>
          <w:trHeight w:val="602"/>
        </w:trPr>
        <w:tc>
          <w:tcPr>
            <w:tcW w:w="2500" w:type="pct"/>
          </w:tcPr>
          <w:p w14:paraId="2965D667" w14:textId="77777777" w:rsidR="009700E5" w:rsidRDefault="002C033C">
            <w:pPr>
              <w:keepNext/>
              <w:keepLines/>
              <w:widowControl w:val="0"/>
              <w:rPr>
                <w:rFonts w:eastAsia="SimSun"/>
                <w:b/>
                <w:color w:val="000000"/>
                <w:szCs w:val="22"/>
              </w:rPr>
            </w:pPr>
            <w:r>
              <w:rPr>
                <w:szCs w:val="22"/>
              </w:rPr>
              <w:t>Infekcie a</w:t>
            </w:r>
            <w:del w:id="292" w:author="Author" w:date="2025-07-18T10:56:00Z">
              <w:r>
                <w:rPr>
                  <w:szCs w:val="22"/>
                </w:rPr>
                <w:delText xml:space="preserve"> </w:delText>
              </w:r>
            </w:del>
            <w:ins w:id="293" w:author="Author" w:date="2025-07-18T23:13:00Z">
              <w:r>
                <w:rPr>
                  <w:szCs w:val="22"/>
                </w:rPr>
                <w:t> </w:t>
              </w:r>
            </w:ins>
            <w:r>
              <w:rPr>
                <w:szCs w:val="22"/>
              </w:rPr>
              <w:t>nákazy</w:t>
            </w:r>
          </w:p>
        </w:tc>
        <w:tc>
          <w:tcPr>
            <w:tcW w:w="2500" w:type="pct"/>
          </w:tcPr>
          <w:p w14:paraId="42DEEC35" w14:textId="77777777" w:rsidR="009700E5" w:rsidRDefault="002C033C">
            <w:pPr>
              <w:keepNext/>
              <w:keepLines/>
              <w:widowControl w:val="0"/>
              <w:rPr>
                <w:rFonts w:eastAsia="SimSun"/>
                <w:color w:val="000000"/>
                <w:szCs w:val="22"/>
              </w:rPr>
            </w:pPr>
            <w:r>
              <w:rPr>
                <w:szCs w:val="22"/>
              </w:rPr>
              <w:t>Infekcia močových ciest</w:t>
            </w:r>
          </w:p>
        </w:tc>
      </w:tr>
      <w:tr w:rsidR="009700E5" w14:paraId="54C5155F" w14:textId="77777777">
        <w:trPr>
          <w:trHeight w:val="628"/>
        </w:trPr>
        <w:tc>
          <w:tcPr>
            <w:tcW w:w="2500" w:type="pct"/>
          </w:tcPr>
          <w:p w14:paraId="323FA72A" w14:textId="77777777" w:rsidR="009700E5" w:rsidRDefault="002C033C">
            <w:pPr>
              <w:keepNext/>
              <w:keepLines/>
              <w:widowControl w:val="0"/>
              <w:rPr>
                <w:rFonts w:eastAsia="SimSun"/>
                <w:b/>
                <w:color w:val="000000"/>
                <w:szCs w:val="22"/>
              </w:rPr>
            </w:pPr>
            <w:r>
              <w:t>Poruchy metabolizmu a</w:t>
            </w:r>
            <w:del w:id="294" w:author="Author" w:date="2025-07-18T10:56:00Z">
              <w:r>
                <w:delText> </w:delText>
              </w:r>
            </w:del>
            <w:ins w:id="295" w:author="Author" w:date="2025-07-18T23:13:00Z">
              <w:r>
                <w:t> </w:t>
              </w:r>
            </w:ins>
            <w:r>
              <w:t>výživy</w:t>
            </w:r>
          </w:p>
        </w:tc>
        <w:tc>
          <w:tcPr>
            <w:tcW w:w="2500" w:type="pct"/>
          </w:tcPr>
          <w:p w14:paraId="4EFCD6B1" w14:textId="77777777" w:rsidR="009700E5" w:rsidRDefault="002C033C">
            <w:pPr>
              <w:keepNext/>
              <w:keepLines/>
              <w:widowControl w:val="0"/>
              <w:rPr>
                <w:rFonts w:eastAsia="SimSun"/>
                <w:color w:val="000000"/>
                <w:szCs w:val="22"/>
              </w:rPr>
            </w:pPr>
            <w:r>
              <w:rPr>
                <w:szCs w:val="22"/>
              </w:rPr>
              <w:t>Hypokaliémia</w:t>
            </w:r>
          </w:p>
        </w:tc>
      </w:tr>
      <w:tr w:rsidR="009700E5" w14:paraId="035E4A95" w14:textId="77777777">
        <w:trPr>
          <w:trHeight w:val="371"/>
        </w:trPr>
        <w:tc>
          <w:tcPr>
            <w:tcW w:w="2500" w:type="pct"/>
          </w:tcPr>
          <w:p w14:paraId="27D1CBE2" w14:textId="77777777" w:rsidR="009700E5" w:rsidRDefault="002C033C">
            <w:pPr>
              <w:keepNext/>
              <w:keepLines/>
              <w:widowControl w:val="0"/>
              <w:rPr>
                <w:rFonts w:eastAsia="SimSun"/>
                <w:b/>
                <w:color w:val="000000"/>
                <w:szCs w:val="22"/>
              </w:rPr>
            </w:pPr>
            <w:r>
              <w:rPr>
                <w:szCs w:val="22"/>
              </w:rPr>
              <w:t>Psychické poruchy</w:t>
            </w:r>
          </w:p>
        </w:tc>
        <w:tc>
          <w:tcPr>
            <w:tcW w:w="2500" w:type="pct"/>
          </w:tcPr>
          <w:p w14:paraId="368765EF" w14:textId="77777777" w:rsidR="009700E5" w:rsidRDefault="002C033C">
            <w:pPr>
              <w:keepNext/>
              <w:keepLines/>
              <w:widowControl w:val="0"/>
              <w:rPr>
                <w:rFonts w:eastAsia="SimSun"/>
                <w:color w:val="000000"/>
                <w:szCs w:val="22"/>
              </w:rPr>
            </w:pPr>
            <w:r>
              <w:rPr>
                <w:szCs w:val="22"/>
              </w:rPr>
              <w:t>Úzkosť, insomnia</w:t>
            </w:r>
          </w:p>
        </w:tc>
      </w:tr>
      <w:tr w:rsidR="009700E5" w14:paraId="33C867B1" w14:textId="77777777">
        <w:trPr>
          <w:trHeight w:val="300"/>
        </w:trPr>
        <w:tc>
          <w:tcPr>
            <w:tcW w:w="2500" w:type="pct"/>
          </w:tcPr>
          <w:p w14:paraId="535FF7EA" w14:textId="77777777" w:rsidR="009700E5" w:rsidRDefault="002C033C">
            <w:pPr>
              <w:keepNext/>
              <w:keepLines/>
              <w:widowControl w:val="0"/>
              <w:rPr>
                <w:rFonts w:eastAsia="SimSun"/>
                <w:b/>
                <w:color w:val="000000"/>
                <w:szCs w:val="22"/>
              </w:rPr>
            </w:pPr>
            <w:r>
              <w:rPr>
                <w:szCs w:val="22"/>
              </w:rPr>
              <w:t>Poruchy ciev</w:t>
            </w:r>
          </w:p>
        </w:tc>
        <w:tc>
          <w:tcPr>
            <w:tcW w:w="2500" w:type="pct"/>
          </w:tcPr>
          <w:p w14:paraId="23B6B848" w14:textId="77777777" w:rsidR="009700E5" w:rsidRDefault="002C033C">
            <w:pPr>
              <w:keepNext/>
              <w:keepLines/>
              <w:widowControl w:val="0"/>
              <w:rPr>
                <w:szCs w:val="22"/>
              </w:rPr>
            </w:pPr>
            <w:r>
              <w:rPr>
                <w:szCs w:val="22"/>
              </w:rPr>
              <w:t>Hypertenzia</w:t>
            </w:r>
          </w:p>
        </w:tc>
      </w:tr>
      <w:tr w:rsidR="009700E5" w14:paraId="235AF8A2" w14:textId="77777777">
        <w:trPr>
          <w:trHeight w:val="493"/>
        </w:trPr>
        <w:tc>
          <w:tcPr>
            <w:tcW w:w="2500" w:type="pct"/>
          </w:tcPr>
          <w:p w14:paraId="2A3EBA5C" w14:textId="77777777" w:rsidR="009700E5" w:rsidRDefault="002C033C">
            <w:pPr>
              <w:keepNext/>
              <w:keepLines/>
              <w:widowControl w:val="0"/>
              <w:rPr>
                <w:szCs w:val="22"/>
              </w:rPr>
            </w:pPr>
            <w:r>
              <w:rPr>
                <w:szCs w:val="22"/>
              </w:rPr>
              <w:t>Poruchy gastrointestinálneho traktu</w:t>
            </w:r>
          </w:p>
        </w:tc>
        <w:tc>
          <w:tcPr>
            <w:tcW w:w="2500" w:type="pct"/>
          </w:tcPr>
          <w:p w14:paraId="438012B8" w14:textId="77777777" w:rsidR="009700E5" w:rsidRDefault="002C033C">
            <w:pPr>
              <w:keepNext/>
              <w:keepLines/>
              <w:widowControl w:val="0"/>
              <w:rPr>
                <w:szCs w:val="22"/>
              </w:rPr>
            </w:pPr>
            <w:r>
              <w:rPr>
                <w:szCs w:val="22"/>
              </w:rPr>
              <w:t>Zápcha, hnačka, nauzea</w:t>
            </w:r>
          </w:p>
        </w:tc>
      </w:tr>
      <w:tr w:rsidR="009700E5" w14:paraId="73A9EA5D" w14:textId="77777777">
        <w:trPr>
          <w:trHeight w:val="362"/>
        </w:trPr>
        <w:tc>
          <w:tcPr>
            <w:tcW w:w="2500" w:type="pct"/>
          </w:tcPr>
          <w:p w14:paraId="740125E1" w14:textId="77777777" w:rsidR="009700E5" w:rsidRDefault="002C033C">
            <w:pPr>
              <w:keepLines/>
              <w:widowControl w:val="0"/>
              <w:rPr>
                <w:szCs w:val="22"/>
              </w:rPr>
            </w:pPr>
            <w:r>
              <w:rPr>
                <w:szCs w:val="22"/>
              </w:rPr>
              <w:t>Poruchy pečene a žlčových ciest</w:t>
            </w:r>
          </w:p>
        </w:tc>
        <w:tc>
          <w:tcPr>
            <w:tcW w:w="2500" w:type="pct"/>
          </w:tcPr>
          <w:p w14:paraId="6B17306E" w14:textId="77777777" w:rsidR="009700E5" w:rsidRDefault="002C033C">
            <w:pPr>
              <w:keepLines/>
              <w:widowControl w:val="0"/>
              <w:rPr>
                <w:szCs w:val="22"/>
              </w:rPr>
            </w:pPr>
            <w:r>
              <w:rPr>
                <w:szCs w:val="22"/>
              </w:rPr>
              <w:t>Zvýšené hodnoty pečeňových transamináz</w:t>
            </w:r>
          </w:p>
        </w:tc>
      </w:tr>
    </w:tbl>
    <w:p w14:paraId="5890DC1B" w14:textId="77777777" w:rsidR="009700E5" w:rsidRDefault="002C033C">
      <w:pPr>
        <w:rPr>
          <w:sz w:val="18"/>
          <w:szCs w:val="18"/>
        </w:rPr>
      </w:pPr>
      <w:r>
        <w:rPr>
          <w:sz w:val="18"/>
          <w:szCs w:val="18"/>
          <w:vertAlign w:val="superscript"/>
        </w:rPr>
        <w:t>1</w:t>
      </w:r>
      <w:r>
        <w:rPr>
          <w:sz w:val="18"/>
          <w:szCs w:val="18"/>
        </w:rPr>
        <w:t xml:space="preserve"> Pacienti sú započítaní jedenkrát pre každú kategóriu bez ohľadu na počet reakcií.</w:t>
      </w:r>
    </w:p>
    <w:p w14:paraId="4858EE6B" w14:textId="77777777" w:rsidR="009700E5" w:rsidRDefault="002C033C">
      <w:pPr>
        <w:rPr>
          <w:sz w:val="18"/>
          <w:szCs w:val="18"/>
        </w:rPr>
      </w:pPr>
      <w:r>
        <w:rPr>
          <w:sz w:val="18"/>
          <w:szCs w:val="18"/>
          <w:vertAlign w:val="superscript"/>
        </w:rPr>
        <w:t xml:space="preserve">2 </w:t>
      </w:r>
      <w:r>
        <w:rPr>
          <w:sz w:val="18"/>
          <w:szCs w:val="18"/>
        </w:rPr>
        <w:t>Zahŕňa reakcie posúdené ako súvisiace s liečbou, ktoré boli hlásené v</w:t>
      </w:r>
      <w:del w:id="296" w:author="Author" w:date="2025-07-18T10:56:00Z">
        <w:r>
          <w:rPr>
            <w:sz w:val="18"/>
            <w:szCs w:val="18"/>
          </w:rPr>
          <w:delText> </w:delText>
        </w:r>
      </w:del>
      <w:ins w:id="297" w:author="Author" w:date="2025-07-18T10:56:00Z">
        <w:r>
          <w:rPr>
            <w:sz w:val="18"/>
            <w:szCs w:val="18"/>
          </w:rPr>
          <w:t> </w:t>
        </w:r>
      </w:ins>
      <w:del w:id="298" w:author="Author" w:date="2025-07-18T10:56:00Z">
        <w:r>
          <w:rPr>
            <w:sz w:val="18"/>
            <w:szCs w:val="18"/>
          </w:rPr>
          <w:delText xml:space="preserve">štúdiách </w:delText>
        </w:r>
      </w:del>
      <w:ins w:id="299" w:author="Author" w:date="2025-07-18T10:56:00Z">
        <w:r>
          <w:rPr>
            <w:sz w:val="18"/>
            <w:szCs w:val="18"/>
          </w:rPr>
          <w:t xml:space="preserve">klinických skúšaniach </w:t>
        </w:r>
      </w:ins>
      <w:r>
        <w:rPr>
          <w:sz w:val="18"/>
          <w:szCs w:val="18"/>
        </w:rPr>
        <w:t>WA42511, WA42380 a ML42528.</w:t>
      </w:r>
    </w:p>
    <w:p w14:paraId="16BF6D51" w14:textId="77777777" w:rsidR="009700E5" w:rsidRDefault="009700E5">
      <w:pPr>
        <w:autoSpaceDE w:val="0"/>
        <w:autoSpaceDN w:val="0"/>
        <w:adjustRightInd w:val="0"/>
        <w:jc w:val="both"/>
        <w:rPr>
          <w:szCs w:val="22"/>
          <w:u w:val="single"/>
        </w:rPr>
      </w:pPr>
    </w:p>
    <w:p w14:paraId="48D18C39" w14:textId="77777777" w:rsidR="009700E5" w:rsidRDefault="002C033C">
      <w:pPr>
        <w:keepNext/>
        <w:keepLines/>
        <w:autoSpaceDE w:val="0"/>
        <w:autoSpaceDN w:val="0"/>
        <w:adjustRightInd w:val="0"/>
        <w:rPr>
          <w:rFonts w:eastAsia="SimSun"/>
          <w:i/>
          <w:iCs/>
          <w:szCs w:val="22"/>
          <w:lang w:eastAsia="zh-CN"/>
        </w:rPr>
      </w:pPr>
      <w:r>
        <w:rPr>
          <w:rFonts w:eastAsia="SimSun"/>
          <w:i/>
          <w:iCs/>
          <w:szCs w:val="22"/>
          <w:lang w:eastAsia="zh-CN"/>
        </w:rPr>
        <w:t>Pacienti so sJIA alebo pJIA</w:t>
      </w:r>
    </w:p>
    <w:p w14:paraId="29FD51B5" w14:textId="77777777" w:rsidR="009700E5" w:rsidRDefault="002C033C">
      <w:pPr>
        <w:keepNext/>
        <w:keepLines/>
      </w:pPr>
      <w:r>
        <w:t>Nežiaduce reakcie u pacientov so sJIA a pJIA liečených tocilizumabom sú uvedené v tabuľke 3 podľa triedy orgánových systémov MedDRA. Zodpovedajúce kategórie frekvencií pre každú nežiaducu reakciu sú založené na nasledovnej konvencii: veľmi časté (</w:t>
      </w:r>
      <w:r>
        <w:rPr>
          <w:rFonts w:eastAsia="PMingLiU"/>
          <w:szCs w:val="22"/>
          <w:lang w:eastAsia="zh-CN"/>
        </w:rPr>
        <w:t>≥</w:t>
      </w:r>
      <w:r>
        <w:t> 1/10); časté (</w:t>
      </w:r>
      <w:r>
        <w:rPr>
          <w:rFonts w:eastAsia="PMingLiU"/>
          <w:szCs w:val="22"/>
          <w:lang w:eastAsia="zh-CN"/>
        </w:rPr>
        <w:t>≥</w:t>
      </w:r>
      <w:r>
        <w:t xml:space="preserve"> 1/100 až </w:t>
      </w:r>
      <w:r>
        <w:rPr>
          <w:rFonts w:eastAsia="MS Mincho"/>
          <w:szCs w:val="22"/>
        </w:rPr>
        <w:sym w:font="Symbol" w:char="F03C"/>
      </w:r>
      <w:r>
        <w:t> 1/10) alebo menej časté (</w:t>
      </w:r>
      <w:r>
        <w:rPr>
          <w:rFonts w:eastAsia="PMingLiU"/>
          <w:szCs w:val="22"/>
          <w:lang w:eastAsia="zh-CN"/>
        </w:rPr>
        <w:t>≥</w:t>
      </w:r>
      <w:r>
        <w:t xml:space="preserve"> 1/1 000 až </w:t>
      </w:r>
      <w:r>
        <w:rPr>
          <w:rFonts w:eastAsia="MS Mincho"/>
          <w:szCs w:val="22"/>
        </w:rPr>
        <w:sym w:font="Symbol" w:char="F03C"/>
      </w:r>
      <w:r>
        <w:t> 1/100).</w:t>
      </w:r>
    </w:p>
    <w:p w14:paraId="76344EEA" w14:textId="77777777" w:rsidR="009700E5" w:rsidRDefault="009700E5"/>
    <w:p w14:paraId="4FC44FC2" w14:textId="77777777" w:rsidR="009700E5" w:rsidRDefault="002C033C">
      <w:pPr>
        <w:keepNext/>
        <w:keepLines/>
        <w:rPr>
          <w:i/>
        </w:rPr>
      </w:pPr>
      <w:r>
        <w:rPr>
          <w:i/>
        </w:rPr>
        <w:lastRenderedPageBreak/>
        <w:t>Tabuľka 3. Zoznam nežiaducich reakcií vyskytujúcich sa u pacientov so sJIA alebo pJIA, ktorí boli v klinických skúšaniach liečení tocilizumabom v monoterapii alebo v kombinácii s MTX</w:t>
      </w:r>
    </w:p>
    <w:p w14:paraId="39349CEB" w14:textId="77777777" w:rsidR="009700E5" w:rsidRDefault="009700E5">
      <w:pPr>
        <w:keepNext/>
        <w:keepLines/>
        <w:ind w:left="1134" w:hanging="1134"/>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268"/>
        <w:gridCol w:w="1417"/>
        <w:gridCol w:w="1418"/>
        <w:gridCol w:w="1418"/>
      </w:tblGrid>
      <w:tr w:rsidR="009700E5" w14:paraId="56E90B05" w14:textId="77777777">
        <w:trPr>
          <w:tblHeader/>
        </w:trPr>
        <w:tc>
          <w:tcPr>
            <w:tcW w:w="2376" w:type="dxa"/>
          </w:tcPr>
          <w:p w14:paraId="3274BC3D" w14:textId="77777777" w:rsidR="009700E5" w:rsidRDefault="002C033C">
            <w:pPr>
              <w:keepNext/>
              <w:keepLines/>
              <w:autoSpaceDE w:val="0"/>
              <w:autoSpaceDN w:val="0"/>
              <w:adjustRightInd w:val="0"/>
              <w:rPr>
                <w:b/>
                <w:szCs w:val="22"/>
              </w:rPr>
            </w:pPr>
            <w:r>
              <w:rPr>
                <w:b/>
                <w:szCs w:val="22"/>
              </w:rPr>
              <w:t xml:space="preserve">Trieda orgánových systémov MedDRA </w:t>
            </w:r>
          </w:p>
        </w:tc>
        <w:tc>
          <w:tcPr>
            <w:tcW w:w="2268" w:type="dxa"/>
          </w:tcPr>
          <w:p w14:paraId="436633F8" w14:textId="77777777" w:rsidR="009700E5" w:rsidRDefault="002C033C">
            <w:pPr>
              <w:keepNext/>
              <w:keepLines/>
              <w:autoSpaceDE w:val="0"/>
              <w:autoSpaceDN w:val="0"/>
              <w:adjustRightInd w:val="0"/>
              <w:rPr>
                <w:b/>
                <w:szCs w:val="22"/>
              </w:rPr>
            </w:pPr>
            <w:r>
              <w:rPr>
                <w:b/>
                <w:szCs w:val="22"/>
              </w:rPr>
              <w:t>Preferovaný termín</w:t>
            </w:r>
          </w:p>
        </w:tc>
        <w:tc>
          <w:tcPr>
            <w:tcW w:w="4253" w:type="dxa"/>
            <w:gridSpan w:val="3"/>
          </w:tcPr>
          <w:p w14:paraId="42E499B2" w14:textId="77777777" w:rsidR="009700E5" w:rsidRDefault="002C033C">
            <w:pPr>
              <w:keepNext/>
              <w:keepLines/>
              <w:autoSpaceDE w:val="0"/>
              <w:autoSpaceDN w:val="0"/>
              <w:adjustRightInd w:val="0"/>
              <w:jc w:val="center"/>
              <w:rPr>
                <w:b/>
                <w:szCs w:val="22"/>
              </w:rPr>
            </w:pPr>
            <w:r>
              <w:rPr>
                <w:b/>
                <w:szCs w:val="22"/>
              </w:rPr>
              <w:t>Frekvencia</w:t>
            </w:r>
          </w:p>
        </w:tc>
      </w:tr>
      <w:tr w:rsidR="009700E5" w14:paraId="3E29A804" w14:textId="77777777">
        <w:tc>
          <w:tcPr>
            <w:tcW w:w="4644" w:type="dxa"/>
            <w:gridSpan w:val="2"/>
          </w:tcPr>
          <w:p w14:paraId="455891FD" w14:textId="77777777" w:rsidR="009700E5" w:rsidRDefault="002C033C">
            <w:pPr>
              <w:keepNext/>
              <w:keepLines/>
              <w:autoSpaceDE w:val="0"/>
              <w:autoSpaceDN w:val="0"/>
              <w:adjustRightInd w:val="0"/>
              <w:rPr>
                <w:szCs w:val="22"/>
              </w:rPr>
            </w:pPr>
            <w:r>
              <w:rPr>
                <w:szCs w:val="22"/>
              </w:rPr>
              <w:t>Infekcie a</w:t>
            </w:r>
            <w:del w:id="300" w:author="Author" w:date="2025-07-18T10:56:00Z">
              <w:r>
                <w:rPr>
                  <w:szCs w:val="22"/>
                </w:rPr>
                <w:delText xml:space="preserve"> </w:delText>
              </w:r>
            </w:del>
            <w:ins w:id="301" w:author="Author" w:date="2025-07-18T23:13:00Z">
              <w:r>
                <w:rPr>
                  <w:szCs w:val="22"/>
                </w:rPr>
                <w:t> </w:t>
              </w:r>
            </w:ins>
            <w:r>
              <w:rPr>
                <w:szCs w:val="22"/>
              </w:rPr>
              <w:t>nákazy</w:t>
            </w:r>
          </w:p>
        </w:tc>
        <w:tc>
          <w:tcPr>
            <w:tcW w:w="1417" w:type="dxa"/>
          </w:tcPr>
          <w:p w14:paraId="71E56236" w14:textId="77777777" w:rsidR="009700E5" w:rsidRDefault="002C033C">
            <w:pPr>
              <w:keepNext/>
              <w:keepLines/>
              <w:autoSpaceDE w:val="0"/>
              <w:autoSpaceDN w:val="0"/>
              <w:adjustRightInd w:val="0"/>
              <w:rPr>
                <w:szCs w:val="22"/>
              </w:rPr>
            </w:pPr>
            <w:r>
              <w:t>Veľmi časté</w:t>
            </w:r>
          </w:p>
        </w:tc>
        <w:tc>
          <w:tcPr>
            <w:tcW w:w="1418" w:type="dxa"/>
          </w:tcPr>
          <w:p w14:paraId="07F5A084" w14:textId="77777777" w:rsidR="009700E5" w:rsidRDefault="002C033C">
            <w:pPr>
              <w:keepNext/>
              <w:keepLines/>
              <w:autoSpaceDE w:val="0"/>
              <w:autoSpaceDN w:val="0"/>
              <w:adjustRightInd w:val="0"/>
              <w:rPr>
                <w:szCs w:val="22"/>
              </w:rPr>
            </w:pPr>
            <w:r>
              <w:rPr>
                <w:szCs w:val="22"/>
              </w:rPr>
              <w:t>Časté</w:t>
            </w:r>
          </w:p>
        </w:tc>
        <w:tc>
          <w:tcPr>
            <w:tcW w:w="1418" w:type="dxa"/>
          </w:tcPr>
          <w:p w14:paraId="751B94D5" w14:textId="77777777" w:rsidR="009700E5" w:rsidRDefault="002C033C">
            <w:pPr>
              <w:keepNext/>
              <w:keepLines/>
              <w:autoSpaceDE w:val="0"/>
              <w:autoSpaceDN w:val="0"/>
              <w:adjustRightInd w:val="0"/>
              <w:rPr>
                <w:szCs w:val="22"/>
              </w:rPr>
            </w:pPr>
            <w:r>
              <w:t>Menej časté</w:t>
            </w:r>
          </w:p>
        </w:tc>
      </w:tr>
      <w:tr w:rsidR="009700E5" w14:paraId="1293F403" w14:textId="77777777">
        <w:tc>
          <w:tcPr>
            <w:tcW w:w="2376" w:type="dxa"/>
            <w:vMerge w:val="restart"/>
          </w:tcPr>
          <w:p w14:paraId="5F1F6603" w14:textId="77777777" w:rsidR="009700E5" w:rsidRDefault="009700E5">
            <w:pPr>
              <w:keepNext/>
              <w:keepLines/>
              <w:autoSpaceDE w:val="0"/>
              <w:autoSpaceDN w:val="0"/>
              <w:adjustRightInd w:val="0"/>
              <w:rPr>
                <w:szCs w:val="22"/>
              </w:rPr>
            </w:pPr>
          </w:p>
        </w:tc>
        <w:tc>
          <w:tcPr>
            <w:tcW w:w="2268" w:type="dxa"/>
          </w:tcPr>
          <w:p w14:paraId="529962A5" w14:textId="77777777" w:rsidR="009700E5" w:rsidRDefault="002C033C">
            <w:pPr>
              <w:keepNext/>
              <w:keepLines/>
              <w:autoSpaceDE w:val="0"/>
              <w:autoSpaceDN w:val="0"/>
              <w:adjustRightInd w:val="0"/>
              <w:rPr>
                <w:szCs w:val="22"/>
              </w:rPr>
            </w:pPr>
            <w:r>
              <w:t>Infekcie horných dýchacích ciest</w:t>
            </w:r>
          </w:p>
        </w:tc>
        <w:tc>
          <w:tcPr>
            <w:tcW w:w="1417" w:type="dxa"/>
          </w:tcPr>
          <w:p w14:paraId="616A40CF" w14:textId="77777777" w:rsidR="009700E5" w:rsidRDefault="002C033C">
            <w:pPr>
              <w:keepNext/>
              <w:keepLines/>
              <w:autoSpaceDE w:val="0"/>
              <w:autoSpaceDN w:val="0"/>
              <w:adjustRightInd w:val="0"/>
              <w:rPr>
                <w:szCs w:val="22"/>
              </w:rPr>
            </w:pPr>
            <w:r>
              <w:rPr>
                <w:szCs w:val="22"/>
              </w:rPr>
              <w:t>pJIA, sJIA</w:t>
            </w:r>
          </w:p>
        </w:tc>
        <w:tc>
          <w:tcPr>
            <w:tcW w:w="1418" w:type="dxa"/>
          </w:tcPr>
          <w:p w14:paraId="4445427B" w14:textId="77777777" w:rsidR="009700E5" w:rsidRDefault="009700E5">
            <w:pPr>
              <w:keepNext/>
              <w:keepLines/>
              <w:autoSpaceDE w:val="0"/>
              <w:autoSpaceDN w:val="0"/>
              <w:adjustRightInd w:val="0"/>
              <w:rPr>
                <w:szCs w:val="22"/>
              </w:rPr>
            </w:pPr>
          </w:p>
        </w:tc>
        <w:tc>
          <w:tcPr>
            <w:tcW w:w="1418" w:type="dxa"/>
          </w:tcPr>
          <w:p w14:paraId="30143723" w14:textId="77777777" w:rsidR="009700E5" w:rsidRDefault="009700E5">
            <w:pPr>
              <w:keepNext/>
              <w:keepLines/>
              <w:autoSpaceDE w:val="0"/>
              <w:autoSpaceDN w:val="0"/>
              <w:adjustRightInd w:val="0"/>
              <w:rPr>
                <w:szCs w:val="22"/>
              </w:rPr>
            </w:pPr>
          </w:p>
        </w:tc>
      </w:tr>
      <w:tr w:rsidR="009700E5" w14:paraId="33D25017" w14:textId="77777777">
        <w:tc>
          <w:tcPr>
            <w:tcW w:w="2376" w:type="dxa"/>
            <w:vMerge/>
          </w:tcPr>
          <w:p w14:paraId="5104D6B4" w14:textId="77777777" w:rsidR="009700E5" w:rsidRDefault="009700E5">
            <w:pPr>
              <w:keepNext/>
              <w:keepLines/>
              <w:autoSpaceDE w:val="0"/>
              <w:autoSpaceDN w:val="0"/>
              <w:adjustRightInd w:val="0"/>
              <w:rPr>
                <w:szCs w:val="22"/>
              </w:rPr>
            </w:pPr>
          </w:p>
        </w:tc>
        <w:tc>
          <w:tcPr>
            <w:tcW w:w="2268" w:type="dxa"/>
          </w:tcPr>
          <w:p w14:paraId="41AD9966" w14:textId="77777777" w:rsidR="009700E5" w:rsidRDefault="002C033C">
            <w:pPr>
              <w:keepNext/>
              <w:keepLines/>
              <w:autoSpaceDE w:val="0"/>
              <w:autoSpaceDN w:val="0"/>
              <w:adjustRightInd w:val="0"/>
              <w:rPr>
                <w:szCs w:val="22"/>
              </w:rPr>
            </w:pPr>
            <w:r>
              <w:rPr>
                <w:szCs w:val="22"/>
              </w:rPr>
              <w:t>Nazofaryngitída</w:t>
            </w:r>
          </w:p>
        </w:tc>
        <w:tc>
          <w:tcPr>
            <w:tcW w:w="1417" w:type="dxa"/>
          </w:tcPr>
          <w:p w14:paraId="3BE2A802" w14:textId="77777777" w:rsidR="009700E5" w:rsidRDefault="002C033C">
            <w:pPr>
              <w:keepNext/>
              <w:keepLines/>
              <w:autoSpaceDE w:val="0"/>
              <w:autoSpaceDN w:val="0"/>
              <w:adjustRightInd w:val="0"/>
              <w:rPr>
                <w:szCs w:val="22"/>
              </w:rPr>
            </w:pPr>
            <w:r>
              <w:rPr>
                <w:szCs w:val="22"/>
              </w:rPr>
              <w:t>pJIA, sJIA</w:t>
            </w:r>
          </w:p>
        </w:tc>
        <w:tc>
          <w:tcPr>
            <w:tcW w:w="1418" w:type="dxa"/>
          </w:tcPr>
          <w:p w14:paraId="01543949" w14:textId="77777777" w:rsidR="009700E5" w:rsidRDefault="009700E5">
            <w:pPr>
              <w:keepNext/>
              <w:keepLines/>
              <w:autoSpaceDE w:val="0"/>
              <w:autoSpaceDN w:val="0"/>
              <w:adjustRightInd w:val="0"/>
              <w:rPr>
                <w:szCs w:val="22"/>
              </w:rPr>
            </w:pPr>
          </w:p>
        </w:tc>
        <w:tc>
          <w:tcPr>
            <w:tcW w:w="1418" w:type="dxa"/>
          </w:tcPr>
          <w:p w14:paraId="17264FDB" w14:textId="77777777" w:rsidR="009700E5" w:rsidRDefault="009700E5">
            <w:pPr>
              <w:keepNext/>
              <w:keepLines/>
              <w:autoSpaceDE w:val="0"/>
              <w:autoSpaceDN w:val="0"/>
              <w:adjustRightInd w:val="0"/>
              <w:rPr>
                <w:szCs w:val="22"/>
              </w:rPr>
            </w:pPr>
          </w:p>
        </w:tc>
      </w:tr>
      <w:tr w:rsidR="009700E5" w14:paraId="58EDC953" w14:textId="77777777">
        <w:tc>
          <w:tcPr>
            <w:tcW w:w="4644" w:type="dxa"/>
            <w:gridSpan w:val="2"/>
          </w:tcPr>
          <w:p w14:paraId="265744EE" w14:textId="77777777" w:rsidR="009700E5" w:rsidRDefault="002C033C">
            <w:pPr>
              <w:keepNext/>
              <w:keepLines/>
              <w:autoSpaceDE w:val="0"/>
              <w:autoSpaceDN w:val="0"/>
              <w:adjustRightInd w:val="0"/>
              <w:rPr>
                <w:szCs w:val="22"/>
              </w:rPr>
            </w:pPr>
            <w:r>
              <w:rPr>
                <w:szCs w:val="22"/>
              </w:rPr>
              <w:t>Poruchy nervového systému</w:t>
            </w:r>
          </w:p>
        </w:tc>
        <w:tc>
          <w:tcPr>
            <w:tcW w:w="1417" w:type="dxa"/>
          </w:tcPr>
          <w:p w14:paraId="7CFC33FD" w14:textId="77777777" w:rsidR="009700E5" w:rsidRDefault="009700E5">
            <w:pPr>
              <w:keepNext/>
              <w:keepLines/>
              <w:autoSpaceDE w:val="0"/>
              <w:autoSpaceDN w:val="0"/>
              <w:adjustRightInd w:val="0"/>
              <w:rPr>
                <w:szCs w:val="22"/>
              </w:rPr>
            </w:pPr>
          </w:p>
        </w:tc>
        <w:tc>
          <w:tcPr>
            <w:tcW w:w="1418" w:type="dxa"/>
          </w:tcPr>
          <w:p w14:paraId="72636B14" w14:textId="77777777" w:rsidR="009700E5" w:rsidRDefault="009700E5">
            <w:pPr>
              <w:keepNext/>
              <w:keepLines/>
              <w:autoSpaceDE w:val="0"/>
              <w:autoSpaceDN w:val="0"/>
              <w:adjustRightInd w:val="0"/>
              <w:rPr>
                <w:szCs w:val="22"/>
              </w:rPr>
            </w:pPr>
          </w:p>
        </w:tc>
        <w:tc>
          <w:tcPr>
            <w:tcW w:w="1418" w:type="dxa"/>
          </w:tcPr>
          <w:p w14:paraId="6B0FD1BA" w14:textId="77777777" w:rsidR="009700E5" w:rsidRDefault="009700E5">
            <w:pPr>
              <w:keepNext/>
              <w:keepLines/>
              <w:autoSpaceDE w:val="0"/>
              <w:autoSpaceDN w:val="0"/>
              <w:adjustRightInd w:val="0"/>
              <w:rPr>
                <w:szCs w:val="22"/>
              </w:rPr>
            </w:pPr>
          </w:p>
        </w:tc>
      </w:tr>
      <w:tr w:rsidR="009700E5" w14:paraId="66F6A362" w14:textId="77777777">
        <w:tc>
          <w:tcPr>
            <w:tcW w:w="2376" w:type="dxa"/>
          </w:tcPr>
          <w:p w14:paraId="35515FA0" w14:textId="77777777" w:rsidR="009700E5" w:rsidRDefault="009700E5">
            <w:pPr>
              <w:keepNext/>
              <w:keepLines/>
              <w:autoSpaceDE w:val="0"/>
              <w:autoSpaceDN w:val="0"/>
              <w:adjustRightInd w:val="0"/>
              <w:rPr>
                <w:szCs w:val="22"/>
              </w:rPr>
            </w:pPr>
          </w:p>
        </w:tc>
        <w:tc>
          <w:tcPr>
            <w:tcW w:w="2268" w:type="dxa"/>
          </w:tcPr>
          <w:p w14:paraId="0DCE5B3D" w14:textId="77777777" w:rsidR="009700E5" w:rsidRDefault="002C033C">
            <w:pPr>
              <w:keepNext/>
              <w:keepLines/>
              <w:autoSpaceDE w:val="0"/>
              <w:autoSpaceDN w:val="0"/>
              <w:adjustRightInd w:val="0"/>
              <w:rPr>
                <w:szCs w:val="22"/>
              </w:rPr>
            </w:pPr>
            <w:r>
              <w:rPr>
                <w:szCs w:val="22"/>
              </w:rPr>
              <w:t>Bolesť hlavy</w:t>
            </w:r>
          </w:p>
        </w:tc>
        <w:tc>
          <w:tcPr>
            <w:tcW w:w="1417" w:type="dxa"/>
          </w:tcPr>
          <w:p w14:paraId="408EEC08" w14:textId="77777777" w:rsidR="009700E5" w:rsidRDefault="002C033C">
            <w:pPr>
              <w:keepNext/>
              <w:keepLines/>
              <w:autoSpaceDE w:val="0"/>
              <w:autoSpaceDN w:val="0"/>
              <w:adjustRightInd w:val="0"/>
              <w:rPr>
                <w:szCs w:val="22"/>
              </w:rPr>
            </w:pPr>
            <w:r>
              <w:rPr>
                <w:szCs w:val="22"/>
              </w:rPr>
              <w:t>pJIA</w:t>
            </w:r>
          </w:p>
        </w:tc>
        <w:tc>
          <w:tcPr>
            <w:tcW w:w="1418" w:type="dxa"/>
          </w:tcPr>
          <w:p w14:paraId="4601C393" w14:textId="77777777" w:rsidR="009700E5" w:rsidRDefault="002C033C">
            <w:pPr>
              <w:keepNext/>
              <w:keepLines/>
              <w:autoSpaceDE w:val="0"/>
              <w:autoSpaceDN w:val="0"/>
              <w:adjustRightInd w:val="0"/>
              <w:rPr>
                <w:szCs w:val="22"/>
              </w:rPr>
            </w:pPr>
            <w:r>
              <w:rPr>
                <w:szCs w:val="22"/>
              </w:rPr>
              <w:t>sJIA</w:t>
            </w:r>
          </w:p>
        </w:tc>
        <w:tc>
          <w:tcPr>
            <w:tcW w:w="1418" w:type="dxa"/>
          </w:tcPr>
          <w:p w14:paraId="4CB8C1FB" w14:textId="77777777" w:rsidR="009700E5" w:rsidRDefault="009700E5">
            <w:pPr>
              <w:keepNext/>
              <w:keepLines/>
              <w:autoSpaceDE w:val="0"/>
              <w:autoSpaceDN w:val="0"/>
              <w:adjustRightInd w:val="0"/>
              <w:rPr>
                <w:szCs w:val="22"/>
              </w:rPr>
            </w:pPr>
          </w:p>
        </w:tc>
      </w:tr>
      <w:tr w:rsidR="009700E5" w14:paraId="604EFA61" w14:textId="77777777">
        <w:tc>
          <w:tcPr>
            <w:tcW w:w="4644" w:type="dxa"/>
            <w:gridSpan w:val="2"/>
          </w:tcPr>
          <w:p w14:paraId="1EE6C158" w14:textId="77777777" w:rsidR="009700E5" w:rsidRDefault="002C033C">
            <w:pPr>
              <w:keepNext/>
              <w:keepLines/>
              <w:autoSpaceDE w:val="0"/>
              <w:autoSpaceDN w:val="0"/>
              <w:adjustRightInd w:val="0"/>
              <w:rPr>
                <w:szCs w:val="22"/>
              </w:rPr>
            </w:pPr>
            <w:r>
              <w:t>Poruchy gastrointestinálneho traktu</w:t>
            </w:r>
          </w:p>
        </w:tc>
        <w:tc>
          <w:tcPr>
            <w:tcW w:w="1417" w:type="dxa"/>
          </w:tcPr>
          <w:p w14:paraId="1593FF2C" w14:textId="77777777" w:rsidR="009700E5" w:rsidRDefault="009700E5">
            <w:pPr>
              <w:keepNext/>
              <w:keepLines/>
              <w:autoSpaceDE w:val="0"/>
              <w:autoSpaceDN w:val="0"/>
              <w:adjustRightInd w:val="0"/>
              <w:rPr>
                <w:szCs w:val="22"/>
              </w:rPr>
            </w:pPr>
          </w:p>
        </w:tc>
        <w:tc>
          <w:tcPr>
            <w:tcW w:w="1418" w:type="dxa"/>
          </w:tcPr>
          <w:p w14:paraId="69B10948" w14:textId="77777777" w:rsidR="009700E5" w:rsidRDefault="009700E5">
            <w:pPr>
              <w:keepNext/>
              <w:keepLines/>
              <w:autoSpaceDE w:val="0"/>
              <w:autoSpaceDN w:val="0"/>
              <w:adjustRightInd w:val="0"/>
              <w:rPr>
                <w:szCs w:val="22"/>
              </w:rPr>
            </w:pPr>
          </w:p>
        </w:tc>
        <w:tc>
          <w:tcPr>
            <w:tcW w:w="1418" w:type="dxa"/>
          </w:tcPr>
          <w:p w14:paraId="47BE083D" w14:textId="77777777" w:rsidR="009700E5" w:rsidRDefault="009700E5">
            <w:pPr>
              <w:keepNext/>
              <w:keepLines/>
              <w:autoSpaceDE w:val="0"/>
              <w:autoSpaceDN w:val="0"/>
              <w:adjustRightInd w:val="0"/>
              <w:rPr>
                <w:szCs w:val="22"/>
              </w:rPr>
            </w:pPr>
          </w:p>
        </w:tc>
      </w:tr>
      <w:tr w:rsidR="009700E5" w14:paraId="72768820" w14:textId="77777777">
        <w:tc>
          <w:tcPr>
            <w:tcW w:w="2376" w:type="dxa"/>
            <w:vMerge w:val="restart"/>
          </w:tcPr>
          <w:p w14:paraId="50E83C7F" w14:textId="77777777" w:rsidR="009700E5" w:rsidRDefault="009700E5">
            <w:pPr>
              <w:keepNext/>
              <w:keepLines/>
              <w:autoSpaceDE w:val="0"/>
              <w:autoSpaceDN w:val="0"/>
              <w:adjustRightInd w:val="0"/>
              <w:rPr>
                <w:szCs w:val="22"/>
              </w:rPr>
            </w:pPr>
          </w:p>
        </w:tc>
        <w:tc>
          <w:tcPr>
            <w:tcW w:w="2268" w:type="dxa"/>
          </w:tcPr>
          <w:p w14:paraId="7865A522" w14:textId="77777777" w:rsidR="009700E5" w:rsidRDefault="002C033C">
            <w:pPr>
              <w:keepNext/>
              <w:keepLines/>
              <w:autoSpaceDE w:val="0"/>
              <w:autoSpaceDN w:val="0"/>
              <w:adjustRightInd w:val="0"/>
              <w:rPr>
                <w:szCs w:val="22"/>
              </w:rPr>
            </w:pPr>
            <w:r>
              <w:rPr>
                <w:szCs w:val="22"/>
              </w:rPr>
              <w:t>Nauzea</w:t>
            </w:r>
          </w:p>
        </w:tc>
        <w:tc>
          <w:tcPr>
            <w:tcW w:w="1417" w:type="dxa"/>
          </w:tcPr>
          <w:p w14:paraId="6E7CF0C0" w14:textId="77777777" w:rsidR="009700E5" w:rsidRDefault="009700E5">
            <w:pPr>
              <w:keepNext/>
              <w:keepLines/>
              <w:autoSpaceDE w:val="0"/>
              <w:autoSpaceDN w:val="0"/>
              <w:adjustRightInd w:val="0"/>
              <w:rPr>
                <w:szCs w:val="22"/>
              </w:rPr>
            </w:pPr>
          </w:p>
        </w:tc>
        <w:tc>
          <w:tcPr>
            <w:tcW w:w="1418" w:type="dxa"/>
          </w:tcPr>
          <w:p w14:paraId="4A2CE910" w14:textId="77777777" w:rsidR="009700E5" w:rsidRDefault="002C033C">
            <w:pPr>
              <w:keepNext/>
              <w:keepLines/>
              <w:autoSpaceDE w:val="0"/>
              <w:autoSpaceDN w:val="0"/>
              <w:adjustRightInd w:val="0"/>
              <w:rPr>
                <w:szCs w:val="22"/>
              </w:rPr>
            </w:pPr>
            <w:r>
              <w:rPr>
                <w:szCs w:val="22"/>
              </w:rPr>
              <w:t>pJIA</w:t>
            </w:r>
          </w:p>
        </w:tc>
        <w:tc>
          <w:tcPr>
            <w:tcW w:w="1418" w:type="dxa"/>
          </w:tcPr>
          <w:p w14:paraId="37F5F9A2" w14:textId="77777777" w:rsidR="009700E5" w:rsidRDefault="009700E5">
            <w:pPr>
              <w:keepNext/>
              <w:keepLines/>
              <w:autoSpaceDE w:val="0"/>
              <w:autoSpaceDN w:val="0"/>
              <w:adjustRightInd w:val="0"/>
              <w:rPr>
                <w:szCs w:val="22"/>
              </w:rPr>
            </w:pPr>
          </w:p>
        </w:tc>
      </w:tr>
      <w:tr w:rsidR="009700E5" w14:paraId="04F171F2" w14:textId="77777777">
        <w:tc>
          <w:tcPr>
            <w:tcW w:w="2376" w:type="dxa"/>
            <w:vMerge/>
          </w:tcPr>
          <w:p w14:paraId="48513061" w14:textId="77777777" w:rsidR="009700E5" w:rsidRDefault="009700E5">
            <w:pPr>
              <w:keepNext/>
              <w:keepLines/>
              <w:autoSpaceDE w:val="0"/>
              <w:autoSpaceDN w:val="0"/>
              <w:adjustRightInd w:val="0"/>
              <w:rPr>
                <w:szCs w:val="22"/>
              </w:rPr>
            </w:pPr>
          </w:p>
        </w:tc>
        <w:tc>
          <w:tcPr>
            <w:tcW w:w="2268" w:type="dxa"/>
          </w:tcPr>
          <w:p w14:paraId="6DB9E3B5" w14:textId="77777777" w:rsidR="009700E5" w:rsidRDefault="002C033C">
            <w:pPr>
              <w:keepNext/>
              <w:keepLines/>
              <w:autoSpaceDE w:val="0"/>
              <w:autoSpaceDN w:val="0"/>
              <w:adjustRightInd w:val="0"/>
              <w:rPr>
                <w:szCs w:val="22"/>
              </w:rPr>
            </w:pPr>
            <w:r>
              <w:rPr>
                <w:szCs w:val="22"/>
              </w:rPr>
              <w:t>Hnačka</w:t>
            </w:r>
          </w:p>
        </w:tc>
        <w:tc>
          <w:tcPr>
            <w:tcW w:w="1417" w:type="dxa"/>
          </w:tcPr>
          <w:p w14:paraId="0F619B3B" w14:textId="77777777" w:rsidR="009700E5" w:rsidRDefault="009700E5">
            <w:pPr>
              <w:keepNext/>
              <w:keepLines/>
              <w:autoSpaceDE w:val="0"/>
              <w:autoSpaceDN w:val="0"/>
              <w:adjustRightInd w:val="0"/>
              <w:rPr>
                <w:szCs w:val="22"/>
              </w:rPr>
            </w:pPr>
          </w:p>
        </w:tc>
        <w:tc>
          <w:tcPr>
            <w:tcW w:w="1418" w:type="dxa"/>
          </w:tcPr>
          <w:p w14:paraId="2E8CDF4E" w14:textId="77777777" w:rsidR="009700E5" w:rsidRDefault="002C033C">
            <w:pPr>
              <w:keepNext/>
              <w:keepLines/>
              <w:autoSpaceDE w:val="0"/>
              <w:autoSpaceDN w:val="0"/>
              <w:adjustRightInd w:val="0"/>
              <w:rPr>
                <w:szCs w:val="22"/>
              </w:rPr>
            </w:pPr>
            <w:r>
              <w:rPr>
                <w:szCs w:val="22"/>
              </w:rPr>
              <w:t>pJIA, sJIA</w:t>
            </w:r>
          </w:p>
        </w:tc>
        <w:tc>
          <w:tcPr>
            <w:tcW w:w="1418" w:type="dxa"/>
          </w:tcPr>
          <w:p w14:paraId="6D5F8801" w14:textId="77777777" w:rsidR="009700E5" w:rsidRDefault="009700E5">
            <w:pPr>
              <w:keepNext/>
              <w:keepLines/>
              <w:autoSpaceDE w:val="0"/>
              <w:autoSpaceDN w:val="0"/>
              <w:adjustRightInd w:val="0"/>
              <w:rPr>
                <w:szCs w:val="22"/>
              </w:rPr>
            </w:pPr>
          </w:p>
        </w:tc>
      </w:tr>
      <w:tr w:rsidR="009700E5" w14:paraId="0B466E81" w14:textId="77777777">
        <w:tc>
          <w:tcPr>
            <w:tcW w:w="4644" w:type="dxa"/>
            <w:gridSpan w:val="2"/>
          </w:tcPr>
          <w:p w14:paraId="3DAD13D3" w14:textId="77777777" w:rsidR="009700E5" w:rsidRDefault="002C033C">
            <w:pPr>
              <w:keepNext/>
              <w:keepLines/>
              <w:autoSpaceDE w:val="0"/>
              <w:autoSpaceDN w:val="0"/>
              <w:adjustRightInd w:val="0"/>
              <w:rPr>
                <w:szCs w:val="22"/>
              </w:rPr>
            </w:pPr>
            <w:r>
              <w:t>Celkové poruchy a reakcie v mieste podania</w:t>
            </w:r>
          </w:p>
        </w:tc>
        <w:tc>
          <w:tcPr>
            <w:tcW w:w="1417" w:type="dxa"/>
          </w:tcPr>
          <w:p w14:paraId="33DE675C" w14:textId="77777777" w:rsidR="009700E5" w:rsidRDefault="009700E5">
            <w:pPr>
              <w:keepNext/>
              <w:keepLines/>
              <w:autoSpaceDE w:val="0"/>
              <w:autoSpaceDN w:val="0"/>
              <w:adjustRightInd w:val="0"/>
              <w:rPr>
                <w:szCs w:val="22"/>
              </w:rPr>
            </w:pPr>
          </w:p>
        </w:tc>
        <w:tc>
          <w:tcPr>
            <w:tcW w:w="1418" w:type="dxa"/>
          </w:tcPr>
          <w:p w14:paraId="763008DD" w14:textId="77777777" w:rsidR="009700E5" w:rsidRDefault="009700E5">
            <w:pPr>
              <w:keepNext/>
              <w:keepLines/>
              <w:autoSpaceDE w:val="0"/>
              <w:autoSpaceDN w:val="0"/>
              <w:adjustRightInd w:val="0"/>
              <w:rPr>
                <w:szCs w:val="22"/>
              </w:rPr>
            </w:pPr>
          </w:p>
        </w:tc>
        <w:tc>
          <w:tcPr>
            <w:tcW w:w="1418" w:type="dxa"/>
          </w:tcPr>
          <w:p w14:paraId="2BD0FB53" w14:textId="77777777" w:rsidR="009700E5" w:rsidRDefault="009700E5">
            <w:pPr>
              <w:keepNext/>
              <w:keepLines/>
              <w:autoSpaceDE w:val="0"/>
              <w:autoSpaceDN w:val="0"/>
              <w:adjustRightInd w:val="0"/>
              <w:rPr>
                <w:szCs w:val="22"/>
              </w:rPr>
            </w:pPr>
          </w:p>
        </w:tc>
      </w:tr>
      <w:tr w:rsidR="009700E5" w14:paraId="7CA3035E" w14:textId="77777777">
        <w:tc>
          <w:tcPr>
            <w:tcW w:w="2376" w:type="dxa"/>
          </w:tcPr>
          <w:p w14:paraId="280A0C0D" w14:textId="77777777" w:rsidR="009700E5" w:rsidRDefault="009700E5">
            <w:pPr>
              <w:keepNext/>
              <w:keepLines/>
              <w:autoSpaceDE w:val="0"/>
              <w:autoSpaceDN w:val="0"/>
              <w:adjustRightInd w:val="0"/>
              <w:rPr>
                <w:szCs w:val="22"/>
              </w:rPr>
            </w:pPr>
          </w:p>
        </w:tc>
        <w:tc>
          <w:tcPr>
            <w:tcW w:w="2268" w:type="dxa"/>
          </w:tcPr>
          <w:p w14:paraId="247D299D" w14:textId="77777777" w:rsidR="009700E5" w:rsidRDefault="002C033C">
            <w:pPr>
              <w:keepNext/>
              <w:keepLines/>
              <w:autoSpaceDE w:val="0"/>
              <w:autoSpaceDN w:val="0"/>
              <w:adjustRightInd w:val="0"/>
              <w:rPr>
                <w:szCs w:val="22"/>
              </w:rPr>
            </w:pPr>
            <w:r>
              <w:rPr>
                <w:szCs w:val="22"/>
              </w:rPr>
              <w:t>Reakcie súvisiace s infúziou</w:t>
            </w:r>
          </w:p>
        </w:tc>
        <w:tc>
          <w:tcPr>
            <w:tcW w:w="1417" w:type="dxa"/>
          </w:tcPr>
          <w:p w14:paraId="70B22C2C" w14:textId="77777777" w:rsidR="009700E5" w:rsidRDefault="009700E5">
            <w:pPr>
              <w:keepNext/>
              <w:keepLines/>
              <w:autoSpaceDE w:val="0"/>
              <w:autoSpaceDN w:val="0"/>
              <w:adjustRightInd w:val="0"/>
              <w:rPr>
                <w:szCs w:val="22"/>
              </w:rPr>
            </w:pPr>
          </w:p>
        </w:tc>
        <w:tc>
          <w:tcPr>
            <w:tcW w:w="1418" w:type="dxa"/>
          </w:tcPr>
          <w:p w14:paraId="7E558067" w14:textId="77777777" w:rsidR="009700E5" w:rsidRDefault="002C033C">
            <w:pPr>
              <w:keepNext/>
              <w:keepLines/>
              <w:autoSpaceDE w:val="0"/>
              <w:autoSpaceDN w:val="0"/>
              <w:adjustRightInd w:val="0"/>
              <w:rPr>
                <w:szCs w:val="22"/>
              </w:rPr>
            </w:pPr>
            <w:r>
              <w:rPr>
                <w:szCs w:val="22"/>
              </w:rPr>
              <w:t>pJIA</w:t>
            </w:r>
            <w:r>
              <w:rPr>
                <w:szCs w:val="22"/>
                <w:vertAlign w:val="superscript"/>
              </w:rPr>
              <w:t>1</w:t>
            </w:r>
            <w:r>
              <w:rPr>
                <w:szCs w:val="22"/>
              </w:rPr>
              <w:t>, sJIA</w:t>
            </w:r>
            <w:r>
              <w:rPr>
                <w:szCs w:val="22"/>
                <w:vertAlign w:val="superscript"/>
              </w:rPr>
              <w:t>2</w:t>
            </w:r>
          </w:p>
        </w:tc>
        <w:tc>
          <w:tcPr>
            <w:tcW w:w="1418" w:type="dxa"/>
          </w:tcPr>
          <w:p w14:paraId="312BE954" w14:textId="77777777" w:rsidR="009700E5" w:rsidRDefault="009700E5">
            <w:pPr>
              <w:keepNext/>
              <w:keepLines/>
              <w:autoSpaceDE w:val="0"/>
              <w:autoSpaceDN w:val="0"/>
              <w:adjustRightInd w:val="0"/>
              <w:rPr>
                <w:szCs w:val="22"/>
              </w:rPr>
            </w:pPr>
          </w:p>
        </w:tc>
      </w:tr>
      <w:tr w:rsidR="009700E5" w14:paraId="499F34ED" w14:textId="77777777">
        <w:tc>
          <w:tcPr>
            <w:tcW w:w="4644" w:type="dxa"/>
            <w:gridSpan w:val="2"/>
          </w:tcPr>
          <w:p w14:paraId="14C534C6" w14:textId="77777777" w:rsidR="009700E5" w:rsidRDefault="002C033C">
            <w:pPr>
              <w:keepNext/>
              <w:keepLines/>
              <w:autoSpaceDE w:val="0"/>
              <w:autoSpaceDN w:val="0"/>
              <w:adjustRightInd w:val="0"/>
              <w:rPr>
                <w:szCs w:val="22"/>
              </w:rPr>
            </w:pPr>
            <w:r>
              <w:t>Laboratórne a funkčné vyšetrenia</w:t>
            </w:r>
          </w:p>
        </w:tc>
        <w:tc>
          <w:tcPr>
            <w:tcW w:w="1417" w:type="dxa"/>
          </w:tcPr>
          <w:p w14:paraId="6C863AB6" w14:textId="77777777" w:rsidR="009700E5" w:rsidRDefault="009700E5">
            <w:pPr>
              <w:keepNext/>
              <w:keepLines/>
              <w:autoSpaceDE w:val="0"/>
              <w:autoSpaceDN w:val="0"/>
              <w:adjustRightInd w:val="0"/>
              <w:rPr>
                <w:szCs w:val="22"/>
              </w:rPr>
            </w:pPr>
          </w:p>
        </w:tc>
        <w:tc>
          <w:tcPr>
            <w:tcW w:w="1418" w:type="dxa"/>
          </w:tcPr>
          <w:p w14:paraId="74874D74" w14:textId="77777777" w:rsidR="009700E5" w:rsidRDefault="009700E5">
            <w:pPr>
              <w:keepNext/>
              <w:keepLines/>
              <w:autoSpaceDE w:val="0"/>
              <w:autoSpaceDN w:val="0"/>
              <w:adjustRightInd w:val="0"/>
              <w:rPr>
                <w:szCs w:val="22"/>
              </w:rPr>
            </w:pPr>
          </w:p>
        </w:tc>
        <w:tc>
          <w:tcPr>
            <w:tcW w:w="1418" w:type="dxa"/>
          </w:tcPr>
          <w:p w14:paraId="05B3465E" w14:textId="77777777" w:rsidR="009700E5" w:rsidRDefault="009700E5">
            <w:pPr>
              <w:keepNext/>
              <w:keepLines/>
              <w:autoSpaceDE w:val="0"/>
              <w:autoSpaceDN w:val="0"/>
              <w:adjustRightInd w:val="0"/>
              <w:rPr>
                <w:szCs w:val="22"/>
              </w:rPr>
            </w:pPr>
          </w:p>
        </w:tc>
      </w:tr>
      <w:tr w:rsidR="009700E5" w14:paraId="5412C183" w14:textId="77777777">
        <w:tc>
          <w:tcPr>
            <w:tcW w:w="2376" w:type="dxa"/>
            <w:vMerge w:val="restart"/>
          </w:tcPr>
          <w:p w14:paraId="7BBE4B73" w14:textId="77777777" w:rsidR="009700E5" w:rsidRDefault="009700E5">
            <w:pPr>
              <w:keepNext/>
              <w:keepLines/>
              <w:autoSpaceDE w:val="0"/>
              <w:autoSpaceDN w:val="0"/>
              <w:adjustRightInd w:val="0"/>
              <w:rPr>
                <w:szCs w:val="22"/>
              </w:rPr>
            </w:pPr>
          </w:p>
        </w:tc>
        <w:tc>
          <w:tcPr>
            <w:tcW w:w="2268" w:type="dxa"/>
          </w:tcPr>
          <w:p w14:paraId="4E61756F" w14:textId="77777777" w:rsidR="009700E5" w:rsidRDefault="002C033C">
            <w:pPr>
              <w:keepNext/>
              <w:keepLines/>
              <w:autoSpaceDE w:val="0"/>
              <w:autoSpaceDN w:val="0"/>
              <w:adjustRightInd w:val="0"/>
              <w:rPr>
                <w:szCs w:val="22"/>
              </w:rPr>
            </w:pPr>
            <w:r>
              <w:t>Zvýšené hodnoty pečeňových transamináz</w:t>
            </w:r>
          </w:p>
        </w:tc>
        <w:tc>
          <w:tcPr>
            <w:tcW w:w="1417" w:type="dxa"/>
          </w:tcPr>
          <w:p w14:paraId="0BE30A81" w14:textId="77777777" w:rsidR="009700E5" w:rsidRDefault="009700E5">
            <w:pPr>
              <w:keepNext/>
              <w:keepLines/>
              <w:autoSpaceDE w:val="0"/>
              <w:autoSpaceDN w:val="0"/>
              <w:adjustRightInd w:val="0"/>
              <w:rPr>
                <w:szCs w:val="22"/>
              </w:rPr>
            </w:pPr>
          </w:p>
        </w:tc>
        <w:tc>
          <w:tcPr>
            <w:tcW w:w="1418" w:type="dxa"/>
          </w:tcPr>
          <w:p w14:paraId="2016AEE9" w14:textId="77777777" w:rsidR="009700E5" w:rsidRDefault="002C033C">
            <w:pPr>
              <w:keepNext/>
              <w:keepLines/>
              <w:autoSpaceDE w:val="0"/>
              <w:autoSpaceDN w:val="0"/>
              <w:adjustRightInd w:val="0"/>
              <w:rPr>
                <w:szCs w:val="22"/>
              </w:rPr>
            </w:pPr>
            <w:r>
              <w:rPr>
                <w:szCs w:val="22"/>
              </w:rPr>
              <w:t>pJIA</w:t>
            </w:r>
          </w:p>
        </w:tc>
        <w:tc>
          <w:tcPr>
            <w:tcW w:w="1418" w:type="dxa"/>
          </w:tcPr>
          <w:p w14:paraId="2140F564" w14:textId="77777777" w:rsidR="009700E5" w:rsidRDefault="009700E5">
            <w:pPr>
              <w:keepNext/>
              <w:keepLines/>
              <w:autoSpaceDE w:val="0"/>
              <w:autoSpaceDN w:val="0"/>
              <w:adjustRightInd w:val="0"/>
              <w:rPr>
                <w:szCs w:val="22"/>
              </w:rPr>
            </w:pPr>
          </w:p>
        </w:tc>
      </w:tr>
      <w:tr w:rsidR="009700E5" w14:paraId="4B670ECE" w14:textId="77777777">
        <w:tc>
          <w:tcPr>
            <w:tcW w:w="2376" w:type="dxa"/>
            <w:vMerge/>
          </w:tcPr>
          <w:p w14:paraId="6E96A3AA" w14:textId="77777777" w:rsidR="009700E5" w:rsidRDefault="009700E5">
            <w:pPr>
              <w:keepNext/>
              <w:keepLines/>
              <w:autoSpaceDE w:val="0"/>
              <w:autoSpaceDN w:val="0"/>
              <w:adjustRightInd w:val="0"/>
              <w:rPr>
                <w:szCs w:val="22"/>
              </w:rPr>
            </w:pPr>
          </w:p>
        </w:tc>
        <w:tc>
          <w:tcPr>
            <w:tcW w:w="2268" w:type="dxa"/>
          </w:tcPr>
          <w:p w14:paraId="2411B23C" w14:textId="77777777" w:rsidR="009700E5" w:rsidRDefault="002C033C">
            <w:pPr>
              <w:keepNext/>
              <w:keepLines/>
              <w:autoSpaceDE w:val="0"/>
              <w:autoSpaceDN w:val="0"/>
              <w:adjustRightInd w:val="0"/>
              <w:rPr>
                <w:szCs w:val="22"/>
              </w:rPr>
            </w:pPr>
            <w:r>
              <w:rPr>
                <w:szCs w:val="22"/>
              </w:rPr>
              <w:t>Pokles počtu neutrofilov</w:t>
            </w:r>
          </w:p>
        </w:tc>
        <w:tc>
          <w:tcPr>
            <w:tcW w:w="1417" w:type="dxa"/>
          </w:tcPr>
          <w:p w14:paraId="55EF7CD7" w14:textId="77777777" w:rsidR="009700E5" w:rsidRDefault="002C033C">
            <w:pPr>
              <w:keepNext/>
              <w:keepLines/>
              <w:autoSpaceDE w:val="0"/>
              <w:autoSpaceDN w:val="0"/>
              <w:adjustRightInd w:val="0"/>
              <w:rPr>
                <w:szCs w:val="22"/>
              </w:rPr>
            </w:pPr>
            <w:r>
              <w:rPr>
                <w:szCs w:val="22"/>
              </w:rPr>
              <w:t>sJIA</w:t>
            </w:r>
          </w:p>
        </w:tc>
        <w:tc>
          <w:tcPr>
            <w:tcW w:w="1418" w:type="dxa"/>
          </w:tcPr>
          <w:p w14:paraId="5F952429" w14:textId="77777777" w:rsidR="009700E5" w:rsidRDefault="002C033C">
            <w:pPr>
              <w:keepNext/>
              <w:keepLines/>
              <w:autoSpaceDE w:val="0"/>
              <w:autoSpaceDN w:val="0"/>
              <w:adjustRightInd w:val="0"/>
              <w:rPr>
                <w:szCs w:val="22"/>
              </w:rPr>
            </w:pPr>
            <w:r>
              <w:rPr>
                <w:szCs w:val="22"/>
              </w:rPr>
              <w:t>pJIA</w:t>
            </w:r>
          </w:p>
        </w:tc>
        <w:tc>
          <w:tcPr>
            <w:tcW w:w="1418" w:type="dxa"/>
          </w:tcPr>
          <w:p w14:paraId="779933D9" w14:textId="77777777" w:rsidR="009700E5" w:rsidRDefault="009700E5">
            <w:pPr>
              <w:keepNext/>
              <w:keepLines/>
              <w:autoSpaceDE w:val="0"/>
              <w:autoSpaceDN w:val="0"/>
              <w:adjustRightInd w:val="0"/>
              <w:rPr>
                <w:szCs w:val="22"/>
              </w:rPr>
            </w:pPr>
          </w:p>
        </w:tc>
      </w:tr>
      <w:tr w:rsidR="009700E5" w14:paraId="79574AE9" w14:textId="77777777">
        <w:tc>
          <w:tcPr>
            <w:tcW w:w="2376" w:type="dxa"/>
            <w:vMerge/>
          </w:tcPr>
          <w:p w14:paraId="4BAFE228" w14:textId="77777777" w:rsidR="009700E5" w:rsidRDefault="009700E5">
            <w:pPr>
              <w:autoSpaceDE w:val="0"/>
              <w:autoSpaceDN w:val="0"/>
              <w:adjustRightInd w:val="0"/>
              <w:rPr>
                <w:szCs w:val="22"/>
              </w:rPr>
            </w:pPr>
          </w:p>
        </w:tc>
        <w:tc>
          <w:tcPr>
            <w:tcW w:w="2268" w:type="dxa"/>
          </w:tcPr>
          <w:p w14:paraId="3583F2E5" w14:textId="77777777" w:rsidR="009700E5" w:rsidRDefault="002C033C">
            <w:pPr>
              <w:autoSpaceDE w:val="0"/>
              <w:autoSpaceDN w:val="0"/>
              <w:adjustRightInd w:val="0"/>
              <w:rPr>
                <w:szCs w:val="22"/>
              </w:rPr>
            </w:pPr>
            <w:r>
              <w:rPr>
                <w:szCs w:val="22"/>
              </w:rPr>
              <w:t>Znížený počet krvných doštičiek</w:t>
            </w:r>
          </w:p>
        </w:tc>
        <w:tc>
          <w:tcPr>
            <w:tcW w:w="1417" w:type="dxa"/>
          </w:tcPr>
          <w:p w14:paraId="220A1748" w14:textId="77777777" w:rsidR="009700E5" w:rsidRDefault="009700E5">
            <w:pPr>
              <w:autoSpaceDE w:val="0"/>
              <w:autoSpaceDN w:val="0"/>
              <w:adjustRightInd w:val="0"/>
              <w:rPr>
                <w:szCs w:val="22"/>
              </w:rPr>
            </w:pPr>
          </w:p>
        </w:tc>
        <w:tc>
          <w:tcPr>
            <w:tcW w:w="1418" w:type="dxa"/>
          </w:tcPr>
          <w:p w14:paraId="782BE1B2" w14:textId="77777777" w:rsidR="009700E5" w:rsidRDefault="002C033C">
            <w:pPr>
              <w:autoSpaceDE w:val="0"/>
              <w:autoSpaceDN w:val="0"/>
              <w:adjustRightInd w:val="0"/>
              <w:rPr>
                <w:szCs w:val="22"/>
              </w:rPr>
            </w:pPr>
            <w:r>
              <w:rPr>
                <w:szCs w:val="22"/>
              </w:rPr>
              <w:t>sJIA</w:t>
            </w:r>
          </w:p>
        </w:tc>
        <w:tc>
          <w:tcPr>
            <w:tcW w:w="1418" w:type="dxa"/>
          </w:tcPr>
          <w:p w14:paraId="467E60E0" w14:textId="77777777" w:rsidR="009700E5" w:rsidRDefault="002C033C">
            <w:pPr>
              <w:autoSpaceDE w:val="0"/>
              <w:autoSpaceDN w:val="0"/>
              <w:adjustRightInd w:val="0"/>
              <w:rPr>
                <w:szCs w:val="22"/>
              </w:rPr>
            </w:pPr>
            <w:r>
              <w:rPr>
                <w:szCs w:val="22"/>
              </w:rPr>
              <w:t>pJIA</w:t>
            </w:r>
          </w:p>
        </w:tc>
      </w:tr>
      <w:tr w:rsidR="009700E5" w14:paraId="7AFA9E9B" w14:textId="77777777">
        <w:tc>
          <w:tcPr>
            <w:tcW w:w="2376" w:type="dxa"/>
            <w:vMerge/>
          </w:tcPr>
          <w:p w14:paraId="24E1CF2C" w14:textId="77777777" w:rsidR="009700E5" w:rsidRDefault="009700E5">
            <w:pPr>
              <w:autoSpaceDE w:val="0"/>
              <w:autoSpaceDN w:val="0"/>
              <w:adjustRightInd w:val="0"/>
              <w:rPr>
                <w:szCs w:val="22"/>
              </w:rPr>
            </w:pPr>
          </w:p>
        </w:tc>
        <w:tc>
          <w:tcPr>
            <w:tcW w:w="2268" w:type="dxa"/>
          </w:tcPr>
          <w:p w14:paraId="05D58EA6" w14:textId="77777777" w:rsidR="009700E5" w:rsidRDefault="002C033C">
            <w:pPr>
              <w:autoSpaceDE w:val="0"/>
              <w:autoSpaceDN w:val="0"/>
              <w:adjustRightInd w:val="0"/>
              <w:rPr>
                <w:szCs w:val="22"/>
              </w:rPr>
            </w:pPr>
            <w:r>
              <w:t>Zvýšené hodnoty cholesterolu</w:t>
            </w:r>
          </w:p>
        </w:tc>
        <w:tc>
          <w:tcPr>
            <w:tcW w:w="1417" w:type="dxa"/>
          </w:tcPr>
          <w:p w14:paraId="6CCE2A9A" w14:textId="77777777" w:rsidR="009700E5" w:rsidRDefault="009700E5">
            <w:pPr>
              <w:autoSpaceDE w:val="0"/>
              <w:autoSpaceDN w:val="0"/>
              <w:adjustRightInd w:val="0"/>
              <w:rPr>
                <w:szCs w:val="22"/>
              </w:rPr>
            </w:pPr>
          </w:p>
        </w:tc>
        <w:tc>
          <w:tcPr>
            <w:tcW w:w="1418" w:type="dxa"/>
          </w:tcPr>
          <w:p w14:paraId="3C454DE8" w14:textId="77777777" w:rsidR="009700E5" w:rsidRDefault="002C033C">
            <w:pPr>
              <w:autoSpaceDE w:val="0"/>
              <w:autoSpaceDN w:val="0"/>
              <w:adjustRightInd w:val="0"/>
              <w:rPr>
                <w:szCs w:val="22"/>
              </w:rPr>
            </w:pPr>
            <w:r>
              <w:rPr>
                <w:szCs w:val="22"/>
              </w:rPr>
              <w:t>sJIA</w:t>
            </w:r>
          </w:p>
        </w:tc>
        <w:tc>
          <w:tcPr>
            <w:tcW w:w="1418" w:type="dxa"/>
          </w:tcPr>
          <w:p w14:paraId="49CA8FC7" w14:textId="77777777" w:rsidR="009700E5" w:rsidRDefault="002C033C">
            <w:pPr>
              <w:autoSpaceDE w:val="0"/>
              <w:autoSpaceDN w:val="0"/>
              <w:adjustRightInd w:val="0"/>
              <w:rPr>
                <w:szCs w:val="22"/>
              </w:rPr>
            </w:pPr>
            <w:r>
              <w:rPr>
                <w:szCs w:val="22"/>
              </w:rPr>
              <w:t>pJIA</w:t>
            </w:r>
          </w:p>
        </w:tc>
      </w:tr>
    </w:tbl>
    <w:p w14:paraId="7BA38DED" w14:textId="77777777" w:rsidR="009700E5" w:rsidRDefault="002C033C">
      <w:pPr>
        <w:tabs>
          <w:tab w:val="left" w:pos="284"/>
        </w:tabs>
        <w:autoSpaceDE w:val="0"/>
        <w:autoSpaceDN w:val="0"/>
        <w:adjustRightInd w:val="0"/>
        <w:ind w:left="232" w:hanging="232"/>
        <w:rPr>
          <w:sz w:val="18"/>
          <w:szCs w:val="18"/>
          <w:lang w:eastAsia="de-DE"/>
        </w:rPr>
      </w:pPr>
      <w:r>
        <w:rPr>
          <w:sz w:val="18"/>
          <w:szCs w:val="18"/>
          <w:lang w:eastAsia="de-DE"/>
        </w:rPr>
        <w:t xml:space="preserve">1. </w:t>
      </w:r>
      <w:r>
        <w:rPr>
          <w:sz w:val="18"/>
          <w:szCs w:val="18"/>
          <w:lang w:eastAsia="de-DE"/>
        </w:rPr>
        <w:tab/>
        <w:t>Reakcie súvisiace s infúziou u pacientov s pJIA zahŕňali, ale nie výlučne, bolesť hlavy, nauzeu a hypotenziu.</w:t>
      </w:r>
    </w:p>
    <w:p w14:paraId="4C88B369" w14:textId="77777777" w:rsidR="009700E5" w:rsidRDefault="002C033C">
      <w:pPr>
        <w:autoSpaceDE w:val="0"/>
        <w:autoSpaceDN w:val="0"/>
        <w:adjustRightInd w:val="0"/>
        <w:ind w:left="232" w:hanging="232"/>
        <w:rPr>
          <w:sz w:val="18"/>
          <w:szCs w:val="18"/>
        </w:rPr>
      </w:pPr>
      <w:r>
        <w:rPr>
          <w:sz w:val="18"/>
          <w:szCs w:val="18"/>
        </w:rPr>
        <w:t xml:space="preserve">2. </w:t>
      </w:r>
      <w:r>
        <w:rPr>
          <w:sz w:val="18"/>
          <w:szCs w:val="18"/>
        </w:rPr>
        <w:tab/>
      </w:r>
      <w:r>
        <w:rPr>
          <w:sz w:val="18"/>
          <w:szCs w:val="18"/>
          <w:lang w:eastAsia="de-DE"/>
        </w:rPr>
        <w:t>Reakcie súvisiace s infúziou u pacientov so sJIA zahŕňali, ale nie výlučne, vyrážku, urtikáriu, hnačku, ťažkosti v epigastriu, artralgiu a bolesť hlavy.</w:t>
      </w:r>
    </w:p>
    <w:p w14:paraId="335795CB" w14:textId="77777777" w:rsidR="009700E5" w:rsidRDefault="009700E5">
      <w:pPr>
        <w:autoSpaceDE w:val="0"/>
        <w:autoSpaceDN w:val="0"/>
        <w:adjustRightInd w:val="0"/>
        <w:rPr>
          <w:rFonts w:ascii="TimesNewRomanPSMT" w:eastAsia="SimSun" w:hAnsi="TimesNewRomanPSMT" w:cs="TimesNewRomanPSMT"/>
          <w:szCs w:val="22"/>
          <w:lang w:eastAsia="zh-CN"/>
        </w:rPr>
      </w:pPr>
    </w:p>
    <w:p w14:paraId="421A4DA2" w14:textId="77777777" w:rsidR="009700E5" w:rsidRDefault="002C033C">
      <w:pPr>
        <w:keepNext/>
        <w:keepLines/>
        <w:autoSpaceDE w:val="0"/>
        <w:autoSpaceDN w:val="0"/>
        <w:adjustRightInd w:val="0"/>
        <w:jc w:val="both"/>
        <w:rPr>
          <w:iCs/>
        </w:rPr>
      </w:pPr>
      <w:r>
        <w:rPr>
          <w:szCs w:val="22"/>
          <w:u w:val="single"/>
        </w:rPr>
        <w:t>Opis vybraných nežiaducich reakcií</w:t>
      </w:r>
    </w:p>
    <w:p w14:paraId="0621253C" w14:textId="77777777" w:rsidR="009700E5" w:rsidRDefault="002C033C">
      <w:pPr>
        <w:widowControl w:val="0"/>
        <w:outlineLvl w:val="0"/>
        <w:rPr>
          <w:i/>
        </w:rPr>
      </w:pPr>
      <w:r>
        <w:rPr>
          <w:i/>
        </w:rPr>
        <w:t>Pacienti s RA</w:t>
      </w:r>
    </w:p>
    <w:p w14:paraId="409E190F" w14:textId="77777777" w:rsidR="009700E5" w:rsidRDefault="002C033C">
      <w:pPr>
        <w:keepNext/>
        <w:keepLines/>
        <w:outlineLvl w:val="0"/>
        <w:rPr>
          <w:iCs/>
          <w:u w:val="single"/>
        </w:rPr>
      </w:pPr>
      <w:r>
        <w:rPr>
          <w:i/>
          <w:u w:val="single"/>
        </w:rPr>
        <w:t>Infekcie</w:t>
      </w:r>
    </w:p>
    <w:p w14:paraId="0C341903" w14:textId="77777777" w:rsidR="009700E5" w:rsidRDefault="002C033C">
      <w:pPr>
        <w:keepNext/>
        <w:keepLines/>
      </w:pPr>
      <w:r>
        <w:t>V 6</w:t>
      </w:r>
      <w:r>
        <w:noBreakHyphen/>
        <w:t xml:space="preserve">mesačných kontrolovaných </w:t>
      </w:r>
      <w:del w:id="302" w:author="Author" w:date="2025-07-18T10:57:00Z">
        <w:r>
          <w:delText xml:space="preserve">štúdiách </w:delText>
        </w:r>
      </w:del>
      <w:ins w:id="303" w:author="Author" w:date="2025-07-18T10:57:00Z">
        <w:r>
          <w:t xml:space="preserve">klinických skúšaniach </w:t>
        </w:r>
      </w:ins>
      <w:r>
        <w:t>bola miera výskytu všetkých infekcií hlásených pri liečbe tocilizumabom 8 mg/kg spolu s DMARD 127 udalostí na 100 pacientorokov oproti 112 udalostiam na 100 pacientorokov v skupine s placebom v kombinácii s DMARD. V súbore dlhodobej expozície bol celkový výskyt infekcií pri liečbe tocilizumabom 108 udalostí na 100 pacientorokov.</w:t>
      </w:r>
    </w:p>
    <w:p w14:paraId="45B04348" w14:textId="77777777" w:rsidR="009700E5" w:rsidRDefault="009700E5"/>
    <w:p w14:paraId="16120E08" w14:textId="77777777" w:rsidR="009700E5" w:rsidRDefault="002C033C">
      <w:r>
        <w:t>V 6</w:t>
      </w:r>
      <w:r>
        <w:noBreakHyphen/>
        <w:t>mesačných kontrolovaných klinických skúšaniach bola miera výskytu závažných infekcií pri liečbe tocilizumabom 8 mg/kg v kombinácii s DMARD 5,3 udalosti na 100 pacientorokov expozície oproti 3,9 udalosti na 100 pacientorokov expozície v skupine s placebom v kombinácii s DMARD. V</w:t>
      </w:r>
      <w:del w:id="304" w:author="Author" w:date="2025-07-18T10:57:00Z">
        <w:r>
          <w:delText> </w:delText>
        </w:r>
      </w:del>
      <w:ins w:id="305" w:author="Author" w:date="2025-07-18T10:57:00Z">
        <w:r>
          <w:t> klinickom skúšaní</w:t>
        </w:r>
      </w:ins>
      <w:del w:id="306" w:author="Author" w:date="2025-07-18T10:57:00Z">
        <w:r>
          <w:delText>štúdii</w:delText>
        </w:r>
      </w:del>
      <w:r>
        <w:t xml:space="preserve"> monoterapie bola miera výskytu závažných infekcií 3,6 udalosti na 100 pacientorokov expozície v skupine liečenej tocilizumabom a 1,5 udalosti na 100 pacientorokov expozície v skupine liečenej MTX.</w:t>
      </w:r>
    </w:p>
    <w:p w14:paraId="4DB0F976" w14:textId="77777777" w:rsidR="009700E5" w:rsidRDefault="009700E5"/>
    <w:p w14:paraId="195EF252" w14:textId="77777777" w:rsidR="009700E5" w:rsidRDefault="002C033C">
      <w:pPr>
        <w:keepNext/>
        <w:keepLines/>
        <w:rPr>
          <w:szCs w:val="22"/>
        </w:rPr>
      </w:pPr>
      <w:r>
        <w:rPr>
          <w:szCs w:val="22"/>
        </w:rPr>
        <w:t xml:space="preserve">V súbore dlhodobej expozície bol celkový výskyt závažných infekcií (bakteriálne, vírusové a mykotické) 4,7 udalosti na 100 pacientorokov. K hláseným závažným infekciám, z ktorých niektoré mali smrteľné následky, patrila </w:t>
      </w:r>
      <w:r>
        <w:t xml:space="preserve">aktívna tuberkulóza, ktorá môže byť prítomná s vnútropľúcnym alebo mimopľúcnym ochorením, invazívne pľúcne infekcie, vrátene kandidózy, aspergilózy kokcidioidomykózy a </w:t>
      </w:r>
      <w:r>
        <w:rPr>
          <w:rStyle w:val="Emphasis"/>
          <w:b w:val="0"/>
          <w:bCs w:val="0"/>
          <w:i/>
          <w:iCs/>
          <w:color w:val="000000"/>
        </w:rPr>
        <w:t>Pneumocystis jiroveci,</w:t>
      </w:r>
      <w:r>
        <w:rPr>
          <w:szCs w:val="22"/>
        </w:rPr>
        <w:t xml:space="preserve"> pneumónia, celulitída, pásový opar, gastroenteritída, divertikulitída, sepsa a bakteriálna artritída. Boli hlásené prípady oportúnnych infekcií.</w:t>
      </w:r>
    </w:p>
    <w:p w14:paraId="6A82EE15" w14:textId="77777777" w:rsidR="009700E5" w:rsidRDefault="009700E5"/>
    <w:p w14:paraId="3BF4819B" w14:textId="77777777" w:rsidR="009700E5" w:rsidRDefault="002C033C">
      <w:pPr>
        <w:keepNext/>
        <w:keepLines/>
        <w:rPr>
          <w:i/>
          <w:iCs/>
          <w:szCs w:val="22"/>
          <w:u w:val="single"/>
        </w:rPr>
      </w:pPr>
      <w:r>
        <w:rPr>
          <w:i/>
          <w:iCs/>
          <w:szCs w:val="22"/>
          <w:u w:val="single"/>
        </w:rPr>
        <w:lastRenderedPageBreak/>
        <w:t>Intersticiáln</w:t>
      </w:r>
      <w:r>
        <w:rPr>
          <w:i/>
          <w:iCs/>
          <w:color w:val="000000"/>
          <w:szCs w:val="22"/>
          <w:u w:val="single"/>
        </w:rPr>
        <w:t>a</w:t>
      </w:r>
      <w:r>
        <w:rPr>
          <w:i/>
          <w:iCs/>
          <w:szCs w:val="22"/>
          <w:u w:val="single"/>
        </w:rPr>
        <w:t xml:space="preserve"> </w:t>
      </w:r>
      <w:r>
        <w:rPr>
          <w:i/>
          <w:iCs/>
          <w:color w:val="000000"/>
          <w:szCs w:val="22"/>
          <w:u w:val="single"/>
        </w:rPr>
        <w:t>choroba</w:t>
      </w:r>
      <w:r>
        <w:rPr>
          <w:i/>
          <w:iCs/>
          <w:szCs w:val="22"/>
          <w:u w:val="single"/>
        </w:rPr>
        <w:t xml:space="preserve"> pľúc</w:t>
      </w:r>
    </w:p>
    <w:p w14:paraId="2E1CF951" w14:textId="77777777" w:rsidR="009700E5" w:rsidRDefault="002C033C">
      <w:pPr>
        <w:keepNext/>
        <w:keepLines/>
        <w:textAlignment w:val="top"/>
        <w:rPr>
          <w:szCs w:val="22"/>
        </w:rPr>
      </w:pPr>
      <w:r>
        <w:rPr>
          <w:szCs w:val="22"/>
        </w:rPr>
        <w:t>Zhoršená funkcia pľúc môže zvýšiť riziko vzniku infekcií. Po uvedení lieku na trh boli hlásené prípady intersticiálne</w:t>
      </w:r>
      <w:r>
        <w:rPr>
          <w:color w:val="000000"/>
          <w:szCs w:val="22"/>
        </w:rPr>
        <w:t>j choroby</w:t>
      </w:r>
      <w:r>
        <w:rPr>
          <w:szCs w:val="22"/>
        </w:rPr>
        <w:t xml:space="preserve"> pľúc (vrátane pneumonitídy a pľúcnej fibrózy), z ktorých niektoré boli smrteľné.</w:t>
      </w:r>
    </w:p>
    <w:p w14:paraId="28956262" w14:textId="77777777" w:rsidR="009700E5" w:rsidRDefault="009700E5"/>
    <w:p w14:paraId="05EC07CC" w14:textId="77777777" w:rsidR="009700E5" w:rsidRDefault="002C033C">
      <w:pPr>
        <w:keepNext/>
        <w:keepLines/>
        <w:ind w:left="567" w:hanging="567"/>
        <w:outlineLvl w:val="0"/>
        <w:rPr>
          <w:i/>
          <w:u w:val="single"/>
        </w:rPr>
      </w:pPr>
      <w:r>
        <w:rPr>
          <w:i/>
          <w:u w:val="single"/>
        </w:rPr>
        <w:t>Gastrointestinálne perforácie</w:t>
      </w:r>
    </w:p>
    <w:p w14:paraId="4AF3C772" w14:textId="77777777" w:rsidR="009700E5" w:rsidRDefault="002C033C">
      <w:r>
        <w:t>Pri liečbe tocilizumabom počas 6</w:t>
      </w:r>
      <w:r>
        <w:noBreakHyphen/>
        <w:t>mesačných kontrolovaných klinických skúšaní bol celkový výskyt gastrointestinálnych perforácií 0,26 udalosti na 100 pacientorokov. V dlhodobej expozícií bol celkový výskyt gastrointestinálnych perforácií 0,28 udalosti na 100 pacientorokov. Hlásenia gastrointestinálnej perforácie pri liečbe boli primárne hlásené ako komplikácie divertikulitídy, zahŕňajúce generalizovanú purulentnú peritonitídu, perforáciu dolnej časti gastrointestinálneho traktu, fistulu a absces.</w:t>
      </w:r>
    </w:p>
    <w:p w14:paraId="05372BF2" w14:textId="77777777" w:rsidR="009700E5" w:rsidRDefault="009700E5"/>
    <w:p w14:paraId="309D99FD" w14:textId="77777777" w:rsidR="009700E5" w:rsidRDefault="002C033C">
      <w:pPr>
        <w:outlineLvl w:val="0"/>
        <w:rPr>
          <w:i/>
          <w:u w:val="single"/>
        </w:rPr>
      </w:pPr>
      <w:bookmarkStart w:id="307" w:name="_Hlk88024409"/>
      <w:r>
        <w:rPr>
          <w:i/>
          <w:u w:val="single"/>
        </w:rPr>
        <w:t>Reakcie súvisiace s infúziou</w:t>
      </w:r>
    </w:p>
    <w:bookmarkEnd w:id="307"/>
    <w:p w14:paraId="292945CB" w14:textId="77777777" w:rsidR="009700E5" w:rsidRDefault="002C033C">
      <w:r>
        <w:t>V 6</w:t>
      </w:r>
      <w:r>
        <w:noBreakHyphen/>
        <w:t>mesačných kontrolovaných klinických skúšaniach boli nežiaduce účinky súvisiace s podávaním infúzie (vybrané udalosti vyskytujúce sa počas podávania infúzie alebo v priebehu 24 hodín od podania infúzie) hlásené u 6,9 % pacientov v skupine liečenej tocilizumabom 8 mg/kg v kombinácii s DMARD a u 5,1 % pacientov v skupine s placebom spolu s DMARD. Udalosti hlásené počas podávania infúzie boli predovšetkým epizódy hypertenzie; udalosti hlásené v priebehu 24 hodín od ukončenia podávania infúzie boli bolesť hlavy a kožné reakcie (vyrážka, urtikária). Tieto udalosti neboli pre liečbu limitujúce.</w:t>
      </w:r>
    </w:p>
    <w:p w14:paraId="2F675025" w14:textId="77777777" w:rsidR="009700E5" w:rsidRDefault="009700E5"/>
    <w:p w14:paraId="297A554A" w14:textId="77777777" w:rsidR="009700E5" w:rsidRDefault="002C033C">
      <w:r>
        <w:t xml:space="preserve">Miera výskytu anafylaktických reakcií (vyskytujúcich sa celkovo u 8/4 009 pacientov, 0,2 %) bola niekoľkonásobne vyššia pri dávke 4 mg/kg oproti dávke 8 mg/kg. Klinicky významné reakcie z precitlivenosti súvisiace s liečbou tocilizumabom a vyžadujúce ukončenie liečby boli hlásené u celkovo 56 zo 4 009 pacientov (1,4 %) liečených počas kontrolovaných a otvorených klinických skúšaní. Tieto reakcie sa zvyčajne pozorovali počas podávania druhej až piatej infúzie tocilizumabu (pozri časť 4.4). </w:t>
      </w:r>
      <w:r>
        <w:rPr>
          <w:szCs w:val="22"/>
        </w:rPr>
        <w:t>Po registrácii lieku bola počas liečby tocilizumabom hlásená anafylaxia so smrteľnými následkami (pozri časť 4.4).</w:t>
      </w:r>
    </w:p>
    <w:p w14:paraId="5526B40D" w14:textId="77777777" w:rsidR="009700E5" w:rsidRDefault="009700E5"/>
    <w:p w14:paraId="48D62B17" w14:textId="77777777" w:rsidR="009700E5" w:rsidRDefault="002C033C">
      <w:pPr>
        <w:outlineLvl w:val="0"/>
        <w:rPr>
          <w:i/>
          <w:u w:val="single"/>
        </w:rPr>
      </w:pPr>
      <w:r>
        <w:rPr>
          <w:i/>
          <w:u w:val="single"/>
        </w:rPr>
        <w:t>Imunogenicita</w:t>
      </w:r>
    </w:p>
    <w:p w14:paraId="5B3FFF6C" w14:textId="77777777" w:rsidR="009700E5" w:rsidRDefault="002C033C">
      <w:pPr>
        <w:outlineLvl w:val="0"/>
      </w:pPr>
      <w:r>
        <w:t>V 6</w:t>
      </w:r>
      <w:r>
        <w:noBreakHyphen/>
        <w:t>mesačných kontrolovaných klinických skúšaniach bolo celkovo 2 876 pacientov vyšetrených na protilátky proti tocilizumabu. Zo 46 pacientov (1,6 %), u ktorých sa vytvorili protilátky proti tocilizumabu, došlo u 6 k významnej reakcii z precitlivenosti, ktorá u 5 z nich viedla k trvalému ukončeniu liečby. U tridsiatich pacientov (1,1 %) sa vytvorili neutralizujúce protilátky.</w:t>
      </w:r>
    </w:p>
    <w:p w14:paraId="4136CBEB" w14:textId="77777777" w:rsidR="009700E5" w:rsidRDefault="009700E5">
      <w:pPr>
        <w:outlineLvl w:val="0"/>
      </w:pPr>
    </w:p>
    <w:p w14:paraId="6E39CF9C" w14:textId="77777777" w:rsidR="009700E5" w:rsidRDefault="002C033C">
      <w:pPr>
        <w:keepNext/>
        <w:keepLines/>
        <w:rPr>
          <w:i/>
          <w:iCs/>
          <w:u w:val="single"/>
        </w:rPr>
      </w:pPr>
      <w:r>
        <w:rPr>
          <w:i/>
          <w:iCs/>
          <w:u w:val="single"/>
        </w:rPr>
        <w:t>Neutrofily</w:t>
      </w:r>
    </w:p>
    <w:p w14:paraId="3ADE7A53" w14:textId="77777777" w:rsidR="009700E5" w:rsidRDefault="002C033C">
      <w:r>
        <w:t>V 6</w:t>
      </w:r>
      <w:r>
        <w:noBreakHyphen/>
        <w:t>mesačných kontrolovaných klinických skúšaniach došlo k poklesu počtu neutrofilov pod 1 </w:t>
      </w:r>
      <w:bookmarkStart w:id="308" w:name="_Hlk173863442"/>
      <w:r>
        <w:rPr>
          <w:rFonts w:eastAsia="MS Mincho"/>
        </w:rPr>
        <w:sym w:font="Symbol" w:char="F0B4"/>
      </w:r>
      <w:bookmarkEnd w:id="308"/>
      <w:r>
        <w:t> 10</w:t>
      </w:r>
      <w:r>
        <w:rPr>
          <w:vertAlign w:val="superscript"/>
        </w:rPr>
        <w:t>9</w:t>
      </w:r>
      <w:r>
        <w:t xml:space="preserve">/l u 3,4 % pacientov liečených tocilizumabom 8 mg/kg spolu s DMARD oproti </w:t>
      </w:r>
      <w:r>
        <w:rPr>
          <w:rFonts w:eastAsia="MS Mincho"/>
        </w:rPr>
        <w:sym w:font="Symbol" w:char="F03C"/>
      </w:r>
      <w:r>
        <w:t xml:space="preserve"> 0,1 % pacientov s placebom spolu s DMARD. Približne u polovice pacientov, u ktorých ANC klesol na </w:t>
      </w:r>
      <w:r>
        <w:rPr>
          <w:rFonts w:eastAsia="MS Mincho"/>
        </w:rPr>
        <w:sym w:font="Symbol" w:char="F03C"/>
      </w:r>
      <w:r>
        <w:t> 1 </w:t>
      </w:r>
      <w:r>
        <w:rPr>
          <w:rFonts w:eastAsia="MS Mincho"/>
        </w:rPr>
        <w:sym w:font="Symbol" w:char="F0B4"/>
      </w:r>
      <w:r>
        <w:t> 10</w:t>
      </w:r>
      <w:r>
        <w:rPr>
          <w:vertAlign w:val="superscript"/>
        </w:rPr>
        <w:t>9</w:t>
      </w:r>
      <w:r>
        <w:rPr>
          <w:rFonts w:eastAsia="MS Mincho"/>
        </w:rPr>
        <w:t>/l,</w:t>
      </w:r>
      <w:r>
        <w:t xml:space="preserve"> došlo k tomuto poklesu v priebehu 8 týždňov po začatí liečby. Pokles pod 0,5 </w:t>
      </w:r>
      <w:r>
        <w:rPr>
          <w:rFonts w:eastAsia="MS Mincho"/>
        </w:rPr>
        <w:sym w:font="Symbol" w:char="F0B4"/>
      </w:r>
      <w:r>
        <w:t> 10</w:t>
      </w:r>
      <w:r>
        <w:rPr>
          <w:vertAlign w:val="superscript"/>
        </w:rPr>
        <w:t>9</w:t>
      </w:r>
      <w:r>
        <w:t xml:space="preserve">/l bol hlásený u 0,3 % pacientov liečených tocilizumabom 8 mg/kg spolu s DMARD. </w:t>
      </w:r>
      <w:r>
        <w:rPr>
          <w:color w:val="000000"/>
          <w:szCs w:val="22"/>
        </w:rPr>
        <w:t>Boli hlásené i</w:t>
      </w:r>
      <w:r>
        <w:rPr>
          <w:rFonts w:eastAsia="SimSun"/>
          <w:color w:val="000000"/>
          <w:lang w:eastAsia="zh-CN"/>
        </w:rPr>
        <w:t>nfekcie s neutropéniou.</w:t>
      </w:r>
    </w:p>
    <w:p w14:paraId="0407964D" w14:textId="77777777" w:rsidR="009700E5" w:rsidRDefault="009700E5">
      <w:pPr>
        <w:textAlignment w:val="top"/>
      </w:pPr>
    </w:p>
    <w:p w14:paraId="321DBAC6" w14:textId="77777777" w:rsidR="009700E5" w:rsidRDefault="002C033C">
      <w:r>
        <w:t>Počas dvojito zaslepeného kontrolovaného obdobia a pri dlhodobej expozícii zostával charakter a výskyt poklesu počtu neutrofilov rovnaký ako sa pozoroval počas 6</w:t>
      </w:r>
      <w:r>
        <w:noBreakHyphen/>
        <w:t>mesačných kontrolovaných klinických skúšaní.</w:t>
      </w:r>
    </w:p>
    <w:p w14:paraId="39931D9D" w14:textId="77777777" w:rsidR="009700E5" w:rsidRDefault="009700E5">
      <w:pPr>
        <w:autoSpaceDE w:val="0"/>
        <w:autoSpaceDN w:val="0"/>
        <w:adjustRightInd w:val="0"/>
      </w:pPr>
    </w:p>
    <w:p w14:paraId="5BE3E826" w14:textId="77777777" w:rsidR="009700E5" w:rsidRDefault="002C033C">
      <w:pPr>
        <w:keepNext/>
        <w:keepLines/>
        <w:autoSpaceDE w:val="0"/>
        <w:autoSpaceDN w:val="0"/>
        <w:adjustRightInd w:val="0"/>
        <w:rPr>
          <w:i/>
          <w:iCs/>
          <w:u w:val="single"/>
        </w:rPr>
      </w:pPr>
      <w:r>
        <w:rPr>
          <w:i/>
          <w:iCs/>
          <w:u w:val="single"/>
        </w:rPr>
        <w:t>Krvné doštičky</w:t>
      </w:r>
    </w:p>
    <w:p w14:paraId="514DEB05" w14:textId="77777777" w:rsidR="009700E5" w:rsidRDefault="002C033C">
      <w:pPr>
        <w:autoSpaceDE w:val="0"/>
        <w:autoSpaceDN w:val="0"/>
        <w:adjustRightInd w:val="0"/>
      </w:pPr>
      <w:r>
        <w:t>V 6</w:t>
      </w:r>
      <w:r>
        <w:noBreakHyphen/>
        <w:t>mesačných kontrolovaných klinických skúšaniach došlo k poklesu počtu trombocytov pod 100 </w:t>
      </w:r>
      <w:bookmarkStart w:id="309" w:name="_Hlk173863792"/>
      <w:r>
        <w:rPr>
          <w:rFonts w:eastAsia="MS Mincho"/>
          <w:szCs w:val="22"/>
        </w:rPr>
        <w:sym w:font="Symbol" w:char="F0B4"/>
      </w:r>
      <w:bookmarkEnd w:id="309"/>
      <w:r>
        <w:rPr>
          <w:rFonts w:eastAsia="SimSun"/>
          <w:bCs/>
          <w:szCs w:val="22"/>
          <w:lang w:eastAsia="zh-CN"/>
        </w:rPr>
        <w:t> 10</w:t>
      </w:r>
      <w:r>
        <w:rPr>
          <w:rFonts w:eastAsia="SimSun"/>
          <w:bCs/>
          <w:szCs w:val="22"/>
          <w:vertAlign w:val="superscript"/>
          <w:lang w:eastAsia="zh-CN"/>
        </w:rPr>
        <w:t>3</w:t>
      </w:r>
      <w:r>
        <w:rPr>
          <w:rFonts w:eastAsia="SimSun"/>
          <w:bCs/>
          <w:szCs w:val="22"/>
          <w:lang w:eastAsia="zh-CN"/>
        </w:rPr>
        <w:t>/</w:t>
      </w:r>
      <w:r>
        <w:rPr>
          <w:rFonts w:eastAsia="MS Mincho"/>
          <w:szCs w:val="22"/>
        </w:rPr>
        <w:sym w:font="Symbol" w:char="F06D"/>
      </w:r>
      <w:r>
        <w:rPr>
          <w:rFonts w:eastAsia="SimSun"/>
          <w:szCs w:val="22"/>
          <w:lang w:eastAsia="zh-CN"/>
        </w:rPr>
        <w:t>l u </w:t>
      </w:r>
      <w:r>
        <w:t xml:space="preserve">1,7 % pacientov liečených tocilizumabom 8 mg/kg spolu s DMARD oproti </w:t>
      </w:r>
      <w:bookmarkStart w:id="310" w:name="_Hlk173864071"/>
      <w:r>
        <w:rPr>
          <w:rFonts w:eastAsia="MS Mincho"/>
          <w:szCs w:val="22"/>
        </w:rPr>
        <w:sym w:font="Symbol" w:char="F03C"/>
      </w:r>
      <w:bookmarkEnd w:id="310"/>
      <w:r>
        <w:t> 1 % pacientov s placebom spolu s DMARD. Tieto poklesy sa vyskytli bez asociácie s krvácaním.</w:t>
      </w:r>
    </w:p>
    <w:p w14:paraId="353E0A44" w14:textId="77777777" w:rsidR="009700E5" w:rsidRDefault="009700E5">
      <w:pPr>
        <w:outlineLvl w:val="0"/>
      </w:pPr>
    </w:p>
    <w:p w14:paraId="281C9850" w14:textId="77777777" w:rsidR="009700E5" w:rsidRDefault="002C033C">
      <w:pPr>
        <w:outlineLvl w:val="0"/>
        <w:rPr>
          <w:iCs/>
        </w:rPr>
      </w:pPr>
      <w:r>
        <w:t>Počas dvojito zaslepenej kontrolnej fázy a pri dlhodobej expozícii zostával charakter a výskyt poklesu počtu krvných doštičiek rovnaký ako sa pozoroval počas 6</w:t>
      </w:r>
      <w:r>
        <w:noBreakHyphen/>
        <w:t>mesačných kontrolovaných klinických skúšaní.</w:t>
      </w:r>
    </w:p>
    <w:p w14:paraId="6C0C0515" w14:textId="77777777" w:rsidR="009700E5" w:rsidRDefault="009700E5">
      <w:pPr>
        <w:outlineLvl w:val="0"/>
        <w:rPr>
          <w:iCs/>
        </w:rPr>
      </w:pPr>
    </w:p>
    <w:p w14:paraId="242BF689" w14:textId="77777777" w:rsidR="009700E5" w:rsidRDefault="002C033C">
      <w:pPr>
        <w:outlineLvl w:val="0"/>
        <w:rPr>
          <w:rStyle w:val="Emphasis"/>
          <w:b w:val="0"/>
        </w:rPr>
      </w:pPr>
      <w:r>
        <w:rPr>
          <w:rStyle w:val="Emphasis"/>
          <w:b w:val="0"/>
        </w:rPr>
        <w:t>V postmarketingovom sledovaní sa vyskytli veľmi zriedkavo prípady pancytopénie.</w:t>
      </w:r>
    </w:p>
    <w:p w14:paraId="459D9BA5" w14:textId="77777777" w:rsidR="009700E5" w:rsidRDefault="009700E5">
      <w:pPr>
        <w:outlineLvl w:val="0"/>
        <w:rPr>
          <w:iCs/>
        </w:rPr>
      </w:pPr>
    </w:p>
    <w:p w14:paraId="4A68D36B" w14:textId="77777777" w:rsidR="009700E5" w:rsidRDefault="002C033C">
      <w:pPr>
        <w:outlineLvl w:val="0"/>
        <w:rPr>
          <w:i/>
          <w:u w:val="single"/>
        </w:rPr>
      </w:pPr>
      <w:r>
        <w:rPr>
          <w:i/>
          <w:u w:val="single"/>
        </w:rPr>
        <w:t>Zvýšenie pečeňových transamináz</w:t>
      </w:r>
    </w:p>
    <w:p w14:paraId="32839ED7" w14:textId="77777777" w:rsidR="009700E5" w:rsidRDefault="002C033C">
      <w:r>
        <w:t>V 6</w:t>
      </w:r>
      <w:r>
        <w:noBreakHyphen/>
        <w:t>mesačných kontrolovaných klinických skúšaniach bolo prechodné zvýšenie hodnôt ALT/AST na </w:t>
      </w:r>
      <w:r>
        <w:rPr>
          <w:rFonts w:eastAsia="MS Mincho"/>
          <w:szCs w:val="22"/>
        </w:rPr>
        <w:sym w:font="Symbol" w:char="F03E"/>
      </w:r>
      <w:r>
        <w:t> 3</w:t>
      </w:r>
      <w:r>
        <w:noBreakHyphen/>
        <w:t>násobok ULN u 2,1 % pacientov liečených tocilizumabom 8 mg/kg oproti 4,9 % pacientov liečených MTX, a u 6,5 % pacientov liečených 8 mg/kg tocilizumabu v kombinácii s DMARD oproti 1,5 % pacientov s placebom v kombinácii s DMARD.</w:t>
      </w:r>
    </w:p>
    <w:p w14:paraId="7E717851" w14:textId="77777777" w:rsidR="009700E5" w:rsidRDefault="009700E5"/>
    <w:p w14:paraId="6221AFF0" w14:textId="77777777" w:rsidR="009700E5" w:rsidRDefault="002C033C">
      <w:pPr>
        <w:rPr>
          <w:bCs/>
        </w:rPr>
      </w:pPr>
      <w:r>
        <w:rPr>
          <w:szCs w:val="22"/>
        </w:rPr>
        <w:t>Pridanie potenciálne hepatotoxických liekov (napr. MTX) k tocilizumabu podávanému v monoterapii viedlo k zvýšenému výskytu vyšších hodnôt. Zvyšovanie hladín ALT/AST na </w:t>
      </w:r>
      <w:r>
        <w:rPr>
          <w:rFonts w:eastAsia="MS Mincho"/>
          <w:szCs w:val="22"/>
        </w:rPr>
        <w:sym w:font="Symbol" w:char="F03E"/>
      </w:r>
      <w:r>
        <w:rPr>
          <w:szCs w:val="22"/>
        </w:rPr>
        <w:t> 5</w:t>
      </w:r>
      <w:r>
        <w:rPr>
          <w:szCs w:val="22"/>
        </w:rPr>
        <w:noBreakHyphen/>
        <w:t xml:space="preserve">násobok ULN sa pozorovalo u 0,7 % pacientov liečených tocilizumabom v monoterapii a u 1,4 % pacientov liečených tocilizumabom v kombinácii s DMARD, pričom väčšina z nich liečbu tocilizumabom trvalo ukončila. </w:t>
      </w:r>
      <w:r>
        <w:t xml:space="preserve">Počas dvojito zaslepeného kontrolovaného obdobia, </w:t>
      </w:r>
      <w:r>
        <w:rPr>
          <w:bCs/>
        </w:rPr>
        <w:t xml:space="preserve">incidencia zvýšenia nepriameho bilirubínu vyššia ako horný limit normy </w:t>
      </w:r>
      <w:r>
        <w:t>sledované ako rutinný laboratórny parameter, je 6,2 % u</w:t>
      </w:r>
      <w:r>
        <w:rPr>
          <w:bCs/>
          <w:szCs w:val="22"/>
        </w:rPr>
        <w:t xml:space="preserve"> pacientov liečených tocilizumabom v dávke 8 mg/kg </w:t>
      </w:r>
      <w:r>
        <w:t xml:space="preserve">+ DMARD. Celkovo 5,8 % pacientov malo zvýšený nepriamy bilirubín na </w:t>
      </w:r>
      <w:r>
        <w:rPr>
          <w:rFonts w:eastAsia="MS Mincho"/>
          <w:szCs w:val="22"/>
        </w:rPr>
        <w:sym w:font="Symbol" w:char="F03E"/>
      </w:r>
      <w:r>
        <w:t> 1</w:t>
      </w:r>
      <w:r>
        <w:noBreakHyphen/>
        <w:t> až 2</w:t>
      </w:r>
      <w:r>
        <w:noBreakHyphen/>
        <w:t>násobok ULN a 0,4 % pacientov malo zvýšenie na </w:t>
      </w:r>
      <w:r>
        <w:rPr>
          <w:rFonts w:eastAsia="MS Mincho"/>
          <w:szCs w:val="22"/>
        </w:rPr>
        <w:sym w:font="Symbol" w:char="F03E"/>
      </w:r>
      <w:r>
        <w:rPr>
          <w:rFonts w:eastAsia="MS Mincho"/>
          <w:szCs w:val="22"/>
        </w:rPr>
        <w:t> </w:t>
      </w:r>
      <w:r>
        <w:t>2</w:t>
      </w:r>
      <w:r>
        <w:noBreakHyphen/>
        <w:t>násobok ULN.</w:t>
      </w:r>
    </w:p>
    <w:p w14:paraId="41677569" w14:textId="77777777" w:rsidR="009700E5" w:rsidRDefault="009700E5">
      <w:pPr>
        <w:outlineLvl w:val="0"/>
      </w:pPr>
    </w:p>
    <w:p w14:paraId="39101436" w14:textId="77777777" w:rsidR="009700E5" w:rsidRDefault="002C033C">
      <w:pPr>
        <w:outlineLvl w:val="0"/>
        <w:rPr>
          <w:iCs/>
        </w:rPr>
      </w:pPr>
      <w:r>
        <w:t>Počas dvojito zaslepenej kontrolnej fázy a pri dlhodobej expozícii zostával charakter a výskyt prípadov zvýšenia ALT/AST rovnaký ako sa pozoroval počas 6</w:t>
      </w:r>
      <w:r>
        <w:noBreakHyphen/>
        <w:t>mesačných kontrolovaných klinických skúšaní.</w:t>
      </w:r>
    </w:p>
    <w:p w14:paraId="38E43801" w14:textId="77777777" w:rsidR="009700E5" w:rsidRDefault="009700E5"/>
    <w:p w14:paraId="264556C8" w14:textId="77777777" w:rsidR="009700E5" w:rsidRDefault="002C033C">
      <w:pPr>
        <w:keepNext/>
        <w:keepLines/>
        <w:outlineLvl w:val="0"/>
        <w:rPr>
          <w:i/>
          <w:u w:val="single"/>
        </w:rPr>
      </w:pPr>
      <w:r>
        <w:rPr>
          <w:i/>
          <w:u w:val="single"/>
        </w:rPr>
        <w:t>Hodnoty lipidových parametrov</w:t>
      </w:r>
    </w:p>
    <w:p w14:paraId="4D1EF705" w14:textId="77777777" w:rsidR="009700E5" w:rsidRDefault="002C033C">
      <w:pPr>
        <w:keepNext/>
        <w:keepLines/>
      </w:pPr>
      <w:r>
        <w:t>Zvýšenie hodnôt lipidových parametrov, ako je napríklad celkový cholesterol, triacylglyceroly, LDL</w:t>
      </w:r>
      <w:r>
        <w:noBreakHyphen/>
        <w:t>cholesterol a/alebo HDL</w:t>
      </w:r>
      <w:r>
        <w:noBreakHyphen/>
        <w:t>cholesterol, bolo počas 6</w:t>
      </w:r>
      <w:r>
        <w:noBreakHyphen/>
        <w:t>mesačných kontrolovaných klinických skúšaní hlásené často. Rutinným laboratórnym sledovaním sa zistilo, že</w:t>
      </w:r>
      <w:r>
        <w:rPr>
          <w:szCs w:val="22"/>
        </w:rPr>
        <w:t xml:space="preserve"> p</w:t>
      </w:r>
      <w:r>
        <w:t xml:space="preserve">ribližne u 24 % pacientov, ktorí v klinických skúšaniach dostávali tocilizumab, došlo k trvalému zvýšeniu hodnôt celkového cholesterolu na </w:t>
      </w:r>
      <w:r>
        <w:rPr>
          <w:rFonts w:eastAsia="PMingLiU"/>
          <w:szCs w:val="22"/>
          <w:lang w:eastAsia="zh-CN"/>
        </w:rPr>
        <w:t>≥</w:t>
      </w:r>
      <w:r>
        <w:t xml:space="preserve"> 6,2 mmol/l, pričom u 15 % pacientov došlo k trvalému zvýšeniu hodnôt LDL na </w:t>
      </w:r>
      <w:r>
        <w:rPr>
          <w:rFonts w:eastAsia="PMingLiU"/>
          <w:szCs w:val="22"/>
          <w:lang w:eastAsia="zh-CN"/>
        </w:rPr>
        <w:t>≥</w:t>
      </w:r>
      <w:r>
        <w:t> 4,1 mmol/l. Zvýšené lipidové parametre odpovedali na liečbu hypolipidemikami.</w:t>
      </w:r>
    </w:p>
    <w:p w14:paraId="37F755C8" w14:textId="77777777" w:rsidR="009700E5" w:rsidRDefault="009700E5">
      <w:pPr>
        <w:autoSpaceDE w:val="0"/>
        <w:autoSpaceDN w:val="0"/>
        <w:adjustRightInd w:val="0"/>
        <w:rPr>
          <w:rFonts w:eastAsia="SimSun"/>
          <w:szCs w:val="22"/>
          <w:lang w:eastAsia="zh-CN"/>
        </w:rPr>
      </w:pPr>
    </w:p>
    <w:p w14:paraId="26A2A0C4" w14:textId="77777777" w:rsidR="009700E5" w:rsidRDefault="002C033C">
      <w:pPr>
        <w:outlineLvl w:val="0"/>
        <w:rPr>
          <w:iCs/>
        </w:rPr>
      </w:pPr>
      <w:r>
        <w:t>Počas dvojito zaslepenej kontrolnej fázy a pri dlhodobej expozícii zostával charakter a výskyt prípadov zvýšenia lipidových parametrov rovnaký ako sa pozoroval počas 6</w:t>
      </w:r>
      <w:r>
        <w:noBreakHyphen/>
        <w:t>mesačných kontrolovaných klinických skúšaní.</w:t>
      </w:r>
    </w:p>
    <w:p w14:paraId="47FE4124" w14:textId="77777777" w:rsidR="009700E5" w:rsidRDefault="009700E5">
      <w:pPr>
        <w:autoSpaceDE w:val="0"/>
        <w:autoSpaceDN w:val="0"/>
        <w:adjustRightInd w:val="0"/>
        <w:rPr>
          <w:rFonts w:eastAsia="SimSun"/>
          <w:szCs w:val="22"/>
          <w:lang w:eastAsia="zh-CN"/>
        </w:rPr>
      </w:pPr>
    </w:p>
    <w:p w14:paraId="0015D5ED" w14:textId="77777777" w:rsidR="009700E5" w:rsidRDefault="002C033C">
      <w:pPr>
        <w:shd w:val="clear" w:color="auto" w:fill="FFFFFF"/>
        <w:rPr>
          <w:color w:val="222222"/>
          <w:szCs w:val="22"/>
          <w:u w:val="single"/>
          <w:lang w:eastAsia="en-GB"/>
        </w:rPr>
      </w:pPr>
      <w:r>
        <w:rPr>
          <w:bCs/>
          <w:i/>
          <w:iCs/>
          <w:color w:val="222222"/>
          <w:szCs w:val="22"/>
          <w:u w:val="single"/>
          <w:lang w:eastAsia="en-GB"/>
        </w:rPr>
        <w:t>Kožné reakcie</w:t>
      </w:r>
    </w:p>
    <w:p w14:paraId="60BCA263" w14:textId="77777777" w:rsidR="009700E5" w:rsidRDefault="002C033C">
      <w:pPr>
        <w:outlineLvl w:val="0"/>
        <w:rPr>
          <w:color w:val="222222"/>
          <w:szCs w:val="22"/>
          <w:lang w:eastAsia="en-GB"/>
        </w:rPr>
      </w:pPr>
      <w:r>
        <w:rPr>
          <w:rStyle w:val="Emphasis"/>
          <w:b w:val="0"/>
        </w:rPr>
        <w:t xml:space="preserve">V postmarketingovom sledovaní sa vyskytli zriedkavé </w:t>
      </w:r>
      <w:r>
        <w:rPr>
          <w:iCs/>
          <w:color w:val="222222"/>
          <w:szCs w:val="22"/>
          <w:lang w:eastAsia="en-GB"/>
        </w:rPr>
        <w:t>hlásenia Stevensovho</w:t>
      </w:r>
      <w:r>
        <w:rPr>
          <w:iCs/>
          <w:color w:val="222222"/>
          <w:szCs w:val="22"/>
          <w:lang w:eastAsia="en-GB"/>
        </w:rPr>
        <w:noBreakHyphen/>
        <w:t>Johnsonovho syndrómu.</w:t>
      </w:r>
    </w:p>
    <w:p w14:paraId="3FAEA022" w14:textId="77777777" w:rsidR="009700E5" w:rsidRDefault="009700E5">
      <w:pPr>
        <w:widowControl w:val="0"/>
        <w:autoSpaceDE w:val="0"/>
        <w:autoSpaceDN w:val="0"/>
        <w:adjustRightInd w:val="0"/>
        <w:rPr>
          <w:szCs w:val="22"/>
          <w:u w:val="single"/>
        </w:rPr>
      </w:pPr>
    </w:p>
    <w:p w14:paraId="29421C9B" w14:textId="77777777" w:rsidR="009700E5" w:rsidRDefault="002C033C">
      <w:pPr>
        <w:keepNext/>
        <w:keepLines/>
        <w:autoSpaceDE w:val="0"/>
        <w:autoSpaceDN w:val="0"/>
        <w:adjustRightInd w:val="0"/>
        <w:jc w:val="both"/>
        <w:rPr>
          <w:i/>
          <w:iCs/>
          <w:szCs w:val="22"/>
        </w:rPr>
      </w:pPr>
      <w:r>
        <w:rPr>
          <w:i/>
          <w:iCs/>
          <w:szCs w:val="22"/>
        </w:rPr>
        <w:t>Pacienti s COVID</w:t>
      </w:r>
      <w:r>
        <w:rPr>
          <w:i/>
          <w:iCs/>
          <w:szCs w:val="22"/>
        </w:rPr>
        <w:noBreakHyphen/>
        <w:t>19</w:t>
      </w:r>
    </w:p>
    <w:p w14:paraId="6850417F" w14:textId="77777777" w:rsidR="009700E5" w:rsidRDefault="002C033C">
      <w:pPr>
        <w:keepNext/>
        <w:keepLines/>
        <w:autoSpaceDE w:val="0"/>
        <w:autoSpaceDN w:val="0"/>
        <w:adjustRightInd w:val="0"/>
        <w:rPr>
          <w:i/>
          <w:szCs w:val="22"/>
          <w:u w:val="single"/>
        </w:rPr>
      </w:pPr>
      <w:r>
        <w:rPr>
          <w:i/>
          <w:szCs w:val="22"/>
          <w:u w:val="single"/>
        </w:rPr>
        <w:t>Infekcie</w:t>
      </w:r>
    </w:p>
    <w:p w14:paraId="69ED8125" w14:textId="77777777" w:rsidR="009700E5" w:rsidRDefault="002C033C">
      <w:pPr>
        <w:keepNext/>
        <w:keepLines/>
        <w:autoSpaceDE w:val="0"/>
        <w:autoSpaceDN w:val="0"/>
        <w:adjustRightInd w:val="0"/>
        <w:rPr>
          <w:szCs w:val="22"/>
        </w:rPr>
      </w:pPr>
      <w:r>
        <w:rPr>
          <w:szCs w:val="22"/>
        </w:rPr>
        <w:t>V súhrnnej populácii hodnotiteľnej z hľadiska bezpečnosti z</w:t>
      </w:r>
      <w:del w:id="311" w:author="Author" w:date="2025-07-21T09:25:00Z">
        <w:r>
          <w:rPr>
            <w:szCs w:val="22"/>
          </w:rPr>
          <w:delText>o</w:delText>
        </w:r>
      </w:del>
      <w:r>
        <w:rPr>
          <w:szCs w:val="22"/>
        </w:rPr>
        <w:t> </w:t>
      </w:r>
      <w:ins w:id="312" w:author="Author" w:date="2025-07-21T09:25:00Z">
        <w:r>
          <w:rPr>
            <w:szCs w:val="22"/>
          </w:rPr>
          <w:t xml:space="preserve">klinických </w:t>
        </w:r>
      </w:ins>
      <w:r>
        <w:rPr>
          <w:szCs w:val="22"/>
        </w:rPr>
        <w:t xml:space="preserve">skúšaní </w:t>
      </w:r>
      <w:r>
        <w:rPr>
          <w:rFonts w:eastAsia="Calibri"/>
          <w:szCs w:val="22"/>
        </w:rPr>
        <w:t>ML42528, WA42380 a WA42511 bol výskyt infekcií/závažných infekcií</w:t>
      </w:r>
      <w:r>
        <w:rPr>
          <w:szCs w:val="22"/>
        </w:rPr>
        <w:t>, považovaných za nežiaduce udalosti, vyvážený medzi pacientmi s COVID</w:t>
      </w:r>
      <w:r>
        <w:rPr>
          <w:szCs w:val="22"/>
        </w:rPr>
        <w:noBreakHyphen/>
        <w:t>19, ktorí dostali tocilizumab (30,3 %/18,6 %, n = 974), v porovnaní s pacientmi, ktorí dostali placebo (32,1 %/22,8 %, n = 483).</w:t>
      </w:r>
    </w:p>
    <w:p w14:paraId="57806ABE" w14:textId="77777777" w:rsidR="009700E5" w:rsidRDefault="009700E5">
      <w:pPr>
        <w:autoSpaceDE w:val="0"/>
        <w:autoSpaceDN w:val="0"/>
        <w:adjustRightInd w:val="0"/>
        <w:rPr>
          <w:szCs w:val="22"/>
          <w:u w:val="single"/>
        </w:rPr>
      </w:pPr>
    </w:p>
    <w:p w14:paraId="748BCFFD" w14:textId="77777777" w:rsidR="009700E5" w:rsidRDefault="002C033C">
      <w:pPr>
        <w:rPr>
          <w:szCs w:val="22"/>
        </w:rPr>
      </w:pPr>
      <w:r>
        <w:rPr>
          <w:szCs w:val="22"/>
        </w:rPr>
        <w:t xml:space="preserve">Bezpečnostný profil pozorovaný v skupine, ktorá pri zaradení do </w:t>
      </w:r>
      <w:del w:id="313" w:author="Author" w:date="2025-07-18T23:15:00Z">
        <w:r>
          <w:rPr>
            <w:szCs w:val="22"/>
          </w:rPr>
          <w:delText>štúdie</w:delText>
        </w:r>
      </w:del>
      <w:r>
        <w:rPr>
          <w:szCs w:val="22"/>
        </w:rPr>
        <w:t xml:space="preserve"> </w:t>
      </w:r>
      <w:ins w:id="314" w:author="Author" w:date="2025-07-21T09:25:00Z">
        <w:r>
          <w:rPr>
            <w:szCs w:val="22"/>
          </w:rPr>
          <w:t xml:space="preserve">klinického </w:t>
        </w:r>
      </w:ins>
      <w:ins w:id="315" w:author="Author" w:date="2025-07-18T23:15:00Z">
        <w:r>
          <w:rPr>
            <w:szCs w:val="22"/>
          </w:rPr>
          <w:t xml:space="preserve">skúšania </w:t>
        </w:r>
      </w:ins>
      <w:r>
        <w:rPr>
          <w:szCs w:val="22"/>
        </w:rPr>
        <w:t>dostávala liečbu systémovými kortikosteroidmi, sa zhodoval s bezpečnostným profilom tocilizumabu v celkovej populácii uvedenej v tabuľke 2. V tejto podskupine sa infekcie a závažné infekcie v uvedenom poradí vyskytli u 27,8 % a 18,1 % pacientov liečených intravenóznym tocilizumabom a u 30,5 % a 22,9 % pacientov liečených placebom.</w:t>
      </w:r>
    </w:p>
    <w:p w14:paraId="32B71C5D" w14:textId="77777777" w:rsidR="009700E5" w:rsidRDefault="009700E5">
      <w:pPr>
        <w:rPr>
          <w:szCs w:val="22"/>
        </w:rPr>
      </w:pPr>
    </w:p>
    <w:p w14:paraId="35C7F493" w14:textId="77777777" w:rsidR="009700E5" w:rsidRDefault="002C033C">
      <w:pPr>
        <w:keepNext/>
        <w:keepLines/>
        <w:rPr>
          <w:i/>
          <w:szCs w:val="22"/>
          <w:u w:val="single"/>
        </w:rPr>
      </w:pPr>
      <w:r>
        <w:rPr>
          <w:i/>
          <w:szCs w:val="22"/>
          <w:u w:val="single"/>
        </w:rPr>
        <w:t>Laboratórne odchýlky</w:t>
      </w:r>
    </w:p>
    <w:p w14:paraId="52FE8E9B" w14:textId="77777777" w:rsidR="009700E5" w:rsidRDefault="002C033C">
      <w:pPr>
        <w:keepNext/>
        <w:keepLines/>
        <w:rPr>
          <w:rFonts w:eastAsia="SimSun"/>
          <w:szCs w:val="22"/>
          <w:lang w:eastAsia="zh-CN"/>
        </w:rPr>
      </w:pPr>
      <w:r>
        <w:rPr>
          <w:szCs w:val="22"/>
        </w:rPr>
        <w:t>V uvedených randomizovaných, dvojito zaslepených, placebom kontrolovaných klinických skúšaniach bol výskyt laboratórnych odchýlok u pacientov s COVID</w:t>
      </w:r>
      <w:r>
        <w:rPr>
          <w:szCs w:val="22"/>
        </w:rPr>
        <w:noBreakHyphen/>
        <w:t>19, ktorí dostali jednu alebo dve dávky intravenózneho tocilizumabu, až na niekoľko výnimiek vo všeobecnosti podobný ako u pacientov, ktorí dostali placebo. Poklesy počtu trombocytov a neutrofilov a vzostupy hladín ALT a AST boli častejšie u pacientov, ktorí dostali intravenózny tocilizumab, v porovnaní s pacientmi, ktorí dostali placebo (pozri časti 4.2 a 4.4).</w:t>
      </w:r>
    </w:p>
    <w:p w14:paraId="0AB1BD08" w14:textId="77777777" w:rsidR="009700E5" w:rsidRDefault="009700E5">
      <w:pPr>
        <w:autoSpaceDE w:val="0"/>
        <w:autoSpaceDN w:val="0"/>
        <w:adjustRightInd w:val="0"/>
        <w:rPr>
          <w:rFonts w:eastAsia="SimSun"/>
          <w:szCs w:val="22"/>
          <w:lang w:eastAsia="zh-CN"/>
        </w:rPr>
      </w:pPr>
    </w:p>
    <w:p w14:paraId="5FADA4E3" w14:textId="77777777" w:rsidR="009700E5" w:rsidRDefault="002C033C">
      <w:pPr>
        <w:keepNext/>
        <w:keepLines/>
        <w:autoSpaceDE w:val="0"/>
        <w:autoSpaceDN w:val="0"/>
        <w:adjustRightInd w:val="0"/>
        <w:rPr>
          <w:rFonts w:eastAsia="SimSun"/>
          <w:szCs w:val="22"/>
          <w:u w:val="single"/>
          <w:lang w:eastAsia="zh-CN"/>
        </w:rPr>
      </w:pPr>
      <w:r>
        <w:rPr>
          <w:rFonts w:eastAsia="SimSun"/>
          <w:szCs w:val="22"/>
          <w:u w:val="single"/>
          <w:lang w:eastAsia="zh-CN"/>
        </w:rPr>
        <w:lastRenderedPageBreak/>
        <w:t>Pediatrická populácia</w:t>
      </w:r>
    </w:p>
    <w:p w14:paraId="239B6F29" w14:textId="77777777" w:rsidR="009700E5" w:rsidRDefault="002C033C">
      <w:r>
        <w:t>Vo všeobecnosti boli nežiaduce reakcie u pacientov s pJIA a sJIA podobného typu ako tie, ktoré boli pozorované u pacientov s RA, pozri časť 4.8.</w:t>
      </w:r>
    </w:p>
    <w:p w14:paraId="1D043171" w14:textId="77777777" w:rsidR="009700E5" w:rsidRDefault="009700E5"/>
    <w:p w14:paraId="44E982B5" w14:textId="77777777" w:rsidR="009700E5" w:rsidRDefault="002C033C">
      <w:pPr>
        <w:keepNext/>
        <w:keepLines/>
        <w:autoSpaceDE w:val="0"/>
        <w:autoSpaceDN w:val="0"/>
        <w:adjustRightInd w:val="0"/>
        <w:rPr>
          <w:rFonts w:eastAsia="SimSun"/>
          <w:i/>
          <w:szCs w:val="22"/>
          <w:lang w:eastAsia="zh-CN"/>
        </w:rPr>
      </w:pPr>
      <w:r>
        <w:rPr>
          <w:i/>
          <w:iCs/>
          <w:szCs w:val="22"/>
          <w:lang w:eastAsia="de-DE"/>
        </w:rPr>
        <w:t>Opis vybraných nežiaducich reakcií u p</w:t>
      </w:r>
      <w:r>
        <w:rPr>
          <w:rFonts w:eastAsia="SimSun"/>
          <w:i/>
          <w:szCs w:val="22"/>
          <w:lang w:eastAsia="zh-CN"/>
        </w:rPr>
        <w:t>acientov s pJIA</w:t>
      </w:r>
    </w:p>
    <w:p w14:paraId="4D483E9B" w14:textId="77777777" w:rsidR="009700E5" w:rsidRDefault="002C033C">
      <w:pPr>
        <w:keepNext/>
        <w:keepLines/>
        <w:autoSpaceDE w:val="0"/>
        <w:autoSpaceDN w:val="0"/>
        <w:adjustRightInd w:val="0"/>
        <w:rPr>
          <w:rFonts w:eastAsia="SimSun"/>
          <w:szCs w:val="22"/>
          <w:lang w:eastAsia="zh-CN"/>
        </w:rPr>
      </w:pPr>
      <w:bookmarkStart w:id="316" w:name="_Hlk523984424"/>
      <w:r>
        <w:rPr>
          <w:rFonts w:eastAsia="SimSun"/>
          <w:szCs w:val="22"/>
          <w:lang w:eastAsia="zh-CN"/>
        </w:rPr>
        <w:t xml:space="preserve">Bezpečnostný profil intravenózneho tocilizumabu </w:t>
      </w:r>
      <w:bookmarkEnd w:id="316"/>
      <w:r>
        <w:rPr>
          <w:rFonts w:eastAsia="SimSun"/>
          <w:szCs w:val="22"/>
          <w:lang w:eastAsia="zh-CN"/>
        </w:rPr>
        <w:t>pri pJIA sa skúmal u 188 pacientov vo veku 2 až 17 rokov. Celková expozícia pacientov bola 184,4 pacientrok. Frekvenciu nežiaducich reakcií u pJIA pacientov je možné nájsť v tabuľke 3. Typy nežiaducich reakcií u pacientov s pJIA boli podobné typom, ktoré sa pozorovali u pacientov s RA a sJIA. Pri porovnaní s dospelou populáciou s RA boli prípady nazofaryngitídy, bolesti hlavy, nauzey a zníženého počtu neutrofilov hlásené častejšie v populácii s pJIA. Prípady zvýšeného cholesterolu boli hlásené menej častejšie v pJIA populácii ako u dospelej populácie s RA.</w:t>
      </w:r>
    </w:p>
    <w:p w14:paraId="6796ACE1" w14:textId="77777777" w:rsidR="009700E5" w:rsidRDefault="009700E5">
      <w:pPr>
        <w:autoSpaceDE w:val="0"/>
        <w:autoSpaceDN w:val="0"/>
        <w:adjustRightInd w:val="0"/>
        <w:rPr>
          <w:rFonts w:eastAsia="SimSun"/>
          <w:szCs w:val="22"/>
          <w:lang w:eastAsia="zh-CN"/>
        </w:rPr>
      </w:pPr>
    </w:p>
    <w:p w14:paraId="1A731526" w14:textId="77777777" w:rsidR="009700E5" w:rsidRDefault="002C033C">
      <w:pPr>
        <w:keepNext/>
        <w:keepLines/>
        <w:autoSpaceDE w:val="0"/>
        <w:autoSpaceDN w:val="0"/>
        <w:adjustRightInd w:val="0"/>
        <w:rPr>
          <w:rFonts w:eastAsia="SimSun"/>
          <w:i/>
          <w:szCs w:val="22"/>
          <w:u w:val="single"/>
          <w:lang w:eastAsia="zh-CN"/>
        </w:rPr>
      </w:pPr>
      <w:r>
        <w:rPr>
          <w:rFonts w:eastAsia="SimSun"/>
          <w:i/>
          <w:szCs w:val="22"/>
          <w:u w:val="single"/>
          <w:lang w:eastAsia="zh-CN"/>
        </w:rPr>
        <w:t>Infekcie</w:t>
      </w:r>
    </w:p>
    <w:p w14:paraId="4BFF0B60" w14:textId="77777777" w:rsidR="009700E5" w:rsidRDefault="002C033C">
      <w:pPr>
        <w:autoSpaceDE w:val="0"/>
        <w:autoSpaceDN w:val="0"/>
        <w:adjustRightInd w:val="0"/>
        <w:rPr>
          <w:rFonts w:eastAsia="SimSun"/>
          <w:bCs/>
          <w:iCs/>
          <w:szCs w:val="22"/>
          <w:lang w:eastAsia="zh-CN"/>
        </w:rPr>
      </w:pPr>
      <w:r>
        <w:rPr>
          <w:rFonts w:eastAsia="SimSun"/>
          <w:bCs/>
          <w:iCs/>
          <w:szCs w:val="22"/>
          <w:lang w:eastAsia="zh-CN"/>
        </w:rPr>
        <w:t xml:space="preserve">Výskyt infekcií v populácii vystavenej tocilizumabu bola 163,7 na 100 pacientorokov. Najčastejšie pozorované prípady boli nazofaryngitída a infekcie horných dýchacích ciest. Výskyt závažných infekcií bola číselne vyšší u pacientov s telesnou hmotnosťou </w:t>
      </w:r>
      <w:r>
        <w:rPr>
          <w:rFonts w:eastAsia="MS Mincho"/>
          <w:szCs w:val="22"/>
        </w:rPr>
        <w:sym w:font="Symbol" w:char="F03C"/>
      </w:r>
      <w:r>
        <w:rPr>
          <w:rFonts w:eastAsia="SimSun"/>
          <w:bCs/>
          <w:iCs/>
          <w:szCs w:val="22"/>
          <w:lang w:eastAsia="zh-CN"/>
        </w:rPr>
        <w:t xml:space="preserve"> 30 kg, ktorí sa liečili dávkou 10 mg/kg tocilizumabu (12,2 na 100 pacientorokov) v porovnaní s pacientmi s telesnou hmotnosťou </w:t>
      </w:r>
      <w:r>
        <w:rPr>
          <w:szCs w:val="22"/>
        </w:rPr>
        <w:t>≥</w:t>
      </w:r>
      <w:r>
        <w:rPr>
          <w:rFonts w:eastAsia="SimSun"/>
          <w:bCs/>
          <w:iCs/>
          <w:szCs w:val="22"/>
          <w:lang w:eastAsia="zh-CN"/>
        </w:rPr>
        <w:t xml:space="preserve"> 30 kg, ktorí sa liečili dávkou 8 mg/kg tocilizumabu (4,0 na 100 pacientorokov). Incidencia infekcií vedúcich k prerušeniam dávky bola tiež číselne vyššia u pacientov s telesnou hmotnosťou </w:t>
      </w:r>
      <w:r>
        <w:rPr>
          <w:rFonts w:eastAsia="MS Mincho"/>
          <w:szCs w:val="22"/>
        </w:rPr>
        <w:sym w:font="Symbol" w:char="F03C"/>
      </w:r>
      <w:r>
        <w:rPr>
          <w:rFonts w:eastAsia="SimSun"/>
          <w:bCs/>
          <w:iCs/>
          <w:szCs w:val="22"/>
          <w:lang w:eastAsia="zh-CN"/>
        </w:rPr>
        <w:t xml:space="preserve"> 30 kg, ktorí sa liečili dávkou 10 mg/kg tocilizumabu (21,4 %) v porovnaní s pacientmi s telesnou hmotnosťou </w:t>
      </w:r>
      <w:r>
        <w:rPr>
          <w:szCs w:val="22"/>
        </w:rPr>
        <w:t>≥</w:t>
      </w:r>
      <w:r>
        <w:rPr>
          <w:rFonts w:eastAsia="SimSun"/>
          <w:bCs/>
          <w:iCs/>
          <w:szCs w:val="22"/>
          <w:lang w:eastAsia="zh-CN"/>
        </w:rPr>
        <w:t> 30 kg, ktorí sa liečili dávkou 8 mg/kg tocilizumabu (7,6 %).</w:t>
      </w:r>
    </w:p>
    <w:p w14:paraId="12644109" w14:textId="77777777" w:rsidR="009700E5" w:rsidRDefault="009700E5">
      <w:pPr>
        <w:autoSpaceDE w:val="0"/>
        <w:autoSpaceDN w:val="0"/>
        <w:adjustRightInd w:val="0"/>
        <w:rPr>
          <w:rFonts w:eastAsia="SimSun"/>
          <w:bCs/>
          <w:iCs/>
          <w:szCs w:val="22"/>
          <w:lang w:eastAsia="zh-CN"/>
        </w:rPr>
      </w:pPr>
    </w:p>
    <w:p w14:paraId="2B1FC3F9" w14:textId="77777777" w:rsidR="009700E5" w:rsidRDefault="002C033C">
      <w:pPr>
        <w:keepNext/>
        <w:keepLines/>
        <w:autoSpaceDE w:val="0"/>
        <w:autoSpaceDN w:val="0"/>
        <w:adjustRightInd w:val="0"/>
        <w:rPr>
          <w:rFonts w:eastAsia="SimSun"/>
          <w:i/>
          <w:szCs w:val="22"/>
          <w:u w:val="single"/>
          <w:lang w:eastAsia="zh-CN"/>
        </w:rPr>
      </w:pPr>
      <w:r>
        <w:rPr>
          <w:rFonts w:eastAsia="SimSun"/>
          <w:i/>
          <w:szCs w:val="22"/>
          <w:u w:val="single"/>
          <w:lang w:eastAsia="zh-CN"/>
        </w:rPr>
        <w:t>Reakcie súvisiace s infúziou</w:t>
      </w:r>
    </w:p>
    <w:p w14:paraId="7CADE8CB" w14:textId="77777777" w:rsidR="009700E5" w:rsidRDefault="002C033C">
      <w:pPr>
        <w:keepNext/>
        <w:keepLines/>
        <w:autoSpaceDE w:val="0"/>
        <w:autoSpaceDN w:val="0"/>
        <w:adjustRightInd w:val="0"/>
        <w:rPr>
          <w:rFonts w:eastAsia="SimSun"/>
          <w:szCs w:val="22"/>
          <w:lang w:eastAsia="zh-CN"/>
        </w:rPr>
      </w:pPr>
      <w:r>
        <w:rPr>
          <w:rFonts w:eastAsia="SimSun"/>
          <w:szCs w:val="22"/>
          <w:lang w:eastAsia="zh-CN"/>
        </w:rPr>
        <w:t>U pacientov s pJIA sa reakcie súvisiace s infúziou definovali ako všetky udalosti, ktoré nastali v priebehu infúzie alebo počas 24 hodín od infúzie. V</w:t>
      </w:r>
      <w:r>
        <w:rPr>
          <w:rFonts w:eastAsia="SimSun"/>
          <w:bCs/>
          <w:iCs/>
          <w:szCs w:val="22"/>
          <w:lang w:eastAsia="zh-CN"/>
        </w:rPr>
        <w:t xml:space="preserve"> populácii vystavenej tocilizumabu sa u 11 pacientov (5,9 %) vyskytli reakcie súvisiace s infúziou počas infúzie a u 38 pacientov (20,2 %) sa vyskytla udalosť počas 24 hodín od infúzie. Najčastejšie udalosti, ktoré sa vyskytli v priebehu infúzie, boli bolesť hlavy, nevoľnosť a hypotenzia a počas 24 hodín od infúzie to bol závrat a hypotenzia. Vo všeobecnosti sa počas infúzie alebo počas 24 hodín od infúzie pozorovali nežiaduce reakcie s podobným charakterom ako tie, ktoré sa pozorovali u pacientov s RA a sJIA, pozri časť 4.8.</w:t>
      </w:r>
    </w:p>
    <w:p w14:paraId="36C89C92" w14:textId="77777777" w:rsidR="009700E5" w:rsidRDefault="009700E5">
      <w:pPr>
        <w:autoSpaceDE w:val="0"/>
        <w:autoSpaceDN w:val="0"/>
        <w:adjustRightInd w:val="0"/>
        <w:rPr>
          <w:rFonts w:eastAsia="SimSun"/>
          <w:szCs w:val="22"/>
          <w:lang w:eastAsia="zh-CN"/>
        </w:rPr>
      </w:pPr>
    </w:p>
    <w:p w14:paraId="492B6B60" w14:textId="77777777" w:rsidR="009700E5" w:rsidRDefault="002C033C">
      <w:pPr>
        <w:autoSpaceDE w:val="0"/>
        <w:autoSpaceDN w:val="0"/>
        <w:adjustRightInd w:val="0"/>
        <w:rPr>
          <w:rFonts w:eastAsia="SimSun"/>
          <w:bCs/>
          <w:iCs/>
          <w:szCs w:val="22"/>
          <w:lang w:eastAsia="zh-CN"/>
        </w:rPr>
      </w:pPr>
      <w:r>
        <w:rPr>
          <w:rFonts w:eastAsia="SimSun"/>
          <w:bCs/>
          <w:iCs/>
          <w:szCs w:val="22"/>
          <w:lang w:eastAsia="zh-CN"/>
        </w:rPr>
        <w:t>Nezaznamenali sa žiadne klinicky významné hypersenzitívne reakcie súvisiace s tocilizumabom a ktoré by vyžadovali vysadenie liečby.</w:t>
      </w:r>
    </w:p>
    <w:p w14:paraId="21C30FA7" w14:textId="77777777" w:rsidR="009700E5" w:rsidRDefault="009700E5">
      <w:pPr>
        <w:autoSpaceDE w:val="0"/>
        <w:autoSpaceDN w:val="0"/>
        <w:adjustRightInd w:val="0"/>
        <w:rPr>
          <w:rFonts w:eastAsia="SimSun"/>
          <w:i/>
          <w:szCs w:val="22"/>
          <w:lang w:eastAsia="zh-CN"/>
        </w:rPr>
      </w:pPr>
    </w:p>
    <w:p w14:paraId="533C41F9" w14:textId="77777777" w:rsidR="009700E5" w:rsidRDefault="002C033C">
      <w:pPr>
        <w:keepNext/>
        <w:keepLines/>
        <w:autoSpaceDE w:val="0"/>
        <w:autoSpaceDN w:val="0"/>
        <w:adjustRightInd w:val="0"/>
        <w:rPr>
          <w:rFonts w:eastAsia="SimSun"/>
          <w:bCs/>
          <w:i/>
          <w:iCs/>
          <w:szCs w:val="22"/>
          <w:u w:val="single"/>
          <w:lang w:eastAsia="zh-CN"/>
        </w:rPr>
      </w:pPr>
      <w:r>
        <w:rPr>
          <w:rFonts w:eastAsia="SimSun"/>
          <w:bCs/>
          <w:i/>
          <w:iCs/>
          <w:szCs w:val="22"/>
          <w:u w:val="single"/>
          <w:lang w:eastAsia="zh-CN"/>
        </w:rPr>
        <w:t>Imunogenicita</w:t>
      </w:r>
    </w:p>
    <w:p w14:paraId="49BBD229" w14:textId="77777777" w:rsidR="009700E5" w:rsidRDefault="002C033C">
      <w:pPr>
        <w:keepNext/>
        <w:keepLines/>
        <w:autoSpaceDE w:val="0"/>
        <w:autoSpaceDN w:val="0"/>
        <w:adjustRightInd w:val="0"/>
        <w:rPr>
          <w:rFonts w:eastAsia="SimSun"/>
          <w:szCs w:val="22"/>
          <w:lang w:eastAsia="zh-CN"/>
        </w:rPr>
      </w:pPr>
      <w:r>
        <w:rPr>
          <w:rFonts w:eastAsia="SimSun"/>
          <w:szCs w:val="22"/>
          <w:lang w:eastAsia="zh-CN"/>
        </w:rPr>
        <w:t>U jedného pacienta v skupine s 10 mg/kg a </w:t>
      </w:r>
      <w:r>
        <w:rPr>
          <w:rFonts w:eastAsia="MS Mincho"/>
          <w:szCs w:val="22"/>
        </w:rPr>
        <w:sym w:font="Symbol" w:char="F03C"/>
      </w:r>
      <w:r>
        <w:rPr>
          <w:rFonts w:eastAsia="SimSun"/>
          <w:szCs w:val="22"/>
          <w:lang w:eastAsia="zh-CN"/>
        </w:rPr>
        <w:t> 30 kg sa vyvinuli pozitívne protilátky proti tocilizumabu bez rozvoja hypersenzitívnej reakcie a ten bol následne vyradený z</w:t>
      </w:r>
      <w:ins w:id="317" w:author="Author" w:date="2025-07-18T10:58:00Z">
        <w:r>
          <w:rPr>
            <w:rFonts w:eastAsia="SimSun"/>
            <w:szCs w:val="22"/>
            <w:lang w:eastAsia="zh-CN"/>
          </w:rPr>
          <w:t> klinického skúšania</w:t>
        </w:r>
      </w:ins>
      <w:del w:id="318" w:author="Author" w:date="2025-07-18T10:58:00Z">
        <w:r>
          <w:rPr>
            <w:rFonts w:eastAsia="SimSun"/>
            <w:szCs w:val="22"/>
            <w:lang w:eastAsia="zh-CN"/>
          </w:rPr>
          <w:delText>o štúdie</w:delText>
        </w:r>
      </w:del>
      <w:r>
        <w:rPr>
          <w:rFonts w:eastAsia="SimSun"/>
          <w:szCs w:val="22"/>
          <w:lang w:eastAsia="zh-CN"/>
        </w:rPr>
        <w:t>.</w:t>
      </w:r>
    </w:p>
    <w:p w14:paraId="457A4D87" w14:textId="77777777" w:rsidR="009700E5" w:rsidRDefault="009700E5">
      <w:pPr>
        <w:textAlignment w:val="top"/>
        <w:rPr>
          <w:rFonts w:eastAsia="SimSun"/>
          <w:szCs w:val="22"/>
          <w:lang w:eastAsia="zh-CN"/>
        </w:rPr>
      </w:pPr>
    </w:p>
    <w:p w14:paraId="7FFD1DB0" w14:textId="77777777" w:rsidR="009700E5" w:rsidRDefault="002C033C">
      <w:pPr>
        <w:autoSpaceDE w:val="0"/>
        <w:autoSpaceDN w:val="0"/>
        <w:adjustRightInd w:val="0"/>
        <w:rPr>
          <w:rFonts w:eastAsia="SimSun"/>
          <w:i/>
          <w:szCs w:val="22"/>
          <w:u w:val="single"/>
          <w:lang w:eastAsia="zh-CN"/>
        </w:rPr>
      </w:pPr>
      <w:r>
        <w:rPr>
          <w:rFonts w:eastAsia="SimSun"/>
          <w:i/>
          <w:szCs w:val="22"/>
          <w:u w:val="single"/>
          <w:lang w:eastAsia="zh-CN"/>
        </w:rPr>
        <w:t>Neutrofily</w:t>
      </w:r>
    </w:p>
    <w:p w14:paraId="2C68ED7D" w14:textId="77777777" w:rsidR="009700E5" w:rsidRDefault="002C033C">
      <w:pPr>
        <w:autoSpaceDE w:val="0"/>
        <w:autoSpaceDN w:val="0"/>
        <w:adjustRightInd w:val="0"/>
        <w:rPr>
          <w:rFonts w:eastAsia="SimSun"/>
          <w:szCs w:val="22"/>
          <w:lang w:eastAsia="zh-CN"/>
        </w:rPr>
      </w:pPr>
      <w:r>
        <w:rPr>
          <w:rFonts w:eastAsia="SimSun"/>
          <w:szCs w:val="22"/>
          <w:lang w:eastAsia="zh-CN"/>
        </w:rPr>
        <w:t>Počas rutinného laboratórneho vyšetrenia v populácii vystavenej tocilizumabu sa zaznamenal pokles v počte neutrofilov pod 1 </w:t>
      </w:r>
      <w:r>
        <w:rPr>
          <w:rFonts w:eastAsia="MS Mincho"/>
          <w:szCs w:val="22"/>
        </w:rPr>
        <w:sym w:font="Symbol" w:char="F0B4"/>
      </w:r>
      <w:r>
        <w:rPr>
          <w:rFonts w:eastAsia="MS Mincho"/>
          <w:szCs w:val="22"/>
        </w:rPr>
        <w:t> </w:t>
      </w:r>
      <w:r>
        <w:rPr>
          <w:rFonts w:eastAsia="SimSun"/>
          <w:szCs w:val="22"/>
          <w:lang w:eastAsia="zh-CN"/>
        </w:rPr>
        <w:t>10</w:t>
      </w:r>
      <w:r>
        <w:rPr>
          <w:rFonts w:eastAsia="SimSun"/>
          <w:szCs w:val="22"/>
          <w:vertAlign w:val="superscript"/>
          <w:lang w:eastAsia="zh-CN"/>
        </w:rPr>
        <w:t>9</w:t>
      </w:r>
      <w:r>
        <w:rPr>
          <w:rFonts w:eastAsia="SimSun"/>
          <w:szCs w:val="22"/>
          <w:lang w:eastAsia="zh-CN"/>
        </w:rPr>
        <w:t>/l u 3,7 % pacientov.</w:t>
      </w:r>
    </w:p>
    <w:p w14:paraId="506B9453" w14:textId="77777777" w:rsidR="009700E5" w:rsidRDefault="009700E5">
      <w:pPr>
        <w:autoSpaceDE w:val="0"/>
        <w:autoSpaceDN w:val="0"/>
        <w:adjustRightInd w:val="0"/>
        <w:rPr>
          <w:rFonts w:eastAsia="SimSun"/>
          <w:szCs w:val="22"/>
          <w:lang w:eastAsia="zh-CN"/>
        </w:rPr>
      </w:pPr>
    </w:p>
    <w:p w14:paraId="4A260BAB" w14:textId="77777777" w:rsidR="009700E5" w:rsidRDefault="002C033C">
      <w:pPr>
        <w:autoSpaceDE w:val="0"/>
        <w:autoSpaceDN w:val="0"/>
        <w:adjustRightInd w:val="0"/>
        <w:rPr>
          <w:rFonts w:eastAsia="SimSun"/>
          <w:i/>
          <w:szCs w:val="22"/>
          <w:u w:val="single"/>
          <w:lang w:eastAsia="zh-CN"/>
        </w:rPr>
      </w:pPr>
      <w:r>
        <w:rPr>
          <w:rFonts w:eastAsia="SimSun"/>
          <w:i/>
          <w:szCs w:val="22"/>
          <w:u w:val="single"/>
          <w:lang w:eastAsia="zh-CN"/>
        </w:rPr>
        <w:t>Krvné doštičky</w:t>
      </w:r>
    </w:p>
    <w:p w14:paraId="309A7EF5" w14:textId="77777777" w:rsidR="009700E5" w:rsidRDefault="002C033C">
      <w:pPr>
        <w:autoSpaceDE w:val="0"/>
        <w:autoSpaceDN w:val="0"/>
        <w:adjustRightInd w:val="0"/>
        <w:rPr>
          <w:rFonts w:eastAsia="SimSun"/>
          <w:szCs w:val="22"/>
          <w:lang w:eastAsia="zh-CN"/>
        </w:rPr>
      </w:pPr>
      <w:r>
        <w:rPr>
          <w:rFonts w:eastAsia="SimSun"/>
          <w:szCs w:val="22"/>
          <w:lang w:eastAsia="zh-CN"/>
        </w:rPr>
        <w:t xml:space="preserve">Počas rutinného laboratórneho vyšetrenia v populácii vystavenej tocilizumabu malo 1 % pacientov pokles v počte krvných doštičiek </w:t>
      </w:r>
      <w:r>
        <w:rPr>
          <w:rFonts w:eastAsia="MS Mincho"/>
          <w:szCs w:val="22"/>
        </w:rPr>
        <w:sym w:font="Symbol" w:char="F03C"/>
      </w:r>
      <w:r>
        <w:rPr>
          <w:rFonts w:eastAsia="SimSun"/>
          <w:szCs w:val="22"/>
          <w:lang w:eastAsia="zh-CN"/>
        </w:rPr>
        <w:t> 50 </w:t>
      </w:r>
      <w:r>
        <w:rPr>
          <w:rFonts w:eastAsia="MS Mincho"/>
          <w:szCs w:val="22"/>
        </w:rPr>
        <w:sym w:font="Symbol" w:char="F0B4"/>
      </w:r>
      <w:r>
        <w:rPr>
          <w:rFonts w:eastAsia="SimSun"/>
          <w:szCs w:val="22"/>
          <w:lang w:eastAsia="zh-CN"/>
        </w:rPr>
        <w:t> 10</w:t>
      </w:r>
      <w:r>
        <w:rPr>
          <w:rFonts w:eastAsia="SimSun"/>
          <w:szCs w:val="22"/>
          <w:vertAlign w:val="superscript"/>
          <w:lang w:eastAsia="zh-CN"/>
        </w:rPr>
        <w:t>3</w:t>
      </w:r>
      <w:r>
        <w:rPr>
          <w:rFonts w:eastAsia="SimSun"/>
          <w:szCs w:val="22"/>
          <w:lang w:eastAsia="zh-CN"/>
        </w:rPr>
        <w:t>/</w:t>
      </w:r>
      <w:r>
        <w:rPr>
          <w:rFonts w:eastAsia="MS Mincho"/>
          <w:szCs w:val="22"/>
        </w:rPr>
        <w:sym w:font="Symbol" w:char="F06D"/>
      </w:r>
      <w:r>
        <w:rPr>
          <w:rFonts w:eastAsia="SimSun"/>
          <w:szCs w:val="22"/>
          <w:lang w:eastAsia="zh-CN"/>
        </w:rPr>
        <w:t>l bez sprievodných krvácavých udalostí.</w:t>
      </w:r>
    </w:p>
    <w:p w14:paraId="32053CB2" w14:textId="77777777" w:rsidR="009700E5" w:rsidRDefault="009700E5">
      <w:pPr>
        <w:autoSpaceDE w:val="0"/>
        <w:autoSpaceDN w:val="0"/>
        <w:adjustRightInd w:val="0"/>
        <w:rPr>
          <w:rFonts w:eastAsia="SimSun"/>
          <w:szCs w:val="22"/>
          <w:lang w:eastAsia="zh-CN"/>
        </w:rPr>
      </w:pPr>
    </w:p>
    <w:p w14:paraId="0DF63B47" w14:textId="77777777" w:rsidR="009700E5" w:rsidRDefault="002C033C">
      <w:pPr>
        <w:keepNext/>
        <w:keepLines/>
        <w:autoSpaceDE w:val="0"/>
        <w:autoSpaceDN w:val="0"/>
        <w:adjustRightInd w:val="0"/>
        <w:rPr>
          <w:rFonts w:eastAsia="SimSun"/>
          <w:i/>
          <w:szCs w:val="22"/>
          <w:u w:val="single"/>
          <w:lang w:eastAsia="zh-CN"/>
        </w:rPr>
      </w:pPr>
      <w:r>
        <w:rPr>
          <w:rFonts w:eastAsia="SimSun"/>
          <w:i/>
          <w:szCs w:val="22"/>
          <w:u w:val="single"/>
          <w:lang w:eastAsia="zh-CN"/>
        </w:rPr>
        <w:t>Zvýšenie pečeňových transamináz</w:t>
      </w:r>
    </w:p>
    <w:p w14:paraId="3A4CD8A0" w14:textId="77777777" w:rsidR="009700E5" w:rsidRDefault="002C033C">
      <w:pPr>
        <w:keepNext/>
        <w:keepLines/>
        <w:autoSpaceDE w:val="0"/>
        <w:autoSpaceDN w:val="0"/>
        <w:adjustRightInd w:val="0"/>
        <w:rPr>
          <w:rFonts w:eastAsia="SimSun"/>
          <w:szCs w:val="22"/>
          <w:lang w:eastAsia="zh-CN"/>
        </w:rPr>
      </w:pPr>
      <w:r>
        <w:rPr>
          <w:rFonts w:eastAsia="SimSun"/>
          <w:szCs w:val="22"/>
          <w:lang w:eastAsia="zh-CN"/>
        </w:rPr>
        <w:t>Počas rutinného laboratórneho vyšetrenia v populácii vystavenej tocilizumabu sa zvýšenie ALT alebo AST na </w:t>
      </w:r>
      <w:r>
        <w:rPr>
          <w:szCs w:val="22"/>
        </w:rPr>
        <w:t>≥</w:t>
      </w:r>
      <w:r>
        <w:rPr>
          <w:rFonts w:eastAsia="SimSun"/>
          <w:szCs w:val="22"/>
          <w:lang w:eastAsia="zh-CN"/>
        </w:rPr>
        <w:t> 3</w:t>
      </w:r>
      <w:r>
        <w:rPr>
          <w:rFonts w:eastAsia="SimSun"/>
          <w:szCs w:val="22"/>
          <w:lang w:eastAsia="zh-CN"/>
        </w:rPr>
        <w:noBreakHyphen/>
        <w:t xml:space="preserve">násobok ULN objavilo u 3,7 % a </w:t>
      </w:r>
      <w:r>
        <w:rPr>
          <w:rFonts w:eastAsia="MS Mincho"/>
          <w:szCs w:val="22"/>
        </w:rPr>
        <w:sym w:font="Symbol" w:char="F03C"/>
      </w:r>
      <w:r>
        <w:rPr>
          <w:rFonts w:eastAsia="SimSun"/>
          <w:szCs w:val="22"/>
          <w:lang w:eastAsia="zh-CN"/>
        </w:rPr>
        <w:t> 1 % pacientov.</w:t>
      </w:r>
    </w:p>
    <w:p w14:paraId="311F570E" w14:textId="77777777" w:rsidR="009700E5" w:rsidRDefault="009700E5">
      <w:pPr>
        <w:autoSpaceDE w:val="0"/>
        <w:autoSpaceDN w:val="0"/>
        <w:adjustRightInd w:val="0"/>
        <w:rPr>
          <w:rFonts w:eastAsia="SimSun"/>
          <w:szCs w:val="22"/>
          <w:lang w:eastAsia="zh-CN"/>
        </w:rPr>
      </w:pPr>
    </w:p>
    <w:p w14:paraId="1A5B8144" w14:textId="77777777" w:rsidR="009700E5" w:rsidRDefault="002C033C">
      <w:pPr>
        <w:keepNext/>
        <w:keepLines/>
        <w:autoSpaceDE w:val="0"/>
        <w:autoSpaceDN w:val="0"/>
        <w:adjustRightInd w:val="0"/>
        <w:rPr>
          <w:rFonts w:eastAsia="SimSun"/>
          <w:i/>
          <w:szCs w:val="22"/>
          <w:u w:val="single"/>
          <w:lang w:eastAsia="zh-CN"/>
        </w:rPr>
      </w:pPr>
      <w:r>
        <w:rPr>
          <w:rFonts w:eastAsia="SimSun"/>
          <w:i/>
          <w:szCs w:val="22"/>
          <w:u w:val="single"/>
          <w:lang w:eastAsia="zh-CN"/>
        </w:rPr>
        <w:t>Hodnoty lipidových parametrov</w:t>
      </w:r>
    </w:p>
    <w:p w14:paraId="437AC4A0" w14:textId="77777777" w:rsidR="009700E5" w:rsidRDefault="002C033C">
      <w:pPr>
        <w:autoSpaceDE w:val="0"/>
        <w:autoSpaceDN w:val="0"/>
        <w:adjustRightInd w:val="0"/>
        <w:rPr>
          <w:rFonts w:eastAsia="SimSun"/>
          <w:szCs w:val="22"/>
          <w:lang w:eastAsia="zh-CN"/>
        </w:rPr>
      </w:pPr>
      <w:bookmarkStart w:id="319" w:name="_Hlk523984521"/>
      <w:r>
        <w:rPr>
          <w:rFonts w:eastAsia="SimSun"/>
          <w:szCs w:val="22"/>
          <w:lang w:eastAsia="zh-CN"/>
        </w:rPr>
        <w:t>Počas rutinného laboratórneho sledovania v</w:t>
      </w:r>
      <w:del w:id="320" w:author="Author" w:date="2025-07-18T10:59:00Z">
        <w:r>
          <w:rPr>
            <w:rFonts w:eastAsia="SimSun"/>
            <w:szCs w:val="22"/>
            <w:lang w:eastAsia="zh-CN"/>
          </w:rPr>
          <w:delText> </w:delText>
        </w:r>
      </w:del>
      <w:ins w:id="321" w:author="Author" w:date="2025-07-18T10:59:00Z">
        <w:r>
          <w:rPr>
            <w:rFonts w:eastAsia="SimSun"/>
            <w:szCs w:val="22"/>
            <w:lang w:eastAsia="zh-CN"/>
          </w:rPr>
          <w:t> </w:t>
        </w:r>
      </w:ins>
      <w:del w:id="322" w:author="Author" w:date="2025-07-18T10:59:00Z">
        <w:r>
          <w:rPr>
            <w:rFonts w:eastAsia="SimSun"/>
            <w:szCs w:val="22"/>
            <w:lang w:eastAsia="zh-CN"/>
          </w:rPr>
          <w:delText xml:space="preserve">štúdii </w:delText>
        </w:r>
      </w:del>
      <w:ins w:id="323" w:author="Author" w:date="2025-07-18T10:59:00Z">
        <w:r>
          <w:rPr>
            <w:rFonts w:eastAsia="SimSun"/>
            <w:szCs w:val="22"/>
            <w:lang w:eastAsia="zh-CN"/>
          </w:rPr>
          <w:t xml:space="preserve">klinickom skúšaní </w:t>
        </w:r>
      </w:ins>
      <w:r>
        <w:rPr>
          <w:rFonts w:eastAsia="SimSun"/>
          <w:szCs w:val="22"/>
          <w:lang w:eastAsia="zh-CN"/>
        </w:rPr>
        <w:t xml:space="preserve">WA19977 s intravenóznym tocilizumabom </w:t>
      </w:r>
      <w:r>
        <w:t>sa vzostup hodnoty LDL</w:t>
      </w:r>
      <w:r>
        <w:noBreakHyphen/>
        <w:t>cholesterolu na </w:t>
      </w:r>
      <w:r>
        <w:rPr>
          <w:szCs w:val="22"/>
        </w:rPr>
        <w:t>≥</w:t>
      </w:r>
      <w:r>
        <w:t> 130 mg/dl zistil u 3,4 % pacientov a vzostup hodnoty celkového cholesterolu na </w:t>
      </w:r>
      <w:r>
        <w:rPr>
          <w:szCs w:val="22"/>
        </w:rPr>
        <w:t>≥</w:t>
      </w:r>
      <w:r>
        <w:t> 200 mg/dl u 10,4 % pacientov, a to pri ktorejkoľvek z kontrolných návštev (post</w:t>
      </w:r>
      <w:r>
        <w:noBreakHyphen/>
        <w:t>baseline) vykonaných v priebehu skúšanej liečby</w:t>
      </w:r>
      <w:r>
        <w:rPr>
          <w:rFonts w:eastAsia="SimSun"/>
          <w:szCs w:val="22"/>
          <w:lang w:eastAsia="zh-CN"/>
        </w:rPr>
        <w:t>.</w:t>
      </w:r>
      <w:bookmarkEnd w:id="319"/>
    </w:p>
    <w:p w14:paraId="57D60D6F" w14:textId="77777777" w:rsidR="009700E5" w:rsidRDefault="009700E5">
      <w:pPr>
        <w:autoSpaceDE w:val="0"/>
        <w:autoSpaceDN w:val="0"/>
        <w:adjustRightInd w:val="0"/>
        <w:rPr>
          <w:rFonts w:eastAsia="SimSun"/>
          <w:szCs w:val="22"/>
          <w:lang w:eastAsia="zh-CN"/>
        </w:rPr>
      </w:pPr>
    </w:p>
    <w:p w14:paraId="49CE36F6" w14:textId="77777777" w:rsidR="009700E5" w:rsidRDefault="002C033C">
      <w:pPr>
        <w:keepNext/>
        <w:keepLines/>
        <w:autoSpaceDE w:val="0"/>
        <w:autoSpaceDN w:val="0"/>
        <w:adjustRightInd w:val="0"/>
        <w:rPr>
          <w:rFonts w:eastAsia="SimSun"/>
          <w:b/>
          <w:i/>
          <w:szCs w:val="22"/>
          <w:lang w:eastAsia="zh-CN"/>
        </w:rPr>
      </w:pPr>
      <w:r>
        <w:rPr>
          <w:i/>
          <w:iCs/>
          <w:szCs w:val="22"/>
          <w:lang w:eastAsia="de-DE"/>
        </w:rPr>
        <w:lastRenderedPageBreak/>
        <w:t>Opis vybraných nežiaducich reakcií u p</w:t>
      </w:r>
      <w:r>
        <w:rPr>
          <w:rFonts w:eastAsia="SimSun"/>
          <w:i/>
          <w:szCs w:val="22"/>
          <w:lang w:eastAsia="zh-CN"/>
        </w:rPr>
        <w:t>acientov so sJIA</w:t>
      </w:r>
    </w:p>
    <w:p w14:paraId="071F5AD4" w14:textId="77777777" w:rsidR="009700E5" w:rsidRDefault="002C033C">
      <w:pPr>
        <w:keepNext/>
        <w:keepLines/>
        <w:autoSpaceDE w:val="0"/>
        <w:autoSpaceDN w:val="0"/>
        <w:adjustRightInd w:val="0"/>
        <w:rPr>
          <w:rFonts w:eastAsia="SimSun"/>
          <w:szCs w:val="22"/>
          <w:lang w:eastAsia="zh-CN"/>
        </w:rPr>
      </w:pPr>
      <w:r>
        <w:rPr>
          <w:rFonts w:eastAsia="SimSun"/>
          <w:szCs w:val="22"/>
          <w:lang w:eastAsia="zh-CN"/>
        </w:rPr>
        <w:t>Bezpečnostný profil intravenózneho tocilizumabu pri sJIA bol skúmaný u 112 pacientov vo veku od 2 do 17 rokov. V 12</w:t>
      </w:r>
      <w:r>
        <w:rPr>
          <w:rFonts w:eastAsia="SimSun"/>
          <w:szCs w:val="22"/>
          <w:lang w:eastAsia="zh-CN"/>
        </w:rPr>
        <w:noBreakHyphen/>
        <w:t xml:space="preserve">týždňovej dvojito zaslepenej, kontrolovanej fáze dostalo 75 pacientov liečbu tocilizumabom (8 mg/kg alebo 12 mg/kg na základe telesnej hmotnosti). Po 12 týždňoch alebo v čase prechodu z placeba na tocilizumab pre zhoršenie choroby boli pacienti liečení v otvorenej nadstavbovej fáze </w:t>
      </w:r>
      <w:del w:id="324" w:author="Author" w:date="2025-07-18T23:15:00Z">
        <w:r>
          <w:rPr>
            <w:rFonts w:eastAsia="SimSun"/>
            <w:szCs w:val="22"/>
            <w:lang w:eastAsia="zh-CN"/>
          </w:rPr>
          <w:delText>štúdie</w:delText>
        </w:r>
      </w:del>
      <w:ins w:id="325" w:author="Author" w:date="2025-07-21T09:26:00Z">
        <w:r>
          <w:rPr>
            <w:rFonts w:eastAsia="SimSun"/>
            <w:szCs w:val="22"/>
            <w:lang w:eastAsia="zh-CN"/>
          </w:rPr>
          <w:t xml:space="preserve">klinického </w:t>
        </w:r>
      </w:ins>
      <w:ins w:id="326" w:author="Author" w:date="2025-07-18T23:15:00Z">
        <w:r>
          <w:rPr>
            <w:rFonts w:eastAsia="SimSun"/>
            <w:szCs w:val="22"/>
            <w:lang w:eastAsia="zh-CN"/>
          </w:rPr>
          <w:t>skúšania</w:t>
        </w:r>
      </w:ins>
      <w:r>
        <w:rPr>
          <w:rFonts w:eastAsia="SimSun"/>
          <w:szCs w:val="22"/>
          <w:lang w:eastAsia="zh-CN"/>
        </w:rPr>
        <w:t>.</w:t>
      </w:r>
    </w:p>
    <w:p w14:paraId="58EC3A3A" w14:textId="77777777" w:rsidR="009700E5" w:rsidRDefault="009700E5">
      <w:pPr>
        <w:autoSpaceDE w:val="0"/>
        <w:autoSpaceDN w:val="0"/>
        <w:adjustRightInd w:val="0"/>
        <w:rPr>
          <w:rFonts w:eastAsia="SimSun"/>
          <w:szCs w:val="22"/>
          <w:lang w:eastAsia="zh-CN"/>
        </w:rPr>
      </w:pPr>
    </w:p>
    <w:p w14:paraId="79829A49" w14:textId="77777777" w:rsidR="009700E5" w:rsidRDefault="002C033C">
      <w:pPr>
        <w:autoSpaceDE w:val="0"/>
        <w:autoSpaceDN w:val="0"/>
        <w:adjustRightInd w:val="0"/>
        <w:rPr>
          <w:rFonts w:eastAsia="SimSun"/>
          <w:szCs w:val="22"/>
          <w:lang w:eastAsia="zh-CN"/>
        </w:rPr>
      </w:pPr>
      <w:r>
        <w:rPr>
          <w:rFonts w:eastAsia="SimSun"/>
          <w:szCs w:val="22"/>
          <w:lang w:eastAsia="zh-CN"/>
        </w:rPr>
        <w:t>Vo všeobecnosti bol typ nežiaducich reakcií u pacientov so sJIA podobný ako u pacientov s RA. Frekvenciu nežiaducich reakcií u sJIA pacientov je možné nájsť v tabuľke 3. Pri porovnaní s dospelou populáciou s RA sa u pacientov so sJIA vyskytovala nazofaryngitída, pokles počtu neutrofilov, zvýšenie pečeňových transamináz a hnačka s vyššou frekvenciou. Prípady zvýšeného cholesterolu boli hlásené menej častejšie v sJIA populácii ako u dospelej populácie s RA.</w:t>
      </w:r>
    </w:p>
    <w:p w14:paraId="2265CCD8" w14:textId="77777777" w:rsidR="009700E5" w:rsidRDefault="009700E5">
      <w:pPr>
        <w:autoSpaceDE w:val="0"/>
        <w:autoSpaceDN w:val="0"/>
        <w:adjustRightInd w:val="0"/>
        <w:rPr>
          <w:rFonts w:eastAsia="SimSun"/>
          <w:szCs w:val="22"/>
          <w:lang w:eastAsia="zh-CN"/>
        </w:rPr>
      </w:pPr>
    </w:p>
    <w:p w14:paraId="36704AB8" w14:textId="77777777" w:rsidR="009700E5" w:rsidRDefault="002C033C">
      <w:pPr>
        <w:autoSpaceDE w:val="0"/>
        <w:autoSpaceDN w:val="0"/>
        <w:adjustRightInd w:val="0"/>
        <w:rPr>
          <w:rFonts w:eastAsia="SimSun"/>
          <w:i/>
          <w:szCs w:val="22"/>
          <w:u w:val="single"/>
          <w:lang w:eastAsia="zh-CN"/>
        </w:rPr>
      </w:pPr>
      <w:r>
        <w:rPr>
          <w:rFonts w:eastAsia="SimSun"/>
          <w:i/>
          <w:szCs w:val="22"/>
          <w:u w:val="single"/>
          <w:lang w:eastAsia="zh-CN"/>
        </w:rPr>
        <w:t>Infekcie</w:t>
      </w:r>
    </w:p>
    <w:p w14:paraId="0CEF3CEE" w14:textId="77777777" w:rsidR="009700E5" w:rsidRDefault="002C033C">
      <w:pPr>
        <w:autoSpaceDE w:val="0"/>
        <w:autoSpaceDN w:val="0"/>
        <w:adjustRightInd w:val="0"/>
        <w:rPr>
          <w:rFonts w:eastAsia="SimSun"/>
          <w:szCs w:val="22"/>
          <w:lang w:eastAsia="zh-CN"/>
        </w:rPr>
      </w:pPr>
      <w:r>
        <w:rPr>
          <w:rFonts w:eastAsia="SimSun"/>
          <w:szCs w:val="22"/>
          <w:lang w:eastAsia="zh-CN"/>
        </w:rPr>
        <w:t>V 12</w:t>
      </w:r>
      <w:r>
        <w:rPr>
          <w:rFonts w:eastAsia="SimSun"/>
          <w:szCs w:val="22"/>
          <w:lang w:eastAsia="zh-CN"/>
        </w:rPr>
        <w:noBreakHyphen/>
        <w:t>týždňovej kontrolovanej fáze bol výskyt všetkých infekcií v skupine s intravenóznym tocilizumabom 344,7 na 100 pacientorokov a v skupine s placebom 287,0 na 100 pacientorokov. V otvorenej nadstavbovej fáze (časť II) ostal celkový výskyt infekcií podobný, a to 306,6 na 100 pacientorokov.</w:t>
      </w:r>
    </w:p>
    <w:p w14:paraId="51011FE5" w14:textId="77777777" w:rsidR="009700E5" w:rsidRDefault="009700E5">
      <w:pPr>
        <w:autoSpaceDE w:val="0"/>
        <w:autoSpaceDN w:val="0"/>
        <w:adjustRightInd w:val="0"/>
        <w:rPr>
          <w:rFonts w:eastAsia="SimSun"/>
          <w:szCs w:val="22"/>
          <w:lang w:eastAsia="zh-CN"/>
        </w:rPr>
      </w:pPr>
    </w:p>
    <w:p w14:paraId="33317F31" w14:textId="77777777" w:rsidR="009700E5" w:rsidRDefault="002C033C">
      <w:pPr>
        <w:autoSpaceDE w:val="0"/>
        <w:autoSpaceDN w:val="0"/>
        <w:adjustRightInd w:val="0"/>
        <w:rPr>
          <w:rFonts w:eastAsia="SimSun"/>
          <w:szCs w:val="22"/>
          <w:lang w:eastAsia="zh-CN"/>
        </w:rPr>
      </w:pPr>
      <w:r>
        <w:rPr>
          <w:rFonts w:eastAsia="SimSun"/>
          <w:szCs w:val="22"/>
          <w:lang w:eastAsia="zh-CN"/>
        </w:rPr>
        <w:t>V 12</w:t>
      </w:r>
      <w:r>
        <w:rPr>
          <w:rFonts w:eastAsia="SimSun"/>
          <w:szCs w:val="22"/>
          <w:lang w:eastAsia="zh-CN"/>
        </w:rPr>
        <w:noBreakHyphen/>
        <w:t>týždňovej kontrolovanej fáze bol výskyt závažných infekcií v skupine s intravenóznym tocilizumabom 11,5 na 100 pacientorokov. Po jednom roku v otvorenej nadstavbovej fáze ostal celkový výskyt závažných infekcií stabilný, a to 11,3 na 100 pacientorokov. Hlásené závažné nežiaduce infekcie boli podobné ako tie u pacientov s RA, navyše varicella a otitis media.</w:t>
      </w:r>
    </w:p>
    <w:p w14:paraId="0CE93CF7" w14:textId="77777777" w:rsidR="009700E5" w:rsidRDefault="009700E5">
      <w:pPr>
        <w:autoSpaceDE w:val="0"/>
        <w:autoSpaceDN w:val="0"/>
        <w:adjustRightInd w:val="0"/>
        <w:rPr>
          <w:rFonts w:eastAsia="SimSun"/>
          <w:szCs w:val="22"/>
          <w:lang w:eastAsia="zh-CN"/>
        </w:rPr>
      </w:pPr>
    </w:p>
    <w:p w14:paraId="6AD4921D" w14:textId="77777777" w:rsidR="009700E5" w:rsidRDefault="002C033C">
      <w:pPr>
        <w:keepNext/>
        <w:keepLines/>
        <w:autoSpaceDE w:val="0"/>
        <w:autoSpaceDN w:val="0"/>
        <w:adjustRightInd w:val="0"/>
        <w:rPr>
          <w:rFonts w:eastAsia="SimSun"/>
          <w:i/>
          <w:szCs w:val="22"/>
          <w:u w:val="single"/>
          <w:lang w:eastAsia="zh-CN"/>
        </w:rPr>
      </w:pPr>
      <w:r>
        <w:rPr>
          <w:rFonts w:eastAsia="SimSun"/>
          <w:i/>
          <w:szCs w:val="22"/>
          <w:u w:val="single"/>
          <w:lang w:eastAsia="zh-CN"/>
        </w:rPr>
        <w:t>Reakcie súvisiace s infúziou</w:t>
      </w:r>
    </w:p>
    <w:p w14:paraId="77F66030" w14:textId="77777777" w:rsidR="009700E5" w:rsidRDefault="002C033C">
      <w:pPr>
        <w:keepNext/>
        <w:keepLines/>
        <w:autoSpaceDE w:val="0"/>
        <w:autoSpaceDN w:val="0"/>
        <w:adjustRightInd w:val="0"/>
        <w:rPr>
          <w:rFonts w:eastAsia="SimSun"/>
          <w:szCs w:val="22"/>
          <w:lang w:eastAsia="zh-CN"/>
        </w:rPr>
      </w:pPr>
      <w:r>
        <w:rPr>
          <w:rFonts w:eastAsia="SimSun"/>
          <w:szCs w:val="22"/>
          <w:lang w:eastAsia="zh-CN"/>
        </w:rPr>
        <w:t>Reakcie súvisiace s infúziou sú definované ako všetky nežiaduce účinky objavujúce sa počas infúzie alebo v rámci 24 hodín po nej. V 12</w:t>
      </w:r>
      <w:r>
        <w:rPr>
          <w:rFonts w:eastAsia="SimSun"/>
          <w:szCs w:val="22"/>
          <w:lang w:eastAsia="zh-CN"/>
        </w:rPr>
        <w:noBreakHyphen/>
        <w:t>týždňovej kontrolovanej fáze zaznamenali 4 % pacientov zo skupiny s tocilizumabom udalosti, ktoré sa objavili počas infúzie. Jeden nežiaduci účinok (angioedém) bol považovaný za závažný a život ohrozujúci a liečba pacienta v</w:t>
      </w:r>
      <w:del w:id="327" w:author="Author" w:date="2025-07-18T22:47:00Z">
        <w:r>
          <w:rPr>
            <w:rFonts w:eastAsia="SimSun"/>
            <w:szCs w:val="22"/>
            <w:lang w:eastAsia="zh-CN"/>
          </w:rPr>
          <w:delText> </w:delText>
        </w:r>
      </w:del>
      <w:ins w:id="328" w:author="Author" w:date="2025-07-18T22:47:00Z">
        <w:r>
          <w:rPr>
            <w:rFonts w:eastAsia="SimSun"/>
            <w:szCs w:val="22"/>
            <w:lang w:eastAsia="zh-CN"/>
          </w:rPr>
          <w:t> klinickom skúšaní</w:t>
        </w:r>
      </w:ins>
      <w:del w:id="329" w:author="Author" w:date="2025-07-18T22:47:00Z">
        <w:r>
          <w:rPr>
            <w:rFonts w:eastAsia="SimSun"/>
            <w:szCs w:val="22"/>
            <w:lang w:eastAsia="zh-CN"/>
          </w:rPr>
          <w:delText>štúdii</w:delText>
        </w:r>
      </w:del>
      <w:r>
        <w:rPr>
          <w:rFonts w:eastAsia="SimSun"/>
          <w:szCs w:val="22"/>
          <w:lang w:eastAsia="zh-CN"/>
        </w:rPr>
        <w:t xml:space="preserve"> bola ukončená.</w:t>
      </w:r>
    </w:p>
    <w:p w14:paraId="41D502CE" w14:textId="77777777" w:rsidR="009700E5" w:rsidRDefault="009700E5">
      <w:pPr>
        <w:autoSpaceDE w:val="0"/>
        <w:autoSpaceDN w:val="0"/>
        <w:adjustRightInd w:val="0"/>
        <w:rPr>
          <w:rFonts w:eastAsia="SimSun"/>
          <w:szCs w:val="22"/>
          <w:lang w:eastAsia="zh-CN"/>
        </w:rPr>
      </w:pPr>
    </w:p>
    <w:p w14:paraId="23D96BEF" w14:textId="77777777" w:rsidR="009700E5" w:rsidRDefault="002C033C">
      <w:pPr>
        <w:autoSpaceDE w:val="0"/>
        <w:autoSpaceDN w:val="0"/>
        <w:adjustRightInd w:val="0"/>
        <w:rPr>
          <w:rFonts w:eastAsia="SimSun"/>
          <w:szCs w:val="22"/>
          <w:lang w:eastAsia="zh-CN"/>
        </w:rPr>
      </w:pPr>
      <w:r>
        <w:rPr>
          <w:rFonts w:eastAsia="SimSun"/>
          <w:szCs w:val="22"/>
          <w:lang w:eastAsia="zh-CN"/>
        </w:rPr>
        <w:t>V 12</w:t>
      </w:r>
      <w:r>
        <w:rPr>
          <w:rFonts w:eastAsia="SimSun"/>
          <w:szCs w:val="22"/>
          <w:lang w:eastAsia="zh-CN"/>
        </w:rPr>
        <w:noBreakHyphen/>
        <w:t>týždňovej kontrolovanej fáze zaznamenalo 16 % pacientov zo skupiny s tocilizumabom a 5,4 % pacientov zo skupiny s placebom udalosť v rámci 24 hodín po infúzii. V skupine s tocilizumabom tieto nežiaduce účinky zahŕňali (avšak nielen tieto) vyrážku, urtikáriu, hnačku, nepohodlie v epigastriu, bolesť kĺbov a bolesť hlavy. Jeden z týchto nežiaducich účinkov, žihľavka, bol považovaný za závažný.</w:t>
      </w:r>
    </w:p>
    <w:p w14:paraId="670E7428" w14:textId="77777777" w:rsidR="009700E5" w:rsidRDefault="009700E5">
      <w:pPr>
        <w:autoSpaceDE w:val="0"/>
        <w:autoSpaceDN w:val="0"/>
        <w:adjustRightInd w:val="0"/>
        <w:rPr>
          <w:rFonts w:eastAsia="SimSun"/>
          <w:szCs w:val="22"/>
          <w:lang w:eastAsia="zh-CN"/>
        </w:rPr>
      </w:pPr>
    </w:p>
    <w:p w14:paraId="308B158C" w14:textId="77777777" w:rsidR="009700E5" w:rsidRDefault="002C033C">
      <w:pPr>
        <w:autoSpaceDE w:val="0"/>
        <w:autoSpaceDN w:val="0"/>
        <w:adjustRightInd w:val="0"/>
        <w:rPr>
          <w:rFonts w:eastAsia="SimSun"/>
          <w:szCs w:val="22"/>
          <w:lang w:eastAsia="zh-CN"/>
        </w:rPr>
      </w:pPr>
      <w:r>
        <w:rPr>
          <w:rFonts w:eastAsia="SimSun"/>
          <w:szCs w:val="22"/>
          <w:lang w:eastAsia="zh-CN"/>
        </w:rPr>
        <w:t>Klinicky významné reakcie z precitlivenosti spojené s liečbou tocilizumabom, ktoré vyžadovali ukončenie liečby, boli zaznamenané u 1 zo 112 pacientov (</w:t>
      </w:r>
      <w:r>
        <w:rPr>
          <w:rFonts w:eastAsia="MS Mincho"/>
          <w:szCs w:val="22"/>
        </w:rPr>
        <w:sym w:font="Symbol" w:char="F03C"/>
      </w:r>
      <w:r>
        <w:rPr>
          <w:rFonts w:eastAsia="MS Mincho"/>
          <w:szCs w:val="22"/>
        </w:rPr>
        <w:t> </w:t>
      </w:r>
      <w:r>
        <w:rPr>
          <w:rFonts w:eastAsia="SimSun"/>
          <w:szCs w:val="22"/>
          <w:lang w:eastAsia="zh-CN"/>
        </w:rPr>
        <w:t>1 %) liečených tocilizumabom počas celej kontrolovanej fázy a vrátane otvorenej fázy klinického skúšania.</w:t>
      </w:r>
    </w:p>
    <w:p w14:paraId="62C66EBA" w14:textId="77777777" w:rsidR="009700E5" w:rsidRDefault="009700E5">
      <w:pPr>
        <w:autoSpaceDE w:val="0"/>
        <w:autoSpaceDN w:val="0"/>
        <w:adjustRightInd w:val="0"/>
        <w:rPr>
          <w:rFonts w:eastAsia="SimSun"/>
          <w:szCs w:val="22"/>
          <w:lang w:eastAsia="zh-CN"/>
        </w:rPr>
      </w:pPr>
    </w:p>
    <w:p w14:paraId="7192D1B9" w14:textId="77777777" w:rsidR="009700E5" w:rsidRDefault="002C033C">
      <w:pPr>
        <w:autoSpaceDE w:val="0"/>
        <w:autoSpaceDN w:val="0"/>
        <w:adjustRightInd w:val="0"/>
        <w:rPr>
          <w:rFonts w:eastAsia="SimSun"/>
          <w:i/>
          <w:szCs w:val="22"/>
          <w:u w:val="single"/>
          <w:lang w:eastAsia="zh-CN"/>
        </w:rPr>
      </w:pPr>
      <w:r>
        <w:rPr>
          <w:rFonts w:eastAsia="SimSun"/>
          <w:i/>
          <w:szCs w:val="22"/>
          <w:u w:val="single"/>
          <w:lang w:eastAsia="zh-CN"/>
        </w:rPr>
        <w:t>Imunogenicita</w:t>
      </w:r>
    </w:p>
    <w:p w14:paraId="2884A596" w14:textId="77777777" w:rsidR="009700E5" w:rsidRDefault="002C033C">
      <w:pPr>
        <w:textAlignment w:val="top"/>
        <w:rPr>
          <w:rFonts w:eastAsia="SimSun"/>
          <w:szCs w:val="22"/>
          <w:lang w:eastAsia="zh-CN"/>
        </w:rPr>
      </w:pPr>
      <w:r>
        <w:rPr>
          <w:rFonts w:eastAsia="SimSun"/>
          <w:szCs w:val="22"/>
          <w:lang w:eastAsia="zh-CN"/>
        </w:rPr>
        <w:t xml:space="preserve">Na začiatku </w:t>
      </w:r>
      <w:del w:id="330" w:author="Author" w:date="2025-07-18T23:15:00Z">
        <w:r>
          <w:rPr>
            <w:rFonts w:eastAsia="SimSun"/>
            <w:szCs w:val="22"/>
            <w:lang w:eastAsia="zh-CN"/>
          </w:rPr>
          <w:delText xml:space="preserve">štúdie </w:delText>
        </w:r>
      </w:del>
      <w:ins w:id="331" w:author="Author" w:date="2025-07-18T23:15:00Z">
        <w:r>
          <w:rPr>
            <w:rFonts w:eastAsia="SimSun"/>
            <w:szCs w:val="22"/>
            <w:lang w:eastAsia="zh-CN"/>
          </w:rPr>
          <w:t xml:space="preserve">skúšania </w:t>
        </w:r>
      </w:ins>
      <w:r>
        <w:rPr>
          <w:rFonts w:eastAsia="SimSun"/>
          <w:szCs w:val="22"/>
          <w:lang w:eastAsia="zh-CN"/>
        </w:rPr>
        <w:t xml:space="preserve">boli všetci 112 pacienti testovaní na antitocilizumabové protilátky. U dvoch pacientov boli zistené antitocilizumabové protilátky, pričom jeden z týchto pacientov mal reakciu z precitlivenosti vedúcu k ukončeniu liečby. </w:t>
      </w:r>
      <w:r>
        <w:rPr>
          <w:rFonts w:eastAsia="SimSun"/>
          <w:color w:val="000000"/>
          <w:szCs w:val="22"/>
          <w:lang w:eastAsia="zh-CN"/>
        </w:rPr>
        <w:t>Incidencia antitocilizumabových protilátok môže byť podhodnotená vzhľadom na interferenciu tocilizumabu s rozborom a vyššou koncentráciou tocilizumabu, ktorá je pozorovaná u detí v porovnaní s dospelými.</w:t>
      </w:r>
    </w:p>
    <w:p w14:paraId="03D13D3E" w14:textId="77777777" w:rsidR="009700E5" w:rsidRDefault="009700E5">
      <w:pPr>
        <w:textAlignment w:val="top"/>
        <w:rPr>
          <w:rFonts w:eastAsia="SimSun"/>
          <w:szCs w:val="22"/>
          <w:lang w:eastAsia="zh-CN"/>
        </w:rPr>
      </w:pPr>
    </w:p>
    <w:p w14:paraId="0D272D85" w14:textId="77777777" w:rsidR="009700E5" w:rsidRDefault="002C033C">
      <w:pPr>
        <w:keepNext/>
        <w:keepLines/>
        <w:autoSpaceDE w:val="0"/>
        <w:autoSpaceDN w:val="0"/>
        <w:adjustRightInd w:val="0"/>
        <w:rPr>
          <w:rFonts w:eastAsia="SimSun"/>
          <w:i/>
          <w:szCs w:val="22"/>
          <w:u w:val="single"/>
          <w:lang w:eastAsia="zh-CN"/>
        </w:rPr>
      </w:pPr>
      <w:r>
        <w:rPr>
          <w:rFonts w:eastAsia="SimSun"/>
          <w:i/>
          <w:szCs w:val="22"/>
          <w:u w:val="single"/>
          <w:lang w:eastAsia="zh-CN"/>
        </w:rPr>
        <w:t>Neutrofily</w:t>
      </w:r>
    </w:p>
    <w:p w14:paraId="330A116C" w14:textId="77777777" w:rsidR="009700E5" w:rsidRDefault="002C033C">
      <w:pPr>
        <w:autoSpaceDE w:val="0"/>
        <w:autoSpaceDN w:val="0"/>
        <w:adjustRightInd w:val="0"/>
        <w:rPr>
          <w:rFonts w:eastAsia="SimSun"/>
          <w:szCs w:val="22"/>
          <w:lang w:eastAsia="zh-CN"/>
        </w:rPr>
      </w:pPr>
      <w:r>
        <w:rPr>
          <w:rFonts w:eastAsia="SimSun"/>
          <w:szCs w:val="22"/>
          <w:lang w:eastAsia="zh-CN"/>
        </w:rPr>
        <w:t>Počas rutinného laboratórneho vyšetrenia v 12</w:t>
      </w:r>
      <w:r>
        <w:rPr>
          <w:rFonts w:eastAsia="SimSun"/>
          <w:szCs w:val="22"/>
          <w:lang w:eastAsia="zh-CN"/>
        </w:rPr>
        <w:noBreakHyphen/>
        <w:t>týždňovej kontrolovanej fáze sa pokles v počte neutrofilov pod 1 </w:t>
      </w:r>
      <w:r>
        <w:rPr>
          <w:rFonts w:eastAsia="MS Mincho"/>
          <w:szCs w:val="22"/>
        </w:rPr>
        <w:sym w:font="Symbol" w:char="F0B4"/>
      </w:r>
      <w:r>
        <w:rPr>
          <w:rFonts w:eastAsia="SimSun"/>
          <w:szCs w:val="22"/>
          <w:lang w:eastAsia="zh-CN"/>
        </w:rPr>
        <w:t> 10</w:t>
      </w:r>
      <w:r>
        <w:rPr>
          <w:rFonts w:eastAsia="SimSun"/>
          <w:szCs w:val="22"/>
          <w:vertAlign w:val="superscript"/>
          <w:lang w:eastAsia="zh-CN"/>
        </w:rPr>
        <w:t>9</w:t>
      </w:r>
      <w:r>
        <w:rPr>
          <w:rFonts w:eastAsia="SimSun"/>
          <w:szCs w:val="22"/>
          <w:lang w:eastAsia="zh-CN"/>
        </w:rPr>
        <w:t>/l objavil u 7 % pacientov v skupine s tocilizumabom a žiadny pokles nebol zaznamenaný v skupine s placebom.</w:t>
      </w:r>
    </w:p>
    <w:p w14:paraId="244B285D" w14:textId="77777777" w:rsidR="009700E5" w:rsidRDefault="009700E5">
      <w:pPr>
        <w:autoSpaceDE w:val="0"/>
        <w:autoSpaceDN w:val="0"/>
        <w:adjustRightInd w:val="0"/>
        <w:rPr>
          <w:rFonts w:eastAsia="SimSun"/>
          <w:szCs w:val="22"/>
          <w:lang w:eastAsia="zh-CN"/>
        </w:rPr>
      </w:pPr>
    </w:p>
    <w:p w14:paraId="7258403D" w14:textId="77777777" w:rsidR="009700E5" w:rsidRDefault="002C033C">
      <w:pPr>
        <w:autoSpaceDE w:val="0"/>
        <w:autoSpaceDN w:val="0"/>
        <w:adjustRightInd w:val="0"/>
        <w:rPr>
          <w:rFonts w:eastAsia="SimSun"/>
          <w:szCs w:val="22"/>
          <w:lang w:eastAsia="zh-CN"/>
        </w:rPr>
      </w:pPr>
      <w:r>
        <w:rPr>
          <w:rFonts w:eastAsia="SimSun"/>
          <w:szCs w:val="22"/>
          <w:lang w:eastAsia="zh-CN"/>
        </w:rPr>
        <w:t>V otvorenej nadstavbovej fáze sa pokles v počte neutrofilov pod 1 </w:t>
      </w:r>
      <w:r>
        <w:rPr>
          <w:rFonts w:eastAsia="MS Mincho"/>
          <w:szCs w:val="22"/>
        </w:rPr>
        <w:sym w:font="Symbol" w:char="F0B4"/>
      </w:r>
      <w:r>
        <w:rPr>
          <w:rFonts w:eastAsia="MS Mincho"/>
          <w:szCs w:val="22"/>
        </w:rPr>
        <w:t> </w:t>
      </w:r>
      <w:r>
        <w:rPr>
          <w:rFonts w:eastAsia="SimSun"/>
          <w:szCs w:val="22"/>
          <w:lang w:eastAsia="zh-CN"/>
        </w:rPr>
        <w:t>10</w:t>
      </w:r>
      <w:r>
        <w:rPr>
          <w:rFonts w:eastAsia="SimSun"/>
          <w:szCs w:val="22"/>
          <w:vertAlign w:val="superscript"/>
          <w:lang w:eastAsia="zh-CN"/>
        </w:rPr>
        <w:t>9</w:t>
      </w:r>
      <w:r>
        <w:rPr>
          <w:rFonts w:eastAsia="SimSun"/>
          <w:szCs w:val="22"/>
          <w:lang w:eastAsia="zh-CN"/>
        </w:rPr>
        <w:t>/l objavil u 15 % pacientov v skupine s tocilizumabom.</w:t>
      </w:r>
    </w:p>
    <w:p w14:paraId="3EA556CD" w14:textId="77777777" w:rsidR="009700E5" w:rsidRDefault="009700E5">
      <w:pPr>
        <w:autoSpaceDE w:val="0"/>
        <w:autoSpaceDN w:val="0"/>
        <w:adjustRightInd w:val="0"/>
        <w:rPr>
          <w:rFonts w:eastAsia="SimSun"/>
          <w:i/>
          <w:szCs w:val="22"/>
          <w:lang w:eastAsia="zh-CN"/>
        </w:rPr>
      </w:pPr>
    </w:p>
    <w:p w14:paraId="67FFCD03" w14:textId="77777777" w:rsidR="009700E5" w:rsidRDefault="002C033C">
      <w:pPr>
        <w:keepNext/>
        <w:keepLines/>
        <w:autoSpaceDE w:val="0"/>
        <w:autoSpaceDN w:val="0"/>
        <w:adjustRightInd w:val="0"/>
        <w:rPr>
          <w:rFonts w:eastAsia="SimSun"/>
          <w:i/>
          <w:szCs w:val="22"/>
          <w:u w:val="single"/>
          <w:lang w:eastAsia="zh-CN"/>
        </w:rPr>
      </w:pPr>
      <w:r>
        <w:rPr>
          <w:rFonts w:eastAsia="SimSun"/>
          <w:i/>
          <w:szCs w:val="22"/>
          <w:u w:val="single"/>
          <w:lang w:eastAsia="zh-CN"/>
        </w:rPr>
        <w:lastRenderedPageBreak/>
        <w:t>Krvné doštičky</w:t>
      </w:r>
    </w:p>
    <w:p w14:paraId="5B68E46C" w14:textId="77777777" w:rsidR="009700E5" w:rsidRDefault="002C033C">
      <w:pPr>
        <w:keepNext/>
        <w:keepLines/>
        <w:autoSpaceDE w:val="0"/>
        <w:autoSpaceDN w:val="0"/>
        <w:adjustRightInd w:val="0"/>
        <w:rPr>
          <w:rFonts w:eastAsia="SimSun"/>
          <w:szCs w:val="22"/>
          <w:lang w:eastAsia="zh-CN"/>
        </w:rPr>
      </w:pPr>
      <w:r>
        <w:rPr>
          <w:rFonts w:eastAsia="SimSun"/>
          <w:szCs w:val="22"/>
          <w:lang w:eastAsia="zh-CN"/>
        </w:rPr>
        <w:t>Počas rutinného laboratórneho vyšetrenia v 12</w:t>
      </w:r>
      <w:r>
        <w:rPr>
          <w:rFonts w:eastAsia="SimSun"/>
          <w:szCs w:val="22"/>
          <w:lang w:eastAsia="zh-CN"/>
        </w:rPr>
        <w:noBreakHyphen/>
        <w:t>týždňovej kontrolovanej fáze mali 3 % pacientov v skupine s placebom a 1 % v skupine s tocilizumabom pokles v počte krvných doštičiek na </w:t>
      </w:r>
      <w:bookmarkStart w:id="332" w:name="_Hlk173866277"/>
      <w:r>
        <w:rPr>
          <w:szCs w:val="22"/>
        </w:rPr>
        <w:t>≤</w:t>
      </w:r>
      <w:bookmarkEnd w:id="332"/>
      <w:r>
        <w:rPr>
          <w:rFonts w:eastAsia="SimSun"/>
          <w:szCs w:val="22"/>
          <w:lang w:eastAsia="zh-CN"/>
        </w:rPr>
        <w:t> 100 </w:t>
      </w:r>
      <w:r>
        <w:rPr>
          <w:rFonts w:eastAsia="MS Mincho"/>
          <w:szCs w:val="22"/>
        </w:rPr>
        <w:sym w:font="Symbol" w:char="F0B4"/>
      </w:r>
      <w:r>
        <w:rPr>
          <w:rFonts w:eastAsia="SimSun"/>
          <w:szCs w:val="22"/>
          <w:lang w:eastAsia="zh-CN"/>
        </w:rPr>
        <w:t> 10</w:t>
      </w:r>
      <w:r>
        <w:rPr>
          <w:rFonts w:eastAsia="SimSun"/>
          <w:szCs w:val="22"/>
          <w:vertAlign w:val="superscript"/>
          <w:lang w:eastAsia="zh-CN"/>
        </w:rPr>
        <w:t>3</w:t>
      </w:r>
      <w:r>
        <w:rPr>
          <w:rFonts w:eastAsia="SimSun"/>
          <w:szCs w:val="22"/>
          <w:lang w:eastAsia="zh-CN"/>
        </w:rPr>
        <w:t>/</w:t>
      </w:r>
      <w:r>
        <w:rPr>
          <w:rFonts w:eastAsia="MS Mincho"/>
          <w:szCs w:val="22"/>
        </w:rPr>
        <w:sym w:font="Symbol" w:char="F06D"/>
      </w:r>
      <w:r>
        <w:rPr>
          <w:rFonts w:eastAsia="SimSun"/>
          <w:szCs w:val="22"/>
          <w:lang w:eastAsia="zh-CN"/>
        </w:rPr>
        <w:t>l.</w:t>
      </w:r>
    </w:p>
    <w:p w14:paraId="620FF87F" w14:textId="77777777" w:rsidR="009700E5" w:rsidRDefault="009700E5">
      <w:pPr>
        <w:autoSpaceDE w:val="0"/>
        <w:autoSpaceDN w:val="0"/>
        <w:adjustRightInd w:val="0"/>
        <w:rPr>
          <w:rFonts w:eastAsia="SimSun"/>
          <w:szCs w:val="22"/>
          <w:lang w:eastAsia="zh-CN"/>
        </w:rPr>
      </w:pPr>
    </w:p>
    <w:p w14:paraId="19BD043E" w14:textId="77777777" w:rsidR="009700E5" w:rsidRDefault="002C033C">
      <w:pPr>
        <w:autoSpaceDE w:val="0"/>
        <w:autoSpaceDN w:val="0"/>
        <w:adjustRightInd w:val="0"/>
        <w:rPr>
          <w:rFonts w:eastAsia="SimSun"/>
          <w:szCs w:val="22"/>
          <w:lang w:eastAsia="zh-CN"/>
        </w:rPr>
      </w:pPr>
      <w:r>
        <w:rPr>
          <w:rFonts w:eastAsia="SimSun"/>
          <w:szCs w:val="22"/>
          <w:lang w:eastAsia="zh-CN"/>
        </w:rPr>
        <w:t>V otvorenej nadstavbovej fáze sa pokles v počte krvných doštičiek pod 100 </w:t>
      </w:r>
      <w:r>
        <w:rPr>
          <w:rFonts w:eastAsia="MS Mincho"/>
          <w:szCs w:val="22"/>
        </w:rPr>
        <w:sym w:font="Symbol" w:char="F0B4"/>
      </w:r>
      <w:r>
        <w:rPr>
          <w:rFonts w:eastAsia="MS Mincho"/>
          <w:szCs w:val="22"/>
        </w:rPr>
        <w:t> </w:t>
      </w:r>
      <w:r>
        <w:rPr>
          <w:rFonts w:eastAsia="SimSun"/>
          <w:szCs w:val="22"/>
          <w:lang w:eastAsia="zh-CN"/>
        </w:rPr>
        <w:t>10</w:t>
      </w:r>
      <w:r>
        <w:rPr>
          <w:rFonts w:eastAsia="SimSun"/>
          <w:szCs w:val="22"/>
          <w:vertAlign w:val="superscript"/>
          <w:lang w:eastAsia="zh-CN"/>
        </w:rPr>
        <w:t>3</w:t>
      </w:r>
      <w:r>
        <w:rPr>
          <w:rFonts w:eastAsia="SimSun"/>
          <w:szCs w:val="22"/>
          <w:lang w:eastAsia="zh-CN"/>
        </w:rPr>
        <w:t>/</w:t>
      </w:r>
      <w:r>
        <w:rPr>
          <w:rFonts w:eastAsia="MS Mincho"/>
          <w:szCs w:val="22"/>
        </w:rPr>
        <w:sym w:font="Symbol" w:char="F06D"/>
      </w:r>
      <w:r>
        <w:rPr>
          <w:rFonts w:eastAsia="SimSun"/>
          <w:szCs w:val="22"/>
          <w:lang w:eastAsia="zh-CN"/>
        </w:rPr>
        <w:t>l objavil u 3 % pacientov v skupine s tocilizumabom, bez pridružených krvácaní.</w:t>
      </w:r>
    </w:p>
    <w:p w14:paraId="03588BC7" w14:textId="77777777" w:rsidR="009700E5" w:rsidRDefault="009700E5">
      <w:pPr>
        <w:autoSpaceDE w:val="0"/>
        <w:autoSpaceDN w:val="0"/>
        <w:adjustRightInd w:val="0"/>
        <w:rPr>
          <w:rFonts w:eastAsia="SimSun"/>
          <w:szCs w:val="22"/>
          <w:lang w:eastAsia="zh-CN"/>
        </w:rPr>
      </w:pPr>
    </w:p>
    <w:p w14:paraId="76F70F2E" w14:textId="77777777" w:rsidR="009700E5" w:rsidRDefault="002C033C">
      <w:pPr>
        <w:autoSpaceDE w:val="0"/>
        <w:autoSpaceDN w:val="0"/>
        <w:adjustRightInd w:val="0"/>
        <w:rPr>
          <w:rFonts w:eastAsia="SimSun"/>
          <w:i/>
          <w:szCs w:val="22"/>
          <w:u w:val="single"/>
          <w:lang w:eastAsia="zh-CN"/>
        </w:rPr>
      </w:pPr>
      <w:r>
        <w:rPr>
          <w:rFonts w:eastAsia="SimSun"/>
          <w:i/>
          <w:szCs w:val="22"/>
          <w:u w:val="single"/>
          <w:lang w:eastAsia="zh-CN"/>
        </w:rPr>
        <w:t>Zvýšenie pečeňových transamináz</w:t>
      </w:r>
    </w:p>
    <w:p w14:paraId="7F0E5942" w14:textId="77777777" w:rsidR="009700E5" w:rsidRDefault="002C033C">
      <w:pPr>
        <w:autoSpaceDE w:val="0"/>
        <w:autoSpaceDN w:val="0"/>
        <w:adjustRightInd w:val="0"/>
        <w:rPr>
          <w:rFonts w:eastAsia="SimSun"/>
          <w:szCs w:val="22"/>
          <w:lang w:eastAsia="zh-CN"/>
        </w:rPr>
      </w:pPr>
      <w:r>
        <w:rPr>
          <w:rFonts w:eastAsia="SimSun"/>
          <w:szCs w:val="22"/>
          <w:lang w:eastAsia="zh-CN"/>
        </w:rPr>
        <w:t>Počas rutinného laboratórneho vyšetrenia v 12</w:t>
      </w:r>
      <w:r>
        <w:rPr>
          <w:rFonts w:eastAsia="SimSun"/>
          <w:szCs w:val="22"/>
          <w:lang w:eastAsia="zh-CN"/>
        </w:rPr>
        <w:noBreakHyphen/>
        <w:t>týždňovej kontrolovanej fáze sa zvýšenie ALT alebo AST na </w:t>
      </w:r>
      <w:r>
        <w:rPr>
          <w:szCs w:val="22"/>
        </w:rPr>
        <w:t>≥ </w:t>
      </w:r>
      <w:r>
        <w:rPr>
          <w:rFonts w:eastAsia="SimSun"/>
          <w:szCs w:val="22"/>
          <w:lang w:eastAsia="zh-CN"/>
        </w:rPr>
        <w:t>3</w:t>
      </w:r>
      <w:r>
        <w:rPr>
          <w:rFonts w:eastAsia="SimSun"/>
          <w:szCs w:val="22"/>
          <w:lang w:eastAsia="zh-CN"/>
        </w:rPr>
        <w:noBreakHyphen/>
        <w:t>násobok ULN objavilo u 5 % a 3 % pacientov v skupine s tocilizumabom a 0 % v skupine s placebom.</w:t>
      </w:r>
    </w:p>
    <w:p w14:paraId="64833B6D" w14:textId="77777777" w:rsidR="009700E5" w:rsidRDefault="009700E5">
      <w:pPr>
        <w:autoSpaceDE w:val="0"/>
        <w:autoSpaceDN w:val="0"/>
        <w:adjustRightInd w:val="0"/>
        <w:rPr>
          <w:rFonts w:eastAsia="SimSun"/>
          <w:szCs w:val="22"/>
          <w:lang w:eastAsia="zh-CN"/>
        </w:rPr>
      </w:pPr>
    </w:p>
    <w:p w14:paraId="198BA795" w14:textId="77777777" w:rsidR="009700E5" w:rsidRDefault="002C033C">
      <w:pPr>
        <w:autoSpaceDE w:val="0"/>
        <w:autoSpaceDN w:val="0"/>
        <w:adjustRightInd w:val="0"/>
        <w:rPr>
          <w:rFonts w:eastAsia="SimSun"/>
          <w:szCs w:val="22"/>
          <w:lang w:eastAsia="zh-CN"/>
        </w:rPr>
      </w:pPr>
      <w:r>
        <w:rPr>
          <w:rFonts w:eastAsia="SimSun"/>
          <w:szCs w:val="22"/>
          <w:lang w:eastAsia="zh-CN"/>
        </w:rPr>
        <w:t>V otvorenej nadstavbovej fáze sa zvýšenie ALT alebo AST na </w:t>
      </w:r>
      <w:r>
        <w:rPr>
          <w:szCs w:val="22"/>
        </w:rPr>
        <w:t>≥ </w:t>
      </w:r>
      <w:r>
        <w:rPr>
          <w:rFonts w:eastAsia="SimSun"/>
          <w:szCs w:val="22"/>
          <w:lang w:eastAsia="zh-CN"/>
        </w:rPr>
        <w:t>3</w:t>
      </w:r>
      <w:r>
        <w:rPr>
          <w:rFonts w:eastAsia="SimSun"/>
          <w:szCs w:val="22"/>
          <w:lang w:eastAsia="zh-CN"/>
        </w:rPr>
        <w:noBreakHyphen/>
        <w:t>násobok ULN objavilo u 12 % a 4 % pacientov v skupine s tocilizumabom.</w:t>
      </w:r>
    </w:p>
    <w:p w14:paraId="1DA8B096" w14:textId="77777777" w:rsidR="009700E5" w:rsidRDefault="009700E5">
      <w:pPr>
        <w:autoSpaceDE w:val="0"/>
        <w:autoSpaceDN w:val="0"/>
        <w:adjustRightInd w:val="0"/>
        <w:rPr>
          <w:rFonts w:eastAsia="SimSun"/>
          <w:szCs w:val="22"/>
          <w:lang w:eastAsia="zh-CN"/>
        </w:rPr>
      </w:pPr>
    </w:p>
    <w:p w14:paraId="6B8B1978" w14:textId="77777777" w:rsidR="009700E5" w:rsidRDefault="002C033C">
      <w:pPr>
        <w:autoSpaceDE w:val="0"/>
        <w:autoSpaceDN w:val="0"/>
        <w:adjustRightInd w:val="0"/>
        <w:rPr>
          <w:rFonts w:eastAsia="SimSun"/>
          <w:i/>
          <w:szCs w:val="22"/>
          <w:u w:val="single"/>
          <w:lang w:eastAsia="zh-CN"/>
        </w:rPr>
      </w:pPr>
      <w:r>
        <w:rPr>
          <w:rFonts w:eastAsia="SimSun"/>
          <w:i/>
          <w:szCs w:val="22"/>
          <w:u w:val="single"/>
          <w:lang w:eastAsia="zh-CN"/>
        </w:rPr>
        <w:t>Imunoglobulín G</w:t>
      </w:r>
    </w:p>
    <w:p w14:paraId="525D0C86" w14:textId="77777777" w:rsidR="009700E5" w:rsidRDefault="002C033C">
      <w:pPr>
        <w:autoSpaceDE w:val="0"/>
        <w:autoSpaceDN w:val="0"/>
        <w:adjustRightInd w:val="0"/>
        <w:rPr>
          <w:rFonts w:eastAsia="SimSun"/>
          <w:szCs w:val="22"/>
          <w:lang w:eastAsia="zh-CN"/>
        </w:rPr>
      </w:pPr>
      <w:r>
        <w:rPr>
          <w:rFonts w:eastAsia="SimSun"/>
          <w:szCs w:val="22"/>
          <w:lang w:eastAsia="zh-CN"/>
        </w:rPr>
        <w:t>Hladiny IgG klesajú počas liečby. P</w:t>
      </w:r>
      <w:r>
        <w:rPr>
          <w:rStyle w:val="longtext"/>
          <w:color w:val="000000"/>
          <w:szCs w:val="22"/>
          <w:shd w:val="clear" w:color="auto" w:fill="FFFFFF"/>
        </w:rPr>
        <w:t>okles na dolnú hranicu normy sa vyskytol u 15 pacientov v niektorom období</w:t>
      </w:r>
      <w:del w:id="333" w:author="Author" w:date="2025-07-18T22:48:00Z">
        <w:r>
          <w:rPr>
            <w:rStyle w:val="longtext"/>
            <w:color w:val="000000"/>
            <w:szCs w:val="22"/>
            <w:shd w:val="clear" w:color="auto" w:fill="FFFFFF"/>
          </w:rPr>
          <w:delText xml:space="preserve"> štúdie</w:delText>
        </w:r>
      </w:del>
      <w:ins w:id="334" w:author="Author" w:date="2025-07-18T22:48:00Z">
        <w:r>
          <w:rPr>
            <w:rStyle w:val="longtext"/>
            <w:color w:val="000000"/>
            <w:szCs w:val="22"/>
            <w:shd w:val="clear" w:color="auto" w:fill="FFFFFF"/>
          </w:rPr>
          <w:t xml:space="preserve"> klinického skúšania</w:t>
        </w:r>
      </w:ins>
      <w:r>
        <w:rPr>
          <w:rStyle w:val="longtext"/>
          <w:color w:val="000000"/>
          <w:szCs w:val="22"/>
          <w:shd w:val="clear" w:color="auto" w:fill="FFFFFF"/>
        </w:rPr>
        <w:t>.</w:t>
      </w:r>
    </w:p>
    <w:p w14:paraId="56B65B4D" w14:textId="77777777" w:rsidR="009700E5" w:rsidRDefault="009700E5">
      <w:pPr>
        <w:autoSpaceDE w:val="0"/>
        <w:autoSpaceDN w:val="0"/>
        <w:adjustRightInd w:val="0"/>
        <w:rPr>
          <w:rFonts w:eastAsia="SimSun"/>
          <w:i/>
          <w:szCs w:val="22"/>
          <w:lang w:eastAsia="zh-CN"/>
        </w:rPr>
      </w:pPr>
    </w:p>
    <w:p w14:paraId="2CD98505" w14:textId="77777777" w:rsidR="009700E5" w:rsidRDefault="002C033C">
      <w:pPr>
        <w:keepNext/>
        <w:keepLines/>
        <w:autoSpaceDE w:val="0"/>
        <w:autoSpaceDN w:val="0"/>
        <w:adjustRightInd w:val="0"/>
        <w:rPr>
          <w:rFonts w:eastAsia="SimSun"/>
          <w:i/>
          <w:szCs w:val="22"/>
          <w:u w:val="single"/>
          <w:lang w:eastAsia="zh-CN"/>
        </w:rPr>
      </w:pPr>
      <w:r>
        <w:rPr>
          <w:rFonts w:eastAsia="SimSun"/>
          <w:i/>
          <w:szCs w:val="22"/>
          <w:u w:val="single"/>
          <w:lang w:eastAsia="zh-CN"/>
        </w:rPr>
        <w:t>Hodnoty lipidových parametrov</w:t>
      </w:r>
    </w:p>
    <w:p w14:paraId="2FD0E7CF" w14:textId="77777777" w:rsidR="009700E5" w:rsidRDefault="002C033C">
      <w:pPr>
        <w:keepNext/>
        <w:keepLines/>
        <w:autoSpaceDE w:val="0"/>
        <w:autoSpaceDN w:val="0"/>
        <w:adjustRightInd w:val="0"/>
        <w:rPr>
          <w:rFonts w:eastAsia="SimSun"/>
          <w:szCs w:val="22"/>
          <w:lang w:eastAsia="zh-CN"/>
        </w:rPr>
      </w:pPr>
      <w:bookmarkStart w:id="335" w:name="_Hlk523984729"/>
      <w:r>
        <w:rPr>
          <w:rFonts w:eastAsia="SimSun"/>
          <w:szCs w:val="22"/>
          <w:lang w:eastAsia="zh-CN"/>
        </w:rPr>
        <w:t>Počas rutinného laboratórneho sledovania v 12</w:t>
      </w:r>
      <w:r>
        <w:rPr>
          <w:rFonts w:eastAsia="SimSun"/>
          <w:szCs w:val="22"/>
          <w:lang w:eastAsia="zh-CN"/>
        </w:rPr>
        <w:noBreakHyphen/>
        <w:t>týždňovej kontrolovanej fáze (</w:t>
      </w:r>
      <w:del w:id="336" w:author="Author" w:date="2025-07-18T22:48:00Z">
        <w:r>
          <w:rPr>
            <w:rFonts w:eastAsia="SimSun"/>
            <w:szCs w:val="22"/>
            <w:lang w:eastAsia="zh-CN"/>
          </w:rPr>
          <w:delText xml:space="preserve">štúdia </w:delText>
        </w:r>
      </w:del>
      <w:ins w:id="337" w:author="Author" w:date="2025-07-18T22:48:00Z">
        <w:r>
          <w:rPr>
            <w:rFonts w:eastAsia="SimSun"/>
            <w:szCs w:val="22"/>
            <w:lang w:eastAsia="zh-CN"/>
          </w:rPr>
          <w:t xml:space="preserve">klinické skúšanie </w:t>
        </w:r>
      </w:ins>
      <w:r>
        <w:rPr>
          <w:rFonts w:eastAsia="SimSun"/>
          <w:szCs w:val="22"/>
          <w:lang w:eastAsia="zh-CN"/>
        </w:rPr>
        <w:t xml:space="preserve">WA18221) </w:t>
      </w:r>
      <w:r>
        <w:t>sa u 13,4 % pacientov zistil vzostup hodnoty LDL</w:t>
      </w:r>
      <w:r>
        <w:noBreakHyphen/>
        <w:t>cholesterolu na </w:t>
      </w:r>
      <w:r>
        <w:rPr>
          <w:szCs w:val="22"/>
        </w:rPr>
        <w:t>≥</w:t>
      </w:r>
      <w:r>
        <w:t> 130 mg/dl a u 33,3 % pacientov vzostup hodnoty celkového cholesterolu na </w:t>
      </w:r>
      <w:r>
        <w:rPr>
          <w:szCs w:val="22"/>
        </w:rPr>
        <w:t>≥</w:t>
      </w:r>
      <w:r>
        <w:t> 200 mg/dl, a to pri ktorejkoľvek z kontrolných návštev (post</w:t>
      </w:r>
      <w:r>
        <w:noBreakHyphen/>
        <w:t>baseline) vykonaných v priebehu skúšanej liečby</w:t>
      </w:r>
      <w:r>
        <w:rPr>
          <w:rFonts w:eastAsia="SimSun"/>
          <w:szCs w:val="22"/>
          <w:lang w:eastAsia="zh-CN"/>
        </w:rPr>
        <w:t>.</w:t>
      </w:r>
    </w:p>
    <w:p w14:paraId="7C59C59D" w14:textId="77777777" w:rsidR="009700E5" w:rsidRDefault="009700E5">
      <w:pPr>
        <w:autoSpaceDE w:val="0"/>
        <w:autoSpaceDN w:val="0"/>
        <w:adjustRightInd w:val="0"/>
        <w:rPr>
          <w:rFonts w:eastAsia="SimSun"/>
          <w:szCs w:val="22"/>
          <w:lang w:eastAsia="zh-CN"/>
        </w:rPr>
      </w:pPr>
    </w:p>
    <w:p w14:paraId="1AFF1AF0" w14:textId="77777777" w:rsidR="009700E5" w:rsidRDefault="002C033C">
      <w:pPr>
        <w:autoSpaceDE w:val="0"/>
        <w:autoSpaceDN w:val="0"/>
        <w:adjustRightInd w:val="0"/>
        <w:rPr>
          <w:rFonts w:eastAsia="SimSun"/>
          <w:szCs w:val="22"/>
          <w:lang w:eastAsia="zh-CN"/>
        </w:rPr>
      </w:pPr>
      <w:r>
        <w:rPr>
          <w:rFonts w:eastAsia="SimSun"/>
          <w:szCs w:val="22"/>
          <w:lang w:eastAsia="zh-CN"/>
        </w:rPr>
        <w:t>V otvorenej nadstavbovej fáze (</w:t>
      </w:r>
      <w:ins w:id="338" w:author="Author" w:date="2025-07-18T22:48:00Z">
        <w:r>
          <w:rPr>
            <w:rFonts w:eastAsia="SimSun"/>
            <w:szCs w:val="22"/>
            <w:lang w:eastAsia="zh-CN"/>
          </w:rPr>
          <w:t>klinické skúšanie</w:t>
        </w:r>
      </w:ins>
      <w:del w:id="339" w:author="Author" w:date="2025-07-18T22:48:00Z">
        <w:r>
          <w:rPr>
            <w:rFonts w:eastAsia="SimSun"/>
            <w:szCs w:val="22"/>
            <w:lang w:eastAsia="zh-CN"/>
          </w:rPr>
          <w:delText>štúdia</w:delText>
        </w:r>
      </w:del>
      <w:r>
        <w:rPr>
          <w:rFonts w:eastAsia="SimSun"/>
          <w:szCs w:val="22"/>
          <w:lang w:eastAsia="zh-CN"/>
        </w:rPr>
        <w:t xml:space="preserve"> WA18221) </w:t>
      </w:r>
      <w:r>
        <w:t>sa u 13,2 % pacientov zistil vzostup hodnoty LDL</w:t>
      </w:r>
      <w:r>
        <w:noBreakHyphen/>
        <w:t>cholesterolu na </w:t>
      </w:r>
      <w:r>
        <w:rPr>
          <w:szCs w:val="22"/>
        </w:rPr>
        <w:t>≥</w:t>
      </w:r>
      <w:r>
        <w:t> 130 mg/dl a u 27,7 % pacientov vzostup hodnoty celkového cholesterolu na </w:t>
      </w:r>
      <w:r>
        <w:rPr>
          <w:szCs w:val="22"/>
        </w:rPr>
        <w:t>≥</w:t>
      </w:r>
      <w:r>
        <w:t> 200 mg/dl, a to pri ktorejkoľvek z kontrolných návštev (post</w:t>
      </w:r>
      <w:r>
        <w:noBreakHyphen/>
        <w:t>baseline) vykonaných v priebehu skúšanej liečby</w:t>
      </w:r>
      <w:r>
        <w:rPr>
          <w:rFonts w:eastAsia="SimSun"/>
          <w:szCs w:val="22"/>
          <w:lang w:eastAsia="zh-CN"/>
        </w:rPr>
        <w:t>.</w:t>
      </w:r>
    </w:p>
    <w:bookmarkEnd w:id="335"/>
    <w:p w14:paraId="47B92940" w14:textId="77777777" w:rsidR="009700E5" w:rsidRDefault="009700E5">
      <w:pPr>
        <w:autoSpaceDE w:val="0"/>
        <w:autoSpaceDN w:val="0"/>
        <w:adjustRightInd w:val="0"/>
        <w:rPr>
          <w:rFonts w:eastAsia="SimSun"/>
          <w:szCs w:val="22"/>
          <w:lang w:eastAsia="zh-CN"/>
        </w:rPr>
      </w:pPr>
    </w:p>
    <w:p w14:paraId="257061B4" w14:textId="77777777" w:rsidR="009700E5" w:rsidRDefault="002C033C">
      <w:pPr>
        <w:autoSpaceDE w:val="0"/>
        <w:autoSpaceDN w:val="0"/>
        <w:adjustRightInd w:val="0"/>
        <w:rPr>
          <w:rFonts w:eastAsia="SimSun"/>
          <w:i/>
          <w:iCs/>
          <w:szCs w:val="22"/>
          <w:lang w:eastAsia="zh-CN"/>
        </w:rPr>
      </w:pPr>
      <w:r>
        <w:rPr>
          <w:rFonts w:eastAsia="SimSun"/>
          <w:i/>
          <w:iCs/>
          <w:szCs w:val="22"/>
          <w:lang w:eastAsia="zh-CN"/>
        </w:rPr>
        <w:t>Pacienti s CRS</w:t>
      </w:r>
    </w:p>
    <w:p w14:paraId="63610DFB" w14:textId="77777777" w:rsidR="009700E5" w:rsidRDefault="002C033C">
      <w:pPr>
        <w:autoSpaceDE w:val="0"/>
        <w:autoSpaceDN w:val="0"/>
        <w:adjustRightInd w:val="0"/>
        <w:rPr>
          <w:rFonts w:eastAsia="SimSun"/>
          <w:szCs w:val="22"/>
          <w:lang w:eastAsia="zh-CN"/>
        </w:rPr>
      </w:pPr>
      <w:r>
        <w:rPr>
          <w:rFonts w:eastAsia="SimSun"/>
          <w:szCs w:val="22"/>
          <w:lang w:eastAsia="zh-CN"/>
        </w:rPr>
        <w:t xml:space="preserve">Bezpečnosť tocilizumabu v liečbe CRS sa hodnotila retrospektívnou analýzou údajov z klinických skúšaní, v ktorých bolo 51 pacientov liečených intravenózne podávaným tocilizumabom v dávke 8 mg/kg (12 mg/kg u pacientov hmotnosťou nižšou ako 30 kg) s dodatočnou alebo bez dodatočnej vysokej dávky kortikosteroidov na liečbu závažného alebo život ohrozujúceho CRS vyvolaného </w:t>
      </w:r>
      <w:r>
        <w:t>T</w:t>
      </w:r>
      <w:r>
        <w:noBreakHyphen/>
        <w:t>lymfocytmi exprimujúcimi CAR. Medián podanej dávky tocilizumabu bola 1 dávka (rozsah 1 </w:t>
      </w:r>
      <w:r>
        <w:noBreakHyphen/>
        <w:t> 4 dávky).</w:t>
      </w:r>
    </w:p>
    <w:p w14:paraId="1D623CFD" w14:textId="77777777" w:rsidR="009700E5" w:rsidRDefault="009700E5">
      <w:pPr>
        <w:autoSpaceDE w:val="0"/>
        <w:autoSpaceDN w:val="0"/>
        <w:adjustRightInd w:val="0"/>
        <w:rPr>
          <w:rFonts w:eastAsia="SimSun"/>
          <w:szCs w:val="22"/>
          <w:lang w:eastAsia="zh-CN"/>
        </w:rPr>
      </w:pPr>
    </w:p>
    <w:p w14:paraId="5CCA717A" w14:textId="77777777" w:rsidR="009700E5" w:rsidRDefault="002C033C">
      <w:pPr>
        <w:keepNext/>
        <w:keepLines/>
        <w:tabs>
          <w:tab w:val="left" w:pos="567"/>
        </w:tabs>
        <w:autoSpaceDE w:val="0"/>
        <w:autoSpaceDN w:val="0"/>
        <w:adjustRightInd w:val="0"/>
        <w:spacing w:line="260" w:lineRule="exact"/>
        <w:rPr>
          <w:szCs w:val="22"/>
          <w:u w:val="single"/>
        </w:rPr>
      </w:pPr>
      <w:r>
        <w:rPr>
          <w:szCs w:val="22"/>
          <w:u w:val="single"/>
        </w:rPr>
        <w:t>Hlásenie podozrení na nežiaduce reakcie</w:t>
      </w:r>
    </w:p>
    <w:p w14:paraId="5D703EAB" w14:textId="77777777" w:rsidR="009700E5" w:rsidRDefault="002C033C">
      <w:pPr>
        <w:keepNext/>
        <w:keepLines/>
        <w:autoSpaceDE w:val="0"/>
        <w:autoSpaceDN w:val="0"/>
        <w:adjustRightInd w:val="0"/>
        <w:rPr>
          <w:szCs w:val="22"/>
        </w:rPr>
      </w:pPr>
      <w:r>
        <w:rPr>
          <w:szCs w:val="22"/>
        </w:rPr>
        <w:t>Hlásenie podozrení na nežiaduce reakcie po registrácii lieku je dôležité. Umožňuje priebežné monitorovanie pomeru prínosu</w:t>
      </w:r>
      <w:r>
        <w:t xml:space="preserve"> a</w:t>
      </w:r>
      <w:r>
        <w:rPr>
          <w:szCs w:val="22"/>
        </w:rPr>
        <w:t xml:space="preserve"> rizika lieku. Od zdravotníckych pracovníkov sa vyžaduje, aby hlásili akékoľvek podozrenia na nežiaduce reakcie na </w:t>
      </w:r>
      <w:r>
        <w:rPr>
          <w:szCs w:val="22"/>
          <w:highlight w:val="lightGray"/>
        </w:rPr>
        <w:t>národné centrum hlásenia uvedené v</w:t>
      </w:r>
      <w:r>
        <w:rPr>
          <w:rFonts w:cs="Calibri"/>
          <w:snapToGrid w:val="0"/>
          <w:highlight w:val="lightGray"/>
        </w:rPr>
        <w:t> </w:t>
      </w:r>
      <w:hyperlink r:id="rId10" w:history="1">
        <w:r>
          <w:rPr>
            <w:rStyle w:val="Hyperlink"/>
            <w:rFonts w:eastAsia="PMingLiU"/>
            <w:color w:val="0033CC"/>
            <w:highlight w:val="lightGray"/>
          </w:rPr>
          <w:t>Prílohe V</w:t>
        </w:r>
      </w:hyperlink>
      <w:r>
        <w:rPr>
          <w:szCs w:val="22"/>
        </w:rPr>
        <w:t>.</w:t>
      </w:r>
    </w:p>
    <w:p w14:paraId="36210ECC" w14:textId="77777777" w:rsidR="009700E5" w:rsidRDefault="009700E5">
      <w:pPr>
        <w:autoSpaceDE w:val="0"/>
        <w:autoSpaceDN w:val="0"/>
        <w:adjustRightInd w:val="0"/>
        <w:rPr>
          <w:szCs w:val="22"/>
        </w:rPr>
      </w:pPr>
    </w:p>
    <w:p w14:paraId="2D41786F" w14:textId="77777777" w:rsidR="009700E5" w:rsidRDefault="002C033C">
      <w:pPr>
        <w:keepNext/>
        <w:outlineLvl w:val="0"/>
        <w:rPr>
          <w:szCs w:val="22"/>
        </w:rPr>
      </w:pPr>
      <w:r>
        <w:rPr>
          <w:b/>
          <w:szCs w:val="22"/>
        </w:rPr>
        <w:t>4.9</w:t>
      </w:r>
      <w:r>
        <w:rPr>
          <w:b/>
          <w:szCs w:val="22"/>
        </w:rPr>
        <w:tab/>
        <w:t>Predávkovanie</w:t>
      </w:r>
    </w:p>
    <w:p w14:paraId="43B60960" w14:textId="77777777" w:rsidR="009700E5" w:rsidRDefault="009700E5">
      <w:pPr>
        <w:keepNext/>
        <w:rPr>
          <w:szCs w:val="22"/>
        </w:rPr>
      </w:pPr>
    </w:p>
    <w:p w14:paraId="3992738E" w14:textId="77777777" w:rsidR="009700E5" w:rsidRDefault="002C033C">
      <w:pPr>
        <w:keepNext/>
        <w:rPr>
          <w:szCs w:val="22"/>
        </w:rPr>
      </w:pPr>
      <w:r>
        <w:rPr>
          <w:szCs w:val="22"/>
        </w:rPr>
        <w:t>K dispozícii sú obmedzené údaje o predávkovaní tocilizumabom. Hlásený bol jeden prípad náhodného predávkovania, pri ktorom pacient s mnohopočetným myelómom dostal jednorazovú dávku 40 mg/kg. Nepozorovali sa žiadne nežiaduce reakcie.</w:t>
      </w:r>
    </w:p>
    <w:p w14:paraId="4267D398" w14:textId="77777777" w:rsidR="009700E5" w:rsidRDefault="009700E5">
      <w:pPr>
        <w:rPr>
          <w:szCs w:val="22"/>
        </w:rPr>
      </w:pPr>
    </w:p>
    <w:p w14:paraId="242D5339" w14:textId="77777777" w:rsidR="009700E5" w:rsidRDefault="002C033C">
      <w:pPr>
        <w:rPr>
          <w:szCs w:val="22"/>
        </w:rPr>
      </w:pPr>
      <w:r>
        <w:rPr>
          <w:szCs w:val="22"/>
        </w:rPr>
        <w:t>U zdravých dobrovoľníkov, ktorí dostali jednorazovú dávku do 28 mg/kg, sa nepozorovali žiadne závažné nežiaduce reakcie, hoci došlo k výskytu neutropénie limitujúcej dávku.</w:t>
      </w:r>
    </w:p>
    <w:p w14:paraId="79DE85D9" w14:textId="77777777" w:rsidR="009700E5" w:rsidRDefault="009700E5">
      <w:pPr>
        <w:rPr>
          <w:szCs w:val="22"/>
        </w:rPr>
      </w:pPr>
    </w:p>
    <w:p w14:paraId="68C1D55C" w14:textId="77777777" w:rsidR="009700E5" w:rsidRDefault="009700E5">
      <w:pPr>
        <w:rPr>
          <w:szCs w:val="22"/>
        </w:rPr>
      </w:pPr>
    </w:p>
    <w:p w14:paraId="6F230A41" w14:textId="77777777" w:rsidR="009700E5" w:rsidRDefault="002C033C">
      <w:pPr>
        <w:keepNext/>
        <w:keepLines/>
      </w:pPr>
      <w:r>
        <w:rPr>
          <w:b/>
        </w:rPr>
        <w:lastRenderedPageBreak/>
        <w:t>5.</w:t>
      </w:r>
      <w:r>
        <w:rPr>
          <w:b/>
        </w:rPr>
        <w:tab/>
      </w:r>
      <w:r>
        <w:rPr>
          <w:b/>
          <w:szCs w:val="22"/>
        </w:rPr>
        <w:t>FARMAKOLOGICKÉ VLASTNOSTI</w:t>
      </w:r>
    </w:p>
    <w:p w14:paraId="2E4D45AB" w14:textId="77777777" w:rsidR="009700E5" w:rsidRDefault="009700E5">
      <w:pPr>
        <w:keepNext/>
        <w:keepLines/>
      </w:pPr>
    </w:p>
    <w:p w14:paraId="657673E1" w14:textId="77777777" w:rsidR="009700E5" w:rsidRDefault="002C033C">
      <w:pPr>
        <w:keepNext/>
        <w:keepLines/>
        <w:outlineLvl w:val="0"/>
      </w:pPr>
      <w:r>
        <w:rPr>
          <w:b/>
        </w:rPr>
        <w:t>5.1</w:t>
      </w:r>
      <w:r>
        <w:rPr>
          <w:b/>
        </w:rPr>
        <w:tab/>
      </w:r>
      <w:r>
        <w:rPr>
          <w:b/>
          <w:szCs w:val="22"/>
        </w:rPr>
        <w:t>Farmakodynamické vlastnosti</w:t>
      </w:r>
    </w:p>
    <w:p w14:paraId="0C4878E0" w14:textId="77777777" w:rsidR="009700E5" w:rsidRDefault="009700E5">
      <w:pPr>
        <w:keepNext/>
        <w:keepLines/>
      </w:pPr>
    </w:p>
    <w:p w14:paraId="5351DFB2" w14:textId="77777777" w:rsidR="009700E5" w:rsidRDefault="002C033C">
      <w:pPr>
        <w:keepNext/>
        <w:keepLines/>
        <w:numPr>
          <w:ilvl w:val="12"/>
          <w:numId w:val="0"/>
        </w:numPr>
        <w:ind w:right="-2"/>
      </w:pPr>
      <w:r>
        <w:rPr>
          <w:szCs w:val="22"/>
        </w:rPr>
        <w:t>Farmakoterapeutická skupina</w:t>
      </w:r>
      <w:r>
        <w:t>: Imunosupresíva, inhibítory interleukínu; ATC kód: L04AC07.</w:t>
      </w:r>
    </w:p>
    <w:p w14:paraId="06FFA3F5" w14:textId="77777777" w:rsidR="009700E5" w:rsidRDefault="009700E5">
      <w:pPr>
        <w:numPr>
          <w:ilvl w:val="12"/>
          <w:numId w:val="0"/>
        </w:numPr>
        <w:ind w:right="-2"/>
      </w:pPr>
    </w:p>
    <w:p w14:paraId="18419DE3" w14:textId="77777777" w:rsidR="009700E5" w:rsidRDefault="002C033C">
      <w:pPr>
        <w:numPr>
          <w:ilvl w:val="12"/>
          <w:numId w:val="0"/>
        </w:numPr>
        <w:ind w:right="-2"/>
        <w:rPr>
          <w:iCs/>
          <w:u w:val="single"/>
        </w:rPr>
      </w:pPr>
      <w:r>
        <w:rPr>
          <w:iCs/>
          <w:u w:val="single"/>
        </w:rPr>
        <w:t>Mechanizmus účinku</w:t>
      </w:r>
    </w:p>
    <w:p w14:paraId="2852C391" w14:textId="77777777" w:rsidR="009700E5" w:rsidRDefault="002C033C">
      <w:pPr>
        <w:numPr>
          <w:ilvl w:val="12"/>
          <w:numId w:val="0"/>
        </w:numPr>
        <w:ind w:right="-2"/>
      </w:pPr>
      <w:r>
        <w:t>Tocilizumab sa špecificky viaže na rozpustný aj na membránovo</w:t>
      </w:r>
      <w:r>
        <w:noBreakHyphen/>
        <w:t>viazaný receptor pre IL</w:t>
      </w:r>
      <w:r>
        <w:noBreakHyphen/>
        <w:t>6 (sIL</w:t>
      </w:r>
      <w:r>
        <w:noBreakHyphen/>
        <w:t>6R a mIL</w:t>
      </w:r>
      <w:r>
        <w:noBreakHyphen/>
        <w:t xml:space="preserve">6R). Dokázalo sa, že tocilizumab inhibuje prenos signálu sprostredkovaný </w:t>
      </w:r>
      <w:r>
        <w:rPr>
          <w:iCs/>
        </w:rPr>
        <w:t>sIL</w:t>
      </w:r>
      <w:r>
        <w:rPr>
          <w:iCs/>
        </w:rPr>
        <w:noBreakHyphen/>
        <w:t xml:space="preserve">6R a </w:t>
      </w:r>
      <w:r>
        <w:t>mIL</w:t>
      </w:r>
      <w:r>
        <w:noBreakHyphen/>
        <w:t>6R. IL</w:t>
      </w:r>
      <w:r>
        <w:noBreakHyphen/>
        <w:t>6 je pleiotropný prozápalový cytokín, ktorý produkujú rôzne typy buniek, vrátane T</w:t>
      </w:r>
      <w:r>
        <w:noBreakHyphen/>
        <w:t> a B</w:t>
      </w:r>
      <w:r>
        <w:noBreakHyphen/>
        <w:t>buniek, monocytov a fibroblastov. IL</w:t>
      </w:r>
      <w:r>
        <w:noBreakHyphen/>
        <w:t>6 sa zúčastňuje na rôznorodých fyziologických procesoch, ako je aktivácia T</w:t>
      </w:r>
      <w:r>
        <w:noBreakHyphen/>
        <w:t>buniek, indukcia sekrécie imunoglobulínov, indukcia syntézy proteínov akútnej fázy v pečeni a stimulácia krvotvorby. IL</w:t>
      </w:r>
      <w:r>
        <w:noBreakHyphen/>
        <w:t>6 sa podieľa na patogenéze ochorení, medzi ktoré patria zápalové ochorenia, osteoporóza a neoplázie.</w:t>
      </w:r>
    </w:p>
    <w:p w14:paraId="0A254AB3" w14:textId="77777777" w:rsidR="009700E5" w:rsidRDefault="009700E5">
      <w:pPr>
        <w:numPr>
          <w:ilvl w:val="12"/>
          <w:numId w:val="0"/>
        </w:numPr>
        <w:ind w:right="-2"/>
      </w:pPr>
    </w:p>
    <w:p w14:paraId="53AF7145" w14:textId="77777777" w:rsidR="009700E5" w:rsidRDefault="002C033C">
      <w:pPr>
        <w:numPr>
          <w:ilvl w:val="12"/>
          <w:numId w:val="0"/>
        </w:numPr>
        <w:rPr>
          <w:bCs/>
        </w:rPr>
      </w:pPr>
      <w:r>
        <w:rPr>
          <w:u w:val="single"/>
        </w:rPr>
        <w:t>Farmakodynamické účinky</w:t>
      </w:r>
    </w:p>
    <w:p w14:paraId="0C993F68" w14:textId="77777777" w:rsidR="009700E5" w:rsidRDefault="002C033C">
      <w:pPr>
        <w:numPr>
          <w:ilvl w:val="12"/>
          <w:numId w:val="0"/>
        </w:numPr>
      </w:pPr>
      <w:r>
        <w:rPr>
          <w:bCs/>
        </w:rPr>
        <w:t xml:space="preserve">V klinických skúšaniach u pacientov s RA liečenými tocilizumabom sa pozoroval rýchly pokles hodnôt CRP, sedimentácie erytrocytov (ESR), sérového </w:t>
      </w:r>
      <w:r>
        <w:t>amyloidu A (SAA) a fibrinogénu</w:t>
      </w:r>
      <w:r>
        <w:rPr>
          <w:bCs/>
        </w:rPr>
        <w:t>. V zhode s účinkom na reaktanty akútnej fázy bola liečba tocilizumabom spojená s poklesom počtu trombocytov na hodnoty v rámci referenčného rozpätia. Pozorovalo sa zvýšenie hladín hemoglobínu, ktoré tocilizumab vyvoláva tým, že znižuje IL</w:t>
      </w:r>
      <w:r>
        <w:rPr>
          <w:bCs/>
        </w:rPr>
        <w:noBreakHyphen/>
        <w:t>6 navodené účinky na tvorbu hepcidínu, čím sa zvyšuje dostupnosť železa.</w:t>
      </w:r>
      <w:r>
        <w:t xml:space="preserve"> U liečených pacientov sa pokles hladín CRP na hodnoty v rámci referenčného rozpätia pozoroval už od 2. týždňa a počas trvania liečby sa tento pokles udržal.</w:t>
      </w:r>
    </w:p>
    <w:p w14:paraId="6E223C5D" w14:textId="77777777" w:rsidR="009700E5" w:rsidRDefault="009700E5">
      <w:pPr>
        <w:numPr>
          <w:ilvl w:val="12"/>
          <w:numId w:val="0"/>
        </w:numPr>
        <w:ind w:right="-2"/>
      </w:pPr>
    </w:p>
    <w:p w14:paraId="3272B5D8" w14:textId="77777777" w:rsidR="009700E5" w:rsidRDefault="002C033C">
      <w:pPr>
        <w:outlineLvl w:val="0"/>
      </w:pPr>
      <w:r>
        <w:t>U zdravých dobrovoľníkov, ktorým sa podával tocilizumab v dávkach od 2 do 28 mg/kg, klesal absolútny počet neutrofilov k najnižším hladinám 3 až 5 dní po podaní. Potom sa počet neutrofilov vrátil k východiskovým hodnotám v závislosti na dávke. Pacienti s reumatoidnou artritídou po podaní tocilizumabu vykazovali podobný charakter absolútneho počtu neutrofilov (pozri časť 4.8).</w:t>
      </w:r>
    </w:p>
    <w:p w14:paraId="75B6F542" w14:textId="77777777" w:rsidR="009700E5" w:rsidRDefault="009700E5">
      <w:pPr>
        <w:numPr>
          <w:ilvl w:val="12"/>
          <w:numId w:val="0"/>
        </w:numPr>
        <w:ind w:right="-2"/>
      </w:pPr>
    </w:p>
    <w:p w14:paraId="06EBE45C" w14:textId="77777777" w:rsidR="009700E5" w:rsidRDefault="002C033C">
      <w:r>
        <w:t>U pacientov s COVID</w:t>
      </w:r>
      <w:r>
        <w:noBreakHyphen/>
        <w:t>19, ktorým bola intravenózne podaná jedna dávka tocilizumabu 8 mg/kg, sa pokles hladín CRP na hodnoty v rámci referenčného rozpätia pozoroval už od 7. dňa.</w:t>
      </w:r>
    </w:p>
    <w:p w14:paraId="22A448CF" w14:textId="77777777" w:rsidR="009700E5" w:rsidRDefault="009700E5">
      <w:pPr>
        <w:rPr>
          <w:szCs w:val="22"/>
        </w:rPr>
      </w:pPr>
    </w:p>
    <w:p w14:paraId="1389E732" w14:textId="77777777" w:rsidR="009700E5" w:rsidRDefault="002C033C">
      <w:pPr>
        <w:keepNext/>
        <w:keepLines/>
        <w:rPr>
          <w:szCs w:val="22"/>
          <w:u w:val="single"/>
        </w:rPr>
      </w:pPr>
      <w:r>
        <w:rPr>
          <w:szCs w:val="22"/>
          <w:u w:val="single"/>
        </w:rPr>
        <w:t>Pacienti s RA</w:t>
      </w:r>
    </w:p>
    <w:p w14:paraId="2C773345" w14:textId="77777777" w:rsidR="009700E5" w:rsidRDefault="002C033C">
      <w:pPr>
        <w:keepNext/>
        <w:keepLines/>
        <w:numPr>
          <w:ilvl w:val="12"/>
          <w:numId w:val="0"/>
        </w:numPr>
        <w:rPr>
          <w:i/>
        </w:rPr>
      </w:pPr>
      <w:r>
        <w:rPr>
          <w:i/>
        </w:rPr>
        <w:t>Klinická účinnosť a bezpečnosť</w:t>
      </w:r>
    </w:p>
    <w:p w14:paraId="73F6AA31" w14:textId="77777777" w:rsidR="009700E5" w:rsidRDefault="002C033C">
      <w:pPr>
        <w:numPr>
          <w:ilvl w:val="12"/>
          <w:numId w:val="0"/>
        </w:numPr>
      </w:pPr>
      <w:r>
        <w:t xml:space="preserve">Účinnosť tocilizumabu v zmierňovaní prejavov a príznakov RA sa hodnotila v piatich randomizovaných, dvojito zaslepených, multicentrických skúšaniach. Do </w:t>
      </w:r>
      <w:ins w:id="340" w:author="Author" w:date="2026-02-09T11:39:00Z">
        <w:r>
          <w:t xml:space="preserve">klinických </w:t>
        </w:r>
      </w:ins>
      <w:r>
        <w:t>skúšaní I </w:t>
      </w:r>
      <w:r>
        <w:noBreakHyphen/>
        <w:t xml:space="preserve"> V boli zaradení pacienti vo veku </w:t>
      </w:r>
      <w:r>
        <w:rPr>
          <w:szCs w:val="22"/>
        </w:rPr>
        <w:t>≥</w:t>
      </w:r>
      <w:r>
        <w:t> 18 rokov s aktívnou RA diagnostikovanou podľa kritérií American College of Rheumatology (ACR), ktorí mali pred začiatkom liečby minimálne osem bolestivých a šesť opuchnutých kĺbov.</w:t>
      </w:r>
    </w:p>
    <w:p w14:paraId="58EC089E" w14:textId="77777777" w:rsidR="009700E5" w:rsidRDefault="009700E5">
      <w:pPr>
        <w:numPr>
          <w:ilvl w:val="12"/>
          <w:numId w:val="0"/>
        </w:numPr>
        <w:ind w:right="-2"/>
      </w:pPr>
    </w:p>
    <w:p w14:paraId="7213881C" w14:textId="77777777" w:rsidR="009700E5" w:rsidRDefault="002C033C">
      <w:pPr>
        <w:numPr>
          <w:ilvl w:val="12"/>
          <w:numId w:val="0"/>
        </w:numPr>
        <w:ind w:right="-2"/>
      </w:pPr>
      <w:r>
        <w:t>V </w:t>
      </w:r>
      <w:del w:id="341" w:author="Author" w:date="2025-07-18T22:49:00Z">
        <w:r>
          <w:delText>štúdii </w:delText>
        </w:r>
      </w:del>
      <w:ins w:id="342" w:author="Author" w:date="2025-07-21T09:26:00Z">
        <w:r>
          <w:t xml:space="preserve">klinickom </w:t>
        </w:r>
      </w:ins>
      <w:ins w:id="343" w:author="Author" w:date="2025-07-18T22:49:00Z">
        <w:r>
          <w:t>skúšaní </w:t>
        </w:r>
      </w:ins>
      <w:r>
        <w:t>I sa tocilizumab podával intravenózne raz za štyri týždne v monoterapii. V skúšaniach II, III a V sa tocilizumab podával intravenózne raz za štyri týždne v kombinácii s MTX, kontrolnú skupinu tvorilo placebo v kombinácii s MTX. V </w:t>
      </w:r>
      <w:del w:id="344" w:author="Author" w:date="2025-07-18T22:49:00Z">
        <w:r>
          <w:delText>štúdii </w:delText>
        </w:r>
      </w:del>
      <w:ins w:id="345" w:author="Author" w:date="2025-07-21T09:26:00Z">
        <w:r>
          <w:t xml:space="preserve">klinickom </w:t>
        </w:r>
      </w:ins>
      <w:ins w:id="346" w:author="Author" w:date="2025-07-18T22:49:00Z">
        <w:r>
          <w:t>skúšaní </w:t>
        </w:r>
      </w:ins>
      <w:r>
        <w:t>IV sa tocilizumab podával intravenózne raz za 4 týždne v kombinácii s inými DMARD, kontrolnú skupinu tvorilo placebo v kombinácii s inými DMARD. Primárny cieľový ukazovateľ pre každ</w:t>
      </w:r>
      <w:ins w:id="347" w:author="Author" w:date="2025-07-18T22:49:00Z">
        <w:r>
          <w:t>é</w:t>
        </w:r>
      </w:ins>
      <w:del w:id="348" w:author="Author" w:date="2025-07-18T22:49:00Z">
        <w:r>
          <w:delText>ú</w:delText>
        </w:r>
      </w:del>
      <w:r>
        <w:t xml:space="preserve"> z piatich skúšaní bol podiel pacientov, ktorí dosiahli odpoveď ACR 20 v 24. týždni.</w:t>
      </w:r>
    </w:p>
    <w:p w14:paraId="72599DE5" w14:textId="77777777" w:rsidR="009700E5" w:rsidRDefault="009700E5">
      <w:pPr>
        <w:numPr>
          <w:ilvl w:val="12"/>
          <w:numId w:val="0"/>
        </w:numPr>
        <w:ind w:right="-2"/>
      </w:pPr>
    </w:p>
    <w:p w14:paraId="730B409E" w14:textId="77777777" w:rsidR="009700E5" w:rsidRDefault="002C033C">
      <w:pPr>
        <w:numPr>
          <w:ilvl w:val="12"/>
          <w:numId w:val="0"/>
        </w:numPr>
      </w:pPr>
      <w:del w:id="349" w:author="Author" w:date="2025-07-18T22:49:00Z">
        <w:r>
          <w:delText>Štúdia </w:delText>
        </w:r>
      </w:del>
      <w:ins w:id="350" w:author="Author" w:date="2025-07-21T09:27:00Z">
        <w:r>
          <w:t>Klinické s</w:t>
        </w:r>
      </w:ins>
      <w:ins w:id="351" w:author="Author" w:date="2025-07-18T22:49:00Z">
        <w:del w:id="352" w:author="Author" w:date="2025-07-21T09:27:00Z">
          <w:r>
            <w:delText>S</w:delText>
          </w:r>
        </w:del>
        <w:r>
          <w:t>kúšanie </w:t>
        </w:r>
      </w:ins>
      <w:r>
        <w:t>I hodnotil</w:t>
      </w:r>
      <w:ins w:id="353" w:author="Author" w:date="2025-07-18T22:49:00Z">
        <w:r>
          <w:t>o</w:t>
        </w:r>
      </w:ins>
      <w:del w:id="354" w:author="Author" w:date="2025-07-18T22:49:00Z">
        <w:r>
          <w:delText>a</w:delText>
        </w:r>
      </w:del>
      <w:r>
        <w:t xml:space="preserve"> 673 pacientov, ktorí sa v priebehu šiestich mesiacov pred randomizáciou neliečili MTX a ktorí neprerušili predchádzajúcu liečbu MTX kvôli klinicky významným toxickým účinkom alebo nedostatočnej odpovedi na liečbu. Väčšina (67 %) pacientov sa MTX predtým neliečila. Dávky 8 mg/kg tocilizumabu sa podávali raz za štyri týždne v monoterapii. Porovnávacia skupina dostávala MTX raz týždenne (dávka titrovaná od 7,5 mg na maximálne 20 mg týždenne počas osemtýždňového obdobia).</w:t>
      </w:r>
    </w:p>
    <w:p w14:paraId="11BAD2EE" w14:textId="77777777" w:rsidR="009700E5" w:rsidRDefault="002C033C">
      <w:pPr>
        <w:numPr>
          <w:ilvl w:val="12"/>
          <w:numId w:val="0"/>
        </w:numPr>
        <w:ind w:right="-2"/>
        <w:rPr>
          <w:del w:id="355" w:author="Author" w:date="2025-07-21T09:27:00Z"/>
        </w:rPr>
      </w:pPr>
      <w:ins w:id="356" w:author="Author" w:date="2025-07-18T22:50:00Z">
        <w:del w:id="357" w:author="Author" w:date="2025-07-21T09:27:00Z">
          <w:r>
            <w:delText>Skúšanie</w:delText>
          </w:r>
        </w:del>
      </w:ins>
    </w:p>
    <w:p w14:paraId="473AACBB" w14:textId="77777777" w:rsidR="009700E5" w:rsidRDefault="009700E5">
      <w:pPr>
        <w:numPr>
          <w:ilvl w:val="12"/>
          <w:numId w:val="0"/>
        </w:numPr>
        <w:ind w:right="-2"/>
        <w:rPr>
          <w:ins w:id="358" w:author="Author" w:date="2025-07-21T09:27:00Z"/>
        </w:rPr>
      </w:pPr>
    </w:p>
    <w:p w14:paraId="31016B95" w14:textId="77777777" w:rsidR="009700E5" w:rsidRDefault="002C033C">
      <w:pPr>
        <w:keepNext/>
        <w:keepLines/>
        <w:numPr>
          <w:ilvl w:val="12"/>
          <w:numId w:val="0"/>
        </w:numPr>
      </w:pPr>
      <w:ins w:id="359" w:author="Author" w:date="2025-07-21T09:27:00Z">
        <w:r>
          <w:lastRenderedPageBreak/>
          <w:t>Klinické skúšanie</w:t>
        </w:r>
      </w:ins>
      <w:del w:id="360" w:author="Author" w:date="2025-07-18T22:50:00Z">
        <w:r>
          <w:delText>Štúdia</w:delText>
        </w:r>
      </w:del>
      <w:r>
        <w:t> II, dvojročn</w:t>
      </w:r>
      <w:ins w:id="361" w:author="Author" w:date="2025-07-18T22:50:00Z">
        <w:r>
          <w:t>é</w:t>
        </w:r>
      </w:ins>
      <w:del w:id="362" w:author="Author" w:date="2025-07-18T22:50:00Z">
        <w:r>
          <w:delText>á</w:delText>
        </w:r>
      </w:del>
      <w:r>
        <w:t xml:space="preserve"> </w:t>
      </w:r>
      <w:ins w:id="363" w:author="Author" w:date="2025-07-18T22:50:00Z">
        <w:r>
          <w:t>klinické skúšanie</w:t>
        </w:r>
      </w:ins>
      <w:del w:id="364" w:author="Author" w:date="2025-07-18T22:50:00Z">
        <w:r>
          <w:delText>štúdia</w:delText>
        </w:r>
      </w:del>
      <w:r>
        <w:t xml:space="preserve"> s plánovanou analýzou v týždni 24., 52. a v týždni 104, hodnotil</w:t>
      </w:r>
      <w:ins w:id="365" w:author="Author" w:date="2025-07-18T22:50:00Z">
        <w:r>
          <w:t>o</w:t>
        </w:r>
      </w:ins>
      <w:del w:id="366" w:author="Author" w:date="2025-07-18T22:50:00Z">
        <w:r>
          <w:delText>a</w:delText>
        </w:r>
      </w:del>
      <w:r>
        <w:t xml:space="preserve"> 1 196 pacientov, ktorí nedosiahli dostatočnú klinickú odpoveď na MTX. Dávky 4 alebo 8 mg/kg tocilizumabu alebo placeba sa podávali raz za štyri týždne v zaslepenej fáze liečby trvajúcej 52 týždňov v kombinácii so stabilnou dávkou MTX (10 mg až 25 mg týždenne). Po týždni 52 mohli všetci pacienti pokračovať v otvorenej fáze liečby tocilizumabom v dávke 8 mg/kg. Z pacientov, ktorí dokončili </w:t>
      </w:r>
      <w:ins w:id="367" w:author="Author" w:date="2025-07-21T09:28:00Z">
        <w:r>
          <w:t xml:space="preserve">klinické </w:t>
        </w:r>
      </w:ins>
      <w:ins w:id="368" w:author="Author" w:date="2025-07-18T22:50:00Z">
        <w:r>
          <w:t>skúšanie</w:t>
        </w:r>
      </w:ins>
      <w:del w:id="369" w:author="Author" w:date="2025-07-18T22:50:00Z">
        <w:r>
          <w:delText>štúdiu</w:delText>
        </w:r>
      </w:del>
      <w:r>
        <w:t xml:space="preserve"> a ktorí boli pôvodne randomizovaní do skupiny s placebom + MTX, v 2. roku 86 % pacientov pokračovalo v otvorenej fáze liečby tocilizumabom v dávke 8 mg/kg. Primárny cieľový ukazovateľ v 24. týždni bol podiel pacientov, ktorí dosiahli odpoveď ACR 20. V 52. a 104. týždni boli prevencia poškodenia kĺbu a zlepšenie fyzických funkcií pridružené ako primárne cieľové ukazovatele.</w:t>
      </w:r>
    </w:p>
    <w:p w14:paraId="1E891151" w14:textId="77777777" w:rsidR="009700E5" w:rsidRDefault="009700E5">
      <w:pPr>
        <w:numPr>
          <w:ilvl w:val="12"/>
          <w:numId w:val="0"/>
        </w:numPr>
        <w:ind w:right="-2"/>
      </w:pPr>
    </w:p>
    <w:p w14:paraId="0B6A1045" w14:textId="77777777" w:rsidR="009700E5" w:rsidRDefault="002C033C">
      <w:pPr>
        <w:numPr>
          <w:ilvl w:val="12"/>
          <w:numId w:val="0"/>
        </w:numPr>
        <w:ind w:right="-2"/>
      </w:pPr>
      <w:ins w:id="370" w:author="Author" w:date="2025-07-21T09:28:00Z">
        <w:r>
          <w:t>Klinické s</w:t>
        </w:r>
      </w:ins>
      <w:ins w:id="371" w:author="Author" w:date="2025-07-18T22:50:00Z">
        <w:del w:id="372" w:author="Author" w:date="2025-07-21T09:28:00Z">
          <w:r>
            <w:delText>S</w:delText>
          </w:r>
        </w:del>
        <w:r>
          <w:t>kúšanie</w:t>
        </w:r>
      </w:ins>
      <w:del w:id="373" w:author="Author" w:date="2025-07-18T22:50:00Z">
        <w:r>
          <w:delText>Štúdia</w:delText>
        </w:r>
      </w:del>
      <w:r>
        <w:t> III hodnotil</w:t>
      </w:r>
      <w:ins w:id="374" w:author="Author" w:date="2025-07-18T22:50:00Z">
        <w:r>
          <w:t>o</w:t>
        </w:r>
      </w:ins>
      <w:del w:id="375" w:author="Author" w:date="2025-07-18T22:50:00Z">
        <w:r>
          <w:delText>a</w:delText>
        </w:r>
      </w:del>
      <w:r>
        <w:t xml:space="preserve"> 623 pacientov, ktorí nedosiahli dostatočnú klinickú odpoveď na MTX. Dávky 4 alebo 8 mg/kg tocilizumabu alebo placeba sa podávali raz za štyri týždne v kombinácii so stabilnou dávkou MTX (10 mg až 25 mg týždenne).</w:t>
      </w:r>
    </w:p>
    <w:p w14:paraId="7EFED13F" w14:textId="77777777" w:rsidR="009700E5" w:rsidRDefault="009700E5">
      <w:pPr>
        <w:numPr>
          <w:ilvl w:val="12"/>
          <w:numId w:val="0"/>
        </w:numPr>
        <w:ind w:right="-2"/>
      </w:pPr>
    </w:p>
    <w:p w14:paraId="10AE6835" w14:textId="77777777" w:rsidR="009700E5" w:rsidRDefault="002C033C">
      <w:pPr>
        <w:numPr>
          <w:ilvl w:val="12"/>
          <w:numId w:val="0"/>
        </w:numPr>
        <w:ind w:right="-2"/>
        <w:rPr>
          <w:del w:id="376" w:author="Author" w:date="2025-07-21T09:29:00Z"/>
        </w:rPr>
      </w:pPr>
      <w:ins w:id="377" w:author="Author" w:date="2025-07-21T09:28:00Z">
        <w:r>
          <w:t>Klinické s</w:t>
        </w:r>
      </w:ins>
      <w:ins w:id="378" w:author="Author" w:date="2025-07-18T22:50:00Z">
        <w:del w:id="379" w:author="Author" w:date="2025-07-21T09:28:00Z">
          <w:r>
            <w:delText>S</w:delText>
          </w:r>
        </w:del>
        <w:r>
          <w:t>kúšanie</w:t>
        </w:r>
      </w:ins>
      <w:del w:id="380" w:author="Author" w:date="2025-07-18T22:50:00Z">
        <w:r>
          <w:delText>Štúdia</w:delText>
        </w:r>
      </w:del>
      <w:r>
        <w:t> IV hodnotil</w:t>
      </w:r>
      <w:ins w:id="381" w:author="Author" w:date="2025-07-18T22:50:00Z">
        <w:r>
          <w:t>o</w:t>
        </w:r>
      </w:ins>
      <w:del w:id="382" w:author="Author" w:date="2025-07-18T22:50:00Z">
        <w:r>
          <w:delText>a</w:delText>
        </w:r>
      </w:del>
      <w:r>
        <w:t xml:space="preserve"> 1 220 pacientov, ktorí nedosiahli dostatočnú odpoveď na existujúcu reumatologickú liečbu zahŕňajúcu jedno alebo viaceré DMARD. Dávky 8 mg/kg tocilizumabu alebo placeba sa podávali raz za štyri týždne v kombinácii so stabilnou dávkou DMARD.</w:t>
      </w:r>
    </w:p>
    <w:p w14:paraId="0DE078B9" w14:textId="77777777" w:rsidR="009700E5" w:rsidRDefault="009700E5">
      <w:pPr>
        <w:numPr>
          <w:ilvl w:val="12"/>
          <w:numId w:val="0"/>
        </w:numPr>
        <w:ind w:right="-2"/>
        <w:rPr>
          <w:del w:id="383" w:author="Author" w:date="2025-07-18T22:51:00Z"/>
        </w:rPr>
      </w:pPr>
    </w:p>
    <w:p w14:paraId="7783FEE9" w14:textId="77777777" w:rsidR="009700E5" w:rsidRDefault="009700E5">
      <w:pPr>
        <w:numPr>
          <w:ilvl w:val="12"/>
          <w:numId w:val="0"/>
        </w:numPr>
        <w:ind w:right="-2"/>
        <w:rPr>
          <w:ins w:id="384" w:author="Author" w:date="2025-07-18T22:51:00Z"/>
        </w:rPr>
      </w:pPr>
    </w:p>
    <w:p w14:paraId="1DD72935" w14:textId="77777777" w:rsidR="009700E5" w:rsidRDefault="002C033C">
      <w:pPr>
        <w:numPr>
          <w:ilvl w:val="12"/>
          <w:numId w:val="0"/>
        </w:numPr>
        <w:ind w:right="-2"/>
      </w:pPr>
      <w:ins w:id="385" w:author="Author" w:date="2025-07-21T09:29:00Z">
        <w:r>
          <w:t>Klinické s</w:t>
        </w:r>
      </w:ins>
      <w:ins w:id="386" w:author="Author" w:date="2025-07-18T22:51:00Z">
        <w:del w:id="387" w:author="Author" w:date="2025-07-21T09:29:00Z">
          <w:r>
            <w:delText>S</w:delText>
          </w:r>
        </w:del>
        <w:r>
          <w:t>kúšanie</w:t>
        </w:r>
      </w:ins>
      <w:del w:id="388" w:author="Author" w:date="2025-07-18T22:51:00Z">
        <w:r>
          <w:delText>Štúd</w:delText>
        </w:r>
      </w:del>
      <w:del w:id="389" w:author="Author" w:date="2025-07-18T22:50:00Z">
        <w:r>
          <w:delText>ia</w:delText>
        </w:r>
      </w:del>
      <w:r>
        <w:t> V hodnotil</w:t>
      </w:r>
      <w:ins w:id="390" w:author="Author" w:date="2025-07-18T22:51:00Z">
        <w:r>
          <w:t>o</w:t>
        </w:r>
      </w:ins>
      <w:del w:id="391" w:author="Author" w:date="2025-07-18T22:51:00Z">
        <w:r>
          <w:delText>a</w:delText>
        </w:r>
      </w:del>
      <w:r>
        <w:t xml:space="preserve"> 499 pacientov, ktorí nedosiahli dostatočnú klinickú odpoveď na liečbu jedným alebo viacerými inhibítormi TNF, alebo ktorí takúto liečbu netolerovali. Liečba inhibítorom TNF sa pred randomizáciou ukončila. Dávky 4 alebo 8 mg/kg tocilizumabu alebo placeba sa podávali raz za štyri týždne v kombinácii so stabilnou dávkou MTX (10 mg až 25 mg týždenne).</w:t>
      </w:r>
    </w:p>
    <w:p w14:paraId="625493C5" w14:textId="77777777" w:rsidR="009700E5" w:rsidRDefault="009700E5">
      <w:pPr>
        <w:numPr>
          <w:ilvl w:val="12"/>
          <w:numId w:val="0"/>
        </w:numPr>
        <w:ind w:right="-2"/>
      </w:pPr>
    </w:p>
    <w:p w14:paraId="61B5CB46" w14:textId="77777777" w:rsidR="009700E5" w:rsidRDefault="002C033C">
      <w:pPr>
        <w:keepNext/>
        <w:keepLines/>
        <w:numPr>
          <w:ilvl w:val="12"/>
          <w:numId w:val="0"/>
        </w:numPr>
        <w:rPr>
          <w:i/>
        </w:rPr>
      </w:pPr>
      <w:r>
        <w:rPr>
          <w:i/>
        </w:rPr>
        <w:t>Klinická odpoveď</w:t>
      </w:r>
    </w:p>
    <w:p w14:paraId="16442D0D" w14:textId="77777777" w:rsidR="009700E5" w:rsidRDefault="002C033C">
      <w:pPr>
        <w:keepNext/>
        <w:keepLines/>
        <w:numPr>
          <w:ilvl w:val="12"/>
          <w:numId w:val="0"/>
        </w:numPr>
      </w:pPr>
      <w:r>
        <w:t>Vo všetkých skúšaniach mali pacienti liečení tocilizumabom 8 mg/kg štatisticky významne vyššiu mieru odpovede ACR 20, 50, 70 po šiestich mesiacoch oproti kontrolnej skupine (tabuľka 4). V </w:t>
      </w:r>
      <w:del w:id="392" w:author="Author" w:date="2025-07-18T23:15:00Z">
        <w:r>
          <w:delText>štúdii </w:delText>
        </w:r>
      </w:del>
      <w:ins w:id="393" w:author="Author" w:date="2025-07-21T09:29:00Z">
        <w:r>
          <w:t xml:space="preserve">klinickom </w:t>
        </w:r>
      </w:ins>
      <w:ins w:id="394" w:author="Author" w:date="2025-07-18T23:15:00Z">
        <w:r>
          <w:t>skúšaní </w:t>
        </w:r>
      </w:ins>
      <w:r>
        <w:t>I sa preukázala vyššia účinnosť tocilizumabu 8 mg/kg oproti aktívnej porovnávacej látke </w:t>
      </w:r>
      <w:r>
        <w:noBreakHyphen/>
        <w:t> MTX.</w:t>
      </w:r>
    </w:p>
    <w:p w14:paraId="5080FF6C" w14:textId="77777777" w:rsidR="009700E5" w:rsidRDefault="009700E5">
      <w:pPr>
        <w:numPr>
          <w:ilvl w:val="12"/>
          <w:numId w:val="0"/>
        </w:numPr>
        <w:ind w:right="-2"/>
      </w:pPr>
    </w:p>
    <w:p w14:paraId="7FD3B8CF" w14:textId="77777777" w:rsidR="009700E5" w:rsidRDefault="002C033C">
      <w:pPr>
        <w:keepNext/>
        <w:keepLines/>
        <w:numPr>
          <w:ilvl w:val="12"/>
          <w:numId w:val="0"/>
        </w:numPr>
      </w:pPr>
      <w:r>
        <w:t>Účinok liečby bol u pacientov podobný nezávisle od prítomnosti reumatoidného faktora, veku, pohlavia, rasy, počtu predchádzajúcich terapií a stavu ochorenia. Účinok nastúpil rýchlo (už v 2. týždni) a stupeň odpovede sa počas liečby neustále zlepšoval. V predĺžených otvorených</w:t>
      </w:r>
      <w:ins w:id="395" w:author="Author" w:date="2025-07-21T09:29:00Z">
        <w:r>
          <w:t xml:space="preserve"> klinických</w:t>
        </w:r>
      </w:ins>
      <w:r>
        <w:t xml:space="preserve"> skúšaniach I </w:t>
      </w:r>
      <w:r>
        <w:noBreakHyphen/>
        <w:t> V sa počas viac ako 3 rokov pozorovali neustále pretrvávajúce odpovede.</w:t>
      </w:r>
    </w:p>
    <w:p w14:paraId="7865D096" w14:textId="77777777" w:rsidR="009700E5" w:rsidRDefault="009700E5">
      <w:pPr>
        <w:numPr>
          <w:ilvl w:val="12"/>
          <w:numId w:val="0"/>
        </w:numPr>
        <w:ind w:right="-2"/>
      </w:pPr>
    </w:p>
    <w:p w14:paraId="75000034" w14:textId="77777777" w:rsidR="009700E5" w:rsidRDefault="002C033C">
      <w:pPr>
        <w:numPr>
          <w:ilvl w:val="12"/>
          <w:numId w:val="0"/>
        </w:numPr>
        <w:ind w:right="-2"/>
      </w:pPr>
      <w:r>
        <w:t xml:space="preserve">Vo všetkých </w:t>
      </w:r>
      <w:ins w:id="396" w:author="Author" w:date="2025-07-21T09:29:00Z">
        <w:r>
          <w:t xml:space="preserve">klinických </w:t>
        </w:r>
      </w:ins>
      <w:r>
        <w:t>skúšaniach sa u pacientov liečených tocilizumabom 8 mg/kg oproti pacientom s placebom a MTX alebo inými DMARD zaznamenalo významné zlepšenie vo všetkých jednotlivých zložkách odpovede ACR zahŕňajúcich: počet bolestivých a opuchnutých kĺbov; celkové hodnotenie pacientmi a lekárom; skóre indexu funkčnej neschopnosti; hodnotenie bolesti a CRP.</w:t>
      </w:r>
    </w:p>
    <w:p w14:paraId="1C14B285" w14:textId="77777777" w:rsidR="009700E5" w:rsidRDefault="009700E5">
      <w:pPr>
        <w:numPr>
          <w:ilvl w:val="12"/>
          <w:numId w:val="0"/>
        </w:numPr>
        <w:ind w:right="-2"/>
      </w:pPr>
    </w:p>
    <w:p w14:paraId="611153E2" w14:textId="77777777" w:rsidR="009700E5" w:rsidRDefault="002C033C">
      <w:pPr>
        <w:numPr>
          <w:ilvl w:val="12"/>
          <w:numId w:val="0"/>
        </w:numPr>
      </w:pPr>
      <w:r>
        <w:t>Pacienti v</w:t>
      </w:r>
      <w:ins w:id="397" w:author="Author" w:date="2025-07-21T11:27:00Z">
        <w:r>
          <w:t> </w:t>
        </w:r>
      </w:ins>
      <w:ins w:id="398" w:author="Author" w:date="2025-07-21T09:30:00Z">
        <w:r>
          <w:t>klinických</w:t>
        </w:r>
      </w:ins>
      <w:ins w:id="399" w:author="Author" w:date="2025-07-21T11:27:00Z">
        <w:r>
          <w:t xml:space="preserve"> </w:t>
        </w:r>
      </w:ins>
      <w:del w:id="400" w:author="Author" w:date="2025-07-21T09:30:00Z">
        <w:r>
          <w:delText xml:space="preserve"> </w:delText>
        </w:r>
      </w:del>
      <w:r>
        <w:t>skúšaniach I </w:t>
      </w:r>
      <w:r>
        <w:noBreakHyphen/>
        <w:t> V mali pred začiatkom liečby priemerné skóre aktivity ochorenia (DAS28) 6,5 </w:t>
      </w:r>
      <w:r>
        <w:noBreakHyphen/>
        <w:t> 6,8. U pacientov liečených tocilizumabom sa v porovnaní s pacientmi v kontrolnej skupine (1,3 </w:t>
      </w:r>
      <w:r>
        <w:noBreakHyphen/>
        <w:t> 2,1) pozorovalo významné zníženie DAS28 oproti východiskovej hodnote (priemerné zlepšenie) o 3,1 </w:t>
      </w:r>
      <w:r>
        <w:noBreakHyphen/>
        <w:t> 3,4. Podiel pacientov, ktorí v 24. týždni dosiahli klinickú remisiu ochorenia podľa DAS28 (DAS28 </w:t>
      </w:r>
      <w:r>
        <w:rPr>
          <w:rFonts w:eastAsia="MS Mincho"/>
          <w:szCs w:val="22"/>
        </w:rPr>
        <w:sym w:font="Symbol" w:char="F03C"/>
      </w:r>
      <w:r>
        <w:t> 2,6), bol významne vyšší u pacientov liečených tocilizumabom (28 </w:t>
      </w:r>
      <w:r>
        <w:noBreakHyphen/>
        <w:t> 34 %) v porovnaní s 1 </w:t>
      </w:r>
      <w:r>
        <w:noBreakHyphen/>
        <w:t> 12 % pacientov v kontrolnej skupine. V</w:t>
      </w:r>
      <w:ins w:id="401" w:author="Author" w:date="2025-07-21T09:30:00Z">
        <w:r>
          <w:t> </w:t>
        </w:r>
      </w:ins>
      <w:del w:id="402" w:author="Author" w:date="2025-07-21T09:30:00Z">
        <w:r>
          <w:delText xml:space="preserve"> </w:delText>
        </w:r>
      </w:del>
      <w:del w:id="403" w:author="Author" w:date="2025-07-18T23:15:00Z">
        <w:r>
          <w:delText xml:space="preserve">štúdii </w:delText>
        </w:r>
      </w:del>
      <w:ins w:id="404" w:author="Author" w:date="2025-07-21T09:30:00Z">
        <w:r>
          <w:t xml:space="preserve">klinickom </w:t>
        </w:r>
      </w:ins>
      <w:ins w:id="405" w:author="Author" w:date="2025-07-18T23:15:00Z">
        <w:r>
          <w:t xml:space="preserve">skúšaní </w:t>
        </w:r>
      </w:ins>
      <w:r>
        <w:t>II dosiahlo 65 % pacientov DAS28 </w:t>
      </w:r>
      <w:r>
        <w:rPr>
          <w:rFonts w:eastAsia="MS Mincho"/>
          <w:szCs w:val="22"/>
        </w:rPr>
        <w:sym w:font="Symbol" w:char="F03C"/>
      </w:r>
      <w:r>
        <w:t> 2,6 v 104. týždni, v porovnaní so 48 % pacientov v 52. týždni a s 33 % pacientov v 24. týždni.</w:t>
      </w:r>
    </w:p>
    <w:p w14:paraId="70CBEE73" w14:textId="77777777" w:rsidR="009700E5" w:rsidRDefault="009700E5">
      <w:pPr>
        <w:numPr>
          <w:ilvl w:val="12"/>
          <w:numId w:val="0"/>
        </w:numPr>
        <w:ind w:right="-2"/>
      </w:pPr>
    </w:p>
    <w:p w14:paraId="5A879A73" w14:textId="77777777" w:rsidR="009700E5" w:rsidRDefault="002C033C">
      <w:pPr>
        <w:numPr>
          <w:ilvl w:val="12"/>
          <w:numId w:val="0"/>
        </w:numPr>
        <w:ind w:right="-2"/>
      </w:pPr>
      <w:r>
        <w:t xml:space="preserve">V súhrnnej analýze </w:t>
      </w:r>
      <w:ins w:id="406" w:author="Author" w:date="2025-07-21T09:31:00Z">
        <w:r>
          <w:t xml:space="preserve">klinických </w:t>
        </w:r>
      </w:ins>
      <w:r>
        <w:t>skúšaní II, III a IV bol podiel pacientov, ktorí dosiahli odpoveď ACR 20, 50 a 70 významne vyšší (59 % oproti 50 %, 37 % oproti 27 %, 18 % oproti 11 % v uvedenom poradí) v skupine liečenej tocilizumabom 8 mg/kg v kombinácii s DMARD oproti skupine liečenej tocilizumabom 4 mg/kg v kombinácii s DMARD (p </w:t>
      </w:r>
      <w:r>
        <w:rPr>
          <w:rFonts w:eastAsia="MS Mincho"/>
          <w:szCs w:val="22"/>
        </w:rPr>
        <w:sym w:font="Symbol" w:char="F03C"/>
      </w:r>
      <w:r>
        <w:t> 0,03). Podobne bol aj podiel pacientov, ktorí dosiahli remisiu ochorenia podľa DAS28 (DAS28 </w:t>
      </w:r>
      <w:r>
        <w:rPr>
          <w:rFonts w:eastAsia="MS Mincho"/>
          <w:szCs w:val="22"/>
        </w:rPr>
        <w:sym w:font="Symbol" w:char="F03C"/>
      </w:r>
      <w:r>
        <w:t> 2,6), významne vyšší (31 % oproti 16 %) u pacientov liečených tocilizumabom 8 mg/kg v kombinácii s DMARD než u pacientov liečených tocilizumabom 4 mg/kg v kombinácii s DMARD (p </w:t>
      </w:r>
      <w:r>
        <w:rPr>
          <w:rFonts w:eastAsia="MS Mincho"/>
          <w:szCs w:val="22"/>
        </w:rPr>
        <w:sym w:font="Symbol" w:char="F03C"/>
      </w:r>
      <w:r>
        <w:t> 0,0001).</w:t>
      </w:r>
    </w:p>
    <w:p w14:paraId="1F3D248A" w14:textId="77777777" w:rsidR="009700E5" w:rsidRDefault="009700E5">
      <w:pPr>
        <w:numPr>
          <w:ilvl w:val="12"/>
          <w:numId w:val="0"/>
        </w:numPr>
        <w:ind w:right="-2"/>
      </w:pPr>
    </w:p>
    <w:p w14:paraId="07AF9827" w14:textId="77777777" w:rsidR="009700E5" w:rsidRDefault="002C033C">
      <w:pPr>
        <w:keepNext/>
        <w:keepLines/>
        <w:numPr>
          <w:ilvl w:val="12"/>
          <w:numId w:val="0"/>
        </w:numPr>
        <w:ind w:left="1411" w:hanging="1411"/>
        <w:rPr>
          <w:bCs/>
          <w:i/>
        </w:rPr>
      </w:pPr>
      <w:r>
        <w:rPr>
          <w:bCs/>
          <w:i/>
        </w:rPr>
        <w:t>Tabuľka 4. Odpovede ACR v placebom/MTX/DMARD kontrolovaných skúšaniach (% pacientov)</w:t>
      </w:r>
    </w:p>
    <w:p w14:paraId="766CD7B9" w14:textId="77777777" w:rsidR="009700E5" w:rsidRDefault="009700E5">
      <w:pPr>
        <w:keepNext/>
        <w:keepLines/>
        <w:numPr>
          <w:ilvl w:val="12"/>
          <w:numId w:val="0"/>
        </w:numPr>
        <w:ind w:left="1411" w:hanging="1411"/>
        <w:rPr>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861"/>
        <w:gridCol w:w="639"/>
        <w:gridCol w:w="922"/>
        <w:gridCol w:w="799"/>
        <w:gridCol w:w="884"/>
        <w:gridCol w:w="800"/>
        <w:gridCol w:w="906"/>
        <w:gridCol w:w="963"/>
        <w:gridCol w:w="926"/>
        <w:gridCol w:w="798"/>
      </w:tblGrid>
      <w:tr w:rsidR="009700E5" w14:paraId="21C37BED" w14:textId="77777777">
        <w:trPr>
          <w:cantSplit/>
          <w:trHeight w:val="463"/>
          <w:tblHeader/>
        </w:trPr>
        <w:tc>
          <w:tcPr>
            <w:tcW w:w="314" w:type="pct"/>
          </w:tcPr>
          <w:p w14:paraId="489CBFF4" w14:textId="77777777" w:rsidR="009700E5" w:rsidRDefault="009700E5">
            <w:pPr>
              <w:keepNext/>
              <w:keepLines/>
              <w:numPr>
                <w:ilvl w:val="12"/>
                <w:numId w:val="0"/>
              </w:numPr>
              <w:ind w:right="-2"/>
              <w:jc w:val="center"/>
              <w:rPr>
                <w:sz w:val="18"/>
                <w:szCs w:val="18"/>
              </w:rPr>
            </w:pPr>
          </w:p>
        </w:tc>
        <w:tc>
          <w:tcPr>
            <w:tcW w:w="815" w:type="pct"/>
            <w:gridSpan w:val="2"/>
            <w:tcBorders>
              <w:bottom w:val="single" w:sz="4" w:space="0" w:color="auto"/>
            </w:tcBorders>
          </w:tcPr>
          <w:p w14:paraId="407CD546" w14:textId="77777777" w:rsidR="009700E5" w:rsidRDefault="002C033C">
            <w:pPr>
              <w:keepNext/>
              <w:keepLines/>
              <w:numPr>
                <w:ilvl w:val="12"/>
                <w:numId w:val="0"/>
              </w:numPr>
              <w:ind w:right="-2"/>
              <w:jc w:val="center"/>
              <w:rPr>
                <w:b/>
                <w:bCs/>
                <w:sz w:val="18"/>
                <w:szCs w:val="18"/>
              </w:rPr>
            </w:pPr>
            <w:del w:id="407" w:author="Author" w:date="2025-07-18T22:52:00Z">
              <w:r>
                <w:rPr>
                  <w:b/>
                  <w:bCs/>
                  <w:sz w:val="18"/>
                  <w:szCs w:val="18"/>
                </w:rPr>
                <w:delText xml:space="preserve">Štúdia </w:delText>
              </w:r>
            </w:del>
            <w:ins w:id="408" w:author="Author" w:date="2025-07-21T09:31:00Z">
              <w:r>
                <w:rPr>
                  <w:b/>
                  <w:bCs/>
                  <w:sz w:val="18"/>
                  <w:szCs w:val="18"/>
                </w:rPr>
                <w:t>Klinické s</w:t>
              </w:r>
            </w:ins>
            <w:ins w:id="409" w:author="Author" w:date="2025-07-18T22:52:00Z">
              <w:del w:id="410" w:author="Author" w:date="2025-07-21T09:31:00Z">
                <w:r>
                  <w:rPr>
                    <w:b/>
                    <w:bCs/>
                    <w:sz w:val="18"/>
                    <w:szCs w:val="18"/>
                  </w:rPr>
                  <w:delText>S</w:delText>
                </w:r>
              </w:del>
              <w:r>
                <w:rPr>
                  <w:b/>
                  <w:bCs/>
                  <w:sz w:val="18"/>
                  <w:szCs w:val="18"/>
                </w:rPr>
                <w:t xml:space="preserve">kúšanie </w:t>
              </w:r>
            </w:ins>
            <w:r>
              <w:rPr>
                <w:b/>
                <w:bCs/>
                <w:sz w:val="18"/>
                <w:szCs w:val="18"/>
              </w:rPr>
              <w:t>I</w:t>
            </w:r>
          </w:p>
          <w:p w14:paraId="100EABE9" w14:textId="77777777" w:rsidR="009700E5" w:rsidRDefault="002C033C">
            <w:pPr>
              <w:keepNext/>
              <w:keepLines/>
              <w:numPr>
                <w:ilvl w:val="12"/>
                <w:numId w:val="0"/>
              </w:numPr>
              <w:ind w:right="-2"/>
              <w:jc w:val="center"/>
              <w:rPr>
                <w:b/>
                <w:bCs/>
                <w:sz w:val="18"/>
                <w:szCs w:val="18"/>
              </w:rPr>
            </w:pPr>
            <w:r>
              <w:rPr>
                <w:b/>
                <w:bCs/>
                <w:sz w:val="18"/>
                <w:szCs w:val="18"/>
              </w:rPr>
              <w:t>AMBITION</w:t>
            </w:r>
          </w:p>
        </w:tc>
        <w:tc>
          <w:tcPr>
            <w:tcW w:w="957" w:type="pct"/>
            <w:gridSpan w:val="2"/>
            <w:tcBorders>
              <w:bottom w:val="single" w:sz="4" w:space="0" w:color="auto"/>
            </w:tcBorders>
          </w:tcPr>
          <w:p w14:paraId="1DE5B614" w14:textId="77777777" w:rsidR="009700E5" w:rsidRDefault="002C033C">
            <w:pPr>
              <w:keepNext/>
              <w:keepLines/>
              <w:numPr>
                <w:ilvl w:val="12"/>
                <w:numId w:val="0"/>
              </w:numPr>
              <w:ind w:right="-2"/>
              <w:jc w:val="center"/>
              <w:rPr>
                <w:b/>
                <w:bCs/>
                <w:sz w:val="18"/>
                <w:szCs w:val="18"/>
              </w:rPr>
            </w:pPr>
            <w:ins w:id="411" w:author="Author" w:date="2025-07-21T09:31:00Z">
              <w:r>
                <w:rPr>
                  <w:b/>
                  <w:bCs/>
                  <w:sz w:val="18"/>
                  <w:szCs w:val="18"/>
                </w:rPr>
                <w:t>Klinické s</w:t>
              </w:r>
            </w:ins>
            <w:ins w:id="412" w:author="Author" w:date="2025-07-18T22:52:00Z">
              <w:del w:id="413" w:author="Author" w:date="2025-07-21T09:31:00Z">
                <w:r>
                  <w:rPr>
                    <w:b/>
                    <w:bCs/>
                    <w:sz w:val="18"/>
                    <w:szCs w:val="18"/>
                  </w:rPr>
                  <w:delText>S</w:delText>
                </w:r>
              </w:del>
              <w:r>
                <w:rPr>
                  <w:b/>
                  <w:bCs/>
                  <w:sz w:val="18"/>
                  <w:szCs w:val="18"/>
                </w:rPr>
                <w:t>kúšanie</w:t>
              </w:r>
            </w:ins>
            <w:del w:id="414" w:author="Author" w:date="2025-07-18T22:52:00Z">
              <w:r>
                <w:rPr>
                  <w:b/>
                  <w:bCs/>
                  <w:sz w:val="18"/>
                  <w:szCs w:val="18"/>
                </w:rPr>
                <w:delText>Štúdia</w:delText>
              </w:r>
            </w:del>
            <w:r>
              <w:rPr>
                <w:b/>
                <w:bCs/>
                <w:sz w:val="18"/>
                <w:szCs w:val="18"/>
              </w:rPr>
              <w:t xml:space="preserve"> II</w:t>
            </w:r>
          </w:p>
          <w:p w14:paraId="1086EC18" w14:textId="77777777" w:rsidR="009700E5" w:rsidRDefault="002C033C">
            <w:pPr>
              <w:keepNext/>
              <w:keepLines/>
              <w:numPr>
                <w:ilvl w:val="12"/>
                <w:numId w:val="0"/>
              </w:numPr>
              <w:ind w:right="-2"/>
              <w:jc w:val="center"/>
              <w:rPr>
                <w:sz w:val="18"/>
                <w:szCs w:val="18"/>
              </w:rPr>
            </w:pPr>
            <w:r>
              <w:rPr>
                <w:b/>
                <w:bCs/>
                <w:sz w:val="18"/>
                <w:szCs w:val="18"/>
              </w:rPr>
              <w:t>LITHE</w:t>
            </w:r>
          </w:p>
        </w:tc>
        <w:tc>
          <w:tcPr>
            <w:tcW w:w="934" w:type="pct"/>
            <w:gridSpan w:val="2"/>
            <w:tcBorders>
              <w:bottom w:val="single" w:sz="4" w:space="0" w:color="auto"/>
            </w:tcBorders>
          </w:tcPr>
          <w:p w14:paraId="231C0B7E" w14:textId="77777777" w:rsidR="009700E5" w:rsidRDefault="002C033C">
            <w:pPr>
              <w:keepNext/>
              <w:keepLines/>
              <w:numPr>
                <w:ilvl w:val="12"/>
                <w:numId w:val="0"/>
              </w:numPr>
              <w:ind w:right="-2"/>
              <w:jc w:val="center"/>
              <w:rPr>
                <w:b/>
                <w:bCs/>
                <w:sz w:val="18"/>
                <w:szCs w:val="18"/>
              </w:rPr>
            </w:pPr>
            <w:ins w:id="415" w:author="Author" w:date="2025-07-21T09:31:00Z">
              <w:r>
                <w:rPr>
                  <w:b/>
                  <w:bCs/>
                  <w:sz w:val="18"/>
                  <w:szCs w:val="18"/>
                </w:rPr>
                <w:t>Klinické s</w:t>
              </w:r>
            </w:ins>
            <w:ins w:id="416" w:author="Author" w:date="2025-07-18T22:52:00Z">
              <w:del w:id="417" w:author="Author" w:date="2025-07-21T09:31:00Z">
                <w:r>
                  <w:rPr>
                    <w:b/>
                    <w:bCs/>
                    <w:sz w:val="18"/>
                    <w:szCs w:val="18"/>
                  </w:rPr>
                  <w:delText>S</w:delText>
                </w:r>
              </w:del>
              <w:r>
                <w:rPr>
                  <w:b/>
                  <w:bCs/>
                  <w:sz w:val="18"/>
                  <w:szCs w:val="18"/>
                </w:rPr>
                <w:t>kúšanie</w:t>
              </w:r>
            </w:ins>
            <w:del w:id="418" w:author="Author" w:date="2025-07-18T22:52:00Z">
              <w:r>
                <w:rPr>
                  <w:b/>
                  <w:bCs/>
                  <w:sz w:val="18"/>
                  <w:szCs w:val="18"/>
                </w:rPr>
                <w:delText>Štúdia</w:delText>
              </w:r>
            </w:del>
            <w:r>
              <w:rPr>
                <w:b/>
                <w:bCs/>
                <w:sz w:val="18"/>
                <w:szCs w:val="18"/>
              </w:rPr>
              <w:t xml:space="preserve"> III</w:t>
            </w:r>
          </w:p>
          <w:p w14:paraId="05F1B226" w14:textId="77777777" w:rsidR="009700E5" w:rsidRDefault="002C033C">
            <w:pPr>
              <w:keepNext/>
              <w:keepLines/>
              <w:numPr>
                <w:ilvl w:val="12"/>
                <w:numId w:val="0"/>
              </w:numPr>
              <w:ind w:right="-2"/>
              <w:jc w:val="center"/>
              <w:rPr>
                <w:sz w:val="18"/>
                <w:szCs w:val="18"/>
              </w:rPr>
            </w:pPr>
            <w:r>
              <w:rPr>
                <w:b/>
                <w:bCs/>
                <w:sz w:val="18"/>
                <w:szCs w:val="18"/>
              </w:rPr>
              <w:t>OPTION</w:t>
            </w:r>
          </w:p>
        </w:tc>
        <w:tc>
          <w:tcPr>
            <w:tcW w:w="1022" w:type="pct"/>
            <w:gridSpan w:val="2"/>
            <w:tcBorders>
              <w:bottom w:val="single" w:sz="4" w:space="0" w:color="auto"/>
            </w:tcBorders>
          </w:tcPr>
          <w:p w14:paraId="244C1953" w14:textId="77777777" w:rsidR="009700E5" w:rsidRDefault="002C033C">
            <w:pPr>
              <w:keepNext/>
              <w:keepLines/>
              <w:numPr>
                <w:ilvl w:val="12"/>
                <w:numId w:val="0"/>
              </w:numPr>
              <w:ind w:right="-2"/>
              <w:jc w:val="center"/>
              <w:rPr>
                <w:b/>
                <w:bCs/>
                <w:sz w:val="18"/>
                <w:szCs w:val="18"/>
              </w:rPr>
            </w:pPr>
            <w:ins w:id="419" w:author="Author" w:date="2025-07-21T09:32:00Z">
              <w:r>
                <w:rPr>
                  <w:b/>
                  <w:bCs/>
                  <w:sz w:val="18"/>
                  <w:szCs w:val="18"/>
                </w:rPr>
                <w:t>Klinické s</w:t>
              </w:r>
            </w:ins>
            <w:ins w:id="420" w:author="Author" w:date="2025-07-18T22:52:00Z">
              <w:del w:id="421" w:author="Author" w:date="2025-07-21T09:32:00Z">
                <w:r>
                  <w:rPr>
                    <w:b/>
                    <w:bCs/>
                    <w:sz w:val="18"/>
                    <w:szCs w:val="18"/>
                  </w:rPr>
                  <w:delText>S</w:delText>
                </w:r>
              </w:del>
              <w:r>
                <w:rPr>
                  <w:b/>
                  <w:bCs/>
                  <w:sz w:val="18"/>
                  <w:szCs w:val="18"/>
                </w:rPr>
                <w:t>kúšanie</w:t>
              </w:r>
            </w:ins>
            <w:del w:id="422" w:author="Author" w:date="2025-07-18T22:52:00Z">
              <w:r>
                <w:rPr>
                  <w:b/>
                  <w:bCs/>
                  <w:sz w:val="18"/>
                  <w:szCs w:val="18"/>
                </w:rPr>
                <w:delText>Štúdia</w:delText>
              </w:r>
            </w:del>
            <w:r>
              <w:rPr>
                <w:b/>
                <w:bCs/>
                <w:sz w:val="18"/>
                <w:szCs w:val="18"/>
              </w:rPr>
              <w:t xml:space="preserve"> IV</w:t>
            </w:r>
          </w:p>
          <w:p w14:paraId="16743D80" w14:textId="77777777" w:rsidR="009700E5" w:rsidRDefault="002C033C">
            <w:pPr>
              <w:keepNext/>
              <w:keepLines/>
              <w:numPr>
                <w:ilvl w:val="12"/>
                <w:numId w:val="0"/>
              </w:numPr>
              <w:ind w:right="-2"/>
              <w:jc w:val="center"/>
              <w:rPr>
                <w:b/>
                <w:bCs/>
                <w:sz w:val="18"/>
                <w:szCs w:val="18"/>
              </w:rPr>
            </w:pPr>
            <w:r>
              <w:rPr>
                <w:b/>
                <w:bCs/>
                <w:sz w:val="18"/>
                <w:szCs w:val="18"/>
              </w:rPr>
              <w:t>TOWARD</w:t>
            </w:r>
          </w:p>
        </w:tc>
        <w:tc>
          <w:tcPr>
            <w:tcW w:w="957" w:type="pct"/>
            <w:gridSpan w:val="2"/>
            <w:tcBorders>
              <w:bottom w:val="single" w:sz="4" w:space="0" w:color="auto"/>
            </w:tcBorders>
          </w:tcPr>
          <w:p w14:paraId="046821C2" w14:textId="77777777" w:rsidR="009700E5" w:rsidRDefault="002C033C">
            <w:pPr>
              <w:keepNext/>
              <w:keepLines/>
              <w:numPr>
                <w:ilvl w:val="12"/>
                <w:numId w:val="0"/>
              </w:numPr>
              <w:ind w:right="-2"/>
              <w:jc w:val="center"/>
              <w:rPr>
                <w:b/>
                <w:bCs/>
                <w:sz w:val="18"/>
                <w:szCs w:val="18"/>
              </w:rPr>
            </w:pPr>
            <w:ins w:id="423" w:author="Author" w:date="2025-07-21T09:32:00Z">
              <w:r>
                <w:rPr>
                  <w:b/>
                  <w:bCs/>
                  <w:sz w:val="18"/>
                  <w:szCs w:val="18"/>
                </w:rPr>
                <w:t>Klinické s</w:t>
              </w:r>
            </w:ins>
            <w:ins w:id="424" w:author="Author" w:date="2025-07-18T22:52:00Z">
              <w:del w:id="425" w:author="Author" w:date="2025-07-21T09:32:00Z">
                <w:r>
                  <w:rPr>
                    <w:b/>
                    <w:bCs/>
                    <w:sz w:val="18"/>
                    <w:szCs w:val="18"/>
                  </w:rPr>
                  <w:delText>S</w:delText>
                </w:r>
              </w:del>
              <w:r>
                <w:rPr>
                  <w:b/>
                  <w:bCs/>
                  <w:sz w:val="18"/>
                  <w:szCs w:val="18"/>
                </w:rPr>
                <w:t>kúšanie</w:t>
              </w:r>
            </w:ins>
            <w:del w:id="426" w:author="Author" w:date="2025-07-18T22:52:00Z">
              <w:r>
                <w:rPr>
                  <w:b/>
                  <w:bCs/>
                  <w:sz w:val="18"/>
                  <w:szCs w:val="18"/>
                </w:rPr>
                <w:delText>Štúdia</w:delText>
              </w:r>
            </w:del>
            <w:r>
              <w:rPr>
                <w:b/>
                <w:bCs/>
                <w:sz w:val="18"/>
                <w:szCs w:val="18"/>
              </w:rPr>
              <w:t xml:space="preserve"> V</w:t>
            </w:r>
          </w:p>
          <w:p w14:paraId="29E3C32E" w14:textId="77777777" w:rsidR="009700E5" w:rsidRDefault="002C033C">
            <w:pPr>
              <w:keepNext/>
              <w:keepLines/>
              <w:numPr>
                <w:ilvl w:val="12"/>
                <w:numId w:val="0"/>
              </w:numPr>
              <w:ind w:right="-2"/>
              <w:jc w:val="center"/>
              <w:rPr>
                <w:b/>
                <w:bCs/>
                <w:sz w:val="18"/>
                <w:szCs w:val="18"/>
              </w:rPr>
            </w:pPr>
            <w:r>
              <w:rPr>
                <w:b/>
                <w:bCs/>
                <w:sz w:val="18"/>
                <w:szCs w:val="18"/>
              </w:rPr>
              <w:t>RADIATE</w:t>
            </w:r>
          </w:p>
        </w:tc>
      </w:tr>
      <w:tr w:rsidR="009700E5" w14:paraId="1049E75E" w14:textId="77777777">
        <w:trPr>
          <w:cantSplit/>
          <w:trHeight w:val="737"/>
          <w:tblHeader/>
        </w:trPr>
        <w:tc>
          <w:tcPr>
            <w:tcW w:w="314" w:type="pct"/>
          </w:tcPr>
          <w:p w14:paraId="6376001F" w14:textId="77777777" w:rsidR="009700E5" w:rsidRDefault="002C033C">
            <w:pPr>
              <w:keepNext/>
              <w:keepLines/>
              <w:numPr>
                <w:ilvl w:val="12"/>
                <w:numId w:val="0"/>
              </w:numPr>
              <w:ind w:right="-2"/>
              <w:jc w:val="center"/>
              <w:rPr>
                <w:sz w:val="18"/>
                <w:szCs w:val="18"/>
              </w:rPr>
            </w:pPr>
            <w:r>
              <w:rPr>
                <w:sz w:val="18"/>
                <w:szCs w:val="18"/>
              </w:rPr>
              <w:t>týž-deň</w:t>
            </w:r>
          </w:p>
        </w:tc>
        <w:tc>
          <w:tcPr>
            <w:tcW w:w="460" w:type="pct"/>
            <w:tcBorders>
              <w:right w:val="single" w:sz="4" w:space="0" w:color="auto"/>
            </w:tcBorders>
          </w:tcPr>
          <w:p w14:paraId="40EF9AF9" w14:textId="77777777" w:rsidR="009700E5" w:rsidRDefault="002C033C">
            <w:pPr>
              <w:keepNext/>
              <w:keepLines/>
              <w:numPr>
                <w:ilvl w:val="12"/>
                <w:numId w:val="0"/>
              </w:numPr>
              <w:ind w:right="-2"/>
              <w:jc w:val="center"/>
              <w:rPr>
                <w:b/>
                <w:bCs/>
                <w:sz w:val="18"/>
                <w:szCs w:val="18"/>
              </w:rPr>
            </w:pPr>
            <w:r>
              <w:rPr>
                <w:b/>
                <w:bCs/>
                <w:sz w:val="18"/>
                <w:szCs w:val="18"/>
              </w:rPr>
              <w:t>TCZ</w:t>
            </w:r>
          </w:p>
          <w:p w14:paraId="43192A02" w14:textId="77777777" w:rsidR="009700E5" w:rsidRDefault="002C033C">
            <w:pPr>
              <w:keepNext/>
              <w:keepLines/>
              <w:numPr>
                <w:ilvl w:val="12"/>
                <w:numId w:val="0"/>
              </w:numPr>
              <w:ind w:right="-2"/>
              <w:jc w:val="center"/>
              <w:rPr>
                <w:sz w:val="18"/>
                <w:szCs w:val="18"/>
              </w:rPr>
            </w:pPr>
            <w:r>
              <w:rPr>
                <w:b/>
                <w:bCs/>
                <w:sz w:val="18"/>
                <w:szCs w:val="18"/>
              </w:rPr>
              <w:t>8 mg/kg</w:t>
            </w:r>
          </w:p>
        </w:tc>
        <w:tc>
          <w:tcPr>
            <w:tcW w:w="355" w:type="pct"/>
            <w:tcBorders>
              <w:left w:val="single" w:sz="4" w:space="0" w:color="auto"/>
              <w:right w:val="single" w:sz="4" w:space="0" w:color="auto"/>
            </w:tcBorders>
          </w:tcPr>
          <w:p w14:paraId="376D699E" w14:textId="77777777" w:rsidR="009700E5" w:rsidRDefault="002C033C">
            <w:pPr>
              <w:keepNext/>
              <w:keepLines/>
              <w:numPr>
                <w:ilvl w:val="12"/>
                <w:numId w:val="0"/>
              </w:numPr>
              <w:ind w:right="-2"/>
              <w:jc w:val="center"/>
              <w:rPr>
                <w:sz w:val="18"/>
                <w:szCs w:val="18"/>
              </w:rPr>
            </w:pPr>
            <w:r>
              <w:rPr>
                <w:b/>
                <w:bCs/>
                <w:sz w:val="18"/>
                <w:szCs w:val="18"/>
              </w:rPr>
              <w:t>MTX</w:t>
            </w:r>
          </w:p>
        </w:tc>
        <w:tc>
          <w:tcPr>
            <w:tcW w:w="513" w:type="pct"/>
            <w:tcBorders>
              <w:left w:val="single" w:sz="4" w:space="0" w:color="auto"/>
              <w:right w:val="single" w:sz="4" w:space="0" w:color="auto"/>
            </w:tcBorders>
          </w:tcPr>
          <w:p w14:paraId="7B799289" w14:textId="77777777" w:rsidR="009700E5" w:rsidRDefault="002C033C">
            <w:pPr>
              <w:keepNext/>
              <w:keepLines/>
              <w:numPr>
                <w:ilvl w:val="12"/>
                <w:numId w:val="0"/>
              </w:numPr>
              <w:ind w:right="-2"/>
              <w:jc w:val="center"/>
              <w:rPr>
                <w:b/>
                <w:bCs/>
                <w:sz w:val="18"/>
                <w:szCs w:val="18"/>
              </w:rPr>
            </w:pPr>
            <w:r>
              <w:rPr>
                <w:b/>
                <w:bCs/>
                <w:sz w:val="18"/>
                <w:szCs w:val="18"/>
              </w:rPr>
              <w:t>TCZ</w:t>
            </w:r>
          </w:p>
          <w:p w14:paraId="01F77E32" w14:textId="77777777" w:rsidR="009700E5" w:rsidRDefault="002C033C">
            <w:pPr>
              <w:keepNext/>
              <w:keepLines/>
              <w:numPr>
                <w:ilvl w:val="12"/>
                <w:numId w:val="0"/>
              </w:numPr>
              <w:ind w:right="-2"/>
              <w:jc w:val="center"/>
              <w:rPr>
                <w:b/>
                <w:bCs/>
                <w:sz w:val="18"/>
                <w:szCs w:val="18"/>
              </w:rPr>
            </w:pPr>
            <w:r>
              <w:rPr>
                <w:b/>
                <w:bCs/>
                <w:sz w:val="18"/>
                <w:szCs w:val="18"/>
              </w:rPr>
              <w:t>8 mg/kg + MTX</w:t>
            </w:r>
          </w:p>
        </w:tc>
        <w:tc>
          <w:tcPr>
            <w:tcW w:w="444" w:type="pct"/>
            <w:tcBorders>
              <w:left w:val="single" w:sz="4" w:space="0" w:color="auto"/>
              <w:right w:val="single" w:sz="4" w:space="0" w:color="auto"/>
            </w:tcBorders>
          </w:tcPr>
          <w:p w14:paraId="0EB0F159" w14:textId="77777777" w:rsidR="009700E5" w:rsidRDefault="002C033C">
            <w:pPr>
              <w:keepNext/>
              <w:keepLines/>
              <w:numPr>
                <w:ilvl w:val="12"/>
                <w:numId w:val="0"/>
              </w:numPr>
              <w:ind w:right="-2"/>
              <w:jc w:val="center"/>
              <w:rPr>
                <w:sz w:val="18"/>
                <w:szCs w:val="18"/>
              </w:rPr>
            </w:pPr>
            <w:r>
              <w:rPr>
                <w:b/>
                <w:bCs/>
                <w:sz w:val="18"/>
                <w:szCs w:val="18"/>
              </w:rPr>
              <w:t>PBO + MTX</w:t>
            </w:r>
          </w:p>
        </w:tc>
        <w:tc>
          <w:tcPr>
            <w:tcW w:w="491" w:type="pct"/>
            <w:tcBorders>
              <w:left w:val="single" w:sz="4" w:space="0" w:color="auto"/>
              <w:right w:val="single" w:sz="4" w:space="0" w:color="auto"/>
            </w:tcBorders>
          </w:tcPr>
          <w:p w14:paraId="3527AB1E" w14:textId="77777777" w:rsidR="009700E5" w:rsidRDefault="002C033C">
            <w:pPr>
              <w:keepNext/>
              <w:keepLines/>
              <w:numPr>
                <w:ilvl w:val="12"/>
                <w:numId w:val="0"/>
              </w:numPr>
              <w:ind w:right="-2"/>
              <w:jc w:val="center"/>
              <w:rPr>
                <w:b/>
                <w:bCs/>
                <w:sz w:val="18"/>
                <w:szCs w:val="18"/>
              </w:rPr>
            </w:pPr>
            <w:r>
              <w:rPr>
                <w:b/>
                <w:bCs/>
                <w:sz w:val="18"/>
                <w:szCs w:val="18"/>
              </w:rPr>
              <w:t>TCZ</w:t>
            </w:r>
          </w:p>
          <w:p w14:paraId="4DDC68D4" w14:textId="77777777" w:rsidR="009700E5" w:rsidRDefault="002C033C">
            <w:pPr>
              <w:keepNext/>
              <w:keepLines/>
              <w:numPr>
                <w:ilvl w:val="12"/>
                <w:numId w:val="0"/>
              </w:numPr>
              <w:ind w:right="-2"/>
              <w:jc w:val="center"/>
              <w:rPr>
                <w:b/>
                <w:bCs/>
                <w:sz w:val="18"/>
                <w:szCs w:val="18"/>
              </w:rPr>
            </w:pPr>
            <w:r>
              <w:rPr>
                <w:b/>
                <w:bCs/>
                <w:sz w:val="18"/>
                <w:szCs w:val="18"/>
              </w:rPr>
              <w:t>8 mg/kg + MTX</w:t>
            </w:r>
          </w:p>
        </w:tc>
        <w:tc>
          <w:tcPr>
            <w:tcW w:w="444" w:type="pct"/>
            <w:tcBorders>
              <w:left w:val="single" w:sz="4" w:space="0" w:color="auto"/>
            </w:tcBorders>
          </w:tcPr>
          <w:p w14:paraId="1BAE5912" w14:textId="77777777" w:rsidR="009700E5" w:rsidRDefault="002C033C">
            <w:pPr>
              <w:keepNext/>
              <w:keepLines/>
              <w:numPr>
                <w:ilvl w:val="12"/>
                <w:numId w:val="0"/>
              </w:numPr>
              <w:ind w:right="-2"/>
              <w:jc w:val="center"/>
              <w:rPr>
                <w:b/>
                <w:bCs/>
                <w:sz w:val="18"/>
                <w:szCs w:val="18"/>
              </w:rPr>
            </w:pPr>
            <w:r>
              <w:rPr>
                <w:b/>
                <w:bCs/>
                <w:sz w:val="18"/>
                <w:szCs w:val="18"/>
              </w:rPr>
              <w:t>PBO + MTX</w:t>
            </w:r>
          </w:p>
        </w:tc>
        <w:tc>
          <w:tcPr>
            <w:tcW w:w="488" w:type="pct"/>
            <w:tcBorders>
              <w:left w:val="nil"/>
              <w:right w:val="single" w:sz="4" w:space="0" w:color="auto"/>
            </w:tcBorders>
          </w:tcPr>
          <w:p w14:paraId="0A9BC908" w14:textId="77777777" w:rsidR="009700E5" w:rsidRDefault="002C033C">
            <w:pPr>
              <w:keepNext/>
              <w:keepLines/>
              <w:numPr>
                <w:ilvl w:val="12"/>
                <w:numId w:val="0"/>
              </w:numPr>
              <w:ind w:right="-2"/>
              <w:jc w:val="center"/>
              <w:rPr>
                <w:b/>
                <w:bCs/>
                <w:sz w:val="18"/>
                <w:szCs w:val="18"/>
              </w:rPr>
            </w:pPr>
            <w:r>
              <w:rPr>
                <w:b/>
                <w:bCs/>
                <w:sz w:val="18"/>
                <w:szCs w:val="18"/>
              </w:rPr>
              <w:t>TCZ</w:t>
            </w:r>
          </w:p>
          <w:p w14:paraId="157BE1F2" w14:textId="77777777" w:rsidR="009700E5" w:rsidRDefault="002C033C">
            <w:pPr>
              <w:keepNext/>
              <w:keepLines/>
              <w:numPr>
                <w:ilvl w:val="12"/>
                <w:numId w:val="0"/>
              </w:numPr>
              <w:ind w:right="-2"/>
              <w:jc w:val="center"/>
              <w:rPr>
                <w:b/>
                <w:bCs/>
                <w:sz w:val="18"/>
                <w:szCs w:val="18"/>
              </w:rPr>
            </w:pPr>
            <w:r>
              <w:rPr>
                <w:b/>
                <w:bCs/>
                <w:sz w:val="18"/>
                <w:szCs w:val="18"/>
              </w:rPr>
              <w:t>8 mg/kg + DMARD</w:t>
            </w:r>
          </w:p>
        </w:tc>
        <w:tc>
          <w:tcPr>
            <w:tcW w:w="534" w:type="pct"/>
            <w:tcBorders>
              <w:left w:val="single" w:sz="4" w:space="0" w:color="auto"/>
            </w:tcBorders>
          </w:tcPr>
          <w:p w14:paraId="4C97B091" w14:textId="77777777" w:rsidR="009700E5" w:rsidRDefault="002C033C">
            <w:pPr>
              <w:keepNext/>
              <w:keepLines/>
              <w:numPr>
                <w:ilvl w:val="12"/>
                <w:numId w:val="0"/>
              </w:numPr>
              <w:ind w:right="-2"/>
              <w:jc w:val="center"/>
              <w:rPr>
                <w:b/>
                <w:bCs/>
                <w:sz w:val="18"/>
                <w:szCs w:val="18"/>
              </w:rPr>
            </w:pPr>
            <w:r>
              <w:rPr>
                <w:b/>
                <w:bCs/>
                <w:sz w:val="18"/>
                <w:szCs w:val="18"/>
              </w:rPr>
              <w:t>PBO + DMARD</w:t>
            </w:r>
          </w:p>
        </w:tc>
        <w:tc>
          <w:tcPr>
            <w:tcW w:w="514" w:type="pct"/>
            <w:tcBorders>
              <w:left w:val="nil"/>
              <w:right w:val="single" w:sz="4" w:space="0" w:color="auto"/>
            </w:tcBorders>
          </w:tcPr>
          <w:p w14:paraId="725D9898" w14:textId="77777777" w:rsidR="009700E5" w:rsidRDefault="002C033C">
            <w:pPr>
              <w:keepNext/>
              <w:keepLines/>
              <w:numPr>
                <w:ilvl w:val="12"/>
                <w:numId w:val="0"/>
              </w:numPr>
              <w:ind w:right="-2"/>
              <w:jc w:val="center"/>
              <w:rPr>
                <w:b/>
                <w:bCs/>
                <w:sz w:val="18"/>
                <w:szCs w:val="18"/>
              </w:rPr>
            </w:pPr>
            <w:r>
              <w:rPr>
                <w:b/>
                <w:bCs/>
                <w:sz w:val="18"/>
                <w:szCs w:val="18"/>
              </w:rPr>
              <w:t>TCZ 8 mg/kg + MTX</w:t>
            </w:r>
          </w:p>
        </w:tc>
        <w:tc>
          <w:tcPr>
            <w:tcW w:w="444" w:type="pct"/>
            <w:tcBorders>
              <w:left w:val="single" w:sz="4" w:space="0" w:color="auto"/>
            </w:tcBorders>
          </w:tcPr>
          <w:p w14:paraId="0BB3EAF8" w14:textId="77777777" w:rsidR="009700E5" w:rsidRDefault="002C033C">
            <w:pPr>
              <w:keepNext/>
              <w:keepLines/>
              <w:numPr>
                <w:ilvl w:val="12"/>
                <w:numId w:val="0"/>
              </w:numPr>
              <w:ind w:right="-2"/>
              <w:jc w:val="center"/>
              <w:rPr>
                <w:b/>
                <w:bCs/>
                <w:sz w:val="18"/>
                <w:szCs w:val="18"/>
              </w:rPr>
            </w:pPr>
            <w:r>
              <w:rPr>
                <w:b/>
                <w:bCs/>
                <w:sz w:val="18"/>
                <w:szCs w:val="18"/>
              </w:rPr>
              <w:t>PBO + MTX</w:t>
            </w:r>
            <w:r>
              <w:rPr>
                <w:b/>
                <w:bCs/>
                <w:sz w:val="18"/>
                <w:szCs w:val="18"/>
              </w:rPr>
              <w:br/>
            </w:r>
          </w:p>
        </w:tc>
      </w:tr>
      <w:tr w:rsidR="009700E5" w14:paraId="6AC9B816" w14:textId="77777777">
        <w:trPr>
          <w:cantSplit/>
          <w:trHeight w:val="521"/>
          <w:tblHeader/>
        </w:trPr>
        <w:tc>
          <w:tcPr>
            <w:tcW w:w="314" w:type="pct"/>
          </w:tcPr>
          <w:p w14:paraId="7E3DA842" w14:textId="77777777" w:rsidR="009700E5" w:rsidRDefault="009700E5">
            <w:pPr>
              <w:keepNext/>
              <w:keepLines/>
              <w:numPr>
                <w:ilvl w:val="12"/>
                <w:numId w:val="0"/>
              </w:numPr>
              <w:ind w:right="-2"/>
              <w:jc w:val="center"/>
              <w:rPr>
                <w:b/>
                <w:bCs/>
                <w:sz w:val="18"/>
                <w:szCs w:val="18"/>
              </w:rPr>
            </w:pPr>
          </w:p>
        </w:tc>
        <w:tc>
          <w:tcPr>
            <w:tcW w:w="460" w:type="pct"/>
            <w:tcBorders>
              <w:right w:val="single" w:sz="4" w:space="0" w:color="auto"/>
            </w:tcBorders>
          </w:tcPr>
          <w:p w14:paraId="1E6CE523" w14:textId="77777777" w:rsidR="009700E5" w:rsidRDefault="002C033C">
            <w:pPr>
              <w:keepNext/>
              <w:keepLines/>
              <w:numPr>
                <w:ilvl w:val="12"/>
                <w:numId w:val="0"/>
              </w:numPr>
              <w:ind w:right="-2"/>
              <w:jc w:val="center"/>
              <w:rPr>
                <w:b/>
                <w:bCs/>
                <w:sz w:val="18"/>
                <w:szCs w:val="18"/>
              </w:rPr>
            </w:pPr>
            <w:ins w:id="427" w:author="Author" w:date="2025-07-18T22:52:00Z">
              <w:r>
                <w:rPr>
                  <w:b/>
                  <w:bCs/>
                  <w:sz w:val="18"/>
                  <w:szCs w:val="18"/>
                </w:rPr>
                <w:t>n</w:t>
              </w:r>
            </w:ins>
            <w:del w:id="428" w:author="Author" w:date="2025-07-18T22:52:00Z">
              <w:r>
                <w:rPr>
                  <w:b/>
                  <w:bCs/>
                  <w:sz w:val="18"/>
                  <w:szCs w:val="18"/>
                </w:rPr>
                <w:delText>N</w:delText>
              </w:r>
            </w:del>
            <w:r>
              <w:rPr>
                <w:b/>
                <w:bCs/>
                <w:sz w:val="18"/>
                <w:szCs w:val="18"/>
              </w:rPr>
              <w:t> = </w:t>
            </w:r>
          </w:p>
          <w:p w14:paraId="529F3E9D" w14:textId="77777777" w:rsidR="009700E5" w:rsidRDefault="002C033C">
            <w:pPr>
              <w:keepNext/>
              <w:keepLines/>
              <w:numPr>
                <w:ilvl w:val="12"/>
                <w:numId w:val="0"/>
              </w:numPr>
              <w:ind w:right="-2"/>
              <w:jc w:val="center"/>
              <w:rPr>
                <w:b/>
                <w:bCs/>
                <w:sz w:val="18"/>
                <w:szCs w:val="18"/>
              </w:rPr>
            </w:pPr>
            <w:r>
              <w:rPr>
                <w:b/>
                <w:bCs/>
                <w:sz w:val="18"/>
                <w:szCs w:val="18"/>
              </w:rPr>
              <w:t>286</w:t>
            </w:r>
          </w:p>
        </w:tc>
        <w:tc>
          <w:tcPr>
            <w:tcW w:w="355" w:type="pct"/>
            <w:tcBorders>
              <w:left w:val="single" w:sz="4" w:space="0" w:color="auto"/>
              <w:right w:val="single" w:sz="4" w:space="0" w:color="auto"/>
            </w:tcBorders>
          </w:tcPr>
          <w:p w14:paraId="4231F124" w14:textId="77777777" w:rsidR="009700E5" w:rsidRDefault="002C033C">
            <w:pPr>
              <w:keepNext/>
              <w:keepLines/>
              <w:numPr>
                <w:ilvl w:val="12"/>
                <w:numId w:val="0"/>
              </w:numPr>
              <w:ind w:right="-2"/>
              <w:jc w:val="center"/>
              <w:rPr>
                <w:b/>
                <w:bCs/>
                <w:sz w:val="18"/>
                <w:szCs w:val="18"/>
              </w:rPr>
            </w:pPr>
            <w:ins w:id="429" w:author="Author" w:date="2025-07-18T22:52:00Z">
              <w:r>
                <w:rPr>
                  <w:b/>
                  <w:bCs/>
                  <w:sz w:val="18"/>
                  <w:szCs w:val="18"/>
                </w:rPr>
                <w:t>n</w:t>
              </w:r>
            </w:ins>
            <w:del w:id="430" w:author="Author" w:date="2025-07-18T22:52:00Z">
              <w:r>
                <w:rPr>
                  <w:b/>
                  <w:bCs/>
                  <w:sz w:val="18"/>
                  <w:szCs w:val="18"/>
                </w:rPr>
                <w:delText>N</w:delText>
              </w:r>
            </w:del>
            <w:r>
              <w:rPr>
                <w:b/>
                <w:bCs/>
                <w:sz w:val="18"/>
                <w:szCs w:val="18"/>
              </w:rPr>
              <w:t> = </w:t>
            </w:r>
          </w:p>
          <w:p w14:paraId="10FCBF55" w14:textId="77777777" w:rsidR="009700E5" w:rsidRDefault="002C033C">
            <w:pPr>
              <w:keepNext/>
              <w:keepLines/>
              <w:numPr>
                <w:ilvl w:val="12"/>
                <w:numId w:val="0"/>
              </w:numPr>
              <w:ind w:right="-2"/>
              <w:jc w:val="center"/>
              <w:rPr>
                <w:b/>
                <w:bCs/>
                <w:sz w:val="18"/>
                <w:szCs w:val="18"/>
              </w:rPr>
            </w:pPr>
            <w:r>
              <w:rPr>
                <w:b/>
                <w:bCs/>
                <w:sz w:val="18"/>
                <w:szCs w:val="18"/>
              </w:rPr>
              <w:t>284</w:t>
            </w:r>
          </w:p>
        </w:tc>
        <w:tc>
          <w:tcPr>
            <w:tcW w:w="513" w:type="pct"/>
            <w:tcBorders>
              <w:left w:val="single" w:sz="4" w:space="0" w:color="auto"/>
              <w:right w:val="single" w:sz="4" w:space="0" w:color="auto"/>
            </w:tcBorders>
          </w:tcPr>
          <w:p w14:paraId="4B44DDC5" w14:textId="77777777" w:rsidR="009700E5" w:rsidRDefault="002C033C">
            <w:pPr>
              <w:keepNext/>
              <w:keepLines/>
              <w:numPr>
                <w:ilvl w:val="12"/>
                <w:numId w:val="0"/>
              </w:numPr>
              <w:ind w:right="-2"/>
              <w:jc w:val="center"/>
              <w:rPr>
                <w:b/>
                <w:bCs/>
                <w:sz w:val="18"/>
                <w:szCs w:val="18"/>
              </w:rPr>
            </w:pPr>
            <w:ins w:id="431" w:author="Author" w:date="2025-07-18T22:52:00Z">
              <w:r>
                <w:rPr>
                  <w:b/>
                  <w:bCs/>
                  <w:sz w:val="18"/>
                  <w:szCs w:val="18"/>
                </w:rPr>
                <w:t>n</w:t>
              </w:r>
            </w:ins>
            <w:del w:id="432" w:author="Author" w:date="2025-07-18T22:52:00Z">
              <w:r>
                <w:rPr>
                  <w:b/>
                  <w:bCs/>
                  <w:sz w:val="18"/>
                  <w:szCs w:val="18"/>
                </w:rPr>
                <w:delText>N</w:delText>
              </w:r>
            </w:del>
            <w:r>
              <w:rPr>
                <w:b/>
                <w:bCs/>
                <w:sz w:val="18"/>
                <w:szCs w:val="18"/>
              </w:rPr>
              <w:t> = </w:t>
            </w:r>
          </w:p>
          <w:p w14:paraId="2BFCA9C1" w14:textId="77777777" w:rsidR="009700E5" w:rsidRDefault="002C033C">
            <w:pPr>
              <w:keepNext/>
              <w:keepLines/>
              <w:numPr>
                <w:ilvl w:val="12"/>
                <w:numId w:val="0"/>
              </w:numPr>
              <w:ind w:right="-2"/>
              <w:jc w:val="center"/>
              <w:rPr>
                <w:b/>
                <w:bCs/>
                <w:sz w:val="18"/>
                <w:szCs w:val="18"/>
              </w:rPr>
            </w:pPr>
            <w:r>
              <w:rPr>
                <w:b/>
                <w:bCs/>
                <w:sz w:val="18"/>
                <w:szCs w:val="18"/>
              </w:rPr>
              <w:t>398</w:t>
            </w:r>
          </w:p>
        </w:tc>
        <w:tc>
          <w:tcPr>
            <w:tcW w:w="444" w:type="pct"/>
            <w:tcBorders>
              <w:left w:val="single" w:sz="4" w:space="0" w:color="auto"/>
              <w:right w:val="single" w:sz="4" w:space="0" w:color="auto"/>
            </w:tcBorders>
          </w:tcPr>
          <w:p w14:paraId="17092D21" w14:textId="77777777" w:rsidR="009700E5" w:rsidRDefault="002C033C">
            <w:pPr>
              <w:keepNext/>
              <w:keepLines/>
              <w:numPr>
                <w:ilvl w:val="12"/>
                <w:numId w:val="0"/>
              </w:numPr>
              <w:ind w:right="-2"/>
              <w:jc w:val="center"/>
              <w:rPr>
                <w:b/>
                <w:bCs/>
                <w:sz w:val="18"/>
                <w:szCs w:val="18"/>
              </w:rPr>
            </w:pPr>
            <w:ins w:id="433" w:author="Author" w:date="2025-07-18T22:52:00Z">
              <w:r>
                <w:rPr>
                  <w:b/>
                  <w:bCs/>
                  <w:sz w:val="18"/>
                  <w:szCs w:val="18"/>
                </w:rPr>
                <w:t>n</w:t>
              </w:r>
            </w:ins>
            <w:del w:id="434" w:author="Author" w:date="2025-07-18T22:52:00Z">
              <w:r>
                <w:rPr>
                  <w:b/>
                  <w:bCs/>
                  <w:sz w:val="18"/>
                  <w:szCs w:val="18"/>
                </w:rPr>
                <w:delText>N</w:delText>
              </w:r>
            </w:del>
            <w:r>
              <w:rPr>
                <w:b/>
                <w:bCs/>
                <w:sz w:val="18"/>
                <w:szCs w:val="18"/>
              </w:rPr>
              <w:t> = </w:t>
            </w:r>
          </w:p>
          <w:p w14:paraId="56150090" w14:textId="77777777" w:rsidR="009700E5" w:rsidRDefault="002C033C">
            <w:pPr>
              <w:keepNext/>
              <w:keepLines/>
              <w:numPr>
                <w:ilvl w:val="12"/>
                <w:numId w:val="0"/>
              </w:numPr>
              <w:ind w:right="-2"/>
              <w:jc w:val="center"/>
              <w:rPr>
                <w:b/>
                <w:bCs/>
                <w:sz w:val="18"/>
                <w:szCs w:val="18"/>
              </w:rPr>
            </w:pPr>
            <w:r>
              <w:rPr>
                <w:b/>
                <w:bCs/>
                <w:sz w:val="18"/>
                <w:szCs w:val="18"/>
              </w:rPr>
              <w:t>393</w:t>
            </w:r>
          </w:p>
        </w:tc>
        <w:tc>
          <w:tcPr>
            <w:tcW w:w="491" w:type="pct"/>
            <w:tcBorders>
              <w:left w:val="single" w:sz="4" w:space="0" w:color="auto"/>
              <w:right w:val="single" w:sz="4" w:space="0" w:color="auto"/>
            </w:tcBorders>
          </w:tcPr>
          <w:p w14:paraId="7EC36947" w14:textId="77777777" w:rsidR="009700E5" w:rsidRDefault="002C033C">
            <w:pPr>
              <w:keepNext/>
              <w:keepLines/>
              <w:numPr>
                <w:ilvl w:val="12"/>
                <w:numId w:val="0"/>
              </w:numPr>
              <w:ind w:right="-2"/>
              <w:jc w:val="center"/>
              <w:rPr>
                <w:b/>
                <w:bCs/>
                <w:sz w:val="18"/>
                <w:szCs w:val="18"/>
              </w:rPr>
            </w:pPr>
            <w:ins w:id="435" w:author="Author" w:date="2025-07-18T22:52:00Z">
              <w:r>
                <w:rPr>
                  <w:b/>
                  <w:bCs/>
                  <w:sz w:val="18"/>
                  <w:szCs w:val="18"/>
                </w:rPr>
                <w:t>n</w:t>
              </w:r>
            </w:ins>
            <w:del w:id="436" w:author="Author" w:date="2025-07-18T22:52:00Z">
              <w:r>
                <w:rPr>
                  <w:b/>
                  <w:bCs/>
                  <w:sz w:val="18"/>
                  <w:szCs w:val="18"/>
                </w:rPr>
                <w:delText>N</w:delText>
              </w:r>
            </w:del>
            <w:r>
              <w:rPr>
                <w:b/>
                <w:bCs/>
                <w:sz w:val="18"/>
                <w:szCs w:val="18"/>
              </w:rPr>
              <w:t> = </w:t>
            </w:r>
          </w:p>
          <w:p w14:paraId="29AAC83F" w14:textId="77777777" w:rsidR="009700E5" w:rsidRDefault="002C033C">
            <w:pPr>
              <w:keepNext/>
              <w:keepLines/>
              <w:numPr>
                <w:ilvl w:val="12"/>
                <w:numId w:val="0"/>
              </w:numPr>
              <w:ind w:right="-2"/>
              <w:jc w:val="center"/>
              <w:rPr>
                <w:b/>
                <w:bCs/>
                <w:sz w:val="18"/>
                <w:szCs w:val="18"/>
              </w:rPr>
            </w:pPr>
            <w:r>
              <w:rPr>
                <w:b/>
                <w:bCs/>
                <w:sz w:val="18"/>
                <w:szCs w:val="18"/>
              </w:rPr>
              <w:t>205</w:t>
            </w:r>
          </w:p>
        </w:tc>
        <w:tc>
          <w:tcPr>
            <w:tcW w:w="444" w:type="pct"/>
            <w:tcBorders>
              <w:left w:val="single" w:sz="4" w:space="0" w:color="auto"/>
            </w:tcBorders>
          </w:tcPr>
          <w:p w14:paraId="17D0F1AE" w14:textId="77777777" w:rsidR="009700E5" w:rsidRDefault="002C033C">
            <w:pPr>
              <w:keepNext/>
              <w:keepLines/>
              <w:numPr>
                <w:ilvl w:val="12"/>
                <w:numId w:val="0"/>
              </w:numPr>
              <w:ind w:right="-2"/>
              <w:jc w:val="center"/>
              <w:rPr>
                <w:b/>
                <w:bCs/>
                <w:sz w:val="18"/>
                <w:szCs w:val="18"/>
              </w:rPr>
            </w:pPr>
            <w:ins w:id="437" w:author="Author" w:date="2025-07-18T22:52:00Z">
              <w:r>
                <w:rPr>
                  <w:b/>
                  <w:bCs/>
                  <w:sz w:val="18"/>
                  <w:szCs w:val="18"/>
                </w:rPr>
                <w:t>n</w:t>
              </w:r>
            </w:ins>
            <w:del w:id="438" w:author="Author" w:date="2025-07-18T22:52:00Z">
              <w:r>
                <w:rPr>
                  <w:b/>
                  <w:bCs/>
                  <w:sz w:val="18"/>
                  <w:szCs w:val="18"/>
                </w:rPr>
                <w:delText>N</w:delText>
              </w:r>
            </w:del>
            <w:r>
              <w:rPr>
                <w:b/>
                <w:bCs/>
                <w:sz w:val="18"/>
                <w:szCs w:val="18"/>
              </w:rPr>
              <w:t> = </w:t>
            </w:r>
          </w:p>
          <w:p w14:paraId="45D45D0D" w14:textId="77777777" w:rsidR="009700E5" w:rsidRDefault="002C033C">
            <w:pPr>
              <w:keepNext/>
              <w:keepLines/>
              <w:numPr>
                <w:ilvl w:val="12"/>
                <w:numId w:val="0"/>
              </w:numPr>
              <w:ind w:right="-2"/>
              <w:jc w:val="center"/>
              <w:rPr>
                <w:b/>
                <w:bCs/>
                <w:sz w:val="18"/>
                <w:szCs w:val="18"/>
              </w:rPr>
            </w:pPr>
            <w:r>
              <w:rPr>
                <w:b/>
                <w:bCs/>
                <w:sz w:val="18"/>
                <w:szCs w:val="18"/>
              </w:rPr>
              <w:t>204</w:t>
            </w:r>
          </w:p>
        </w:tc>
        <w:tc>
          <w:tcPr>
            <w:tcW w:w="488" w:type="pct"/>
            <w:tcBorders>
              <w:left w:val="nil"/>
              <w:right w:val="single" w:sz="4" w:space="0" w:color="auto"/>
            </w:tcBorders>
          </w:tcPr>
          <w:p w14:paraId="7F02A871" w14:textId="77777777" w:rsidR="009700E5" w:rsidRDefault="002C033C">
            <w:pPr>
              <w:keepNext/>
              <w:keepLines/>
              <w:numPr>
                <w:ilvl w:val="12"/>
                <w:numId w:val="0"/>
              </w:numPr>
              <w:ind w:right="-2"/>
              <w:jc w:val="center"/>
              <w:rPr>
                <w:b/>
                <w:bCs/>
                <w:sz w:val="18"/>
                <w:szCs w:val="18"/>
              </w:rPr>
            </w:pPr>
            <w:ins w:id="439" w:author="Author" w:date="2025-07-18T22:52:00Z">
              <w:r>
                <w:rPr>
                  <w:b/>
                  <w:bCs/>
                  <w:sz w:val="18"/>
                  <w:szCs w:val="18"/>
                </w:rPr>
                <w:t>n</w:t>
              </w:r>
            </w:ins>
            <w:del w:id="440" w:author="Author" w:date="2025-07-18T22:52:00Z">
              <w:r>
                <w:rPr>
                  <w:b/>
                  <w:bCs/>
                  <w:sz w:val="18"/>
                  <w:szCs w:val="18"/>
                </w:rPr>
                <w:delText>N</w:delText>
              </w:r>
            </w:del>
            <w:r>
              <w:rPr>
                <w:b/>
                <w:bCs/>
                <w:sz w:val="18"/>
                <w:szCs w:val="18"/>
              </w:rPr>
              <w:t> = </w:t>
            </w:r>
          </w:p>
          <w:p w14:paraId="2404E665" w14:textId="77777777" w:rsidR="009700E5" w:rsidRDefault="002C033C">
            <w:pPr>
              <w:keepNext/>
              <w:keepLines/>
              <w:numPr>
                <w:ilvl w:val="12"/>
                <w:numId w:val="0"/>
              </w:numPr>
              <w:ind w:right="-2"/>
              <w:jc w:val="center"/>
              <w:rPr>
                <w:b/>
                <w:bCs/>
                <w:sz w:val="18"/>
                <w:szCs w:val="18"/>
              </w:rPr>
            </w:pPr>
            <w:r>
              <w:rPr>
                <w:b/>
                <w:bCs/>
                <w:sz w:val="18"/>
                <w:szCs w:val="18"/>
              </w:rPr>
              <w:t>803</w:t>
            </w:r>
          </w:p>
        </w:tc>
        <w:tc>
          <w:tcPr>
            <w:tcW w:w="534" w:type="pct"/>
            <w:tcBorders>
              <w:left w:val="single" w:sz="4" w:space="0" w:color="auto"/>
            </w:tcBorders>
          </w:tcPr>
          <w:p w14:paraId="6B078788" w14:textId="77777777" w:rsidR="009700E5" w:rsidRDefault="002C033C">
            <w:pPr>
              <w:keepNext/>
              <w:keepLines/>
              <w:numPr>
                <w:ilvl w:val="12"/>
                <w:numId w:val="0"/>
              </w:numPr>
              <w:ind w:right="-2"/>
              <w:jc w:val="center"/>
              <w:rPr>
                <w:b/>
                <w:bCs/>
                <w:sz w:val="18"/>
                <w:szCs w:val="18"/>
              </w:rPr>
            </w:pPr>
            <w:ins w:id="441" w:author="Author" w:date="2025-07-18T22:52:00Z">
              <w:r>
                <w:rPr>
                  <w:b/>
                  <w:bCs/>
                  <w:sz w:val="18"/>
                  <w:szCs w:val="18"/>
                </w:rPr>
                <w:t>n</w:t>
              </w:r>
            </w:ins>
            <w:del w:id="442" w:author="Author" w:date="2025-07-18T22:52:00Z">
              <w:r>
                <w:rPr>
                  <w:b/>
                  <w:bCs/>
                  <w:sz w:val="18"/>
                  <w:szCs w:val="18"/>
                </w:rPr>
                <w:delText>N</w:delText>
              </w:r>
            </w:del>
            <w:r>
              <w:rPr>
                <w:b/>
                <w:bCs/>
                <w:sz w:val="18"/>
                <w:szCs w:val="18"/>
              </w:rPr>
              <w:t> = </w:t>
            </w:r>
          </w:p>
          <w:p w14:paraId="1AE75A41" w14:textId="77777777" w:rsidR="009700E5" w:rsidRDefault="002C033C">
            <w:pPr>
              <w:keepNext/>
              <w:keepLines/>
              <w:numPr>
                <w:ilvl w:val="12"/>
                <w:numId w:val="0"/>
              </w:numPr>
              <w:ind w:right="-2"/>
              <w:jc w:val="center"/>
              <w:rPr>
                <w:b/>
                <w:bCs/>
                <w:sz w:val="18"/>
                <w:szCs w:val="18"/>
              </w:rPr>
            </w:pPr>
            <w:r>
              <w:rPr>
                <w:b/>
                <w:bCs/>
                <w:sz w:val="18"/>
                <w:szCs w:val="18"/>
              </w:rPr>
              <w:t>413</w:t>
            </w:r>
          </w:p>
        </w:tc>
        <w:tc>
          <w:tcPr>
            <w:tcW w:w="514" w:type="pct"/>
            <w:tcBorders>
              <w:left w:val="nil"/>
              <w:right w:val="single" w:sz="4" w:space="0" w:color="auto"/>
            </w:tcBorders>
          </w:tcPr>
          <w:p w14:paraId="387E2E2E" w14:textId="77777777" w:rsidR="009700E5" w:rsidRDefault="002C033C">
            <w:pPr>
              <w:keepNext/>
              <w:keepLines/>
              <w:numPr>
                <w:ilvl w:val="12"/>
                <w:numId w:val="0"/>
              </w:numPr>
              <w:ind w:right="-2"/>
              <w:jc w:val="center"/>
              <w:rPr>
                <w:b/>
                <w:bCs/>
                <w:sz w:val="18"/>
                <w:szCs w:val="18"/>
              </w:rPr>
            </w:pPr>
            <w:ins w:id="443" w:author="Author" w:date="2025-07-18T22:52:00Z">
              <w:r>
                <w:rPr>
                  <w:b/>
                  <w:bCs/>
                  <w:sz w:val="18"/>
                  <w:szCs w:val="18"/>
                </w:rPr>
                <w:t>n</w:t>
              </w:r>
            </w:ins>
            <w:del w:id="444" w:author="Author" w:date="2025-07-18T22:52:00Z">
              <w:r>
                <w:rPr>
                  <w:b/>
                  <w:bCs/>
                  <w:sz w:val="18"/>
                  <w:szCs w:val="18"/>
                </w:rPr>
                <w:delText>N</w:delText>
              </w:r>
            </w:del>
            <w:r>
              <w:rPr>
                <w:b/>
                <w:bCs/>
                <w:sz w:val="18"/>
                <w:szCs w:val="18"/>
              </w:rPr>
              <w:t> = </w:t>
            </w:r>
          </w:p>
          <w:p w14:paraId="5BBE67E3" w14:textId="77777777" w:rsidR="009700E5" w:rsidRDefault="002C033C">
            <w:pPr>
              <w:keepNext/>
              <w:keepLines/>
              <w:numPr>
                <w:ilvl w:val="12"/>
                <w:numId w:val="0"/>
              </w:numPr>
              <w:ind w:right="-2"/>
              <w:jc w:val="center"/>
              <w:rPr>
                <w:b/>
                <w:bCs/>
                <w:sz w:val="18"/>
                <w:szCs w:val="18"/>
              </w:rPr>
            </w:pPr>
            <w:r>
              <w:rPr>
                <w:b/>
                <w:bCs/>
                <w:sz w:val="18"/>
                <w:szCs w:val="18"/>
              </w:rPr>
              <w:t>170</w:t>
            </w:r>
          </w:p>
        </w:tc>
        <w:tc>
          <w:tcPr>
            <w:tcW w:w="444" w:type="pct"/>
            <w:tcBorders>
              <w:left w:val="single" w:sz="4" w:space="0" w:color="auto"/>
            </w:tcBorders>
          </w:tcPr>
          <w:p w14:paraId="32A44CC0" w14:textId="77777777" w:rsidR="009700E5" w:rsidRDefault="002C033C">
            <w:pPr>
              <w:keepNext/>
              <w:keepLines/>
              <w:numPr>
                <w:ilvl w:val="12"/>
                <w:numId w:val="0"/>
              </w:numPr>
              <w:ind w:right="-2"/>
              <w:jc w:val="center"/>
              <w:rPr>
                <w:b/>
                <w:bCs/>
                <w:sz w:val="18"/>
                <w:szCs w:val="18"/>
              </w:rPr>
            </w:pPr>
            <w:ins w:id="445" w:author="Author" w:date="2025-07-18T22:52:00Z">
              <w:r>
                <w:rPr>
                  <w:b/>
                  <w:bCs/>
                  <w:sz w:val="18"/>
                  <w:szCs w:val="18"/>
                </w:rPr>
                <w:t>n</w:t>
              </w:r>
            </w:ins>
            <w:del w:id="446" w:author="Author" w:date="2025-07-18T22:52:00Z">
              <w:r>
                <w:rPr>
                  <w:b/>
                  <w:bCs/>
                  <w:sz w:val="18"/>
                  <w:szCs w:val="18"/>
                </w:rPr>
                <w:delText>N</w:delText>
              </w:r>
            </w:del>
            <w:r>
              <w:rPr>
                <w:b/>
                <w:bCs/>
                <w:sz w:val="18"/>
                <w:szCs w:val="18"/>
              </w:rPr>
              <w:t> = </w:t>
            </w:r>
          </w:p>
          <w:p w14:paraId="6421410F" w14:textId="77777777" w:rsidR="009700E5" w:rsidRDefault="002C033C">
            <w:pPr>
              <w:keepNext/>
              <w:keepLines/>
              <w:numPr>
                <w:ilvl w:val="12"/>
                <w:numId w:val="0"/>
              </w:numPr>
              <w:ind w:right="-2"/>
              <w:jc w:val="center"/>
              <w:rPr>
                <w:b/>
                <w:bCs/>
                <w:sz w:val="18"/>
                <w:szCs w:val="18"/>
              </w:rPr>
            </w:pPr>
            <w:r>
              <w:rPr>
                <w:b/>
                <w:bCs/>
                <w:sz w:val="18"/>
                <w:szCs w:val="18"/>
              </w:rPr>
              <w:t>158</w:t>
            </w:r>
          </w:p>
        </w:tc>
      </w:tr>
      <w:tr w:rsidR="009700E5" w14:paraId="63993C80" w14:textId="77777777">
        <w:trPr>
          <w:cantSplit/>
        </w:trPr>
        <w:tc>
          <w:tcPr>
            <w:tcW w:w="5000" w:type="pct"/>
            <w:gridSpan w:val="11"/>
          </w:tcPr>
          <w:p w14:paraId="57A80373" w14:textId="77777777" w:rsidR="009700E5" w:rsidRDefault="002C033C">
            <w:pPr>
              <w:keepNext/>
              <w:keepLines/>
              <w:numPr>
                <w:ilvl w:val="12"/>
                <w:numId w:val="0"/>
              </w:numPr>
              <w:ind w:right="-2"/>
              <w:jc w:val="center"/>
              <w:rPr>
                <w:b/>
                <w:sz w:val="18"/>
                <w:szCs w:val="18"/>
              </w:rPr>
            </w:pPr>
            <w:r>
              <w:rPr>
                <w:b/>
                <w:sz w:val="18"/>
                <w:szCs w:val="18"/>
              </w:rPr>
              <w:t>ACR 20</w:t>
            </w:r>
          </w:p>
        </w:tc>
      </w:tr>
      <w:tr w:rsidR="009700E5" w14:paraId="376B427B" w14:textId="77777777">
        <w:trPr>
          <w:cantSplit/>
        </w:trPr>
        <w:tc>
          <w:tcPr>
            <w:tcW w:w="314" w:type="pct"/>
            <w:tcBorders>
              <w:right w:val="single" w:sz="4" w:space="0" w:color="auto"/>
            </w:tcBorders>
          </w:tcPr>
          <w:p w14:paraId="08B2DFA8" w14:textId="77777777" w:rsidR="009700E5" w:rsidRDefault="002C033C">
            <w:pPr>
              <w:keepNext/>
              <w:keepLines/>
              <w:numPr>
                <w:ilvl w:val="12"/>
                <w:numId w:val="0"/>
              </w:numPr>
              <w:ind w:right="-2"/>
              <w:jc w:val="center"/>
              <w:rPr>
                <w:sz w:val="18"/>
                <w:szCs w:val="18"/>
              </w:rPr>
            </w:pPr>
            <w:r>
              <w:rPr>
                <w:sz w:val="18"/>
                <w:szCs w:val="18"/>
              </w:rPr>
              <w:t>24</w:t>
            </w:r>
          </w:p>
        </w:tc>
        <w:tc>
          <w:tcPr>
            <w:tcW w:w="460" w:type="pct"/>
            <w:tcBorders>
              <w:left w:val="single" w:sz="4" w:space="0" w:color="auto"/>
              <w:right w:val="single" w:sz="4" w:space="0" w:color="auto"/>
            </w:tcBorders>
          </w:tcPr>
          <w:p w14:paraId="513AEBC0" w14:textId="77777777" w:rsidR="009700E5" w:rsidRDefault="002C033C">
            <w:pPr>
              <w:keepNext/>
              <w:keepLines/>
              <w:numPr>
                <w:ilvl w:val="12"/>
                <w:numId w:val="0"/>
              </w:numPr>
              <w:ind w:right="-2"/>
              <w:jc w:val="center"/>
              <w:rPr>
                <w:sz w:val="18"/>
                <w:szCs w:val="18"/>
              </w:rPr>
            </w:pPr>
            <w:r>
              <w:rPr>
                <w:sz w:val="18"/>
                <w:szCs w:val="18"/>
              </w:rPr>
              <w:t>70 %***</w:t>
            </w:r>
          </w:p>
        </w:tc>
        <w:tc>
          <w:tcPr>
            <w:tcW w:w="355" w:type="pct"/>
            <w:tcBorders>
              <w:left w:val="single" w:sz="4" w:space="0" w:color="auto"/>
              <w:right w:val="single" w:sz="4" w:space="0" w:color="auto"/>
            </w:tcBorders>
          </w:tcPr>
          <w:p w14:paraId="5C72F5AC" w14:textId="77777777" w:rsidR="009700E5" w:rsidRDefault="002C033C">
            <w:pPr>
              <w:keepNext/>
              <w:keepLines/>
              <w:numPr>
                <w:ilvl w:val="12"/>
                <w:numId w:val="0"/>
              </w:numPr>
              <w:ind w:right="-2"/>
              <w:jc w:val="center"/>
              <w:rPr>
                <w:sz w:val="18"/>
                <w:szCs w:val="18"/>
              </w:rPr>
            </w:pPr>
            <w:r>
              <w:rPr>
                <w:sz w:val="18"/>
                <w:szCs w:val="18"/>
              </w:rPr>
              <w:t>52 %</w:t>
            </w:r>
          </w:p>
        </w:tc>
        <w:tc>
          <w:tcPr>
            <w:tcW w:w="513" w:type="pct"/>
            <w:tcBorders>
              <w:left w:val="single" w:sz="4" w:space="0" w:color="auto"/>
              <w:right w:val="single" w:sz="4" w:space="0" w:color="auto"/>
            </w:tcBorders>
          </w:tcPr>
          <w:p w14:paraId="4147A7EB" w14:textId="77777777" w:rsidR="009700E5" w:rsidRDefault="002C033C">
            <w:pPr>
              <w:keepNext/>
              <w:keepLines/>
              <w:numPr>
                <w:ilvl w:val="12"/>
                <w:numId w:val="0"/>
              </w:numPr>
              <w:ind w:right="-2"/>
              <w:jc w:val="center"/>
              <w:rPr>
                <w:sz w:val="18"/>
                <w:szCs w:val="18"/>
              </w:rPr>
            </w:pPr>
            <w:r>
              <w:rPr>
                <w:sz w:val="18"/>
                <w:szCs w:val="18"/>
              </w:rPr>
              <w:t>56 %***</w:t>
            </w:r>
          </w:p>
        </w:tc>
        <w:tc>
          <w:tcPr>
            <w:tcW w:w="444" w:type="pct"/>
            <w:tcBorders>
              <w:left w:val="single" w:sz="4" w:space="0" w:color="auto"/>
              <w:right w:val="single" w:sz="4" w:space="0" w:color="auto"/>
            </w:tcBorders>
          </w:tcPr>
          <w:p w14:paraId="7501B371" w14:textId="77777777" w:rsidR="009700E5" w:rsidRDefault="002C033C">
            <w:pPr>
              <w:keepNext/>
              <w:keepLines/>
              <w:numPr>
                <w:ilvl w:val="12"/>
                <w:numId w:val="0"/>
              </w:numPr>
              <w:ind w:right="-2"/>
              <w:jc w:val="center"/>
              <w:rPr>
                <w:sz w:val="18"/>
                <w:szCs w:val="18"/>
              </w:rPr>
            </w:pPr>
            <w:r>
              <w:rPr>
                <w:sz w:val="18"/>
                <w:szCs w:val="18"/>
              </w:rPr>
              <w:t>27 %</w:t>
            </w:r>
          </w:p>
        </w:tc>
        <w:tc>
          <w:tcPr>
            <w:tcW w:w="491" w:type="pct"/>
            <w:tcBorders>
              <w:left w:val="single" w:sz="4" w:space="0" w:color="auto"/>
              <w:right w:val="single" w:sz="4" w:space="0" w:color="auto"/>
            </w:tcBorders>
          </w:tcPr>
          <w:p w14:paraId="5D4DE46B" w14:textId="77777777" w:rsidR="009700E5" w:rsidRDefault="002C033C">
            <w:pPr>
              <w:keepNext/>
              <w:keepLines/>
              <w:numPr>
                <w:ilvl w:val="12"/>
                <w:numId w:val="0"/>
              </w:numPr>
              <w:ind w:right="-2"/>
              <w:jc w:val="center"/>
              <w:rPr>
                <w:sz w:val="18"/>
                <w:szCs w:val="18"/>
              </w:rPr>
            </w:pPr>
            <w:r>
              <w:rPr>
                <w:sz w:val="18"/>
                <w:szCs w:val="18"/>
              </w:rPr>
              <w:t>59 %***</w:t>
            </w:r>
          </w:p>
        </w:tc>
        <w:tc>
          <w:tcPr>
            <w:tcW w:w="444" w:type="pct"/>
            <w:tcBorders>
              <w:left w:val="single" w:sz="4" w:space="0" w:color="auto"/>
            </w:tcBorders>
          </w:tcPr>
          <w:p w14:paraId="1040CC25" w14:textId="77777777" w:rsidR="009700E5" w:rsidRDefault="002C033C">
            <w:pPr>
              <w:keepNext/>
              <w:keepLines/>
              <w:numPr>
                <w:ilvl w:val="12"/>
                <w:numId w:val="0"/>
              </w:numPr>
              <w:ind w:right="-2"/>
              <w:jc w:val="center"/>
              <w:rPr>
                <w:sz w:val="18"/>
                <w:szCs w:val="18"/>
              </w:rPr>
            </w:pPr>
            <w:r>
              <w:rPr>
                <w:sz w:val="18"/>
                <w:szCs w:val="18"/>
              </w:rPr>
              <w:t>26 %</w:t>
            </w:r>
          </w:p>
        </w:tc>
        <w:tc>
          <w:tcPr>
            <w:tcW w:w="488" w:type="pct"/>
            <w:tcBorders>
              <w:left w:val="nil"/>
            </w:tcBorders>
          </w:tcPr>
          <w:p w14:paraId="20E450CE" w14:textId="77777777" w:rsidR="009700E5" w:rsidRDefault="002C033C">
            <w:pPr>
              <w:keepNext/>
              <w:keepLines/>
              <w:numPr>
                <w:ilvl w:val="12"/>
                <w:numId w:val="0"/>
              </w:numPr>
              <w:ind w:right="-2"/>
              <w:jc w:val="center"/>
              <w:rPr>
                <w:sz w:val="18"/>
                <w:szCs w:val="18"/>
              </w:rPr>
            </w:pPr>
            <w:r>
              <w:rPr>
                <w:sz w:val="18"/>
                <w:szCs w:val="18"/>
              </w:rPr>
              <w:t>61 %***</w:t>
            </w:r>
          </w:p>
        </w:tc>
        <w:tc>
          <w:tcPr>
            <w:tcW w:w="534" w:type="pct"/>
            <w:tcBorders>
              <w:left w:val="nil"/>
            </w:tcBorders>
          </w:tcPr>
          <w:p w14:paraId="71FCAC80" w14:textId="77777777" w:rsidR="009700E5" w:rsidRDefault="002C033C">
            <w:pPr>
              <w:keepNext/>
              <w:keepLines/>
              <w:numPr>
                <w:ilvl w:val="12"/>
                <w:numId w:val="0"/>
              </w:numPr>
              <w:ind w:right="-2"/>
              <w:jc w:val="center"/>
              <w:rPr>
                <w:sz w:val="18"/>
                <w:szCs w:val="18"/>
              </w:rPr>
            </w:pPr>
            <w:r>
              <w:rPr>
                <w:sz w:val="18"/>
                <w:szCs w:val="18"/>
              </w:rPr>
              <w:t>24 %</w:t>
            </w:r>
          </w:p>
        </w:tc>
        <w:tc>
          <w:tcPr>
            <w:tcW w:w="514" w:type="pct"/>
            <w:tcBorders>
              <w:left w:val="nil"/>
            </w:tcBorders>
          </w:tcPr>
          <w:p w14:paraId="05729726" w14:textId="77777777" w:rsidR="009700E5" w:rsidRDefault="002C033C">
            <w:pPr>
              <w:keepNext/>
              <w:keepLines/>
              <w:numPr>
                <w:ilvl w:val="12"/>
                <w:numId w:val="0"/>
              </w:numPr>
              <w:ind w:right="-2"/>
              <w:jc w:val="center"/>
              <w:rPr>
                <w:sz w:val="18"/>
                <w:szCs w:val="18"/>
              </w:rPr>
            </w:pPr>
            <w:r>
              <w:rPr>
                <w:sz w:val="18"/>
                <w:szCs w:val="18"/>
              </w:rPr>
              <w:t>50 %***</w:t>
            </w:r>
          </w:p>
        </w:tc>
        <w:tc>
          <w:tcPr>
            <w:tcW w:w="444" w:type="pct"/>
            <w:tcBorders>
              <w:left w:val="nil"/>
            </w:tcBorders>
          </w:tcPr>
          <w:p w14:paraId="181D4EF8" w14:textId="77777777" w:rsidR="009700E5" w:rsidRDefault="002C033C">
            <w:pPr>
              <w:keepNext/>
              <w:keepLines/>
              <w:numPr>
                <w:ilvl w:val="12"/>
                <w:numId w:val="0"/>
              </w:numPr>
              <w:ind w:right="-2"/>
              <w:jc w:val="center"/>
              <w:rPr>
                <w:sz w:val="18"/>
                <w:szCs w:val="18"/>
              </w:rPr>
            </w:pPr>
            <w:r>
              <w:rPr>
                <w:sz w:val="18"/>
                <w:szCs w:val="18"/>
              </w:rPr>
              <w:t>10 %</w:t>
            </w:r>
          </w:p>
        </w:tc>
      </w:tr>
      <w:tr w:rsidR="009700E5" w14:paraId="68A1DD80" w14:textId="77777777">
        <w:trPr>
          <w:cantSplit/>
        </w:trPr>
        <w:tc>
          <w:tcPr>
            <w:tcW w:w="314" w:type="pct"/>
            <w:tcBorders>
              <w:right w:val="single" w:sz="4" w:space="0" w:color="auto"/>
            </w:tcBorders>
          </w:tcPr>
          <w:p w14:paraId="28E23FFA" w14:textId="77777777" w:rsidR="009700E5" w:rsidRDefault="002C033C">
            <w:pPr>
              <w:keepNext/>
              <w:keepLines/>
              <w:numPr>
                <w:ilvl w:val="12"/>
                <w:numId w:val="0"/>
              </w:numPr>
              <w:ind w:right="-2"/>
              <w:jc w:val="center"/>
              <w:rPr>
                <w:sz w:val="18"/>
                <w:szCs w:val="18"/>
              </w:rPr>
            </w:pPr>
            <w:r>
              <w:rPr>
                <w:sz w:val="18"/>
                <w:szCs w:val="18"/>
              </w:rPr>
              <w:t>52</w:t>
            </w:r>
          </w:p>
        </w:tc>
        <w:tc>
          <w:tcPr>
            <w:tcW w:w="460" w:type="pct"/>
            <w:tcBorders>
              <w:left w:val="single" w:sz="4" w:space="0" w:color="auto"/>
              <w:right w:val="single" w:sz="4" w:space="0" w:color="auto"/>
            </w:tcBorders>
          </w:tcPr>
          <w:p w14:paraId="0ABD24C1" w14:textId="77777777" w:rsidR="009700E5" w:rsidRDefault="009700E5">
            <w:pPr>
              <w:keepNext/>
              <w:keepLines/>
              <w:numPr>
                <w:ilvl w:val="12"/>
                <w:numId w:val="0"/>
              </w:numPr>
              <w:ind w:right="-2"/>
              <w:jc w:val="center"/>
              <w:rPr>
                <w:sz w:val="18"/>
                <w:szCs w:val="18"/>
              </w:rPr>
            </w:pPr>
          </w:p>
        </w:tc>
        <w:tc>
          <w:tcPr>
            <w:tcW w:w="355" w:type="pct"/>
            <w:tcBorders>
              <w:left w:val="single" w:sz="4" w:space="0" w:color="auto"/>
              <w:right w:val="single" w:sz="4" w:space="0" w:color="auto"/>
            </w:tcBorders>
          </w:tcPr>
          <w:p w14:paraId="1537A5CE" w14:textId="77777777" w:rsidR="009700E5" w:rsidRDefault="009700E5">
            <w:pPr>
              <w:keepNext/>
              <w:keepLines/>
              <w:numPr>
                <w:ilvl w:val="12"/>
                <w:numId w:val="0"/>
              </w:numPr>
              <w:ind w:right="-2"/>
              <w:jc w:val="center"/>
              <w:rPr>
                <w:sz w:val="18"/>
                <w:szCs w:val="18"/>
              </w:rPr>
            </w:pPr>
          </w:p>
        </w:tc>
        <w:tc>
          <w:tcPr>
            <w:tcW w:w="513" w:type="pct"/>
            <w:tcBorders>
              <w:left w:val="single" w:sz="4" w:space="0" w:color="auto"/>
              <w:right w:val="single" w:sz="4" w:space="0" w:color="auto"/>
            </w:tcBorders>
          </w:tcPr>
          <w:p w14:paraId="12E09154" w14:textId="77777777" w:rsidR="009700E5" w:rsidRDefault="002C033C">
            <w:pPr>
              <w:keepNext/>
              <w:keepLines/>
              <w:numPr>
                <w:ilvl w:val="12"/>
                <w:numId w:val="0"/>
              </w:numPr>
              <w:ind w:right="-2"/>
              <w:jc w:val="center"/>
              <w:rPr>
                <w:sz w:val="18"/>
                <w:szCs w:val="18"/>
              </w:rPr>
            </w:pPr>
            <w:r>
              <w:rPr>
                <w:sz w:val="18"/>
                <w:szCs w:val="18"/>
              </w:rPr>
              <w:t>56 %***</w:t>
            </w:r>
          </w:p>
        </w:tc>
        <w:tc>
          <w:tcPr>
            <w:tcW w:w="444" w:type="pct"/>
            <w:tcBorders>
              <w:left w:val="single" w:sz="4" w:space="0" w:color="auto"/>
              <w:right w:val="single" w:sz="4" w:space="0" w:color="auto"/>
            </w:tcBorders>
          </w:tcPr>
          <w:p w14:paraId="4C33ED8D" w14:textId="77777777" w:rsidR="009700E5" w:rsidRDefault="002C033C">
            <w:pPr>
              <w:keepNext/>
              <w:keepLines/>
              <w:numPr>
                <w:ilvl w:val="12"/>
                <w:numId w:val="0"/>
              </w:numPr>
              <w:ind w:right="-2"/>
              <w:jc w:val="center"/>
              <w:rPr>
                <w:sz w:val="18"/>
                <w:szCs w:val="18"/>
              </w:rPr>
            </w:pPr>
            <w:r>
              <w:rPr>
                <w:sz w:val="18"/>
                <w:szCs w:val="18"/>
              </w:rPr>
              <w:t>25 %</w:t>
            </w:r>
          </w:p>
        </w:tc>
        <w:tc>
          <w:tcPr>
            <w:tcW w:w="491" w:type="pct"/>
            <w:tcBorders>
              <w:left w:val="single" w:sz="4" w:space="0" w:color="auto"/>
              <w:right w:val="single" w:sz="4" w:space="0" w:color="auto"/>
            </w:tcBorders>
          </w:tcPr>
          <w:p w14:paraId="7F2D103D" w14:textId="77777777" w:rsidR="009700E5" w:rsidRDefault="009700E5">
            <w:pPr>
              <w:keepNext/>
              <w:keepLines/>
              <w:numPr>
                <w:ilvl w:val="12"/>
                <w:numId w:val="0"/>
              </w:numPr>
              <w:ind w:right="-2"/>
              <w:jc w:val="center"/>
              <w:rPr>
                <w:sz w:val="18"/>
                <w:szCs w:val="18"/>
              </w:rPr>
            </w:pPr>
          </w:p>
        </w:tc>
        <w:tc>
          <w:tcPr>
            <w:tcW w:w="444" w:type="pct"/>
            <w:tcBorders>
              <w:left w:val="single" w:sz="4" w:space="0" w:color="auto"/>
            </w:tcBorders>
          </w:tcPr>
          <w:p w14:paraId="7ED4E214" w14:textId="77777777" w:rsidR="009700E5" w:rsidRDefault="009700E5">
            <w:pPr>
              <w:keepNext/>
              <w:keepLines/>
              <w:numPr>
                <w:ilvl w:val="12"/>
                <w:numId w:val="0"/>
              </w:numPr>
              <w:ind w:right="-2"/>
              <w:jc w:val="center"/>
              <w:rPr>
                <w:sz w:val="18"/>
                <w:szCs w:val="18"/>
              </w:rPr>
            </w:pPr>
          </w:p>
        </w:tc>
        <w:tc>
          <w:tcPr>
            <w:tcW w:w="488" w:type="pct"/>
            <w:tcBorders>
              <w:left w:val="nil"/>
            </w:tcBorders>
          </w:tcPr>
          <w:p w14:paraId="47F20516" w14:textId="77777777" w:rsidR="009700E5" w:rsidRDefault="009700E5">
            <w:pPr>
              <w:keepNext/>
              <w:keepLines/>
              <w:numPr>
                <w:ilvl w:val="12"/>
                <w:numId w:val="0"/>
              </w:numPr>
              <w:ind w:right="-2"/>
              <w:jc w:val="center"/>
              <w:rPr>
                <w:sz w:val="18"/>
                <w:szCs w:val="18"/>
              </w:rPr>
            </w:pPr>
          </w:p>
        </w:tc>
        <w:tc>
          <w:tcPr>
            <w:tcW w:w="534" w:type="pct"/>
            <w:tcBorders>
              <w:left w:val="nil"/>
            </w:tcBorders>
          </w:tcPr>
          <w:p w14:paraId="2ABA0585" w14:textId="77777777" w:rsidR="009700E5" w:rsidRDefault="009700E5">
            <w:pPr>
              <w:keepNext/>
              <w:keepLines/>
              <w:numPr>
                <w:ilvl w:val="12"/>
                <w:numId w:val="0"/>
              </w:numPr>
              <w:ind w:right="-2"/>
              <w:jc w:val="center"/>
              <w:rPr>
                <w:sz w:val="18"/>
                <w:szCs w:val="18"/>
              </w:rPr>
            </w:pPr>
          </w:p>
        </w:tc>
        <w:tc>
          <w:tcPr>
            <w:tcW w:w="514" w:type="pct"/>
            <w:tcBorders>
              <w:left w:val="nil"/>
            </w:tcBorders>
          </w:tcPr>
          <w:p w14:paraId="3D7281B4" w14:textId="77777777" w:rsidR="009700E5" w:rsidRDefault="009700E5">
            <w:pPr>
              <w:keepNext/>
              <w:keepLines/>
              <w:numPr>
                <w:ilvl w:val="12"/>
                <w:numId w:val="0"/>
              </w:numPr>
              <w:ind w:right="-2"/>
              <w:jc w:val="center"/>
              <w:rPr>
                <w:sz w:val="18"/>
                <w:szCs w:val="18"/>
              </w:rPr>
            </w:pPr>
          </w:p>
        </w:tc>
        <w:tc>
          <w:tcPr>
            <w:tcW w:w="444" w:type="pct"/>
            <w:tcBorders>
              <w:left w:val="nil"/>
            </w:tcBorders>
          </w:tcPr>
          <w:p w14:paraId="6CE6ADAE" w14:textId="77777777" w:rsidR="009700E5" w:rsidRDefault="009700E5">
            <w:pPr>
              <w:keepNext/>
              <w:keepLines/>
              <w:numPr>
                <w:ilvl w:val="12"/>
                <w:numId w:val="0"/>
              </w:numPr>
              <w:ind w:right="-2"/>
              <w:jc w:val="center"/>
              <w:rPr>
                <w:sz w:val="18"/>
                <w:szCs w:val="18"/>
              </w:rPr>
            </w:pPr>
          </w:p>
        </w:tc>
      </w:tr>
      <w:tr w:rsidR="009700E5" w14:paraId="44DB1DDC" w14:textId="77777777">
        <w:trPr>
          <w:cantSplit/>
        </w:trPr>
        <w:tc>
          <w:tcPr>
            <w:tcW w:w="5000" w:type="pct"/>
            <w:gridSpan w:val="11"/>
          </w:tcPr>
          <w:p w14:paraId="24BB69EB" w14:textId="77777777" w:rsidR="009700E5" w:rsidRDefault="002C033C">
            <w:pPr>
              <w:keepNext/>
              <w:keepLines/>
              <w:numPr>
                <w:ilvl w:val="12"/>
                <w:numId w:val="0"/>
              </w:numPr>
              <w:ind w:right="-2"/>
              <w:jc w:val="center"/>
              <w:rPr>
                <w:b/>
                <w:sz w:val="18"/>
                <w:szCs w:val="18"/>
              </w:rPr>
            </w:pPr>
            <w:r>
              <w:rPr>
                <w:b/>
                <w:sz w:val="18"/>
                <w:szCs w:val="18"/>
              </w:rPr>
              <w:t>ACR 50</w:t>
            </w:r>
          </w:p>
        </w:tc>
      </w:tr>
      <w:tr w:rsidR="009700E5" w14:paraId="543635FA" w14:textId="77777777">
        <w:trPr>
          <w:cantSplit/>
        </w:trPr>
        <w:tc>
          <w:tcPr>
            <w:tcW w:w="314" w:type="pct"/>
            <w:tcBorders>
              <w:right w:val="single" w:sz="4" w:space="0" w:color="auto"/>
            </w:tcBorders>
          </w:tcPr>
          <w:p w14:paraId="25155152" w14:textId="77777777" w:rsidR="009700E5" w:rsidRDefault="002C033C">
            <w:pPr>
              <w:keepNext/>
              <w:keepLines/>
              <w:numPr>
                <w:ilvl w:val="12"/>
                <w:numId w:val="0"/>
              </w:numPr>
              <w:ind w:right="-2"/>
              <w:jc w:val="center"/>
              <w:rPr>
                <w:sz w:val="18"/>
                <w:szCs w:val="18"/>
              </w:rPr>
            </w:pPr>
            <w:r>
              <w:rPr>
                <w:sz w:val="18"/>
                <w:szCs w:val="18"/>
              </w:rPr>
              <w:t>24</w:t>
            </w:r>
          </w:p>
        </w:tc>
        <w:tc>
          <w:tcPr>
            <w:tcW w:w="460" w:type="pct"/>
            <w:tcBorders>
              <w:left w:val="single" w:sz="4" w:space="0" w:color="auto"/>
              <w:right w:val="single" w:sz="4" w:space="0" w:color="auto"/>
            </w:tcBorders>
          </w:tcPr>
          <w:p w14:paraId="3DDD8CCF" w14:textId="77777777" w:rsidR="009700E5" w:rsidRDefault="002C033C">
            <w:pPr>
              <w:keepNext/>
              <w:keepLines/>
              <w:numPr>
                <w:ilvl w:val="12"/>
                <w:numId w:val="0"/>
              </w:numPr>
              <w:ind w:right="-2"/>
              <w:jc w:val="center"/>
              <w:rPr>
                <w:sz w:val="18"/>
                <w:szCs w:val="18"/>
              </w:rPr>
            </w:pPr>
            <w:r>
              <w:rPr>
                <w:sz w:val="18"/>
                <w:szCs w:val="18"/>
              </w:rPr>
              <w:t>44 %**</w:t>
            </w:r>
          </w:p>
        </w:tc>
        <w:tc>
          <w:tcPr>
            <w:tcW w:w="355" w:type="pct"/>
            <w:tcBorders>
              <w:left w:val="single" w:sz="4" w:space="0" w:color="auto"/>
              <w:right w:val="single" w:sz="4" w:space="0" w:color="auto"/>
            </w:tcBorders>
          </w:tcPr>
          <w:p w14:paraId="776FA8C1" w14:textId="77777777" w:rsidR="009700E5" w:rsidRDefault="002C033C">
            <w:pPr>
              <w:keepNext/>
              <w:keepLines/>
              <w:numPr>
                <w:ilvl w:val="12"/>
                <w:numId w:val="0"/>
              </w:numPr>
              <w:ind w:right="-2"/>
              <w:jc w:val="center"/>
              <w:rPr>
                <w:sz w:val="18"/>
                <w:szCs w:val="18"/>
              </w:rPr>
            </w:pPr>
            <w:r>
              <w:rPr>
                <w:sz w:val="18"/>
                <w:szCs w:val="18"/>
              </w:rPr>
              <w:t>33 %</w:t>
            </w:r>
          </w:p>
        </w:tc>
        <w:tc>
          <w:tcPr>
            <w:tcW w:w="513" w:type="pct"/>
            <w:tcBorders>
              <w:left w:val="single" w:sz="4" w:space="0" w:color="auto"/>
              <w:right w:val="single" w:sz="4" w:space="0" w:color="auto"/>
            </w:tcBorders>
          </w:tcPr>
          <w:p w14:paraId="11A9DFDD" w14:textId="77777777" w:rsidR="009700E5" w:rsidRDefault="002C033C">
            <w:pPr>
              <w:keepNext/>
              <w:keepLines/>
              <w:numPr>
                <w:ilvl w:val="12"/>
                <w:numId w:val="0"/>
              </w:numPr>
              <w:ind w:right="-2"/>
              <w:jc w:val="center"/>
              <w:rPr>
                <w:sz w:val="18"/>
                <w:szCs w:val="18"/>
              </w:rPr>
            </w:pPr>
            <w:r>
              <w:rPr>
                <w:sz w:val="18"/>
                <w:szCs w:val="18"/>
              </w:rPr>
              <w:t>32 %***</w:t>
            </w:r>
          </w:p>
        </w:tc>
        <w:tc>
          <w:tcPr>
            <w:tcW w:w="444" w:type="pct"/>
            <w:tcBorders>
              <w:left w:val="single" w:sz="4" w:space="0" w:color="auto"/>
              <w:right w:val="single" w:sz="4" w:space="0" w:color="auto"/>
            </w:tcBorders>
          </w:tcPr>
          <w:p w14:paraId="3CFDDC8E" w14:textId="77777777" w:rsidR="009700E5" w:rsidRDefault="002C033C">
            <w:pPr>
              <w:keepNext/>
              <w:keepLines/>
              <w:numPr>
                <w:ilvl w:val="12"/>
                <w:numId w:val="0"/>
              </w:numPr>
              <w:ind w:right="-2"/>
              <w:jc w:val="center"/>
              <w:rPr>
                <w:sz w:val="18"/>
                <w:szCs w:val="18"/>
              </w:rPr>
            </w:pPr>
            <w:r>
              <w:rPr>
                <w:sz w:val="18"/>
                <w:szCs w:val="18"/>
              </w:rPr>
              <w:t>10 %</w:t>
            </w:r>
          </w:p>
        </w:tc>
        <w:tc>
          <w:tcPr>
            <w:tcW w:w="491" w:type="pct"/>
            <w:tcBorders>
              <w:left w:val="single" w:sz="4" w:space="0" w:color="auto"/>
              <w:right w:val="single" w:sz="4" w:space="0" w:color="auto"/>
            </w:tcBorders>
          </w:tcPr>
          <w:p w14:paraId="7203010F" w14:textId="77777777" w:rsidR="009700E5" w:rsidRDefault="002C033C">
            <w:pPr>
              <w:keepNext/>
              <w:keepLines/>
              <w:numPr>
                <w:ilvl w:val="12"/>
                <w:numId w:val="0"/>
              </w:numPr>
              <w:ind w:right="-2"/>
              <w:jc w:val="center"/>
              <w:rPr>
                <w:sz w:val="18"/>
                <w:szCs w:val="18"/>
              </w:rPr>
            </w:pPr>
            <w:r>
              <w:rPr>
                <w:sz w:val="18"/>
                <w:szCs w:val="18"/>
              </w:rPr>
              <w:t>44 %***</w:t>
            </w:r>
          </w:p>
        </w:tc>
        <w:tc>
          <w:tcPr>
            <w:tcW w:w="444" w:type="pct"/>
            <w:tcBorders>
              <w:left w:val="single" w:sz="4" w:space="0" w:color="auto"/>
            </w:tcBorders>
          </w:tcPr>
          <w:p w14:paraId="784C959B" w14:textId="77777777" w:rsidR="009700E5" w:rsidRDefault="002C033C">
            <w:pPr>
              <w:keepNext/>
              <w:keepLines/>
              <w:numPr>
                <w:ilvl w:val="12"/>
                <w:numId w:val="0"/>
              </w:numPr>
              <w:ind w:right="-2"/>
              <w:jc w:val="center"/>
              <w:rPr>
                <w:sz w:val="18"/>
                <w:szCs w:val="18"/>
              </w:rPr>
            </w:pPr>
            <w:r>
              <w:rPr>
                <w:sz w:val="18"/>
                <w:szCs w:val="18"/>
              </w:rPr>
              <w:t>11 %</w:t>
            </w:r>
          </w:p>
        </w:tc>
        <w:tc>
          <w:tcPr>
            <w:tcW w:w="488" w:type="pct"/>
            <w:tcBorders>
              <w:left w:val="nil"/>
            </w:tcBorders>
          </w:tcPr>
          <w:p w14:paraId="2D145093" w14:textId="77777777" w:rsidR="009700E5" w:rsidRDefault="002C033C">
            <w:pPr>
              <w:keepNext/>
              <w:keepLines/>
              <w:numPr>
                <w:ilvl w:val="12"/>
                <w:numId w:val="0"/>
              </w:numPr>
              <w:ind w:right="-2"/>
              <w:jc w:val="center"/>
              <w:rPr>
                <w:sz w:val="18"/>
                <w:szCs w:val="18"/>
              </w:rPr>
            </w:pPr>
            <w:r>
              <w:rPr>
                <w:sz w:val="18"/>
                <w:szCs w:val="18"/>
              </w:rPr>
              <w:t>38 %***</w:t>
            </w:r>
          </w:p>
        </w:tc>
        <w:tc>
          <w:tcPr>
            <w:tcW w:w="534" w:type="pct"/>
            <w:tcBorders>
              <w:left w:val="nil"/>
            </w:tcBorders>
          </w:tcPr>
          <w:p w14:paraId="7F63D537" w14:textId="77777777" w:rsidR="009700E5" w:rsidRDefault="002C033C">
            <w:pPr>
              <w:keepNext/>
              <w:keepLines/>
              <w:numPr>
                <w:ilvl w:val="12"/>
                <w:numId w:val="0"/>
              </w:numPr>
              <w:ind w:right="-2"/>
              <w:jc w:val="center"/>
              <w:rPr>
                <w:sz w:val="18"/>
                <w:szCs w:val="18"/>
              </w:rPr>
            </w:pPr>
            <w:r>
              <w:rPr>
                <w:sz w:val="18"/>
                <w:szCs w:val="18"/>
              </w:rPr>
              <w:t>9 %</w:t>
            </w:r>
          </w:p>
        </w:tc>
        <w:tc>
          <w:tcPr>
            <w:tcW w:w="514" w:type="pct"/>
            <w:tcBorders>
              <w:left w:val="nil"/>
            </w:tcBorders>
          </w:tcPr>
          <w:p w14:paraId="33F79990" w14:textId="77777777" w:rsidR="009700E5" w:rsidRDefault="002C033C">
            <w:pPr>
              <w:keepNext/>
              <w:keepLines/>
              <w:numPr>
                <w:ilvl w:val="12"/>
                <w:numId w:val="0"/>
              </w:numPr>
              <w:ind w:right="-2"/>
              <w:jc w:val="center"/>
              <w:rPr>
                <w:sz w:val="18"/>
                <w:szCs w:val="18"/>
              </w:rPr>
            </w:pPr>
            <w:r>
              <w:rPr>
                <w:sz w:val="18"/>
                <w:szCs w:val="18"/>
              </w:rPr>
              <w:t>29 %***</w:t>
            </w:r>
          </w:p>
        </w:tc>
        <w:tc>
          <w:tcPr>
            <w:tcW w:w="444" w:type="pct"/>
            <w:tcBorders>
              <w:left w:val="nil"/>
            </w:tcBorders>
          </w:tcPr>
          <w:p w14:paraId="3CCB0972" w14:textId="77777777" w:rsidR="009700E5" w:rsidRDefault="002C033C">
            <w:pPr>
              <w:keepNext/>
              <w:keepLines/>
              <w:numPr>
                <w:ilvl w:val="12"/>
                <w:numId w:val="0"/>
              </w:numPr>
              <w:ind w:right="-2"/>
              <w:jc w:val="center"/>
              <w:rPr>
                <w:sz w:val="18"/>
                <w:szCs w:val="18"/>
              </w:rPr>
            </w:pPr>
            <w:r>
              <w:rPr>
                <w:sz w:val="18"/>
                <w:szCs w:val="18"/>
              </w:rPr>
              <w:t>4 %</w:t>
            </w:r>
          </w:p>
        </w:tc>
      </w:tr>
      <w:tr w:rsidR="009700E5" w14:paraId="72B87B6F" w14:textId="77777777">
        <w:trPr>
          <w:cantSplit/>
        </w:trPr>
        <w:tc>
          <w:tcPr>
            <w:tcW w:w="314" w:type="pct"/>
            <w:tcBorders>
              <w:right w:val="single" w:sz="4" w:space="0" w:color="auto"/>
            </w:tcBorders>
          </w:tcPr>
          <w:p w14:paraId="3EC19050" w14:textId="77777777" w:rsidR="009700E5" w:rsidRDefault="002C033C">
            <w:pPr>
              <w:keepNext/>
              <w:keepLines/>
              <w:numPr>
                <w:ilvl w:val="12"/>
                <w:numId w:val="0"/>
              </w:numPr>
              <w:ind w:right="-2"/>
              <w:jc w:val="center"/>
              <w:rPr>
                <w:sz w:val="18"/>
                <w:szCs w:val="18"/>
              </w:rPr>
            </w:pPr>
            <w:r>
              <w:rPr>
                <w:sz w:val="18"/>
                <w:szCs w:val="18"/>
              </w:rPr>
              <w:t>52</w:t>
            </w:r>
          </w:p>
        </w:tc>
        <w:tc>
          <w:tcPr>
            <w:tcW w:w="460" w:type="pct"/>
            <w:tcBorders>
              <w:left w:val="single" w:sz="4" w:space="0" w:color="auto"/>
              <w:right w:val="single" w:sz="4" w:space="0" w:color="auto"/>
            </w:tcBorders>
          </w:tcPr>
          <w:p w14:paraId="22CA1465" w14:textId="77777777" w:rsidR="009700E5" w:rsidRDefault="009700E5">
            <w:pPr>
              <w:keepNext/>
              <w:keepLines/>
              <w:numPr>
                <w:ilvl w:val="12"/>
                <w:numId w:val="0"/>
              </w:numPr>
              <w:ind w:right="-2"/>
              <w:jc w:val="center"/>
              <w:rPr>
                <w:sz w:val="18"/>
                <w:szCs w:val="18"/>
              </w:rPr>
            </w:pPr>
          </w:p>
        </w:tc>
        <w:tc>
          <w:tcPr>
            <w:tcW w:w="355" w:type="pct"/>
            <w:tcBorders>
              <w:left w:val="single" w:sz="4" w:space="0" w:color="auto"/>
              <w:right w:val="single" w:sz="4" w:space="0" w:color="auto"/>
            </w:tcBorders>
          </w:tcPr>
          <w:p w14:paraId="3D7D3D89" w14:textId="77777777" w:rsidR="009700E5" w:rsidRDefault="009700E5">
            <w:pPr>
              <w:keepNext/>
              <w:keepLines/>
              <w:numPr>
                <w:ilvl w:val="12"/>
                <w:numId w:val="0"/>
              </w:numPr>
              <w:ind w:right="-2"/>
              <w:jc w:val="center"/>
              <w:rPr>
                <w:sz w:val="18"/>
                <w:szCs w:val="18"/>
              </w:rPr>
            </w:pPr>
          </w:p>
        </w:tc>
        <w:tc>
          <w:tcPr>
            <w:tcW w:w="513" w:type="pct"/>
            <w:tcBorders>
              <w:left w:val="single" w:sz="4" w:space="0" w:color="auto"/>
              <w:right w:val="single" w:sz="4" w:space="0" w:color="auto"/>
            </w:tcBorders>
          </w:tcPr>
          <w:p w14:paraId="08AE7841" w14:textId="77777777" w:rsidR="009700E5" w:rsidRDefault="002C033C">
            <w:pPr>
              <w:keepNext/>
              <w:keepLines/>
              <w:numPr>
                <w:ilvl w:val="12"/>
                <w:numId w:val="0"/>
              </w:numPr>
              <w:ind w:right="-2"/>
              <w:jc w:val="center"/>
              <w:rPr>
                <w:sz w:val="18"/>
                <w:szCs w:val="18"/>
              </w:rPr>
            </w:pPr>
            <w:r>
              <w:rPr>
                <w:sz w:val="18"/>
                <w:szCs w:val="18"/>
              </w:rPr>
              <w:t>36 %***</w:t>
            </w:r>
          </w:p>
        </w:tc>
        <w:tc>
          <w:tcPr>
            <w:tcW w:w="444" w:type="pct"/>
            <w:tcBorders>
              <w:left w:val="single" w:sz="4" w:space="0" w:color="auto"/>
              <w:right w:val="single" w:sz="4" w:space="0" w:color="auto"/>
            </w:tcBorders>
          </w:tcPr>
          <w:p w14:paraId="28481408" w14:textId="77777777" w:rsidR="009700E5" w:rsidRDefault="002C033C">
            <w:pPr>
              <w:keepNext/>
              <w:keepLines/>
              <w:numPr>
                <w:ilvl w:val="12"/>
                <w:numId w:val="0"/>
              </w:numPr>
              <w:ind w:right="-2"/>
              <w:jc w:val="center"/>
              <w:rPr>
                <w:sz w:val="18"/>
                <w:szCs w:val="18"/>
              </w:rPr>
            </w:pPr>
            <w:r>
              <w:rPr>
                <w:sz w:val="18"/>
                <w:szCs w:val="18"/>
              </w:rPr>
              <w:t>10 %</w:t>
            </w:r>
          </w:p>
        </w:tc>
        <w:tc>
          <w:tcPr>
            <w:tcW w:w="491" w:type="pct"/>
            <w:tcBorders>
              <w:left w:val="single" w:sz="4" w:space="0" w:color="auto"/>
              <w:right w:val="single" w:sz="4" w:space="0" w:color="auto"/>
            </w:tcBorders>
          </w:tcPr>
          <w:p w14:paraId="70353625" w14:textId="77777777" w:rsidR="009700E5" w:rsidRDefault="009700E5">
            <w:pPr>
              <w:keepNext/>
              <w:keepLines/>
              <w:numPr>
                <w:ilvl w:val="12"/>
                <w:numId w:val="0"/>
              </w:numPr>
              <w:ind w:right="-2"/>
              <w:jc w:val="center"/>
              <w:rPr>
                <w:sz w:val="18"/>
                <w:szCs w:val="18"/>
              </w:rPr>
            </w:pPr>
          </w:p>
        </w:tc>
        <w:tc>
          <w:tcPr>
            <w:tcW w:w="444" w:type="pct"/>
            <w:tcBorders>
              <w:left w:val="single" w:sz="4" w:space="0" w:color="auto"/>
            </w:tcBorders>
          </w:tcPr>
          <w:p w14:paraId="446B0EF8" w14:textId="77777777" w:rsidR="009700E5" w:rsidRDefault="009700E5">
            <w:pPr>
              <w:keepNext/>
              <w:keepLines/>
              <w:numPr>
                <w:ilvl w:val="12"/>
                <w:numId w:val="0"/>
              </w:numPr>
              <w:ind w:right="-2"/>
              <w:jc w:val="center"/>
              <w:rPr>
                <w:sz w:val="18"/>
                <w:szCs w:val="18"/>
              </w:rPr>
            </w:pPr>
          </w:p>
        </w:tc>
        <w:tc>
          <w:tcPr>
            <w:tcW w:w="488" w:type="pct"/>
            <w:tcBorders>
              <w:left w:val="nil"/>
            </w:tcBorders>
          </w:tcPr>
          <w:p w14:paraId="5A2A1EBA" w14:textId="77777777" w:rsidR="009700E5" w:rsidRDefault="009700E5">
            <w:pPr>
              <w:keepNext/>
              <w:keepLines/>
              <w:numPr>
                <w:ilvl w:val="12"/>
                <w:numId w:val="0"/>
              </w:numPr>
              <w:ind w:right="-2"/>
              <w:jc w:val="center"/>
              <w:rPr>
                <w:sz w:val="18"/>
                <w:szCs w:val="18"/>
              </w:rPr>
            </w:pPr>
          </w:p>
        </w:tc>
        <w:tc>
          <w:tcPr>
            <w:tcW w:w="534" w:type="pct"/>
            <w:tcBorders>
              <w:left w:val="nil"/>
            </w:tcBorders>
          </w:tcPr>
          <w:p w14:paraId="1CE9AF39" w14:textId="77777777" w:rsidR="009700E5" w:rsidRDefault="009700E5">
            <w:pPr>
              <w:keepNext/>
              <w:keepLines/>
              <w:numPr>
                <w:ilvl w:val="12"/>
                <w:numId w:val="0"/>
              </w:numPr>
              <w:ind w:right="-2"/>
              <w:jc w:val="center"/>
              <w:rPr>
                <w:sz w:val="18"/>
                <w:szCs w:val="18"/>
              </w:rPr>
            </w:pPr>
          </w:p>
        </w:tc>
        <w:tc>
          <w:tcPr>
            <w:tcW w:w="514" w:type="pct"/>
            <w:tcBorders>
              <w:left w:val="nil"/>
            </w:tcBorders>
          </w:tcPr>
          <w:p w14:paraId="4BF3D587" w14:textId="77777777" w:rsidR="009700E5" w:rsidRDefault="009700E5">
            <w:pPr>
              <w:keepNext/>
              <w:keepLines/>
              <w:numPr>
                <w:ilvl w:val="12"/>
                <w:numId w:val="0"/>
              </w:numPr>
              <w:ind w:right="-2"/>
              <w:jc w:val="center"/>
              <w:rPr>
                <w:sz w:val="18"/>
                <w:szCs w:val="18"/>
              </w:rPr>
            </w:pPr>
          </w:p>
        </w:tc>
        <w:tc>
          <w:tcPr>
            <w:tcW w:w="444" w:type="pct"/>
            <w:tcBorders>
              <w:left w:val="nil"/>
            </w:tcBorders>
          </w:tcPr>
          <w:p w14:paraId="6453823E" w14:textId="77777777" w:rsidR="009700E5" w:rsidRDefault="009700E5">
            <w:pPr>
              <w:keepNext/>
              <w:keepLines/>
              <w:numPr>
                <w:ilvl w:val="12"/>
                <w:numId w:val="0"/>
              </w:numPr>
              <w:ind w:right="-2"/>
              <w:jc w:val="center"/>
              <w:rPr>
                <w:sz w:val="18"/>
                <w:szCs w:val="18"/>
              </w:rPr>
            </w:pPr>
          </w:p>
        </w:tc>
      </w:tr>
      <w:tr w:rsidR="009700E5" w14:paraId="615CCA9E" w14:textId="77777777">
        <w:trPr>
          <w:cantSplit/>
        </w:trPr>
        <w:tc>
          <w:tcPr>
            <w:tcW w:w="5000" w:type="pct"/>
            <w:gridSpan w:val="11"/>
          </w:tcPr>
          <w:p w14:paraId="2A643548" w14:textId="77777777" w:rsidR="009700E5" w:rsidRDefault="002C033C">
            <w:pPr>
              <w:keepNext/>
              <w:keepLines/>
              <w:numPr>
                <w:ilvl w:val="12"/>
                <w:numId w:val="0"/>
              </w:numPr>
              <w:ind w:right="-2"/>
              <w:jc w:val="center"/>
              <w:rPr>
                <w:b/>
                <w:sz w:val="18"/>
                <w:szCs w:val="18"/>
              </w:rPr>
            </w:pPr>
            <w:r>
              <w:rPr>
                <w:b/>
                <w:sz w:val="18"/>
                <w:szCs w:val="18"/>
              </w:rPr>
              <w:t>ACR 70</w:t>
            </w:r>
          </w:p>
        </w:tc>
      </w:tr>
      <w:tr w:rsidR="009700E5" w14:paraId="4D1E99D8" w14:textId="77777777">
        <w:trPr>
          <w:cantSplit/>
        </w:trPr>
        <w:tc>
          <w:tcPr>
            <w:tcW w:w="314" w:type="pct"/>
            <w:tcBorders>
              <w:right w:val="single" w:sz="4" w:space="0" w:color="auto"/>
            </w:tcBorders>
          </w:tcPr>
          <w:p w14:paraId="3FD609D5" w14:textId="77777777" w:rsidR="009700E5" w:rsidRDefault="002C033C">
            <w:pPr>
              <w:keepNext/>
              <w:keepLines/>
              <w:numPr>
                <w:ilvl w:val="12"/>
                <w:numId w:val="0"/>
              </w:numPr>
              <w:ind w:right="-2"/>
              <w:jc w:val="center"/>
              <w:rPr>
                <w:sz w:val="18"/>
                <w:szCs w:val="18"/>
              </w:rPr>
            </w:pPr>
            <w:r>
              <w:rPr>
                <w:sz w:val="18"/>
                <w:szCs w:val="18"/>
              </w:rPr>
              <w:t>24</w:t>
            </w:r>
          </w:p>
        </w:tc>
        <w:tc>
          <w:tcPr>
            <w:tcW w:w="460" w:type="pct"/>
            <w:tcBorders>
              <w:left w:val="single" w:sz="4" w:space="0" w:color="auto"/>
              <w:right w:val="single" w:sz="4" w:space="0" w:color="auto"/>
            </w:tcBorders>
          </w:tcPr>
          <w:p w14:paraId="11440294" w14:textId="77777777" w:rsidR="009700E5" w:rsidRDefault="002C033C">
            <w:pPr>
              <w:keepNext/>
              <w:keepLines/>
              <w:numPr>
                <w:ilvl w:val="12"/>
                <w:numId w:val="0"/>
              </w:numPr>
              <w:ind w:right="-2"/>
              <w:jc w:val="center"/>
              <w:rPr>
                <w:sz w:val="18"/>
                <w:szCs w:val="18"/>
              </w:rPr>
            </w:pPr>
            <w:r>
              <w:rPr>
                <w:sz w:val="18"/>
                <w:szCs w:val="18"/>
              </w:rPr>
              <w:t>28 %**</w:t>
            </w:r>
          </w:p>
        </w:tc>
        <w:tc>
          <w:tcPr>
            <w:tcW w:w="355" w:type="pct"/>
            <w:tcBorders>
              <w:left w:val="single" w:sz="4" w:space="0" w:color="auto"/>
              <w:right w:val="single" w:sz="4" w:space="0" w:color="auto"/>
            </w:tcBorders>
          </w:tcPr>
          <w:p w14:paraId="7923A534" w14:textId="77777777" w:rsidR="009700E5" w:rsidRDefault="002C033C">
            <w:pPr>
              <w:keepNext/>
              <w:keepLines/>
              <w:numPr>
                <w:ilvl w:val="12"/>
                <w:numId w:val="0"/>
              </w:numPr>
              <w:ind w:right="-2"/>
              <w:jc w:val="center"/>
              <w:rPr>
                <w:sz w:val="18"/>
                <w:szCs w:val="18"/>
              </w:rPr>
            </w:pPr>
            <w:r>
              <w:rPr>
                <w:sz w:val="18"/>
                <w:szCs w:val="18"/>
              </w:rPr>
              <w:t>15 %</w:t>
            </w:r>
          </w:p>
        </w:tc>
        <w:tc>
          <w:tcPr>
            <w:tcW w:w="513" w:type="pct"/>
            <w:tcBorders>
              <w:left w:val="single" w:sz="4" w:space="0" w:color="auto"/>
              <w:right w:val="single" w:sz="4" w:space="0" w:color="auto"/>
            </w:tcBorders>
          </w:tcPr>
          <w:p w14:paraId="6785B9FE" w14:textId="77777777" w:rsidR="009700E5" w:rsidRDefault="002C033C">
            <w:pPr>
              <w:keepNext/>
              <w:keepLines/>
              <w:numPr>
                <w:ilvl w:val="12"/>
                <w:numId w:val="0"/>
              </w:numPr>
              <w:ind w:right="-2"/>
              <w:jc w:val="center"/>
              <w:rPr>
                <w:sz w:val="18"/>
                <w:szCs w:val="18"/>
              </w:rPr>
            </w:pPr>
            <w:r>
              <w:rPr>
                <w:sz w:val="18"/>
                <w:szCs w:val="18"/>
              </w:rPr>
              <w:t>13 %***</w:t>
            </w:r>
          </w:p>
        </w:tc>
        <w:tc>
          <w:tcPr>
            <w:tcW w:w="444" w:type="pct"/>
            <w:tcBorders>
              <w:left w:val="single" w:sz="4" w:space="0" w:color="auto"/>
              <w:right w:val="single" w:sz="4" w:space="0" w:color="auto"/>
            </w:tcBorders>
          </w:tcPr>
          <w:p w14:paraId="103D3A17" w14:textId="77777777" w:rsidR="009700E5" w:rsidRDefault="002C033C">
            <w:pPr>
              <w:keepNext/>
              <w:keepLines/>
              <w:numPr>
                <w:ilvl w:val="12"/>
                <w:numId w:val="0"/>
              </w:numPr>
              <w:ind w:right="-2"/>
              <w:jc w:val="center"/>
              <w:rPr>
                <w:sz w:val="18"/>
                <w:szCs w:val="18"/>
              </w:rPr>
            </w:pPr>
            <w:r>
              <w:rPr>
                <w:sz w:val="18"/>
                <w:szCs w:val="18"/>
              </w:rPr>
              <w:t>2 %</w:t>
            </w:r>
          </w:p>
        </w:tc>
        <w:tc>
          <w:tcPr>
            <w:tcW w:w="491" w:type="pct"/>
            <w:tcBorders>
              <w:left w:val="single" w:sz="4" w:space="0" w:color="auto"/>
              <w:right w:val="single" w:sz="4" w:space="0" w:color="auto"/>
            </w:tcBorders>
          </w:tcPr>
          <w:p w14:paraId="17EA3EA7" w14:textId="77777777" w:rsidR="009700E5" w:rsidRDefault="002C033C">
            <w:pPr>
              <w:keepNext/>
              <w:keepLines/>
              <w:numPr>
                <w:ilvl w:val="12"/>
                <w:numId w:val="0"/>
              </w:numPr>
              <w:ind w:right="-2"/>
              <w:jc w:val="center"/>
              <w:rPr>
                <w:sz w:val="18"/>
                <w:szCs w:val="18"/>
              </w:rPr>
            </w:pPr>
            <w:r>
              <w:rPr>
                <w:sz w:val="18"/>
                <w:szCs w:val="18"/>
              </w:rPr>
              <w:t>22 %***</w:t>
            </w:r>
          </w:p>
        </w:tc>
        <w:tc>
          <w:tcPr>
            <w:tcW w:w="444" w:type="pct"/>
            <w:tcBorders>
              <w:left w:val="single" w:sz="4" w:space="0" w:color="auto"/>
            </w:tcBorders>
          </w:tcPr>
          <w:p w14:paraId="10724C49" w14:textId="77777777" w:rsidR="009700E5" w:rsidRDefault="002C033C">
            <w:pPr>
              <w:keepNext/>
              <w:keepLines/>
              <w:numPr>
                <w:ilvl w:val="12"/>
                <w:numId w:val="0"/>
              </w:numPr>
              <w:ind w:right="-2"/>
              <w:jc w:val="center"/>
              <w:rPr>
                <w:sz w:val="18"/>
                <w:szCs w:val="18"/>
              </w:rPr>
            </w:pPr>
            <w:r>
              <w:rPr>
                <w:sz w:val="18"/>
                <w:szCs w:val="18"/>
              </w:rPr>
              <w:t>2 %</w:t>
            </w:r>
          </w:p>
        </w:tc>
        <w:tc>
          <w:tcPr>
            <w:tcW w:w="488" w:type="pct"/>
            <w:tcBorders>
              <w:left w:val="nil"/>
            </w:tcBorders>
          </w:tcPr>
          <w:p w14:paraId="0BE5482A" w14:textId="77777777" w:rsidR="009700E5" w:rsidRDefault="002C033C">
            <w:pPr>
              <w:keepNext/>
              <w:keepLines/>
              <w:numPr>
                <w:ilvl w:val="12"/>
                <w:numId w:val="0"/>
              </w:numPr>
              <w:ind w:right="-2"/>
              <w:jc w:val="center"/>
              <w:rPr>
                <w:sz w:val="18"/>
                <w:szCs w:val="18"/>
              </w:rPr>
            </w:pPr>
            <w:r>
              <w:rPr>
                <w:sz w:val="18"/>
                <w:szCs w:val="18"/>
              </w:rPr>
              <w:t>21 %***</w:t>
            </w:r>
          </w:p>
        </w:tc>
        <w:tc>
          <w:tcPr>
            <w:tcW w:w="534" w:type="pct"/>
            <w:tcBorders>
              <w:left w:val="nil"/>
            </w:tcBorders>
          </w:tcPr>
          <w:p w14:paraId="760E3D36" w14:textId="77777777" w:rsidR="009700E5" w:rsidRDefault="002C033C">
            <w:pPr>
              <w:keepNext/>
              <w:keepLines/>
              <w:numPr>
                <w:ilvl w:val="12"/>
                <w:numId w:val="0"/>
              </w:numPr>
              <w:ind w:right="-2"/>
              <w:jc w:val="center"/>
              <w:rPr>
                <w:sz w:val="18"/>
                <w:szCs w:val="18"/>
              </w:rPr>
            </w:pPr>
            <w:r>
              <w:rPr>
                <w:sz w:val="18"/>
                <w:szCs w:val="18"/>
              </w:rPr>
              <w:t>3 %</w:t>
            </w:r>
          </w:p>
        </w:tc>
        <w:tc>
          <w:tcPr>
            <w:tcW w:w="514" w:type="pct"/>
            <w:tcBorders>
              <w:left w:val="nil"/>
            </w:tcBorders>
          </w:tcPr>
          <w:p w14:paraId="1B4F252C" w14:textId="77777777" w:rsidR="009700E5" w:rsidRDefault="002C033C">
            <w:pPr>
              <w:keepNext/>
              <w:keepLines/>
              <w:numPr>
                <w:ilvl w:val="12"/>
                <w:numId w:val="0"/>
              </w:numPr>
              <w:ind w:right="-2"/>
              <w:jc w:val="center"/>
              <w:rPr>
                <w:sz w:val="18"/>
                <w:szCs w:val="18"/>
              </w:rPr>
            </w:pPr>
            <w:r>
              <w:rPr>
                <w:sz w:val="18"/>
                <w:szCs w:val="18"/>
              </w:rPr>
              <w:t>12 %**</w:t>
            </w:r>
          </w:p>
        </w:tc>
        <w:tc>
          <w:tcPr>
            <w:tcW w:w="444" w:type="pct"/>
            <w:tcBorders>
              <w:left w:val="nil"/>
            </w:tcBorders>
          </w:tcPr>
          <w:p w14:paraId="4651D9D5" w14:textId="77777777" w:rsidR="009700E5" w:rsidRDefault="002C033C">
            <w:pPr>
              <w:keepNext/>
              <w:keepLines/>
              <w:numPr>
                <w:ilvl w:val="12"/>
                <w:numId w:val="0"/>
              </w:numPr>
              <w:ind w:right="-2"/>
              <w:jc w:val="center"/>
              <w:rPr>
                <w:sz w:val="18"/>
                <w:szCs w:val="18"/>
              </w:rPr>
            </w:pPr>
            <w:r>
              <w:rPr>
                <w:sz w:val="18"/>
                <w:szCs w:val="18"/>
              </w:rPr>
              <w:t>1 %</w:t>
            </w:r>
          </w:p>
        </w:tc>
      </w:tr>
      <w:tr w:rsidR="009700E5" w14:paraId="34B1CDD2" w14:textId="77777777">
        <w:trPr>
          <w:cantSplit/>
        </w:trPr>
        <w:tc>
          <w:tcPr>
            <w:tcW w:w="314" w:type="pct"/>
          </w:tcPr>
          <w:p w14:paraId="2A00C8AA" w14:textId="77777777" w:rsidR="009700E5" w:rsidRDefault="002C033C">
            <w:pPr>
              <w:keepNext/>
              <w:keepLines/>
              <w:numPr>
                <w:ilvl w:val="12"/>
                <w:numId w:val="0"/>
              </w:numPr>
              <w:ind w:right="-2"/>
              <w:jc w:val="center"/>
              <w:rPr>
                <w:sz w:val="18"/>
                <w:szCs w:val="18"/>
              </w:rPr>
            </w:pPr>
            <w:r>
              <w:rPr>
                <w:sz w:val="18"/>
                <w:szCs w:val="18"/>
              </w:rPr>
              <w:t>52</w:t>
            </w:r>
          </w:p>
        </w:tc>
        <w:tc>
          <w:tcPr>
            <w:tcW w:w="460" w:type="pct"/>
            <w:tcBorders>
              <w:right w:val="single" w:sz="4" w:space="0" w:color="auto"/>
            </w:tcBorders>
          </w:tcPr>
          <w:p w14:paraId="7B1EE963" w14:textId="77777777" w:rsidR="009700E5" w:rsidRDefault="009700E5">
            <w:pPr>
              <w:keepNext/>
              <w:keepLines/>
              <w:numPr>
                <w:ilvl w:val="12"/>
                <w:numId w:val="0"/>
              </w:numPr>
              <w:ind w:right="-2"/>
              <w:jc w:val="center"/>
              <w:rPr>
                <w:sz w:val="18"/>
                <w:szCs w:val="18"/>
              </w:rPr>
            </w:pPr>
          </w:p>
        </w:tc>
        <w:tc>
          <w:tcPr>
            <w:tcW w:w="355" w:type="pct"/>
            <w:tcBorders>
              <w:left w:val="single" w:sz="4" w:space="0" w:color="auto"/>
            </w:tcBorders>
          </w:tcPr>
          <w:p w14:paraId="6BEC6DAD" w14:textId="77777777" w:rsidR="009700E5" w:rsidRDefault="009700E5">
            <w:pPr>
              <w:keepNext/>
              <w:keepLines/>
              <w:numPr>
                <w:ilvl w:val="12"/>
                <w:numId w:val="0"/>
              </w:numPr>
              <w:ind w:right="-2"/>
              <w:jc w:val="center"/>
              <w:rPr>
                <w:sz w:val="18"/>
                <w:szCs w:val="18"/>
              </w:rPr>
            </w:pPr>
          </w:p>
        </w:tc>
        <w:tc>
          <w:tcPr>
            <w:tcW w:w="513" w:type="pct"/>
            <w:tcBorders>
              <w:right w:val="single" w:sz="4" w:space="0" w:color="auto"/>
            </w:tcBorders>
          </w:tcPr>
          <w:p w14:paraId="683889A5" w14:textId="77777777" w:rsidR="009700E5" w:rsidRDefault="002C033C">
            <w:pPr>
              <w:keepNext/>
              <w:keepLines/>
              <w:numPr>
                <w:ilvl w:val="12"/>
                <w:numId w:val="0"/>
              </w:numPr>
              <w:ind w:right="-2"/>
              <w:jc w:val="center"/>
              <w:rPr>
                <w:sz w:val="18"/>
                <w:szCs w:val="18"/>
              </w:rPr>
            </w:pPr>
            <w:r>
              <w:rPr>
                <w:sz w:val="18"/>
                <w:szCs w:val="18"/>
              </w:rPr>
              <w:t>20 %***</w:t>
            </w:r>
          </w:p>
        </w:tc>
        <w:tc>
          <w:tcPr>
            <w:tcW w:w="444" w:type="pct"/>
            <w:tcBorders>
              <w:left w:val="single" w:sz="4" w:space="0" w:color="auto"/>
            </w:tcBorders>
          </w:tcPr>
          <w:p w14:paraId="5C056C43" w14:textId="77777777" w:rsidR="009700E5" w:rsidRDefault="002C033C">
            <w:pPr>
              <w:keepNext/>
              <w:keepLines/>
              <w:numPr>
                <w:ilvl w:val="12"/>
                <w:numId w:val="0"/>
              </w:numPr>
              <w:ind w:right="-2"/>
              <w:jc w:val="center"/>
              <w:rPr>
                <w:sz w:val="18"/>
                <w:szCs w:val="18"/>
              </w:rPr>
            </w:pPr>
            <w:r>
              <w:rPr>
                <w:sz w:val="18"/>
                <w:szCs w:val="18"/>
              </w:rPr>
              <w:t>4 %</w:t>
            </w:r>
          </w:p>
        </w:tc>
        <w:tc>
          <w:tcPr>
            <w:tcW w:w="491" w:type="pct"/>
            <w:tcBorders>
              <w:right w:val="single" w:sz="4" w:space="0" w:color="auto"/>
            </w:tcBorders>
          </w:tcPr>
          <w:p w14:paraId="571720B4" w14:textId="77777777" w:rsidR="009700E5" w:rsidRDefault="009700E5">
            <w:pPr>
              <w:keepNext/>
              <w:keepLines/>
              <w:numPr>
                <w:ilvl w:val="12"/>
                <w:numId w:val="0"/>
              </w:numPr>
              <w:ind w:right="-2"/>
              <w:jc w:val="center"/>
              <w:rPr>
                <w:sz w:val="18"/>
                <w:szCs w:val="18"/>
              </w:rPr>
            </w:pPr>
          </w:p>
        </w:tc>
        <w:tc>
          <w:tcPr>
            <w:tcW w:w="444" w:type="pct"/>
            <w:tcBorders>
              <w:left w:val="single" w:sz="4" w:space="0" w:color="auto"/>
            </w:tcBorders>
          </w:tcPr>
          <w:p w14:paraId="2D4E757B" w14:textId="77777777" w:rsidR="009700E5" w:rsidRDefault="009700E5">
            <w:pPr>
              <w:keepNext/>
              <w:keepLines/>
              <w:numPr>
                <w:ilvl w:val="12"/>
                <w:numId w:val="0"/>
              </w:numPr>
              <w:ind w:right="-2"/>
              <w:jc w:val="center"/>
              <w:rPr>
                <w:sz w:val="18"/>
                <w:szCs w:val="18"/>
              </w:rPr>
            </w:pPr>
          </w:p>
        </w:tc>
        <w:tc>
          <w:tcPr>
            <w:tcW w:w="488" w:type="pct"/>
            <w:tcBorders>
              <w:left w:val="nil"/>
            </w:tcBorders>
          </w:tcPr>
          <w:p w14:paraId="35FDAC3A" w14:textId="77777777" w:rsidR="009700E5" w:rsidRDefault="009700E5">
            <w:pPr>
              <w:keepNext/>
              <w:keepLines/>
              <w:numPr>
                <w:ilvl w:val="12"/>
                <w:numId w:val="0"/>
              </w:numPr>
              <w:ind w:right="-2"/>
              <w:jc w:val="center"/>
              <w:rPr>
                <w:sz w:val="18"/>
                <w:szCs w:val="18"/>
              </w:rPr>
            </w:pPr>
          </w:p>
        </w:tc>
        <w:tc>
          <w:tcPr>
            <w:tcW w:w="534" w:type="pct"/>
            <w:tcBorders>
              <w:left w:val="nil"/>
            </w:tcBorders>
          </w:tcPr>
          <w:p w14:paraId="5FC4FDEB" w14:textId="77777777" w:rsidR="009700E5" w:rsidRDefault="009700E5">
            <w:pPr>
              <w:keepNext/>
              <w:keepLines/>
              <w:numPr>
                <w:ilvl w:val="12"/>
                <w:numId w:val="0"/>
              </w:numPr>
              <w:ind w:right="-2"/>
              <w:jc w:val="center"/>
              <w:rPr>
                <w:sz w:val="18"/>
                <w:szCs w:val="18"/>
              </w:rPr>
            </w:pPr>
          </w:p>
        </w:tc>
        <w:tc>
          <w:tcPr>
            <w:tcW w:w="514" w:type="pct"/>
            <w:tcBorders>
              <w:left w:val="nil"/>
            </w:tcBorders>
          </w:tcPr>
          <w:p w14:paraId="234DF9D6" w14:textId="77777777" w:rsidR="009700E5" w:rsidRDefault="009700E5">
            <w:pPr>
              <w:keepNext/>
              <w:keepLines/>
              <w:numPr>
                <w:ilvl w:val="12"/>
                <w:numId w:val="0"/>
              </w:numPr>
              <w:ind w:right="-2"/>
              <w:jc w:val="center"/>
              <w:rPr>
                <w:sz w:val="18"/>
                <w:szCs w:val="18"/>
              </w:rPr>
            </w:pPr>
          </w:p>
        </w:tc>
        <w:tc>
          <w:tcPr>
            <w:tcW w:w="444" w:type="pct"/>
            <w:tcBorders>
              <w:left w:val="nil"/>
            </w:tcBorders>
          </w:tcPr>
          <w:p w14:paraId="01765BF1" w14:textId="77777777" w:rsidR="009700E5" w:rsidRDefault="009700E5">
            <w:pPr>
              <w:keepNext/>
              <w:keepLines/>
              <w:numPr>
                <w:ilvl w:val="12"/>
                <w:numId w:val="0"/>
              </w:numPr>
              <w:ind w:right="-2"/>
              <w:jc w:val="center"/>
              <w:rPr>
                <w:sz w:val="18"/>
                <w:szCs w:val="18"/>
              </w:rPr>
            </w:pPr>
          </w:p>
        </w:tc>
      </w:tr>
    </w:tbl>
    <w:p w14:paraId="2431BDA5" w14:textId="77777777" w:rsidR="009700E5" w:rsidRDefault="002C033C">
      <w:pPr>
        <w:keepNext/>
        <w:keepLines/>
        <w:numPr>
          <w:ilvl w:val="12"/>
          <w:numId w:val="0"/>
        </w:numPr>
        <w:ind w:right="-2"/>
        <w:rPr>
          <w:sz w:val="18"/>
          <w:szCs w:val="18"/>
        </w:rPr>
      </w:pPr>
      <w:r>
        <w:rPr>
          <w:sz w:val="18"/>
          <w:szCs w:val="18"/>
        </w:rPr>
        <w:t>ACR</w:t>
      </w:r>
      <w:r>
        <w:rPr>
          <w:sz w:val="18"/>
          <w:szCs w:val="18"/>
        </w:rPr>
        <w:tab/>
      </w:r>
      <w:r>
        <w:rPr>
          <w:sz w:val="18"/>
          <w:szCs w:val="18"/>
        </w:rPr>
        <w:tab/>
        <w:t>- kritériá American College of Rheumatology (ACR)</w:t>
      </w:r>
    </w:p>
    <w:p w14:paraId="23452571" w14:textId="77777777" w:rsidR="009700E5" w:rsidRDefault="002C033C">
      <w:pPr>
        <w:keepNext/>
        <w:keepLines/>
        <w:numPr>
          <w:ilvl w:val="12"/>
          <w:numId w:val="0"/>
        </w:numPr>
        <w:ind w:right="-2"/>
        <w:rPr>
          <w:sz w:val="18"/>
          <w:szCs w:val="18"/>
        </w:rPr>
      </w:pPr>
      <w:r>
        <w:rPr>
          <w:sz w:val="18"/>
          <w:szCs w:val="18"/>
        </w:rPr>
        <w:t>TCZ</w:t>
      </w:r>
      <w:r>
        <w:rPr>
          <w:sz w:val="18"/>
          <w:szCs w:val="18"/>
        </w:rPr>
        <w:tab/>
      </w:r>
      <w:r>
        <w:rPr>
          <w:sz w:val="18"/>
          <w:szCs w:val="18"/>
        </w:rPr>
        <w:tab/>
        <w:t>- Tocilizumab</w:t>
      </w:r>
    </w:p>
    <w:p w14:paraId="2EBA2E9D" w14:textId="77777777" w:rsidR="009700E5" w:rsidRDefault="002C033C">
      <w:pPr>
        <w:keepNext/>
        <w:keepLines/>
        <w:numPr>
          <w:ilvl w:val="12"/>
          <w:numId w:val="0"/>
        </w:numPr>
        <w:ind w:right="-2"/>
        <w:rPr>
          <w:sz w:val="18"/>
          <w:szCs w:val="18"/>
        </w:rPr>
      </w:pPr>
      <w:r>
        <w:rPr>
          <w:sz w:val="18"/>
          <w:szCs w:val="18"/>
        </w:rPr>
        <w:t>MTX</w:t>
      </w:r>
      <w:r>
        <w:rPr>
          <w:sz w:val="18"/>
          <w:szCs w:val="18"/>
        </w:rPr>
        <w:tab/>
      </w:r>
      <w:r>
        <w:rPr>
          <w:sz w:val="18"/>
          <w:szCs w:val="18"/>
        </w:rPr>
        <w:tab/>
        <w:t>- Metotrexát</w:t>
      </w:r>
    </w:p>
    <w:p w14:paraId="379B14F7" w14:textId="77777777" w:rsidR="009700E5" w:rsidRDefault="002C033C">
      <w:pPr>
        <w:keepNext/>
        <w:keepLines/>
        <w:numPr>
          <w:ilvl w:val="12"/>
          <w:numId w:val="0"/>
        </w:numPr>
        <w:ind w:right="-2"/>
        <w:rPr>
          <w:sz w:val="18"/>
          <w:szCs w:val="18"/>
        </w:rPr>
      </w:pPr>
      <w:r>
        <w:rPr>
          <w:sz w:val="18"/>
          <w:szCs w:val="18"/>
        </w:rPr>
        <w:t>PBO</w:t>
      </w:r>
      <w:r>
        <w:rPr>
          <w:sz w:val="18"/>
          <w:szCs w:val="18"/>
        </w:rPr>
        <w:tab/>
      </w:r>
      <w:r>
        <w:rPr>
          <w:sz w:val="18"/>
          <w:szCs w:val="18"/>
        </w:rPr>
        <w:tab/>
        <w:t>- Placebo</w:t>
      </w:r>
    </w:p>
    <w:p w14:paraId="53801458" w14:textId="77777777" w:rsidR="009700E5" w:rsidRDefault="002C033C">
      <w:pPr>
        <w:keepNext/>
        <w:keepLines/>
        <w:numPr>
          <w:ilvl w:val="12"/>
          <w:numId w:val="0"/>
        </w:numPr>
        <w:ind w:right="-2"/>
        <w:rPr>
          <w:sz w:val="18"/>
          <w:szCs w:val="18"/>
        </w:rPr>
      </w:pPr>
      <w:r>
        <w:rPr>
          <w:sz w:val="18"/>
          <w:szCs w:val="18"/>
        </w:rPr>
        <w:t xml:space="preserve">DMARD </w:t>
      </w:r>
      <w:r>
        <w:rPr>
          <w:sz w:val="18"/>
          <w:szCs w:val="18"/>
        </w:rPr>
        <w:tab/>
        <w:t>- Antireumatikum modifikujúce priebeh choroby</w:t>
      </w:r>
    </w:p>
    <w:p w14:paraId="73995692" w14:textId="77777777" w:rsidR="009700E5" w:rsidRDefault="002C033C">
      <w:pPr>
        <w:numPr>
          <w:ilvl w:val="12"/>
          <w:numId w:val="0"/>
        </w:numPr>
        <w:ind w:right="-2"/>
        <w:rPr>
          <w:sz w:val="18"/>
          <w:szCs w:val="18"/>
        </w:rPr>
      </w:pPr>
      <w:r>
        <w:rPr>
          <w:sz w:val="18"/>
          <w:szCs w:val="18"/>
        </w:rPr>
        <w:t xml:space="preserve">** </w:t>
      </w:r>
      <w:r>
        <w:rPr>
          <w:sz w:val="18"/>
          <w:szCs w:val="18"/>
        </w:rPr>
        <w:tab/>
      </w:r>
      <w:r>
        <w:rPr>
          <w:sz w:val="18"/>
          <w:szCs w:val="18"/>
        </w:rPr>
        <w:tab/>
        <w:t>- p </w:t>
      </w:r>
      <w:r>
        <w:rPr>
          <w:rFonts w:eastAsia="MS Mincho"/>
          <w:sz w:val="18"/>
          <w:szCs w:val="18"/>
        </w:rPr>
        <w:sym w:font="Symbol" w:char="F03C"/>
      </w:r>
      <w:r>
        <w:rPr>
          <w:sz w:val="18"/>
          <w:szCs w:val="18"/>
        </w:rPr>
        <w:t> 0,01, TCZ oproti PBO + MTX/DMARD</w:t>
      </w:r>
    </w:p>
    <w:p w14:paraId="5C9B20BD" w14:textId="77777777" w:rsidR="009700E5" w:rsidRDefault="002C033C">
      <w:pPr>
        <w:numPr>
          <w:ilvl w:val="12"/>
          <w:numId w:val="0"/>
        </w:numPr>
        <w:ind w:right="-2"/>
        <w:rPr>
          <w:sz w:val="18"/>
          <w:szCs w:val="18"/>
        </w:rPr>
      </w:pPr>
      <w:r>
        <w:rPr>
          <w:sz w:val="18"/>
          <w:szCs w:val="18"/>
        </w:rPr>
        <w:t xml:space="preserve">*** </w:t>
      </w:r>
      <w:r>
        <w:rPr>
          <w:sz w:val="18"/>
          <w:szCs w:val="18"/>
        </w:rPr>
        <w:tab/>
      </w:r>
      <w:r>
        <w:rPr>
          <w:sz w:val="18"/>
          <w:szCs w:val="18"/>
        </w:rPr>
        <w:tab/>
        <w:t>- p </w:t>
      </w:r>
      <w:r>
        <w:rPr>
          <w:rFonts w:eastAsia="MS Mincho"/>
          <w:sz w:val="18"/>
          <w:szCs w:val="18"/>
        </w:rPr>
        <w:sym w:font="Symbol" w:char="F03C"/>
      </w:r>
      <w:r>
        <w:rPr>
          <w:sz w:val="18"/>
          <w:szCs w:val="18"/>
        </w:rPr>
        <w:t> 0,0001, TCZ oproti PBO + MTX/DMARD</w:t>
      </w:r>
    </w:p>
    <w:p w14:paraId="4643DCAF" w14:textId="77777777" w:rsidR="009700E5" w:rsidRDefault="009700E5">
      <w:pPr>
        <w:numPr>
          <w:ilvl w:val="12"/>
          <w:numId w:val="0"/>
        </w:numPr>
        <w:ind w:right="-2"/>
      </w:pPr>
    </w:p>
    <w:p w14:paraId="3476003D" w14:textId="77777777" w:rsidR="009700E5" w:rsidRDefault="002C033C">
      <w:pPr>
        <w:rPr>
          <w:i/>
        </w:rPr>
      </w:pPr>
      <w:r>
        <w:rPr>
          <w:i/>
        </w:rPr>
        <w:t>Významná klinická odpoveď</w:t>
      </w:r>
    </w:p>
    <w:p w14:paraId="2DF3F5C2" w14:textId="77777777" w:rsidR="009700E5" w:rsidRDefault="002C033C">
      <w:pPr>
        <w:rPr>
          <w:iCs/>
        </w:rPr>
      </w:pPr>
      <w:r>
        <w:rPr>
          <w:iCs/>
        </w:rPr>
        <w:t>Po 2 rokoch liečby tocilizumabom s MTX dosiahlo 14 % pacientov významnú klinickú odpoveď (udržanie ACR 70 odpovede počas 24 týždňov alebo dlhšie).</w:t>
      </w:r>
    </w:p>
    <w:p w14:paraId="0327E5E7" w14:textId="77777777" w:rsidR="009700E5" w:rsidRDefault="009700E5">
      <w:pPr>
        <w:rPr>
          <w:i/>
        </w:rPr>
      </w:pPr>
    </w:p>
    <w:p w14:paraId="2CAB7AE7" w14:textId="77777777" w:rsidR="009700E5" w:rsidRDefault="002C033C">
      <w:pPr>
        <w:keepNext/>
        <w:keepLines/>
        <w:rPr>
          <w:i/>
        </w:rPr>
      </w:pPr>
      <w:r>
        <w:rPr>
          <w:i/>
        </w:rPr>
        <w:t>Rádiografická odpoveď</w:t>
      </w:r>
    </w:p>
    <w:p w14:paraId="4996BB4C" w14:textId="77777777" w:rsidR="009700E5" w:rsidRDefault="002C033C">
      <w:pPr>
        <w:keepNext/>
        <w:keepLines/>
      </w:pPr>
      <w:r>
        <w:t>V </w:t>
      </w:r>
      <w:del w:id="447" w:author="Author" w:date="2025-07-18T22:53:00Z">
        <w:r>
          <w:delText>štúdii </w:delText>
        </w:r>
      </w:del>
      <w:ins w:id="448" w:author="Author" w:date="2025-07-21T09:32:00Z">
        <w:r>
          <w:t xml:space="preserve">klinickom </w:t>
        </w:r>
      </w:ins>
      <w:ins w:id="449" w:author="Author" w:date="2025-07-18T22:53:00Z">
        <w:r>
          <w:t>skúšaní </w:t>
        </w:r>
      </w:ins>
      <w:r>
        <w:t>II sa u pacientov s nedostatočnou odpoveďou na MTX hodnotila inhibícia štrukturálneho poškodenia kĺbov rádiograficky a vyjadrila sa ako zmena v modifikovanom Sharpovom skóre a jeho zložkách </w:t>
      </w:r>
      <w:r>
        <w:noBreakHyphen/>
        <w:t> skóre erózie a skóre zúženia kĺbovej štrbiny. U pacientov liečených tocilizumabom sa oproti kontrolnej skupine preukázala inhibícia štrukturálneho poškodenia kĺbov s významne nižšou rádiografickou progresiou ochorenia (tabuľka 5).</w:t>
      </w:r>
    </w:p>
    <w:p w14:paraId="369C391D" w14:textId="77777777" w:rsidR="009700E5" w:rsidRDefault="009700E5">
      <w:pPr>
        <w:outlineLvl w:val="0"/>
      </w:pPr>
    </w:p>
    <w:p w14:paraId="2247D398" w14:textId="77777777" w:rsidR="009700E5" w:rsidRDefault="002C033C">
      <w:pPr>
        <w:outlineLvl w:val="0"/>
      </w:pPr>
      <w:r>
        <w:t xml:space="preserve">V otvorenej predĺženej fáze </w:t>
      </w:r>
      <w:ins w:id="450" w:author="Author" w:date="2025-07-21T09:32:00Z">
        <w:r>
          <w:t xml:space="preserve">klinického </w:t>
        </w:r>
      </w:ins>
      <w:ins w:id="451" w:author="Author" w:date="2025-07-18T22:53:00Z">
        <w:r>
          <w:t>skúšania</w:t>
        </w:r>
      </w:ins>
      <w:del w:id="452" w:author="Author" w:date="2025-07-18T22:53:00Z">
        <w:r>
          <w:delText>štúdie</w:delText>
        </w:r>
      </w:del>
      <w:r>
        <w:t> II bola inhibícia progresie štrukturálneho poškodenie kĺbu v skupine s tocilizumabom a MTX udržiavaná i v druhom roku liečby. Stredná zmena od východiskových hodnôt bola v 104. týždni v celkovom Sharpovom</w:t>
      </w:r>
      <w:r>
        <w:noBreakHyphen/>
        <w:t>Genatovom skóre významne nižšia u pacientov randomizovaných do skupiny s tocilizumabom v dávke 8 mg/kg a MTX (p </w:t>
      </w:r>
      <w:r>
        <w:rPr>
          <w:rFonts w:eastAsia="MS Mincho"/>
          <w:szCs w:val="22"/>
        </w:rPr>
        <w:sym w:font="Symbol" w:char="F03C"/>
      </w:r>
      <w:r>
        <w:t> 0,0001) v porovnaní s pacientami, ktorí boli randomizovaní do skupiny s placebom a MTX.</w:t>
      </w:r>
    </w:p>
    <w:p w14:paraId="388D41B1" w14:textId="77777777" w:rsidR="009700E5" w:rsidRDefault="009700E5"/>
    <w:p w14:paraId="1E1DE41E" w14:textId="77777777" w:rsidR="009700E5" w:rsidRDefault="002C033C">
      <w:pPr>
        <w:keepNext/>
        <w:keepLines/>
        <w:ind w:left="1418" w:hanging="1418"/>
        <w:rPr>
          <w:bCs/>
          <w:i/>
        </w:rPr>
      </w:pPr>
      <w:r>
        <w:rPr>
          <w:bCs/>
          <w:i/>
        </w:rPr>
        <w:lastRenderedPageBreak/>
        <w:t>Tabuľka 5. Rádiografické priemerné zmeny počas 52 týždňov v </w:t>
      </w:r>
      <w:del w:id="453" w:author="Author" w:date="2025-07-18T22:53:00Z">
        <w:r>
          <w:rPr>
            <w:bCs/>
            <w:i/>
          </w:rPr>
          <w:delText>štúdii </w:delText>
        </w:r>
      </w:del>
      <w:ins w:id="454" w:author="Author" w:date="2025-07-21T09:32:00Z">
        <w:r>
          <w:rPr>
            <w:bCs/>
            <w:i/>
          </w:rPr>
          <w:t xml:space="preserve">klinickom </w:t>
        </w:r>
      </w:ins>
      <w:ins w:id="455" w:author="Author" w:date="2025-07-18T22:53:00Z">
        <w:r>
          <w:rPr>
            <w:bCs/>
            <w:i/>
          </w:rPr>
          <w:t>skúšaní </w:t>
        </w:r>
      </w:ins>
      <w:r>
        <w:rPr>
          <w:bCs/>
          <w:i/>
        </w:rPr>
        <w:t>II</w:t>
      </w:r>
    </w:p>
    <w:p w14:paraId="7BC50AF1" w14:textId="77777777" w:rsidR="009700E5" w:rsidRDefault="009700E5">
      <w:pPr>
        <w:keepNext/>
        <w:keepLines/>
        <w:ind w:left="1418" w:hanging="1418"/>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790"/>
        <w:gridCol w:w="2610"/>
      </w:tblGrid>
      <w:tr w:rsidR="009700E5" w14:paraId="01B1486A" w14:textId="77777777">
        <w:trPr>
          <w:cantSplit/>
          <w:tblHeader/>
        </w:trPr>
        <w:tc>
          <w:tcPr>
            <w:tcW w:w="2358" w:type="dxa"/>
          </w:tcPr>
          <w:p w14:paraId="5141BAA8" w14:textId="77777777" w:rsidR="009700E5" w:rsidRDefault="009700E5">
            <w:pPr>
              <w:keepNext/>
              <w:keepLines/>
            </w:pPr>
          </w:p>
        </w:tc>
        <w:tc>
          <w:tcPr>
            <w:tcW w:w="2790" w:type="dxa"/>
          </w:tcPr>
          <w:p w14:paraId="61A2A9A7" w14:textId="77777777" w:rsidR="009700E5" w:rsidRDefault="002C033C">
            <w:pPr>
              <w:keepNext/>
              <w:keepLines/>
              <w:numPr>
                <w:ilvl w:val="12"/>
                <w:numId w:val="0"/>
              </w:numPr>
              <w:ind w:right="-2"/>
              <w:jc w:val="center"/>
              <w:rPr>
                <w:b/>
                <w:bCs/>
                <w:szCs w:val="22"/>
              </w:rPr>
            </w:pPr>
            <w:r>
              <w:rPr>
                <w:b/>
                <w:bCs/>
                <w:szCs w:val="22"/>
              </w:rPr>
              <w:t xml:space="preserve">PBO + MTX </w:t>
            </w:r>
          </w:p>
          <w:p w14:paraId="385357B7" w14:textId="77777777" w:rsidR="009700E5" w:rsidRDefault="002C033C">
            <w:pPr>
              <w:keepNext/>
              <w:keepLines/>
              <w:numPr>
                <w:ilvl w:val="12"/>
                <w:numId w:val="0"/>
              </w:numPr>
              <w:ind w:right="-2"/>
              <w:jc w:val="center"/>
              <w:rPr>
                <w:b/>
                <w:bCs/>
                <w:szCs w:val="22"/>
              </w:rPr>
            </w:pPr>
            <w:r>
              <w:rPr>
                <w:b/>
                <w:bCs/>
                <w:szCs w:val="22"/>
              </w:rPr>
              <w:t>(+TCZ od 24. týždňa)</w:t>
            </w:r>
          </w:p>
          <w:p w14:paraId="7058DE78" w14:textId="77777777" w:rsidR="009700E5" w:rsidRDefault="002C033C">
            <w:pPr>
              <w:keepNext/>
              <w:keepLines/>
              <w:jc w:val="center"/>
              <w:rPr>
                <w:szCs w:val="22"/>
              </w:rPr>
            </w:pPr>
            <w:ins w:id="456" w:author="Author" w:date="2025-07-18T22:54:00Z">
              <w:r>
                <w:rPr>
                  <w:b/>
                  <w:bCs/>
                  <w:szCs w:val="22"/>
                </w:rPr>
                <w:t>n</w:t>
              </w:r>
            </w:ins>
            <w:del w:id="457" w:author="Author" w:date="2025-07-18T22:54:00Z">
              <w:r>
                <w:rPr>
                  <w:b/>
                  <w:bCs/>
                  <w:szCs w:val="22"/>
                </w:rPr>
                <w:delText>N</w:delText>
              </w:r>
            </w:del>
            <w:r>
              <w:rPr>
                <w:b/>
                <w:bCs/>
                <w:szCs w:val="22"/>
              </w:rPr>
              <w:t> = 393</w:t>
            </w:r>
          </w:p>
        </w:tc>
        <w:tc>
          <w:tcPr>
            <w:tcW w:w="2610" w:type="dxa"/>
          </w:tcPr>
          <w:p w14:paraId="1C5B9D61" w14:textId="77777777" w:rsidR="009700E5" w:rsidRDefault="002C033C">
            <w:pPr>
              <w:keepNext/>
              <w:keepLines/>
              <w:jc w:val="center"/>
              <w:rPr>
                <w:szCs w:val="22"/>
              </w:rPr>
            </w:pPr>
            <w:r>
              <w:rPr>
                <w:b/>
                <w:bCs/>
                <w:szCs w:val="22"/>
              </w:rPr>
              <w:t>TCZ 8 mg/kg + MTX</w:t>
            </w:r>
            <w:r>
              <w:rPr>
                <w:b/>
                <w:bCs/>
                <w:szCs w:val="22"/>
              </w:rPr>
              <w:br/>
            </w:r>
            <w:ins w:id="458" w:author="Author" w:date="2025-07-18T22:54:00Z">
              <w:r>
                <w:rPr>
                  <w:b/>
                  <w:bCs/>
                  <w:szCs w:val="22"/>
                </w:rPr>
                <w:t>n</w:t>
              </w:r>
            </w:ins>
            <w:del w:id="459" w:author="Author" w:date="2025-07-18T22:54:00Z">
              <w:r>
                <w:rPr>
                  <w:b/>
                  <w:bCs/>
                  <w:szCs w:val="22"/>
                </w:rPr>
                <w:delText>N</w:delText>
              </w:r>
            </w:del>
            <w:r>
              <w:rPr>
                <w:b/>
                <w:bCs/>
                <w:szCs w:val="22"/>
              </w:rPr>
              <w:t> = 398</w:t>
            </w:r>
          </w:p>
        </w:tc>
      </w:tr>
      <w:tr w:rsidR="009700E5" w14:paraId="018B3FB6" w14:textId="77777777">
        <w:trPr>
          <w:cantSplit/>
        </w:trPr>
        <w:tc>
          <w:tcPr>
            <w:tcW w:w="2358" w:type="dxa"/>
          </w:tcPr>
          <w:p w14:paraId="0933CA80" w14:textId="77777777" w:rsidR="009700E5" w:rsidRDefault="002C033C">
            <w:pPr>
              <w:keepNext/>
              <w:keepLines/>
            </w:pPr>
            <w:r>
              <w:t>Celkové Sharpovo</w:t>
            </w:r>
            <w:r>
              <w:noBreakHyphen/>
              <w:t>Genantovo skóre</w:t>
            </w:r>
          </w:p>
        </w:tc>
        <w:tc>
          <w:tcPr>
            <w:tcW w:w="2790" w:type="dxa"/>
          </w:tcPr>
          <w:p w14:paraId="22EC48A0" w14:textId="77777777" w:rsidR="009700E5" w:rsidRDefault="002C033C">
            <w:pPr>
              <w:keepNext/>
              <w:keepLines/>
              <w:jc w:val="center"/>
            </w:pPr>
            <w:r>
              <w:t>1,13</w:t>
            </w:r>
          </w:p>
        </w:tc>
        <w:tc>
          <w:tcPr>
            <w:tcW w:w="2610" w:type="dxa"/>
          </w:tcPr>
          <w:p w14:paraId="5DAAEE77" w14:textId="77777777" w:rsidR="009700E5" w:rsidRDefault="002C033C">
            <w:pPr>
              <w:keepNext/>
              <w:keepLines/>
              <w:jc w:val="center"/>
            </w:pPr>
            <w:r>
              <w:t>0,29*</w:t>
            </w:r>
          </w:p>
        </w:tc>
      </w:tr>
      <w:tr w:rsidR="009700E5" w14:paraId="31D0D876" w14:textId="77777777">
        <w:trPr>
          <w:cantSplit/>
        </w:trPr>
        <w:tc>
          <w:tcPr>
            <w:tcW w:w="2358" w:type="dxa"/>
          </w:tcPr>
          <w:p w14:paraId="5617D746" w14:textId="77777777" w:rsidR="009700E5" w:rsidRDefault="002C033C">
            <w:pPr>
              <w:keepNext/>
              <w:keepLines/>
            </w:pPr>
            <w:r>
              <w:t>Skóre erózie</w:t>
            </w:r>
          </w:p>
        </w:tc>
        <w:tc>
          <w:tcPr>
            <w:tcW w:w="2790" w:type="dxa"/>
          </w:tcPr>
          <w:p w14:paraId="6BAA6E12" w14:textId="77777777" w:rsidR="009700E5" w:rsidRDefault="002C033C">
            <w:pPr>
              <w:keepNext/>
              <w:keepLines/>
              <w:jc w:val="center"/>
            </w:pPr>
            <w:r>
              <w:t>0,71</w:t>
            </w:r>
          </w:p>
        </w:tc>
        <w:tc>
          <w:tcPr>
            <w:tcW w:w="2610" w:type="dxa"/>
          </w:tcPr>
          <w:p w14:paraId="044DA573" w14:textId="77777777" w:rsidR="009700E5" w:rsidRDefault="002C033C">
            <w:pPr>
              <w:keepNext/>
              <w:keepLines/>
              <w:jc w:val="center"/>
            </w:pPr>
            <w:r>
              <w:t>0,17*</w:t>
            </w:r>
          </w:p>
        </w:tc>
      </w:tr>
      <w:tr w:rsidR="009700E5" w14:paraId="655E0C63" w14:textId="77777777">
        <w:trPr>
          <w:cantSplit/>
        </w:trPr>
        <w:tc>
          <w:tcPr>
            <w:tcW w:w="2358" w:type="dxa"/>
          </w:tcPr>
          <w:p w14:paraId="340CFCBC" w14:textId="77777777" w:rsidR="009700E5" w:rsidRDefault="002C033C">
            <w:pPr>
              <w:keepNext/>
              <w:keepLines/>
            </w:pPr>
            <w:r>
              <w:t>Skóre JSN</w:t>
            </w:r>
          </w:p>
        </w:tc>
        <w:tc>
          <w:tcPr>
            <w:tcW w:w="2790" w:type="dxa"/>
          </w:tcPr>
          <w:p w14:paraId="71489847" w14:textId="77777777" w:rsidR="009700E5" w:rsidRDefault="002C033C">
            <w:pPr>
              <w:keepNext/>
              <w:keepLines/>
              <w:jc w:val="center"/>
            </w:pPr>
            <w:r>
              <w:t>0,42</w:t>
            </w:r>
          </w:p>
        </w:tc>
        <w:tc>
          <w:tcPr>
            <w:tcW w:w="2610" w:type="dxa"/>
          </w:tcPr>
          <w:p w14:paraId="0906CFC9" w14:textId="77777777" w:rsidR="009700E5" w:rsidRDefault="002C033C">
            <w:pPr>
              <w:keepNext/>
              <w:keepLines/>
              <w:jc w:val="center"/>
            </w:pPr>
            <w:r>
              <w:t>0,12**</w:t>
            </w:r>
          </w:p>
        </w:tc>
      </w:tr>
    </w:tbl>
    <w:p w14:paraId="640E1EE9" w14:textId="77777777" w:rsidR="009700E5" w:rsidRDefault="002C033C">
      <w:pPr>
        <w:keepNext/>
        <w:keepLines/>
        <w:rPr>
          <w:iCs/>
          <w:sz w:val="18"/>
          <w:szCs w:val="18"/>
        </w:rPr>
      </w:pPr>
      <w:r>
        <w:rPr>
          <w:iCs/>
          <w:sz w:val="18"/>
          <w:szCs w:val="18"/>
        </w:rPr>
        <w:t>PBO</w:t>
      </w:r>
      <w:r>
        <w:rPr>
          <w:iCs/>
          <w:sz w:val="18"/>
          <w:szCs w:val="18"/>
        </w:rPr>
        <w:tab/>
      </w:r>
      <w:r>
        <w:rPr>
          <w:iCs/>
          <w:sz w:val="18"/>
          <w:szCs w:val="18"/>
        </w:rPr>
        <w:tab/>
        <w:t>- Placebo</w:t>
      </w:r>
    </w:p>
    <w:p w14:paraId="0CC4AE88" w14:textId="77777777" w:rsidR="009700E5" w:rsidRDefault="002C033C">
      <w:pPr>
        <w:keepNext/>
        <w:keepLines/>
        <w:rPr>
          <w:iCs/>
          <w:sz w:val="18"/>
          <w:szCs w:val="18"/>
        </w:rPr>
      </w:pPr>
      <w:r>
        <w:rPr>
          <w:iCs/>
          <w:sz w:val="18"/>
          <w:szCs w:val="18"/>
        </w:rPr>
        <w:t>MTX</w:t>
      </w:r>
      <w:r>
        <w:rPr>
          <w:iCs/>
          <w:sz w:val="18"/>
          <w:szCs w:val="18"/>
        </w:rPr>
        <w:tab/>
      </w:r>
      <w:r>
        <w:rPr>
          <w:iCs/>
          <w:sz w:val="18"/>
          <w:szCs w:val="18"/>
        </w:rPr>
        <w:tab/>
        <w:t>- Metotrexát</w:t>
      </w:r>
    </w:p>
    <w:p w14:paraId="706861BC" w14:textId="77777777" w:rsidR="009700E5" w:rsidRDefault="002C033C">
      <w:pPr>
        <w:keepNext/>
        <w:keepLines/>
        <w:rPr>
          <w:iCs/>
          <w:sz w:val="18"/>
          <w:szCs w:val="18"/>
        </w:rPr>
      </w:pPr>
      <w:r>
        <w:rPr>
          <w:iCs/>
          <w:sz w:val="18"/>
          <w:szCs w:val="18"/>
        </w:rPr>
        <w:t>TCZ</w:t>
      </w:r>
      <w:r>
        <w:rPr>
          <w:iCs/>
          <w:sz w:val="18"/>
          <w:szCs w:val="18"/>
        </w:rPr>
        <w:tab/>
      </w:r>
      <w:r>
        <w:rPr>
          <w:iCs/>
          <w:sz w:val="18"/>
          <w:szCs w:val="18"/>
        </w:rPr>
        <w:tab/>
        <w:t>- Tocilizumab</w:t>
      </w:r>
    </w:p>
    <w:p w14:paraId="6F7A4A54" w14:textId="77777777" w:rsidR="009700E5" w:rsidRDefault="002C033C">
      <w:pPr>
        <w:keepNext/>
        <w:keepLines/>
        <w:rPr>
          <w:iCs/>
          <w:sz w:val="18"/>
          <w:szCs w:val="18"/>
        </w:rPr>
      </w:pPr>
      <w:r>
        <w:rPr>
          <w:iCs/>
          <w:sz w:val="18"/>
          <w:szCs w:val="18"/>
        </w:rPr>
        <w:t>JSN</w:t>
      </w:r>
      <w:r>
        <w:rPr>
          <w:iCs/>
          <w:sz w:val="18"/>
          <w:szCs w:val="18"/>
        </w:rPr>
        <w:tab/>
      </w:r>
      <w:r>
        <w:rPr>
          <w:iCs/>
          <w:sz w:val="18"/>
          <w:szCs w:val="18"/>
        </w:rPr>
        <w:tab/>
        <w:t xml:space="preserve">- Zúženie kĺbovej štrbiny </w:t>
      </w:r>
    </w:p>
    <w:p w14:paraId="41825B0C" w14:textId="77777777" w:rsidR="009700E5" w:rsidRDefault="002C033C">
      <w:pPr>
        <w:keepNext/>
        <w:keepLines/>
        <w:numPr>
          <w:ilvl w:val="12"/>
          <w:numId w:val="0"/>
        </w:numPr>
        <w:ind w:right="-2"/>
        <w:rPr>
          <w:iCs/>
          <w:sz w:val="18"/>
          <w:szCs w:val="18"/>
        </w:rPr>
      </w:pPr>
      <w:r>
        <w:rPr>
          <w:iCs/>
          <w:sz w:val="18"/>
          <w:szCs w:val="18"/>
        </w:rPr>
        <w:t>*</w:t>
      </w:r>
      <w:r>
        <w:rPr>
          <w:iCs/>
          <w:sz w:val="18"/>
          <w:szCs w:val="18"/>
        </w:rPr>
        <w:tab/>
      </w:r>
      <w:r>
        <w:rPr>
          <w:iCs/>
          <w:sz w:val="18"/>
          <w:szCs w:val="18"/>
        </w:rPr>
        <w:tab/>
        <w:t>- p ≤ 0,0001, TCZ oproti PBO + MTX</w:t>
      </w:r>
    </w:p>
    <w:p w14:paraId="40EBAFCE" w14:textId="77777777" w:rsidR="009700E5" w:rsidRDefault="002C033C">
      <w:pPr>
        <w:numPr>
          <w:ilvl w:val="12"/>
          <w:numId w:val="0"/>
        </w:numPr>
        <w:ind w:right="-2"/>
        <w:rPr>
          <w:iCs/>
          <w:sz w:val="18"/>
          <w:szCs w:val="18"/>
        </w:rPr>
      </w:pPr>
      <w:r>
        <w:rPr>
          <w:iCs/>
          <w:sz w:val="18"/>
          <w:szCs w:val="18"/>
        </w:rPr>
        <w:t>**</w:t>
      </w:r>
      <w:r>
        <w:rPr>
          <w:iCs/>
          <w:sz w:val="18"/>
          <w:szCs w:val="18"/>
        </w:rPr>
        <w:tab/>
      </w:r>
      <w:r>
        <w:rPr>
          <w:iCs/>
          <w:sz w:val="18"/>
          <w:szCs w:val="18"/>
        </w:rPr>
        <w:tab/>
        <w:t>- p &lt; 0,005, TCZ oproti PBO + MTX</w:t>
      </w:r>
    </w:p>
    <w:p w14:paraId="2CC44083" w14:textId="77777777" w:rsidR="009700E5" w:rsidRDefault="009700E5">
      <w:pPr>
        <w:rPr>
          <w:bCs/>
          <w:iCs/>
        </w:rPr>
      </w:pPr>
    </w:p>
    <w:p w14:paraId="7FEBB0C9" w14:textId="77777777" w:rsidR="009700E5" w:rsidRDefault="002C033C">
      <w:pPr>
        <w:outlineLvl w:val="0"/>
      </w:pPr>
      <w:r>
        <w:t>Po 1 roku liečby tocilizumabom a MTX 85 % pacientov (n = 348) nevykazovalo žiadnu progresiu štrukturálneho poškodenia kĺbov ako je definované v celkovom Sharpovom skóre 0 alebo menej, v porovnaní so 67 % pacientov v skupine s placebom a MTX (n = 290) (p </w:t>
      </w:r>
      <w:r>
        <w:rPr>
          <w:szCs w:val="22"/>
        </w:rPr>
        <w:t>≤ </w:t>
      </w:r>
      <w:r>
        <w:t>0,001). Tieto výsledky pretrvávali i po 2 rokoch liečby (83 %, n = 353). Deväťdesiat tri percent (93 %; n = 271) pacientov nevykazovalo žiadnu progresiu medzi 52. a 104. týždňom.</w:t>
      </w:r>
    </w:p>
    <w:p w14:paraId="0FEA0F00" w14:textId="77777777" w:rsidR="009700E5" w:rsidRDefault="009700E5">
      <w:pPr>
        <w:rPr>
          <w:iCs/>
        </w:rPr>
      </w:pPr>
    </w:p>
    <w:p w14:paraId="214E2FC5" w14:textId="77777777" w:rsidR="009700E5" w:rsidRDefault="002C033C">
      <w:pPr>
        <w:rPr>
          <w:i/>
        </w:rPr>
      </w:pPr>
      <w:r>
        <w:rPr>
          <w:i/>
        </w:rPr>
        <w:t>Zdravotné výsledky a výsledky týkajúce sa kvality života</w:t>
      </w:r>
    </w:p>
    <w:p w14:paraId="4F8B57F5" w14:textId="77777777" w:rsidR="009700E5" w:rsidRDefault="002C033C">
      <w:pPr>
        <w:numPr>
          <w:ilvl w:val="12"/>
          <w:numId w:val="0"/>
        </w:numPr>
        <w:ind w:right="-2"/>
      </w:pPr>
      <w:r>
        <w:t>Pacienti liečení tocilizumabom hlásili zlepšenie vo všetkých výsledkoch hlásených pacientmi (dotazník hodnotiaci zdravie a index funkčnej neschopnosti, </w:t>
      </w:r>
      <w:r>
        <w:noBreakHyphen/>
        <w:t> HAQ</w:t>
      </w:r>
      <w:r>
        <w:noBreakHyphen/>
        <w:t>DI), skrátený formulár 36 a dotazník funkčného hodnotenia liečby chronického ochorenia. U pacientov liečených tocilizumabom sa oproti pacientom liečeným DMARD pozorovalo štatisticky významné zlepšenie skóre HAQ</w:t>
      </w:r>
      <w:r>
        <w:noBreakHyphen/>
        <w:t>DI. V priebehu otvorenej fázy</w:t>
      </w:r>
      <w:ins w:id="460" w:author="Author" w:date="2025-07-18T22:54:00Z">
        <w:r>
          <w:t xml:space="preserve"> </w:t>
        </w:r>
      </w:ins>
      <w:ins w:id="461" w:author="Author" w:date="2025-07-21T09:32:00Z">
        <w:r>
          <w:t xml:space="preserve">klinického </w:t>
        </w:r>
      </w:ins>
      <w:ins w:id="462" w:author="Author" w:date="2025-07-18T22:54:00Z">
        <w:r>
          <w:t>skúšania</w:t>
        </w:r>
      </w:ins>
      <w:del w:id="463" w:author="Author" w:date="2025-07-18T22:54:00Z">
        <w:r>
          <w:delText xml:space="preserve"> štúdie</w:delText>
        </w:r>
      </w:del>
      <w:r>
        <w:t> II bolo udržanie zlepšenia fyzických funkcií až počas 2 rokov. V 52. týždni bola stredná zmena v HAQ</w:t>
      </w:r>
      <w:r>
        <w:noBreakHyphen/>
        <w:t>DI </w:t>
      </w:r>
      <w:r>
        <w:noBreakHyphen/>
        <w:t> 0,58 v skupine s tocilizumabom 8 mg/kg a MTX v porovnaní s 0,39 v skupine s placebom a MTX. Stredná zmena HAQ</w:t>
      </w:r>
      <w:r>
        <w:noBreakHyphen/>
        <w:t>DI bola v skupine s tocilizumabom 8 mg/kg a MTX udržovaná aj 104. týždni (</w:t>
      </w:r>
      <w:r>
        <w:noBreakHyphen/>
        <w:t>0,61).</w:t>
      </w:r>
    </w:p>
    <w:p w14:paraId="2FBA1F1B" w14:textId="77777777" w:rsidR="009700E5" w:rsidRDefault="009700E5">
      <w:pPr>
        <w:outlineLvl w:val="0"/>
        <w:rPr>
          <w:i/>
          <w:sz w:val="18"/>
          <w:szCs w:val="18"/>
        </w:rPr>
      </w:pPr>
    </w:p>
    <w:p w14:paraId="12482521" w14:textId="77777777" w:rsidR="009700E5" w:rsidRDefault="002C033C">
      <w:pPr>
        <w:numPr>
          <w:ilvl w:val="12"/>
          <w:numId w:val="0"/>
        </w:numPr>
        <w:ind w:right="-2"/>
        <w:rPr>
          <w:i/>
        </w:rPr>
      </w:pPr>
      <w:r>
        <w:rPr>
          <w:i/>
        </w:rPr>
        <w:t>Hladiny hemoglobínu</w:t>
      </w:r>
    </w:p>
    <w:p w14:paraId="74C5200D" w14:textId="77777777" w:rsidR="009700E5" w:rsidRDefault="002C033C">
      <w:pPr>
        <w:numPr>
          <w:ilvl w:val="12"/>
          <w:numId w:val="0"/>
        </w:numPr>
        <w:ind w:right="-2"/>
      </w:pPr>
      <w:r>
        <w:t>Pri liečbe tocilizumabom sa oproti liečbe DMARD v 24. týždni pozorovalo štatisticky významné zlepšenie hladín hemoglobínu (p </w:t>
      </w:r>
      <w:r>
        <w:rPr>
          <w:rFonts w:eastAsia="SimSun"/>
          <w:sz w:val="20"/>
          <w:lang w:eastAsia="zh-CN"/>
        </w:rPr>
        <w:t>&lt;</w:t>
      </w:r>
      <w:r>
        <w:t> 0,0001). Priemerné hodnoty hladín hemoglobínu sa zvýšili do 2. týždňa a udržali sa v referenčnom rozpätí až do 24. týždňa.</w:t>
      </w:r>
    </w:p>
    <w:p w14:paraId="496B9459" w14:textId="77777777" w:rsidR="009700E5" w:rsidRDefault="009700E5">
      <w:pPr>
        <w:numPr>
          <w:ilvl w:val="12"/>
          <w:numId w:val="0"/>
        </w:numPr>
        <w:ind w:right="-2"/>
      </w:pPr>
    </w:p>
    <w:p w14:paraId="3F26FD76" w14:textId="77777777" w:rsidR="009700E5" w:rsidRDefault="002C033C">
      <w:pPr>
        <w:keepNext/>
        <w:keepLines/>
        <w:numPr>
          <w:ilvl w:val="12"/>
          <w:numId w:val="0"/>
        </w:numPr>
        <w:rPr>
          <w:i/>
        </w:rPr>
      </w:pPr>
      <w:r>
        <w:rPr>
          <w:i/>
        </w:rPr>
        <w:t>Tocilizumab verzus adalimumab v monoterapii</w:t>
      </w:r>
    </w:p>
    <w:p w14:paraId="55D67D9E" w14:textId="77777777" w:rsidR="009700E5" w:rsidRDefault="002C033C">
      <w:pPr>
        <w:keepNext/>
        <w:keepLines/>
        <w:numPr>
          <w:ilvl w:val="12"/>
          <w:numId w:val="0"/>
        </w:numPr>
      </w:pPr>
      <w:del w:id="464" w:author="Author" w:date="2025-07-18T22:54:00Z">
        <w:r>
          <w:delText>Štúdia </w:delText>
        </w:r>
      </w:del>
      <w:ins w:id="465" w:author="Author" w:date="2025-07-21T09:33:00Z">
        <w:r>
          <w:t>Klinické s</w:t>
        </w:r>
      </w:ins>
      <w:ins w:id="466" w:author="Author" w:date="2025-07-18T22:54:00Z">
        <w:del w:id="467" w:author="Author" w:date="2025-07-21T09:33:00Z">
          <w:r>
            <w:delText>S</w:delText>
          </w:r>
        </w:del>
        <w:r>
          <w:t>kúšanie </w:t>
        </w:r>
      </w:ins>
      <w:r>
        <w:t>VI (WA19924), 24</w:t>
      </w:r>
      <w:r>
        <w:noBreakHyphen/>
        <w:t>týždňov</w:t>
      </w:r>
      <w:ins w:id="468" w:author="Author" w:date="2025-07-18T22:54:00Z">
        <w:r>
          <w:t>é</w:t>
        </w:r>
      </w:ins>
      <w:del w:id="469" w:author="Author" w:date="2025-07-18T22:54:00Z">
        <w:r>
          <w:delText>á</w:delText>
        </w:r>
      </w:del>
      <w:r>
        <w:t xml:space="preserve"> dvojito zaslepen</w:t>
      </w:r>
      <w:ins w:id="470" w:author="Author" w:date="2025-07-18T22:55:00Z">
        <w:r>
          <w:t>é klinické skúšanie</w:t>
        </w:r>
      </w:ins>
      <w:del w:id="471" w:author="Author" w:date="2025-07-18T22:55:00Z">
        <w:r>
          <w:delText>á štúdia</w:delText>
        </w:r>
      </w:del>
      <w:r>
        <w:t>, ktor</w:t>
      </w:r>
      <w:ins w:id="472" w:author="Author" w:date="2025-07-18T22:55:00Z">
        <w:r>
          <w:t>é</w:t>
        </w:r>
      </w:ins>
      <w:del w:id="473" w:author="Author" w:date="2025-07-18T22:55:00Z">
        <w:r>
          <w:delText>á</w:delText>
        </w:r>
      </w:del>
      <w:r>
        <w:t xml:space="preserve"> porovnával</w:t>
      </w:r>
      <w:ins w:id="474" w:author="Author" w:date="2025-07-18T22:55:00Z">
        <w:r>
          <w:t>o</w:t>
        </w:r>
      </w:ins>
      <w:del w:id="475" w:author="Author" w:date="2025-07-18T22:55:00Z">
        <w:r>
          <w:delText>a</w:delText>
        </w:r>
      </w:del>
      <w:r>
        <w:t xml:space="preserve"> monoterapiu tocilizumabom s monoterapiou adalimumabom, hodnotil</w:t>
      </w:r>
      <w:ins w:id="476" w:author="Author" w:date="2025-07-18T22:55:00Z">
        <w:r>
          <w:t>o</w:t>
        </w:r>
      </w:ins>
      <w:del w:id="477" w:author="Author" w:date="2025-07-18T22:55:00Z">
        <w:r>
          <w:delText>a</w:delText>
        </w:r>
      </w:del>
      <w:r>
        <w:t xml:space="preserve"> 326 pacientov s RA, ktorí netolerovali MTX alebo kde pokračovanie v liečbe MTX sa považovalo za nevhodné (vrátane nedostatočných respondérov na MTX). Pacienti v skupine s tocilizumabom dostávali intravenóznu infúziu tocilizumabu (8 mg/kg) každé 4 týždne a subkutánne injekciu s placebom každé 2 týždne. Pacienti v skupine s adalimumabom dostávali subkutánnu injekciu adalimumabu (40 mg) každé 2 týždne plus intravenóznu infúziu s placebom každé 4 týždne. Pozoroval sa štatistický významný superiórny účinok liečby v prospech tocilizumabu v porovnaní s adalimumabom pri kontrole aktivity ochorenia od východiskovej hodnoty po 24. týždeň pre primárny cieľový ukazovateľ zmenu DAS28 a pre všetky sekundárne cieľové ukazovatele (tabuľka 6).</w:t>
      </w:r>
    </w:p>
    <w:p w14:paraId="209E09DD" w14:textId="77777777" w:rsidR="009700E5" w:rsidRDefault="009700E5">
      <w:pPr>
        <w:numPr>
          <w:ilvl w:val="12"/>
          <w:numId w:val="0"/>
        </w:numPr>
        <w:ind w:right="-2"/>
      </w:pPr>
    </w:p>
    <w:p w14:paraId="69ED399A" w14:textId="77777777" w:rsidR="009700E5" w:rsidRDefault="002C033C">
      <w:pPr>
        <w:keepNext/>
        <w:keepLines/>
        <w:rPr>
          <w:bCs/>
          <w:i/>
        </w:rPr>
      </w:pPr>
      <w:r>
        <w:rPr>
          <w:bCs/>
          <w:i/>
        </w:rPr>
        <w:lastRenderedPageBreak/>
        <w:t xml:space="preserve">Tabuľka 6. Výsledky účinnosti pre </w:t>
      </w:r>
      <w:del w:id="478" w:author="Author" w:date="2025-07-18T22:55:00Z">
        <w:r>
          <w:rPr>
            <w:bCs/>
            <w:i/>
          </w:rPr>
          <w:delText xml:space="preserve">štúdiu </w:delText>
        </w:r>
      </w:del>
      <w:ins w:id="479" w:author="Author" w:date="2025-07-21T09:33:00Z">
        <w:r>
          <w:rPr>
            <w:bCs/>
            <w:i/>
          </w:rPr>
          <w:t xml:space="preserve">klinické </w:t>
        </w:r>
      </w:ins>
      <w:ins w:id="480" w:author="Author" w:date="2025-07-18T22:55:00Z">
        <w:r>
          <w:rPr>
            <w:bCs/>
            <w:i/>
          </w:rPr>
          <w:t xml:space="preserve">skúšanie </w:t>
        </w:r>
      </w:ins>
      <w:r>
        <w:rPr>
          <w:bCs/>
          <w:i/>
        </w:rPr>
        <w:t>VI (WA19924)</w:t>
      </w:r>
    </w:p>
    <w:p w14:paraId="4CC7AC60" w14:textId="77777777" w:rsidR="009700E5" w:rsidRDefault="009700E5">
      <w:pPr>
        <w:keepNext/>
        <w:keepLines/>
      </w:pPr>
    </w:p>
    <w:tbl>
      <w:tblPr>
        <w:tblW w:w="7950" w:type="dxa"/>
        <w:tblInd w:w="58" w:type="dxa"/>
        <w:tblLayout w:type="fixed"/>
        <w:tblCellMar>
          <w:left w:w="0" w:type="dxa"/>
          <w:right w:w="0" w:type="dxa"/>
        </w:tblCellMar>
        <w:tblLook w:val="04A0" w:firstRow="1" w:lastRow="0" w:firstColumn="1" w:lastColumn="0" w:noHBand="0" w:noVBand="1"/>
      </w:tblPr>
      <w:tblGrid>
        <w:gridCol w:w="3350"/>
        <w:gridCol w:w="1610"/>
        <w:gridCol w:w="1701"/>
        <w:gridCol w:w="1275"/>
        <w:gridCol w:w="14"/>
      </w:tblGrid>
      <w:tr w:rsidR="009700E5" w14:paraId="5EE30520" w14:textId="77777777">
        <w:trPr>
          <w:gridAfter w:val="1"/>
          <w:wAfter w:w="14" w:type="dxa"/>
          <w:cantSplit/>
        </w:trPr>
        <w:tc>
          <w:tcPr>
            <w:tcW w:w="3350"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232CBA24" w14:textId="77777777" w:rsidR="009700E5" w:rsidRDefault="009700E5">
            <w:pPr>
              <w:keepNext/>
              <w:keepLines/>
              <w:rPr>
                <w:sz w:val="20"/>
                <w:lang w:eastAsia="zh-TW"/>
              </w:rPr>
            </w:pPr>
          </w:p>
        </w:tc>
        <w:tc>
          <w:tcPr>
            <w:tcW w:w="1610" w:type="dxa"/>
            <w:tcBorders>
              <w:top w:val="single" w:sz="8" w:space="0" w:color="auto"/>
              <w:left w:val="nil"/>
              <w:bottom w:val="single" w:sz="8" w:space="0" w:color="auto"/>
              <w:right w:val="nil"/>
            </w:tcBorders>
            <w:tcMar>
              <w:top w:w="0" w:type="dxa"/>
              <w:left w:w="57" w:type="dxa"/>
              <w:bottom w:w="0" w:type="dxa"/>
              <w:right w:w="57" w:type="dxa"/>
            </w:tcMar>
            <w:vAlign w:val="bottom"/>
          </w:tcPr>
          <w:p w14:paraId="05EDB3B3" w14:textId="77777777" w:rsidR="009700E5" w:rsidRDefault="002C033C">
            <w:pPr>
              <w:keepNext/>
              <w:keepLines/>
              <w:spacing w:before="50" w:after="50" w:line="240" w:lineRule="exact"/>
              <w:jc w:val="center"/>
              <w:rPr>
                <w:rFonts w:eastAsia="SimSun"/>
                <w:b/>
                <w:sz w:val="20"/>
                <w:lang w:eastAsia="zh-CN"/>
              </w:rPr>
            </w:pPr>
            <w:r>
              <w:rPr>
                <w:rFonts w:eastAsia="SimSun"/>
                <w:b/>
                <w:sz w:val="20"/>
                <w:lang w:eastAsia="zh-CN"/>
              </w:rPr>
              <w:t>ADA + placebo (i.v.)</w:t>
            </w:r>
          </w:p>
          <w:p w14:paraId="0B138B7C" w14:textId="77777777" w:rsidR="009700E5" w:rsidRDefault="002C033C">
            <w:pPr>
              <w:keepNext/>
              <w:keepLines/>
              <w:spacing w:before="50" w:after="50" w:line="240" w:lineRule="exact"/>
              <w:jc w:val="center"/>
              <w:rPr>
                <w:rFonts w:eastAsia="SimSun"/>
                <w:b/>
                <w:sz w:val="20"/>
                <w:lang w:eastAsia="zh-CN"/>
              </w:rPr>
            </w:pPr>
            <w:ins w:id="481" w:author="Author" w:date="2025-07-18T22:55:00Z">
              <w:r>
                <w:rPr>
                  <w:rFonts w:eastAsia="SimSun"/>
                  <w:b/>
                  <w:sz w:val="20"/>
                  <w:lang w:eastAsia="zh-CN"/>
                </w:rPr>
                <w:t>n</w:t>
              </w:r>
            </w:ins>
            <w:del w:id="482" w:author="Author" w:date="2025-07-18T22:55:00Z">
              <w:r>
                <w:rPr>
                  <w:rFonts w:eastAsia="SimSun"/>
                  <w:b/>
                  <w:sz w:val="20"/>
                  <w:lang w:eastAsia="zh-CN"/>
                </w:rPr>
                <w:delText>N</w:delText>
              </w:r>
            </w:del>
            <w:r>
              <w:rPr>
                <w:rFonts w:eastAsia="SimSun"/>
                <w:b/>
                <w:sz w:val="20"/>
                <w:lang w:eastAsia="zh-CN"/>
              </w:rPr>
              <w:t xml:space="preserve"> = 162</w:t>
            </w:r>
          </w:p>
        </w:tc>
        <w:tc>
          <w:tcPr>
            <w:tcW w:w="1701" w:type="dxa"/>
            <w:tcBorders>
              <w:top w:val="single" w:sz="8" w:space="0" w:color="auto"/>
              <w:left w:val="nil"/>
              <w:bottom w:val="single" w:sz="8" w:space="0" w:color="auto"/>
              <w:right w:val="nil"/>
            </w:tcBorders>
            <w:tcMar>
              <w:top w:w="0" w:type="dxa"/>
              <w:left w:w="57" w:type="dxa"/>
              <w:bottom w:w="0" w:type="dxa"/>
              <w:right w:w="57" w:type="dxa"/>
            </w:tcMar>
            <w:vAlign w:val="bottom"/>
          </w:tcPr>
          <w:p w14:paraId="07DAC308" w14:textId="77777777" w:rsidR="009700E5" w:rsidRDefault="002C033C">
            <w:pPr>
              <w:keepNext/>
              <w:keepLines/>
              <w:spacing w:before="50" w:after="50" w:line="240" w:lineRule="exact"/>
              <w:jc w:val="center"/>
              <w:rPr>
                <w:rFonts w:eastAsia="SimSun"/>
                <w:b/>
                <w:sz w:val="20"/>
                <w:lang w:eastAsia="zh-CN"/>
              </w:rPr>
            </w:pPr>
            <w:r>
              <w:rPr>
                <w:rFonts w:eastAsia="SimSun"/>
                <w:b/>
                <w:sz w:val="20"/>
                <w:lang w:eastAsia="zh-CN"/>
              </w:rPr>
              <w:t>Tocilizumab + placebo (s.c.)</w:t>
            </w:r>
          </w:p>
          <w:p w14:paraId="6E78B91C" w14:textId="77777777" w:rsidR="009700E5" w:rsidRDefault="002C033C">
            <w:pPr>
              <w:keepNext/>
              <w:keepLines/>
              <w:spacing w:before="50" w:after="50" w:line="240" w:lineRule="exact"/>
              <w:jc w:val="center"/>
              <w:rPr>
                <w:rFonts w:eastAsia="SimSun"/>
                <w:b/>
                <w:sz w:val="20"/>
                <w:lang w:eastAsia="zh-CN"/>
              </w:rPr>
            </w:pPr>
            <w:ins w:id="483" w:author="Author" w:date="2025-07-18T22:55:00Z">
              <w:r>
                <w:rPr>
                  <w:rFonts w:eastAsia="SimSun"/>
                  <w:b/>
                  <w:sz w:val="20"/>
                  <w:lang w:eastAsia="zh-CN"/>
                </w:rPr>
                <w:t>n</w:t>
              </w:r>
            </w:ins>
            <w:del w:id="484" w:author="Author" w:date="2025-07-18T22:55:00Z">
              <w:r>
                <w:rPr>
                  <w:rFonts w:eastAsia="SimSun"/>
                  <w:b/>
                  <w:sz w:val="20"/>
                  <w:lang w:eastAsia="zh-CN"/>
                </w:rPr>
                <w:delText>N</w:delText>
              </w:r>
            </w:del>
            <w:r>
              <w:rPr>
                <w:rFonts w:eastAsia="SimSun"/>
                <w:b/>
                <w:sz w:val="20"/>
                <w:lang w:eastAsia="zh-CN"/>
              </w:rPr>
              <w:t xml:space="preserve"> = 163</w:t>
            </w:r>
          </w:p>
        </w:tc>
        <w:tc>
          <w:tcPr>
            <w:tcW w:w="1275"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p w14:paraId="286251A6"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p-hodnota</w:t>
            </w:r>
            <w:r>
              <w:rPr>
                <w:rFonts w:eastAsia="SimSun"/>
                <w:b/>
                <w:sz w:val="20"/>
                <w:vertAlign w:val="superscript"/>
                <w:lang w:eastAsia="zh-CN"/>
              </w:rPr>
              <w:t>(a)</w:t>
            </w:r>
          </w:p>
        </w:tc>
      </w:tr>
      <w:tr w:rsidR="009700E5" w14:paraId="66CFCF90" w14:textId="77777777">
        <w:trPr>
          <w:cantSplit/>
        </w:trPr>
        <w:tc>
          <w:tcPr>
            <w:tcW w:w="7950" w:type="dxa"/>
            <w:gridSpan w:val="5"/>
            <w:tcBorders>
              <w:top w:val="nil"/>
              <w:left w:val="single" w:sz="4" w:space="0" w:color="auto"/>
              <w:bottom w:val="nil"/>
              <w:right w:val="single" w:sz="8" w:space="0" w:color="auto"/>
            </w:tcBorders>
            <w:tcMar>
              <w:top w:w="0" w:type="dxa"/>
              <w:left w:w="57" w:type="dxa"/>
              <w:bottom w:w="0" w:type="dxa"/>
              <w:right w:w="57" w:type="dxa"/>
            </w:tcMar>
          </w:tcPr>
          <w:p w14:paraId="464882D4" w14:textId="77777777" w:rsidR="009700E5" w:rsidRDefault="002C033C">
            <w:pPr>
              <w:keepNext/>
              <w:keepLines/>
              <w:spacing w:before="50" w:after="50" w:line="240" w:lineRule="exact"/>
              <w:rPr>
                <w:rFonts w:eastAsia="SimSun"/>
                <w:sz w:val="20"/>
                <w:lang w:eastAsia="zh-CN"/>
              </w:rPr>
            </w:pPr>
            <w:r>
              <w:rPr>
                <w:rFonts w:eastAsia="SimSun"/>
                <w:b/>
                <w:sz w:val="20"/>
                <w:lang w:eastAsia="zh-CN"/>
              </w:rPr>
              <w:t>Primárny cieľový ukazovateľ – priemerná zmena od východiskovej hodnoty v 24. týždni</w:t>
            </w:r>
          </w:p>
        </w:tc>
      </w:tr>
      <w:tr w:rsidR="009700E5" w14:paraId="1D5A235B" w14:textId="77777777">
        <w:trPr>
          <w:gridAfter w:val="1"/>
          <w:wAfter w:w="14" w:type="dxa"/>
          <w:cantSplit/>
        </w:trPr>
        <w:tc>
          <w:tcPr>
            <w:tcW w:w="3350" w:type="dxa"/>
            <w:tcBorders>
              <w:top w:val="single" w:sz="4" w:space="0" w:color="auto"/>
              <w:left w:val="single" w:sz="4" w:space="0" w:color="auto"/>
              <w:bottom w:val="nil"/>
              <w:right w:val="nil"/>
            </w:tcBorders>
            <w:tcMar>
              <w:top w:w="0" w:type="dxa"/>
              <w:left w:w="57" w:type="dxa"/>
              <w:bottom w:w="0" w:type="dxa"/>
              <w:right w:w="57" w:type="dxa"/>
            </w:tcMar>
          </w:tcPr>
          <w:p w14:paraId="4D5AAB44" w14:textId="77777777" w:rsidR="009700E5" w:rsidRDefault="002C033C">
            <w:pPr>
              <w:keepNext/>
              <w:keepLines/>
              <w:spacing w:before="50" w:after="50" w:line="240" w:lineRule="exact"/>
              <w:jc w:val="right"/>
              <w:rPr>
                <w:rFonts w:eastAsia="SimSun"/>
                <w:b/>
                <w:sz w:val="20"/>
                <w:lang w:eastAsia="zh-CN"/>
              </w:rPr>
            </w:pPr>
            <w:r>
              <w:rPr>
                <w:rFonts w:eastAsia="SimSun"/>
                <w:b/>
                <w:sz w:val="20"/>
                <w:lang w:eastAsia="zh-CN"/>
              </w:rPr>
              <w:t xml:space="preserve">DAS28 (upravený priemer) </w:t>
            </w:r>
          </w:p>
        </w:tc>
        <w:tc>
          <w:tcPr>
            <w:tcW w:w="1610" w:type="dxa"/>
            <w:tcBorders>
              <w:top w:val="single" w:sz="4" w:space="0" w:color="auto"/>
              <w:left w:val="nil"/>
              <w:bottom w:val="nil"/>
              <w:right w:val="nil"/>
            </w:tcBorders>
            <w:tcMar>
              <w:top w:w="0" w:type="dxa"/>
              <w:left w:w="57" w:type="dxa"/>
              <w:bottom w:w="0" w:type="dxa"/>
              <w:right w:w="57" w:type="dxa"/>
            </w:tcMar>
          </w:tcPr>
          <w:p w14:paraId="2A693562" w14:textId="77777777" w:rsidR="009700E5" w:rsidRDefault="002C033C">
            <w:pPr>
              <w:keepNext/>
              <w:keepLines/>
              <w:spacing w:before="50" w:after="50" w:line="240" w:lineRule="exact"/>
              <w:jc w:val="center"/>
              <w:rPr>
                <w:rFonts w:eastAsia="SimSun"/>
                <w:b/>
                <w:sz w:val="20"/>
                <w:lang w:eastAsia="zh-CN"/>
              </w:rPr>
            </w:pPr>
            <w:r>
              <w:rPr>
                <w:rFonts w:eastAsia="SimSun"/>
                <w:b/>
                <w:sz w:val="20"/>
                <w:lang w:eastAsia="zh-CN"/>
              </w:rPr>
              <w:t>-1,8</w:t>
            </w:r>
          </w:p>
        </w:tc>
        <w:tc>
          <w:tcPr>
            <w:tcW w:w="1701" w:type="dxa"/>
            <w:tcBorders>
              <w:top w:val="single" w:sz="4" w:space="0" w:color="auto"/>
              <w:left w:val="nil"/>
              <w:bottom w:val="nil"/>
              <w:right w:val="nil"/>
            </w:tcBorders>
            <w:tcMar>
              <w:top w:w="0" w:type="dxa"/>
              <w:left w:w="57" w:type="dxa"/>
              <w:bottom w:w="0" w:type="dxa"/>
              <w:right w:w="57" w:type="dxa"/>
            </w:tcMar>
          </w:tcPr>
          <w:p w14:paraId="2131B6BD" w14:textId="77777777" w:rsidR="009700E5" w:rsidRDefault="002C033C">
            <w:pPr>
              <w:keepNext/>
              <w:keepLines/>
              <w:spacing w:before="50" w:after="50" w:line="240" w:lineRule="exact"/>
              <w:jc w:val="center"/>
              <w:rPr>
                <w:rFonts w:eastAsia="SimSun"/>
                <w:b/>
                <w:sz w:val="20"/>
                <w:lang w:eastAsia="zh-CN"/>
              </w:rPr>
            </w:pPr>
            <w:r>
              <w:rPr>
                <w:rFonts w:eastAsia="SimSun"/>
                <w:b/>
                <w:sz w:val="20"/>
                <w:lang w:eastAsia="zh-CN"/>
              </w:rPr>
              <w:t>-3,3</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0B3C24BD" w14:textId="77777777" w:rsidR="009700E5" w:rsidRDefault="009700E5">
            <w:pPr>
              <w:keepNext/>
              <w:keepLines/>
              <w:spacing w:before="50" w:after="50" w:line="240" w:lineRule="exact"/>
              <w:jc w:val="center"/>
              <w:rPr>
                <w:rFonts w:eastAsia="SimSun"/>
                <w:b/>
                <w:sz w:val="20"/>
                <w:lang w:eastAsia="zh-CN"/>
              </w:rPr>
            </w:pPr>
          </w:p>
        </w:tc>
      </w:tr>
      <w:tr w:rsidR="009700E5" w14:paraId="248F34A9" w14:textId="77777777">
        <w:trPr>
          <w:gridAfter w:val="1"/>
          <w:wAfter w:w="14" w:type="dxa"/>
          <w:cantSplit/>
        </w:trPr>
        <w:tc>
          <w:tcPr>
            <w:tcW w:w="3350" w:type="dxa"/>
            <w:tcBorders>
              <w:top w:val="nil"/>
              <w:left w:val="single" w:sz="4" w:space="0" w:color="auto"/>
              <w:bottom w:val="single" w:sz="4" w:space="0" w:color="auto"/>
              <w:right w:val="nil"/>
            </w:tcBorders>
            <w:tcMar>
              <w:top w:w="0" w:type="dxa"/>
              <w:left w:w="57" w:type="dxa"/>
              <w:bottom w:w="0" w:type="dxa"/>
              <w:right w:w="57" w:type="dxa"/>
            </w:tcMar>
          </w:tcPr>
          <w:p w14:paraId="260B127B" w14:textId="77777777" w:rsidR="009700E5" w:rsidRDefault="002C033C">
            <w:pPr>
              <w:keepNext/>
              <w:keepLines/>
              <w:spacing w:before="50" w:after="50" w:line="240" w:lineRule="exact"/>
              <w:jc w:val="right"/>
              <w:rPr>
                <w:rFonts w:eastAsia="SimSun"/>
                <w:b/>
                <w:sz w:val="20"/>
                <w:lang w:eastAsia="zh-CN"/>
              </w:rPr>
            </w:pPr>
            <w:r>
              <w:rPr>
                <w:rFonts w:eastAsia="SimSun"/>
                <w:b/>
                <w:sz w:val="20"/>
                <w:lang w:eastAsia="zh-CN"/>
              </w:rPr>
              <w:t>Rozdiel v upravenom priemere (95 % IC)</w:t>
            </w:r>
          </w:p>
        </w:tc>
        <w:tc>
          <w:tcPr>
            <w:tcW w:w="3311" w:type="dxa"/>
            <w:gridSpan w:val="2"/>
            <w:tcBorders>
              <w:top w:val="nil"/>
              <w:left w:val="nil"/>
              <w:bottom w:val="single" w:sz="4" w:space="0" w:color="auto"/>
              <w:right w:val="nil"/>
            </w:tcBorders>
            <w:tcMar>
              <w:top w:w="0" w:type="dxa"/>
              <w:left w:w="57" w:type="dxa"/>
              <w:bottom w:w="0" w:type="dxa"/>
              <w:right w:w="57" w:type="dxa"/>
            </w:tcMar>
          </w:tcPr>
          <w:p w14:paraId="11D0C9E9" w14:textId="77777777" w:rsidR="009700E5" w:rsidRDefault="002C033C">
            <w:pPr>
              <w:keepNext/>
              <w:keepLines/>
              <w:spacing w:before="50" w:after="50" w:line="240" w:lineRule="exact"/>
              <w:jc w:val="center"/>
              <w:rPr>
                <w:rFonts w:eastAsia="SimSun"/>
                <w:b/>
                <w:sz w:val="20"/>
                <w:lang w:eastAsia="zh-CN"/>
              </w:rPr>
            </w:pPr>
            <w:r>
              <w:rPr>
                <w:rFonts w:eastAsia="SimSun"/>
                <w:b/>
                <w:sz w:val="20"/>
                <w:lang w:eastAsia="zh-CN"/>
              </w:rPr>
              <w:t>-1,5 (-1,8, -1,1)</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11DE9F3A" w14:textId="77777777" w:rsidR="009700E5" w:rsidRDefault="002C033C">
            <w:pPr>
              <w:keepNext/>
              <w:keepLines/>
              <w:spacing w:before="50" w:after="50" w:line="240" w:lineRule="exact"/>
              <w:jc w:val="center"/>
              <w:rPr>
                <w:rFonts w:eastAsia="SimSun"/>
                <w:b/>
                <w:sz w:val="20"/>
                <w:lang w:eastAsia="zh-CN"/>
              </w:rPr>
            </w:pPr>
            <w:r>
              <w:rPr>
                <w:rFonts w:eastAsia="SimSun"/>
                <w:b/>
                <w:sz w:val="20"/>
                <w:lang w:eastAsia="zh-CN"/>
              </w:rPr>
              <w:t>&lt; 0,0001</w:t>
            </w:r>
          </w:p>
        </w:tc>
      </w:tr>
      <w:tr w:rsidR="009700E5" w14:paraId="5A0358A9" w14:textId="77777777">
        <w:trPr>
          <w:gridAfter w:val="1"/>
          <w:wAfter w:w="14" w:type="dxa"/>
          <w:cantSplit/>
        </w:trPr>
        <w:tc>
          <w:tcPr>
            <w:tcW w:w="7936" w:type="dxa"/>
            <w:gridSpan w:val="4"/>
            <w:tcBorders>
              <w:top w:val="nil"/>
              <w:left w:val="single" w:sz="4" w:space="0" w:color="auto"/>
              <w:bottom w:val="single" w:sz="4" w:space="0" w:color="auto"/>
              <w:right w:val="single" w:sz="8" w:space="0" w:color="auto"/>
            </w:tcBorders>
            <w:tcMar>
              <w:top w:w="0" w:type="dxa"/>
              <w:left w:w="57" w:type="dxa"/>
              <w:bottom w:w="0" w:type="dxa"/>
              <w:right w:w="57" w:type="dxa"/>
            </w:tcMar>
          </w:tcPr>
          <w:p w14:paraId="24E400E7" w14:textId="77777777" w:rsidR="009700E5" w:rsidRDefault="002C033C">
            <w:pPr>
              <w:keepNext/>
              <w:keepLines/>
              <w:spacing w:before="50" w:after="50" w:line="240" w:lineRule="exact"/>
              <w:rPr>
                <w:rFonts w:eastAsia="SimSun"/>
                <w:sz w:val="20"/>
                <w:lang w:eastAsia="zh-CN"/>
              </w:rPr>
            </w:pPr>
            <w:r>
              <w:rPr>
                <w:rFonts w:eastAsia="SimSun"/>
                <w:b/>
                <w:sz w:val="20"/>
                <w:lang w:eastAsia="zh-CN"/>
              </w:rPr>
              <w:t>Sekundárne cieľové ukazovatele – percento respondérov v 24. týždni</w:t>
            </w:r>
            <w:r>
              <w:rPr>
                <w:rFonts w:eastAsia="SimSun"/>
                <w:b/>
                <w:sz w:val="20"/>
                <w:vertAlign w:val="superscript"/>
                <w:lang w:eastAsia="zh-CN"/>
              </w:rPr>
              <w:t>(b)</w:t>
            </w:r>
          </w:p>
        </w:tc>
      </w:tr>
      <w:tr w:rsidR="009700E5" w14:paraId="089CB54F" w14:textId="77777777">
        <w:trPr>
          <w:gridAfter w:val="1"/>
          <w:wAfter w:w="14" w:type="dxa"/>
          <w:cantSplit/>
        </w:trPr>
        <w:tc>
          <w:tcPr>
            <w:tcW w:w="3350" w:type="dxa"/>
            <w:tcBorders>
              <w:top w:val="single" w:sz="4" w:space="0" w:color="auto"/>
              <w:left w:val="single" w:sz="4" w:space="0" w:color="auto"/>
              <w:bottom w:val="nil"/>
              <w:right w:val="nil"/>
            </w:tcBorders>
            <w:tcMar>
              <w:top w:w="0" w:type="dxa"/>
              <w:left w:w="57" w:type="dxa"/>
              <w:bottom w:w="0" w:type="dxa"/>
              <w:right w:w="57" w:type="dxa"/>
            </w:tcMar>
          </w:tcPr>
          <w:p w14:paraId="4D6D34D1" w14:textId="77777777" w:rsidR="009700E5" w:rsidRDefault="002C033C">
            <w:pPr>
              <w:keepNext/>
              <w:keepLines/>
              <w:spacing w:before="50" w:after="50" w:line="240" w:lineRule="exact"/>
              <w:jc w:val="right"/>
              <w:rPr>
                <w:rFonts w:eastAsia="SimSun"/>
                <w:sz w:val="20"/>
                <w:lang w:eastAsia="zh-CN"/>
              </w:rPr>
            </w:pPr>
            <w:r>
              <w:rPr>
                <w:rFonts w:eastAsia="SimSun"/>
                <w:sz w:val="20"/>
                <w:lang w:eastAsia="zh-CN"/>
              </w:rPr>
              <w:t>DAS28 &lt; 2,6, n (%)</w:t>
            </w:r>
          </w:p>
        </w:tc>
        <w:tc>
          <w:tcPr>
            <w:tcW w:w="1610" w:type="dxa"/>
            <w:tcBorders>
              <w:top w:val="single" w:sz="4" w:space="0" w:color="auto"/>
              <w:left w:val="nil"/>
              <w:bottom w:val="nil"/>
              <w:right w:val="nil"/>
            </w:tcBorders>
            <w:tcMar>
              <w:top w:w="0" w:type="dxa"/>
              <w:left w:w="57" w:type="dxa"/>
              <w:bottom w:w="0" w:type="dxa"/>
              <w:right w:w="57" w:type="dxa"/>
            </w:tcMar>
          </w:tcPr>
          <w:p w14:paraId="71902591"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17 (10,5)</w:t>
            </w:r>
          </w:p>
        </w:tc>
        <w:tc>
          <w:tcPr>
            <w:tcW w:w="1701" w:type="dxa"/>
            <w:tcBorders>
              <w:top w:val="single" w:sz="4" w:space="0" w:color="auto"/>
              <w:left w:val="nil"/>
              <w:bottom w:val="nil"/>
              <w:right w:val="nil"/>
            </w:tcBorders>
            <w:tcMar>
              <w:top w:w="0" w:type="dxa"/>
              <w:left w:w="57" w:type="dxa"/>
              <w:bottom w:w="0" w:type="dxa"/>
              <w:right w:w="57" w:type="dxa"/>
            </w:tcMar>
          </w:tcPr>
          <w:p w14:paraId="41FE1E3E"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65 (39,9)</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4CDB0006"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&lt; 0,0001</w:t>
            </w:r>
          </w:p>
        </w:tc>
      </w:tr>
      <w:tr w:rsidR="009700E5" w14:paraId="2750D9CC" w14:textId="77777777">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7EE443FA" w14:textId="77777777" w:rsidR="009700E5" w:rsidRDefault="002C033C">
            <w:pPr>
              <w:keepNext/>
              <w:keepLines/>
              <w:spacing w:before="50" w:after="50" w:line="240" w:lineRule="exact"/>
              <w:jc w:val="right"/>
              <w:rPr>
                <w:rFonts w:eastAsia="SimSun"/>
                <w:sz w:val="20"/>
                <w:lang w:eastAsia="zh-CN"/>
              </w:rPr>
            </w:pPr>
            <w:r>
              <w:rPr>
                <w:rFonts w:eastAsia="SimSun"/>
                <w:sz w:val="20"/>
                <w:lang w:eastAsia="zh-CN"/>
              </w:rPr>
              <w:t xml:space="preserve">DAS28 ≤ 3,2, n (%) </w:t>
            </w:r>
          </w:p>
        </w:tc>
        <w:tc>
          <w:tcPr>
            <w:tcW w:w="1610" w:type="dxa"/>
            <w:tcMar>
              <w:top w:w="0" w:type="dxa"/>
              <w:left w:w="57" w:type="dxa"/>
              <w:bottom w:w="0" w:type="dxa"/>
              <w:right w:w="57" w:type="dxa"/>
            </w:tcMar>
          </w:tcPr>
          <w:p w14:paraId="1610DB70"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32 (19,8)</w:t>
            </w:r>
          </w:p>
        </w:tc>
        <w:tc>
          <w:tcPr>
            <w:tcW w:w="1701" w:type="dxa"/>
            <w:tcMar>
              <w:top w:w="0" w:type="dxa"/>
              <w:left w:w="57" w:type="dxa"/>
              <w:bottom w:w="0" w:type="dxa"/>
              <w:right w:w="57" w:type="dxa"/>
            </w:tcMar>
          </w:tcPr>
          <w:p w14:paraId="1FBF16DB"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84 (51,5)</w:t>
            </w:r>
          </w:p>
        </w:tc>
        <w:tc>
          <w:tcPr>
            <w:tcW w:w="1275" w:type="dxa"/>
            <w:tcBorders>
              <w:top w:val="nil"/>
              <w:left w:val="nil"/>
              <w:bottom w:val="nil"/>
              <w:right w:val="single" w:sz="8" w:space="0" w:color="auto"/>
            </w:tcBorders>
            <w:tcMar>
              <w:top w:w="0" w:type="dxa"/>
              <w:left w:w="57" w:type="dxa"/>
              <w:bottom w:w="0" w:type="dxa"/>
              <w:right w:w="57" w:type="dxa"/>
            </w:tcMar>
          </w:tcPr>
          <w:p w14:paraId="00DC87C2"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&lt; 0,0001</w:t>
            </w:r>
          </w:p>
        </w:tc>
      </w:tr>
      <w:tr w:rsidR="009700E5" w14:paraId="6700BA00" w14:textId="77777777">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63C0230D" w14:textId="77777777" w:rsidR="009700E5" w:rsidRDefault="002C033C">
            <w:pPr>
              <w:keepNext/>
              <w:keepLines/>
              <w:spacing w:before="50" w:after="50" w:line="240" w:lineRule="exact"/>
              <w:jc w:val="right"/>
              <w:rPr>
                <w:rFonts w:eastAsia="SimSun"/>
                <w:sz w:val="20"/>
                <w:lang w:eastAsia="zh-CN"/>
              </w:rPr>
            </w:pPr>
            <w:r>
              <w:rPr>
                <w:rFonts w:eastAsia="SimSun"/>
                <w:sz w:val="20"/>
                <w:lang w:eastAsia="zh-CN"/>
              </w:rPr>
              <w:t>ACR 20 odpoveď, n (%)</w:t>
            </w:r>
          </w:p>
        </w:tc>
        <w:tc>
          <w:tcPr>
            <w:tcW w:w="1610" w:type="dxa"/>
            <w:tcMar>
              <w:top w:w="0" w:type="dxa"/>
              <w:left w:w="57" w:type="dxa"/>
              <w:bottom w:w="0" w:type="dxa"/>
              <w:right w:w="57" w:type="dxa"/>
            </w:tcMar>
          </w:tcPr>
          <w:p w14:paraId="5D0D9B0D"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80 (49,4)</w:t>
            </w:r>
          </w:p>
        </w:tc>
        <w:tc>
          <w:tcPr>
            <w:tcW w:w="1701" w:type="dxa"/>
            <w:tcMar>
              <w:top w:w="0" w:type="dxa"/>
              <w:left w:w="57" w:type="dxa"/>
              <w:bottom w:w="0" w:type="dxa"/>
              <w:right w:w="57" w:type="dxa"/>
            </w:tcMar>
          </w:tcPr>
          <w:p w14:paraId="6E02247A"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106 (65,0)</w:t>
            </w:r>
          </w:p>
        </w:tc>
        <w:tc>
          <w:tcPr>
            <w:tcW w:w="1275" w:type="dxa"/>
            <w:tcBorders>
              <w:top w:val="nil"/>
              <w:left w:val="nil"/>
              <w:bottom w:val="nil"/>
              <w:right w:val="single" w:sz="8" w:space="0" w:color="auto"/>
            </w:tcBorders>
            <w:tcMar>
              <w:top w:w="0" w:type="dxa"/>
              <w:left w:w="57" w:type="dxa"/>
              <w:bottom w:w="0" w:type="dxa"/>
              <w:right w:w="57" w:type="dxa"/>
            </w:tcMar>
          </w:tcPr>
          <w:p w14:paraId="633E4598"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0,0038</w:t>
            </w:r>
          </w:p>
        </w:tc>
      </w:tr>
      <w:tr w:rsidR="009700E5" w14:paraId="0B4D84FA" w14:textId="77777777">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21EC6D6A" w14:textId="77777777" w:rsidR="009700E5" w:rsidRDefault="002C033C">
            <w:pPr>
              <w:keepNext/>
              <w:keepLines/>
              <w:spacing w:before="50" w:after="50" w:line="240" w:lineRule="exact"/>
              <w:jc w:val="right"/>
              <w:rPr>
                <w:rFonts w:eastAsia="SimSun"/>
                <w:sz w:val="20"/>
                <w:lang w:eastAsia="zh-CN"/>
              </w:rPr>
            </w:pPr>
            <w:r>
              <w:rPr>
                <w:rFonts w:eastAsia="SimSun"/>
                <w:sz w:val="20"/>
                <w:lang w:eastAsia="zh-CN"/>
              </w:rPr>
              <w:t>ACR 50 odpoveď, n (%)</w:t>
            </w:r>
          </w:p>
        </w:tc>
        <w:tc>
          <w:tcPr>
            <w:tcW w:w="1610" w:type="dxa"/>
            <w:tcMar>
              <w:top w:w="0" w:type="dxa"/>
              <w:left w:w="57" w:type="dxa"/>
              <w:bottom w:w="0" w:type="dxa"/>
              <w:right w:w="57" w:type="dxa"/>
            </w:tcMar>
          </w:tcPr>
          <w:p w14:paraId="062E4611"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45 (27,8)</w:t>
            </w:r>
          </w:p>
        </w:tc>
        <w:tc>
          <w:tcPr>
            <w:tcW w:w="1701" w:type="dxa"/>
            <w:tcMar>
              <w:top w:w="0" w:type="dxa"/>
              <w:left w:w="57" w:type="dxa"/>
              <w:bottom w:w="0" w:type="dxa"/>
              <w:right w:w="57" w:type="dxa"/>
            </w:tcMar>
          </w:tcPr>
          <w:p w14:paraId="3842A363"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77 (47,2)</w:t>
            </w:r>
          </w:p>
        </w:tc>
        <w:tc>
          <w:tcPr>
            <w:tcW w:w="1275" w:type="dxa"/>
            <w:tcBorders>
              <w:top w:val="nil"/>
              <w:left w:val="nil"/>
              <w:bottom w:val="nil"/>
              <w:right w:val="single" w:sz="8" w:space="0" w:color="auto"/>
            </w:tcBorders>
            <w:tcMar>
              <w:top w:w="0" w:type="dxa"/>
              <w:left w:w="57" w:type="dxa"/>
              <w:bottom w:w="0" w:type="dxa"/>
              <w:right w:w="57" w:type="dxa"/>
            </w:tcMar>
          </w:tcPr>
          <w:p w14:paraId="6F82E30E"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0,0002</w:t>
            </w:r>
          </w:p>
        </w:tc>
      </w:tr>
      <w:tr w:rsidR="009700E5" w14:paraId="721B6AA3" w14:textId="77777777">
        <w:trPr>
          <w:gridAfter w:val="1"/>
          <w:wAfter w:w="14" w:type="dxa"/>
          <w:cantSplit/>
        </w:trPr>
        <w:tc>
          <w:tcPr>
            <w:tcW w:w="3350" w:type="dxa"/>
            <w:tcBorders>
              <w:top w:val="nil"/>
              <w:left w:val="single" w:sz="4" w:space="0" w:color="auto"/>
              <w:bottom w:val="single" w:sz="4" w:space="0" w:color="auto"/>
              <w:right w:val="nil"/>
            </w:tcBorders>
            <w:tcMar>
              <w:top w:w="0" w:type="dxa"/>
              <w:left w:w="57" w:type="dxa"/>
              <w:bottom w:w="0" w:type="dxa"/>
              <w:right w:w="57" w:type="dxa"/>
            </w:tcMar>
          </w:tcPr>
          <w:p w14:paraId="37F32C15" w14:textId="77777777" w:rsidR="009700E5" w:rsidRDefault="002C033C">
            <w:pPr>
              <w:keepNext/>
              <w:keepLines/>
              <w:spacing w:before="50" w:after="50" w:line="240" w:lineRule="exact"/>
              <w:jc w:val="right"/>
              <w:rPr>
                <w:rFonts w:eastAsia="SimSun"/>
                <w:sz w:val="20"/>
                <w:lang w:eastAsia="zh-CN"/>
              </w:rPr>
            </w:pPr>
            <w:r>
              <w:rPr>
                <w:rFonts w:eastAsia="SimSun"/>
                <w:sz w:val="20"/>
                <w:lang w:eastAsia="zh-CN"/>
              </w:rPr>
              <w:t>ACR 70 odpoveď, n (%)</w:t>
            </w:r>
          </w:p>
        </w:tc>
        <w:tc>
          <w:tcPr>
            <w:tcW w:w="1610" w:type="dxa"/>
            <w:tcBorders>
              <w:top w:val="nil"/>
              <w:left w:val="nil"/>
              <w:bottom w:val="single" w:sz="4" w:space="0" w:color="auto"/>
              <w:right w:val="nil"/>
            </w:tcBorders>
            <w:tcMar>
              <w:top w:w="0" w:type="dxa"/>
              <w:left w:w="57" w:type="dxa"/>
              <w:bottom w:w="0" w:type="dxa"/>
              <w:right w:w="57" w:type="dxa"/>
            </w:tcMar>
          </w:tcPr>
          <w:p w14:paraId="06EF037D"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29 (17,9)</w:t>
            </w:r>
          </w:p>
        </w:tc>
        <w:tc>
          <w:tcPr>
            <w:tcW w:w="1701" w:type="dxa"/>
            <w:tcBorders>
              <w:top w:val="nil"/>
              <w:left w:val="nil"/>
              <w:bottom w:val="single" w:sz="4" w:space="0" w:color="auto"/>
              <w:right w:val="nil"/>
            </w:tcBorders>
            <w:tcMar>
              <w:top w:w="0" w:type="dxa"/>
              <w:left w:w="57" w:type="dxa"/>
              <w:bottom w:w="0" w:type="dxa"/>
              <w:right w:w="57" w:type="dxa"/>
            </w:tcMar>
          </w:tcPr>
          <w:p w14:paraId="1A658E6E"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53 (32,5)</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4515D865"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0,0023</w:t>
            </w:r>
          </w:p>
        </w:tc>
      </w:tr>
    </w:tbl>
    <w:p w14:paraId="20D6E827" w14:textId="77777777" w:rsidR="009700E5" w:rsidRDefault="002C033C">
      <w:pPr>
        <w:keepNext/>
        <w:keepLines/>
        <w:rPr>
          <w:rFonts w:eastAsia="SimSun"/>
          <w:bCs/>
          <w:iCs/>
          <w:sz w:val="18"/>
          <w:szCs w:val="18"/>
          <w:lang w:eastAsia="zh-CN"/>
        </w:rPr>
        <w:pPrChange w:id="485" w:author="TCS" w:date="2026-03-20T12:47:00Z">
          <w:pPr/>
        </w:pPrChange>
      </w:pPr>
      <w:r>
        <w:rPr>
          <w:rFonts w:eastAsia="SimSun"/>
          <w:bCs/>
          <w:iCs/>
          <w:sz w:val="18"/>
          <w:szCs w:val="18"/>
          <w:vertAlign w:val="superscript"/>
          <w:lang w:eastAsia="zh-CN"/>
        </w:rPr>
        <w:t xml:space="preserve">a </w:t>
      </w:r>
      <w:r>
        <w:rPr>
          <w:rFonts w:eastAsia="SimSun"/>
          <w:bCs/>
          <w:iCs/>
          <w:sz w:val="18"/>
          <w:szCs w:val="18"/>
          <w:lang w:eastAsia="zh-CN"/>
        </w:rPr>
        <w:t>p</w:t>
      </w:r>
      <w:r>
        <w:rPr>
          <w:rFonts w:eastAsia="SimSun"/>
          <w:bCs/>
          <w:iCs/>
          <w:sz w:val="18"/>
          <w:szCs w:val="18"/>
          <w:lang w:eastAsia="zh-CN"/>
        </w:rPr>
        <w:noBreakHyphen/>
        <w:t>hodnota je upravená vzhľadom na oblasť a trvanie RA pre všetky cieľové ukazovatele a tiež východisková hodnota pre všetky pokračujúce cieľové ukazovatele.</w:t>
      </w:r>
      <w:r>
        <w:rPr>
          <w:rFonts w:eastAsia="SimSun"/>
          <w:bCs/>
          <w:iCs/>
          <w:sz w:val="18"/>
          <w:szCs w:val="18"/>
          <w:lang w:eastAsia="zh-CN"/>
        </w:rPr>
        <w:br/>
      </w:r>
      <w:r>
        <w:rPr>
          <w:rFonts w:eastAsia="SimSun"/>
          <w:bCs/>
          <w:iCs/>
          <w:sz w:val="18"/>
          <w:szCs w:val="18"/>
          <w:vertAlign w:val="superscript"/>
          <w:lang w:eastAsia="zh-CN"/>
        </w:rPr>
        <w:t>b</w:t>
      </w:r>
      <w:r>
        <w:rPr>
          <w:rFonts w:eastAsia="SimSun"/>
          <w:bCs/>
          <w:iCs/>
          <w:sz w:val="18"/>
          <w:szCs w:val="18"/>
          <w:lang w:eastAsia="zh-CN"/>
        </w:rPr>
        <w:t xml:space="preserve"> Neodpovedajúci na liečbu použití pre chýbajúce údaje. Multidisciplinárna kontrola použitím Bonferroni</w:t>
      </w:r>
      <w:r>
        <w:rPr>
          <w:rFonts w:eastAsia="SimSun"/>
          <w:bCs/>
          <w:iCs/>
          <w:sz w:val="18"/>
          <w:szCs w:val="18"/>
          <w:lang w:eastAsia="zh-CN"/>
        </w:rPr>
        <w:noBreakHyphen/>
        <w:t>Holm procedúry</w:t>
      </w:r>
    </w:p>
    <w:p w14:paraId="6F94DA3C" w14:textId="77777777" w:rsidR="009700E5" w:rsidRDefault="002C033C">
      <w:pPr>
        <w:keepNext/>
        <w:keepLines/>
        <w:rPr>
          <w:rFonts w:eastAsia="SimSun"/>
          <w:bCs/>
          <w:iCs/>
          <w:sz w:val="18"/>
          <w:szCs w:val="18"/>
          <w:lang w:eastAsia="zh-CN"/>
        </w:rPr>
        <w:pPrChange w:id="486" w:author="TCS" w:date="2026-03-20T12:47:00Z">
          <w:pPr/>
        </w:pPrChange>
      </w:pPr>
      <w:r>
        <w:rPr>
          <w:rFonts w:eastAsia="SimSun"/>
          <w:bCs/>
          <w:iCs/>
          <w:sz w:val="18"/>
          <w:szCs w:val="18"/>
          <w:lang w:eastAsia="zh-CN"/>
        </w:rPr>
        <w:t>i.v.</w:t>
      </w:r>
      <w:ins w:id="487" w:author="Author" w:date="2025-07-21T09:34:00Z">
        <w:r>
          <w:rPr>
            <w:rFonts w:eastAsia="SimSun"/>
            <w:bCs/>
            <w:iCs/>
            <w:sz w:val="18"/>
            <w:szCs w:val="18"/>
            <w:lang w:eastAsia="zh-CN"/>
          </w:rPr>
          <w:t> </w:t>
        </w:r>
      </w:ins>
      <w:del w:id="488" w:author="Author" w:date="2025-07-21T09:34:00Z">
        <w:r>
          <w:rPr>
            <w:rFonts w:eastAsia="SimSun"/>
            <w:bCs/>
            <w:iCs/>
            <w:sz w:val="18"/>
            <w:szCs w:val="18"/>
            <w:lang w:eastAsia="zh-CN"/>
          </w:rPr>
          <w:delText xml:space="preserve"> </w:delText>
        </w:r>
      </w:del>
      <w:r>
        <w:rPr>
          <w:rFonts w:eastAsia="SimSun"/>
          <w:bCs/>
          <w:iCs/>
          <w:sz w:val="18"/>
          <w:szCs w:val="18"/>
          <w:lang w:eastAsia="zh-CN"/>
        </w:rPr>
        <w:t>=</w:t>
      </w:r>
      <w:ins w:id="489" w:author="Author" w:date="2025-07-21T09:34:00Z">
        <w:r>
          <w:rPr>
            <w:rFonts w:eastAsia="SimSun"/>
            <w:bCs/>
            <w:iCs/>
            <w:sz w:val="18"/>
            <w:szCs w:val="18"/>
            <w:lang w:eastAsia="zh-CN"/>
          </w:rPr>
          <w:t> </w:t>
        </w:r>
      </w:ins>
      <w:del w:id="490" w:author="Author" w:date="2025-07-21T09:34:00Z">
        <w:r>
          <w:rPr>
            <w:rFonts w:eastAsia="SimSun"/>
            <w:bCs/>
            <w:iCs/>
            <w:sz w:val="18"/>
            <w:szCs w:val="18"/>
            <w:lang w:eastAsia="zh-CN"/>
          </w:rPr>
          <w:delText xml:space="preserve"> </w:delText>
        </w:r>
      </w:del>
      <w:r>
        <w:rPr>
          <w:rFonts w:eastAsia="SimSun"/>
          <w:bCs/>
          <w:iCs/>
          <w:sz w:val="18"/>
          <w:szCs w:val="18"/>
          <w:lang w:eastAsia="zh-CN"/>
        </w:rPr>
        <w:t>intravenózne</w:t>
      </w:r>
    </w:p>
    <w:p w14:paraId="3C85273C" w14:textId="77777777" w:rsidR="009700E5" w:rsidRDefault="002C033C">
      <w:pPr>
        <w:keepNext/>
        <w:keepLines/>
        <w:rPr>
          <w:rFonts w:eastAsia="SimSun"/>
          <w:bCs/>
          <w:iCs/>
          <w:sz w:val="18"/>
          <w:szCs w:val="18"/>
          <w:lang w:eastAsia="zh-CN"/>
        </w:rPr>
        <w:pPrChange w:id="491" w:author="TCS" w:date="2026-03-20T12:47:00Z">
          <w:pPr/>
        </w:pPrChange>
      </w:pPr>
      <w:r>
        <w:rPr>
          <w:rFonts w:eastAsia="SimSun"/>
          <w:bCs/>
          <w:iCs/>
          <w:sz w:val="18"/>
          <w:szCs w:val="18"/>
          <w:lang w:eastAsia="zh-CN"/>
        </w:rPr>
        <w:t>s.c.</w:t>
      </w:r>
      <w:ins w:id="492" w:author="Author" w:date="2025-07-21T09:34:00Z">
        <w:r>
          <w:rPr>
            <w:rFonts w:eastAsia="SimSun"/>
            <w:bCs/>
            <w:iCs/>
            <w:sz w:val="18"/>
            <w:szCs w:val="18"/>
            <w:lang w:eastAsia="zh-CN"/>
          </w:rPr>
          <w:t> </w:t>
        </w:r>
      </w:ins>
      <w:del w:id="493" w:author="Author" w:date="2025-07-21T09:34:00Z">
        <w:r>
          <w:rPr>
            <w:rFonts w:eastAsia="SimSun"/>
            <w:bCs/>
            <w:iCs/>
            <w:sz w:val="18"/>
            <w:szCs w:val="18"/>
            <w:lang w:eastAsia="zh-CN"/>
          </w:rPr>
          <w:delText xml:space="preserve"> </w:delText>
        </w:r>
      </w:del>
      <w:r>
        <w:rPr>
          <w:rFonts w:eastAsia="SimSun"/>
          <w:bCs/>
          <w:iCs/>
          <w:sz w:val="18"/>
          <w:szCs w:val="18"/>
          <w:lang w:eastAsia="zh-CN"/>
        </w:rPr>
        <w:t>=</w:t>
      </w:r>
      <w:ins w:id="494" w:author="Author" w:date="2025-07-21T09:34:00Z">
        <w:r>
          <w:rPr>
            <w:rFonts w:eastAsia="SimSun"/>
            <w:bCs/>
            <w:iCs/>
            <w:sz w:val="18"/>
            <w:szCs w:val="18"/>
            <w:lang w:eastAsia="zh-CN"/>
          </w:rPr>
          <w:t> </w:t>
        </w:r>
      </w:ins>
      <w:del w:id="495" w:author="Author" w:date="2025-07-21T09:34:00Z">
        <w:r>
          <w:rPr>
            <w:rFonts w:eastAsia="SimSun"/>
            <w:bCs/>
            <w:iCs/>
            <w:sz w:val="18"/>
            <w:szCs w:val="18"/>
            <w:lang w:eastAsia="zh-CN"/>
          </w:rPr>
          <w:delText xml:space="preserve"> </w:delText>
        </w:r>
      </w:del>
      <w:r>
        <w:rPr>
          <w:rFonts w:eastAsia="SimSun"/>
          <w:bCs/>
          <w:iCs/>
          <w:sz w:val="18"/>
          <w:szCs w:val="18"/>
          <w:lang w:eastAsia="zh-CN"/>
        </w:rPr>
        <w:t>subkutánne</w:t>
      </w:r>
    </w:p>
    <w:p w14:paraId="5B3EF0F4" w14:textId="77777777" w:rsidR="009700E5" w:rsidRDefault="002C033C">
      <w:pPr>
        <w:keepNext/>
        <w:keepLines/>
        <w:rPr>
          <w:rFonts w:eastAsia="SimSun"/>
          <w:bCs/>
          <w:iCs/>
          <w:sz w:val="18"/>
          <w:szCs w:val="18"/>
          <w:lang w:eastAsia="zh-CN"/>
        </w:rPr>
        <w:pPrChange w:id="496" w:author="TCS" w:date="2026-03-20T12:47:00Z">
          <w:pPr/>
        </w:pPrChange>
      </w:pPr>
      <w:r>
        <w:rPr>
          <w:rFonts w:eastAsia="SimSun"/>
          <w:bCs/>
          <w:iCs/>
          <w:sz w:val="18"/>
          <w:szCs w:val="18"/>
          <w:lang w:eastAsia="zh-CN"/>
        </w:rPr>
        <w:t>TCZ</w:t>
      </w:r>
      <w:ins w:id="497" w:author="Author" w:date="2025-07-21T09:34:00Z">
        <w:r>
          <w:rPr>
            <w:rFonts w:eastAsia="SimSun"/>
            <w:bCs/>
            <w:iCs/>
            <w:sz w:val="18"/>
            <w:szCs w:val="18"/>
            <w:lang w:eastAsia="zh-CN"/>
          </w:rPr>
          <w:t> </w:t>
        </w:r>
      </w:ins>
      <w:del w:id="498" w:author="Author" w:date="2025-07-21T09:34:00Z">
        <w:r>
          <w:rPr>
            <w:rFonts w:eastAsia="SimSun"/>
            <w:bCs/>
            <w:iCs/>
            <w:sz w:val="18"/>
            <w:szCs w:val="18"/>
            <w:lang w:eastAsia="zh-CN"/>
          </w:rPr>
          <w:delText xml:space="preserve"> </w:delText>
        </w:r>
      </w:del>
      <w:r>
        <w:rPr>
          <w:rFonts w:eastAsia="SimSun"/>
          <w:bCs/>
          <w:iCs/>
          <w:sz w:val="18"/>
          <w:szCs w:val="18"/>
          <w:lang w:eastAsia="zh-CN"/>
        </w:rPr>
        <w:t>=</w:t>
      </w:r>
      <w:ins w:id="499" w:author="Author" w:date="2025-07-21T09:34:00Z">
        <w:r>
          <w:rPr>
            <w:rFonts w:eastAsia="SimSun"/>
            <w:bCs/>
            <w:iCs/>
            <w:sz w:val="18"/>
            <w:szCs w:val="18"/>
            <w:lang w:eastAsia="zh-CN"/>
          </w:rPr>
          <w:t> </w:t>
        </w:r>
      </w:ins>
      <w:del w:id="500" w:author="Author" w:date="2025-07-21T09:34:00Z">
        <w:r>
          <w:rPr>
            <w:rFonts w:eastAsia="SimSun"/>
            <w:bCs/>
            <w:iCs/>
            <w:sz w:val="18"/>
            <w:szCs w:val="18"/>
            <w:lang w:eastAsia="zh-CN"/>
          </w:rPr>
          <w:delText xml:space="preserve"> </w:delText>
        </w:r>
      </w:del>
      <w:r>
        <w:rPr>
          <w:rFonts w:eastAsia="SimSun"/>
          <w:bCs/>
          <w:iCs/>
          <w:sz w:val="18"/>
          <w:szCs w:val="18"/>
          <w:lang w:eastAsia="zh-CN"/>
        </w:rPr>
        <w:t>tocilizumab</w:t>
      </w:r>
    </w:p>
    <w:p w14:paraId="18AE9769" w14:textId="77777777" w:rsidR="009700E5" w:rsidRDefault="002C033C">
      <w:pPr>
        <w:rPr>
          <w:rFonts w:eastAsia="SimSun"/>
          <w:bCs/>
          <w:iCs/>
          <w:sz w:val="18"/>
          <w:szCs w:val="18"/>
          <w:lang w:eastAsia="zh-CN"/>
        </w:rPr>
      </w:pPr>
      <w:r>
        <w:rPr>
          <w:rFonts w:eastAsia="SimSun"/>
          <w:bCs/>
          <w:iCs/>
          <w:sz w:val="18"/>
          <w:szCs w:val="18"/>
          <w:lang w:eastAsia="zh-CN"/>
        </w:rPr>
        <w:t>ADA</w:t>
      </w:r>
      <w:ins w:id="501" w:author="Author" w:date="2025-07-21T09:34:00Z">
        <w:r>
          <w:rPr>
            <w:rFonts w:eastAsia="SimSun"/>
            <w:bCs/>
            <w:iCs/>
            <w:sz w:val="18"/>
            <w:szCs w:val="18"/>
            <w:lang w:eastAsia="zh-CN"/>
          </w:rPr>
          <w:t> </w:t>
        </w:r>
      </w:ins>
      <w:del w:id="502" w:author="Author" w:date="2025-07-21T09:34:00Z">
        <w:r>
          <w:rPr>
            <w:rFonts w:eastAsia="SimSun"/>
            <w:bCs/>
            <w:iCs/>
            <w:sz w:val="18"/>
            <w:szCs w:val="18"/>
            <w:lang w:eastAsia="zh-CN"/>
          </w:rPr>
          <w:delText xml:space="preserve"> </w:delText>
        </w:r>
      </w:del>
      <w:r>
        <w:rPr>
          <w:rFonts w:eastAsia="SimSun"/>
          <w:bCs/>
          <w:iCs/>
          <w:sz w:val="18"/>
          <w:szCs w:val="18"/>
          <w:lang w:eastAsia="zh-CN"/>
        </w:rPr>
        <w:t>=</w:t>
      </w:r>
      <w:ins w:id="503" w:author="Author" w:date="2025-07-21T09:34:00Z">
        <w:r>
          <w:rPr>
            <w:rFonts w:eastAsia="SimSun"/>
            <w:bCs/>
            <w:iCs/>
            <w:sz w:val="18"/>
            <w:szCs w:val="18"/>
            <w:lang w:eastAsia="zh-CN"/>
          </w:rPr>
          <w:t> </w:t>
        </w:r>
      </w:ins>
      <w:del w:id="504" w:author="Author" w:date="2025-07-21T09:34:00Z">
        <w:r>
          <w:rPr>
            <w:rFonts w:eastAsia="SimSun"/>
            <w:bCs/>
            <w:iCs/>
            <w:sz w:val="18"/>
            <w:szCs w:val="18"/>
            <w:lang w:eastAsia="zh-CN"/>
          </w:rPr>
          <w:delText xml:space="preserve"> </w:delText>
        </w:r>
      </w:del>
      <w:r>
        <w:rPr>
          <w:rFonts w:eastAsia="SimSun"/>
          <w:bCs/>
          <w:iCs/>
          <w:sz w:val="18"/>
          <w:szCs w:val="18"/>
          <w:lang w:eastAsia="zh-CN"/>
        </w:rPr>
        <w:t>adalimumab</w:t>
      </w:r>
    </w:p>
    <w:p w14:paraId="7CF357A8" w14:textId="77777777" w:rsidR="009700E5" w:rsidRDefault="009700E5"/>
    <w:p w14:paraId="1E76B0EF" w14:textId="77777777" w:rsidR="009700E5" w:rsidRDefault="002C033C">
      <w:pPr>
        <w:keepNext/>
        <w:keepLines/>
        <w:numPr>
          <w:ilvl w:val="12"/>
          <w:numId w:val="0"/>
        </w:numPr>
        <w:rPr>
          <w:sz w:val="24"/>
          <w:szCs w:val="24"/>
          <w:lang w:eastAsia="zh-TW"/>
        </w:rPr>
      </w:pPr>
      <w:r>
        <w:t>Celkový klinický profil nežiaducich udalostí bol podobný pri tocilizumabe a adalimumabe. Podiel pacientov so závažnými nežiaducimi udalosťami bol medzi liečebnými skupinami vyvážený (tocilizumab 11,7 % oproti adalimumabu 9,9 %). Nežiaduce reakcie v skupine s tocilizumabom odpovedali známemu bezpečnostnému profilu tocilizumabu a nežiaduce reakcie boli hlásené s podobnou frekvenciou v porovnaní s tabuľkou 1. Vyššia incidencia infekcií a infestácií bola hlásená v skupine s tocilizumabom (48 % oproti 42 %), a to bez rozdielu v incidencii závažných infekcií (3,1 %). Obidve s</w:t>
      </w:r>
      <w:ins w:id="505" w:author="Author" w:date="2025-07-21T09:38:00Z">
        <w:r>
          <w:t>kúšané</w:t>
        </w:r>
      </w:ins>
      <w:del w:id="506" w:author="Author" w:date="2025-07-21T09:38:00Z">
        <w:r>
          <w:delText>kúmané</w:delText>
        </w:r>
      </w:del>
      <w:r>
        <w:t xml:space="preserve"> liečby indukovali rovnaké zmeny v laboratórnych bezpečnostných parametroch (poklesy počtu neutrofilov a krvných doštičiek, zvýšenie ALT, AST a lipidov), veľkosť zmien a frekvencie výrazných abnormalít však bola vyššia pri tocilizumabe v porovnaní s adalimumabom. U štyroch (2,5 %) pacientov v skupine s tocilizumabom a dvoch (1,2 %) pacientov v skupine s adalimumabom sa vyskytli poklesy počtu neutrofilov 3. alebo 4. stupňa CTC. U jedenástich (6,8 %) pacientov v skupine s tocilizumabom a piatich (3,1 %) pacientov v skupine s adalimumabom sa vyskytlo zvýšenie ALT 2. alebo vyššieho stupňa CTC. Priemerné zvýšenie LDL od východiskovej hodnoty bolo 0,64 mmol/l (25 mg/dl) u pacientov v skupine s tocilizumabom a 0,19 mmol/l (7 mg/dl) u pacientov v skupine s adalimumabom. Bezpečnosť pozorovaná v skupine s tocilizumabom sa zhodovala so známym bezpečnostných profilom tocilizumabu a nepozorovali sa žiadne nové alebo neočakávané nežiaduce reakcie (pozri tabuľku 1).</w:t>
      </w:r>
    </w:p>
    <w:p w14:paraId="4A6E7FB0" w14:textId="77777777" w:rsidR="009700E5" w:rsidRDefault="009700E5">
      <w:pPr>
        <w:numPr>
          <w:ilvl w:val="12"/>
          <w:numId w:val="0"/>
        </w:numPr>
        <w:ind w:right="-2"/>
      </w:pPr>
    </w:p>
    <w:p w14:paraId="0C256BFE" w14:textId="77777777" w:rsidR="009700E5" w:rsidRDefault="002C033C">
      <w:pPr>
        <w:keepNext/>
        <w:keepLines/>
        <w:numPr>
          <w:ilvl w:val="12"/>
          <w:numId w:val="0"/>
        </w:numPr>
        <w:rPr>
          <w:bCs/>
          <w:iCs/>
        </w:rPr>
      </w:pPr>
      <w:r>
        <w:rPr>
          <w:bCs/>
          <w:iCs/>
        </w:rPr>
        <w:lastRenderedPageBreak/>
        <w:t>Včasná RA, bez predchádzajúcej liečby MTX</w:t>
      </w:r>
    </w:p>
    <w:p w14:paraId="12AC95B7" w14:textId="77777777" w:rsidR="009700E5" w:rsidRDefault="002C033C">
      <w:pPr>
        <w:keepNext/>
        <w:keepLines/>
        <w:numPr>
          <w:ilvl w:val="12"/>
          <w:numId w:val="0"/>
        </w:numPr>
      </w:pPr>
      <w:del w:id="507" w:author="Author" w:date="2025-07-18T23:15:00Z">
        <w:r>
          <w:delText>Štúdia </w:delText>
        </w:r>
      </w:del>
      <w:ins w:id="508" w:author="Author" w:date="2025-07-21T09:39:00Z">
        <w:r>
          <w:t>Klinické s</w:t>
        </w:r>
      </w:ins>
      <w:ins w:id="509" w:author="Author" w:date="2025-07-18T23:15:00Z">
        <w:del w:id="510" w:author="Author" w:date="2025-07-21T09:39:00Z">
          <w:r>
            <w:delText>S</w:delText>
          </w:r>
        </w:del>
        <w:r>
          <w:t>kúšanie </w:t>
        </w:r>
      </w:ins>
      <w:r>
        <w:t>VII (WA19926), 2</w:t>
      </w:r>
      <w:r>
        <w:noBreakHyphen/>
        <w:t>ročn</w:t>
      </w:r>
      <w:ins w:id="511" w:author="Author" w:date="2025-07-18T23:16:00Z">
        <w:r>
          <w:t>é</w:t>
        </w:r>
      </w:ins>
      <w:del w:id="512" w:author="Author" w:date="2025-07-18T23:16:00Z">
        <w:r>
          <w:delText>á</w:delText>
        </w:r>
      </w:del>
      <w:r>
        <w:t xml:space="preserve"> </w:t>
      </w:r>
      <w:del w:id="513" w:author="Author" w:date="2025-07-18T23:16:00Z">
        <w:r>
          <w:delText xml:space="preserve">štúdia </w:delText>
        </w:r>
      </w:del>
      <w:ins w:id="514" w:author="Author" w:date="2025-07-18T23:16:00Z">
        <w:r>
          <w:t xml:space="preserve">klinické skúšanie </w:t>
        </w:r>
      </w:ins>
      <w:r>
        <w:t>s</w:t>
      </w:r>
      <w:ins w:id="515" w:author="Author" w:date="2025-07-21T09:39:00Z">
        <w:r>
          <w:t> </w:t>
        </w:r>
      </w:ins>
      <w:del w:id="516" w:author="Author" w:date="2025-07-21T09:39:00Z">
        <w:r>
          <w:delText xml:space="preserve"> </w:delText>
        </w:r>
      </w:del>
      <w:r>
        <w:t>plánovanou primárnou analýzou v 52. týždni hodnotil</w:t>
      </w:r>
      <w:ins w:id="517" w:author="Author" w:date="2025-07-18T23:16:00Z">
        <w:r>
          <w:t>o</w:t>
        </w:r>
      </w:ins>
      <w:del w:id="518" w:author="Author" w:date="2025-07-18T23:16:00Z">
        <w:r>
          <w:delText>a</w:delText>
        </w:r>
      </w:del>
      <w:r>
        <w:t xml:space="preserve"> 1 162 dospelých pacientov so stredne ťažkou až ťažkou, aktívnou včasnou RA (priemerné trvanie ochorenia ≤ 6 mesiacov), ktorí neboli doteraz liečení MTX. Približne 20 % pacientov podstúpilo predchádzajúcu liečbu DMARD inými ako MTX. </w:t>
      </w:r>
      <w:del w:id="519" w:author="Author" w:date="2025-07-18T23:16:00Z">
        <w:r>
          <w:delText>Táto štúdia</w:delText>
        </w:r>
      </w:del>
      <w:ins w:id="520" w:author="Author" w:date="2025-07-18T23:16:00Z">
        <w:r>
          <w:t xml:space="preserve">Toto </w:t>
        </w:r>
      </w:ins>
      <w:ins w:id="521" w:author="Author" w:date="2025-07-21T09:39:00Z">
        <w:r>
          <w:t xml:space="preserve">klinické </w:t>
        </w:r>
      </w:ins>
      <w:ins w:id="522" w:author="Author" w:date="2025-07-18T23:16:00Z">
        <w:r>
          <w:t>skúšanie</w:t>
        </w:r>
      </w:ins>
      <w:r>
        <w:t xml:space="preserve"> hodnotil</w:t>
      </w:r>
      <w:ins w:id="523" w:author="Author" w:date="2025-07-18T23:16:00Z">
        <w:r>
          <w:t>o</w:t>
        </w:r>
      </w:ins>
      <w:del w:id="524" w:author="Author" w:date="2025-07-18T23:16:00Z">
        <w:r>
          <w:delText>a</w:delText>
        </w:r>
      </w:del>
      <w:r>
        <w:t xml:space="preserve"> účinnosť kombinovanej liečby intravenóznym tocilizumabom 4 alebo 8 mg/kg raz za 4 týždne/MTX, intravenóznym tocilizumabom 8 mg/kg v monoterapii a MTX v monoterapii v zmierňovaní prejavov a príznakov a v spomaľovaní rýchlosti progresie poškodenia kĺbov počas 104 týždňov. Primárny cieľový ukazovateľ bol podiel pacientov, ktorí v 24. týždni dosiahli remisiu ochorenia podľa DAS28 (DAS28 </w:t>
      </w:r>
      <w:r>
        <w:rPr>
          <w:rFonts w:eastAsia="MS Mincho"/>
          <w:szCs w:val="22"/>
        </w:rPr>
        <w:sym w:font="Symbol" w:char="F03C"/>
      </w:r>
      <w:r>
        <w:t> 2,6). Významne vyšší podiel pacientov v skupine s tocilizumabom 8 mg/kg + MTX a v skupine s tocilizumabom v monoterapii dosiahol primárny cieľový ukazovateľ v porovnaní so samotným MTX. V skupine s tocilizumabom 8 mg/kg + MTX sa tiež preukázali štatisticky významné výsledky v porovnaní s kľúčovými sekundárnymi cieľovými ukazovateľmi. V porovnaní so samotným MTX sa v skupine monoterapie tocilizumabom 8 mg/kg pozorovali percentuálne vyššie odpovede vo všetkých sekundárnych cieľových ukazovateľoch vrátane rádiografických cieľových ukazovateľov. V</w:t>
      </w:r>
      <w:del w:id="525" w:author="Author" w:date="2025-07-18T22:57:00Z">
        <w:r>
          <w:delText xml:space="preserve"> </w:delText>
        </w:r>
      </w:del>
      <w:ins w:id="526" w:author="Author" w:date="2025-07-18T22:57:00Z">
        <w:r>
          <w:t xml:space="preserve"> tomto </w:t>
        </w:r>
      </w:ins>
      <w:ins w:id="527" w:author="Author" w:date="2025-07-21T09:40:00Z">
        <w:r>
          <w:t xml:space="preserve">klinickom </w:t>
        </w:r>
      </w:ins>
      <w:ins w:id="528" w:author="Author" w:date="2025-07-18T22:57:00Z">
        <w:r>
          <w:t xml:space="preserve">skúšaní </w:t>
        </w:r>
      </w:ins>
      <w:del w:id="529" w:author="Author" w:date="2025-07-18T22:57:00Z">
        <w:r>
          <w:delText xml:space="preserve">tejto štúdii </w:delText>
        </w:r>
      </w:del>
      <w:r>
        <w:t>sa tiež analyzovala remisia podľa kritérií ACR/EULAR (Boolean and Index) ako vopred špecifikované exploratívne cieľové ukazovatele, s vyššími odpoveďami pozorovanými v skupinách s tocilizumabom. Výsledky z</w:t>
      </w:r>
      <w:del w:id="530" w:author="Author" w:date="2025-07-21T09:40:00Z">
        <w:r>
          <w:delText>o</w:delText>
        </w:r>
      </w:del>
      <w:r>
        <w:t> </w:t>
      </w:r>
      <w:del w:id="531" w:author="Author" w:date="2025-07-18T22:57:00Z">
        <w:r>
          <w:delText>štúdie </w:delText>
        </w:r>
      </w:del>
      <w:ins w:id="532" w:author="Author" w:date="2025-07-21T09:40:00Z">
        <w:r>
          <w:t xml:space="preserve">klinického </w:t>
        </w:r>
      </w:ins>
      <w:ins w:id="533" w:author="Author" w:date="2025-07-18T22:57:00Z">
        <w:r>
          <w:t>skúšania </w:t>
        </w:r>
      </w:ins>
      <w:r>
        <w:t>VII sú uvedené v tabuľke 7.</w:t>
      </w:r>
    </w:p>
    <w:p w14:paraId="01F847EE" w14:textId="77777777" w:rsidR="009700E5" w:rsidRDefault="009700E5">
      <w:pPr>
        <w:numPr>
          <w:ilvl w:val="12"/>
          <w:numId w:val="0"/>
        </w:numPr>
      </w:pPr>
    </w:p>
    <w:p w14:paraId="2CEC1CA6" w14:textId="77777777" w:rsidR="009700E5" w:rsidRDefault="002C033C">
      <w:pPr>
        <w:keepNext/>
        <w:rPr>
          <w:i/>
          <w:szCs w:val="22"/>
        </w:rPr>
      </w:pPr>
      <w:r>
        <w:rPr>
          <w:i/>
          <w:szCs w:val="22"/>
        </w:rPr>
        <w:lastRenderedPageBreak/>
        <w:t>Tabuľka 7. Výsledky účinnosti v</w:t>
      </w:r>
      <w:ins w:id="534" w:author="Author" w:date="2025-07-21T09:40:00Z">
        <w:r>
          <w:rPr>
            <w:i/>
            <w:szCs w:val="22"/>
          </w:rPr>
          <w:t> </w:t>
        </w:r>
      </w:ins>
      <w:del w:id="535" w:author="Author" w:date="2025-07-21T09:40:00Z">
        <w:r>
          <w:rPr>
            <w:i/>
            <w:szCs w:val="22"/>
          </w:rPr>
          <w:delText xml:space="preserve"> </w:delText>
        </w:r>
      </w:del>
      <w:del w:id="536" w:author="Author" w:date="2025-07-18T22:57:00Z">
        <w:r>
          <w:rPr>
            <w:i/>
            <w:szCs w:val="22"/>
          </w:rPr>
          <w:delText xml:space="preserve">štúdii </w:delText>
        </w:r>
      </w:del>
      <w:ins w:id="537" w:author="Author" w:date="2025-07-21T09:40:00Z">
        <w:r>
          <w:rPr>
            <w:i/>
            <w:szCs w:val="22"/>
          </w:rPr>
          <w:t xml:space="preserve">klinickom </w:t>
        </w:r>
      </w:ins>
      <w:ins w:id="538" w:author="Author" w:date="2025-07-18T22:57:00Z">
        <w:r>
          <w:rPr>
            <w:i/>
            <w:szCs w:val="22"/>
          </w:rPr>
          <w:t>skúša</w:t>
        </w:r>
      </w:ins>
      <w:ins w:id="539" w:author="Author" w:date="2025-07-18T22:58:00Z">
        <w:r>
          <w:rPr>
            <w:i/>
            <w:szCs w:val="22"/>
          </w:rPr>
          <w:t>ní</w:t>
        </w:r>
      </w:ins>
      <w:ins w:id="540" w:author="Author" w:date="2025-07-18T22:57:00Z">
        <w:r>
          <w:rPr>
            <w:i/>
            <w:szCs w:val="22"/>
          </w:rPr>
          <w:t xml:space="preserve"> </w:t>
        </w:r>
      </w:ins>
      <w:r>
        <w:rPr>
          <w:i/>
          <w:szCs w:val="22"/>
        </w:rPr>
        <w:t>VII (WA19926) u pacientov so včasnou RA, bez predchádzajúcej liečby MTX</w:t>
      </w:r>
    </w:p>
    <w:p w14:paraId="7913E611" w14:textId="77777777" w:rsidR="009700E5" w:rsidRDefault="009700E5">
      <w:pPr>
        <w:keepNext/>
        <w:rPr>
          <w:i/>
          <w:szCs w:val="22"/>
          <w:lang w:eastAsia="de-DE"/>
        </w:rPr>
      </w:pPr>
    </w:p>
    <w:tbl>
      <w:tblPr>
        <w:tblW w:w="9213" w:type="dxa"/>
        <w:tblInd w:w="58" w:type="dxa"/>
        <w:tblLayout w:type="fixed"/>
        <w:tblCellMar>
          <w:left w:w="0" w:type="dxa"/>
          <w:right w:w="0" w:type="dxa"/>
        </w:tblCellMar>
        <w:tblLook w:val="04A0" w:firstRow="1" w:lastRow="0" w:firstColumn="1" w:lastColumn="0" w:noHBand="0" w:noVBand="1"/>
      </w:tblPr>
      <w:tblGrid>
        <w:gridCol w:w="1842"/>
        <w:gridCol w:w="1844"/>
        <w:gridCol w:w="142"/>
        <w:gridCol w:w="1417"/>
        <w:gridCol w:w="1418"/>
        <w:gridCol w:w="1558"/>
        <w:gridCol w:w="992"/>
      </w:tblGrid>
      <w:tr w:rsidR="009700E5" w14:paraId="5B9CABF5" w14:textId="77777777">
        <w:trPr>
          <w:cantSplit/>
        </w:trPr>
        <w:tc>
          <w:tcPr>
            <w:tcW w:w="3686" w:type="dxa"/>
            <w:gridSpan w:val="2"/>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0B6E2240" w14:textId="77777777" w:rsidR="009700E5" w:rsidRDefault="009700E5">
            <w:pPr>
              <w:keepNext/>
              <w:rPr>
                <w:rFonts w:eastAsia="MS Mincho"/>
                <w:sz w:val="20"/>
                <w:lang w:eastAsia="zh-TW"/>
              </w:rPr>
            </w:pPr>
          </w:p>
        </w:tc>
        <w:tc>
          <w:tcPr>
            <w:tcW w:w="1559" w:type="dxa"/>
            <w:gridSpan w:val="2"/>
            <w:tcBorders>
              <w:top w:val="single" w:sz="8" w:space="0" w:color="auto"/>
              <w:left w:val="nil"/>
              <w:bottom w:val="single" w:sz="8" w:space="0" w:color="auto"/>
              <w:right w:val="nil"/>
            </w:tcBorders>
            <w:tcMar>
              <w:top w:w="0" w:type="dxa"/>
              <w:left w:w="57" w:type="dxa"/>
              <w:bottom w:w="0" w:type="dxa"/>
              <w:right w:w="57" w:type="dxa"/>
            </w:tcMar>
            <w:vAlign w:val="bottom"/>
          </w:tcPr>
          <w:p w14:paraId="1B249F55" w14:textId="77777777" w:rsidR="009700E5" w:rsidRDefault="002C033C">
            <w:pPr>
              <w:keepNext/>
              <w:spacing w:before="50" w:after="50" w:line="240" w:lineRule="exact"/>
              <w:jc w:val="center"/>
              <w:rPr>
                <w:rFonts w:eastAsia="SimSun"/>
                <w:b/>
                <w:sz w:val="18"/>
                <w:szCs w:val="18"/>
                <w:lang w:eastAsia="zh-CN"/>
              </w:rPr>
            </w:pPr>
            <w:r>
              <w:rPr>
                <w:rFonts w:eastAsia="SimSun"/>
                <w:b/>
                <w:sz w:val="18"/>
                <w:szCs w:val="18"/>
                <w:lang w:eastAsia="zh-CN"/>
              </w:rPr>
              <w:t>TCZ 8 mg/kg + MTX</w:t>
            </w:r>
          </w:p>
          <w:p w14:paraId="67014E8D" w14:textId="77777777" w:rsidR="009700E5" w:rsidRDefault="002C033C">
            <w:pPr>
              <w:keepNext/>
              <w:spacing w:before="50" w:after="50" w:line="240" w:lineRule="exact"/>
              <w:jc w:val="center"/>
              <w:rPr>
                <w:rFonts w:eastAsia="SimSun"/>
                <w:b/>
                <w:sz w:val="18"/>
                <w:szCs w:val="18"/>
                <w:lang w:eastAsia="zh-CN"/>
              </w:rPr>
            </w:pPr>
            <w:ins w:id="541" w:author="Author" w:date="2025-07-18T22:58:00Z">
              <w:r>
                <w:rPr>
                  <w:rFonts w:eastAsia="SimSun"/>
                  <w:b/>
                  <w:sz w:val="18"/>
                  <w:szCs w:val="18"/>
                  <w:lang w:eastAsia="zh-CN"/>
                </w:rPr>
                <w:t>n</w:t>
              </w:r>
            </w:ins>
            <w:del w:id="542" w:author="Author" w:date="2025-07-18T22:58:00Z">
              <w:r>
                <w:rPr>
                  <w:rFonts w:eastAsia="SimSun"/>
                  <w:b/>
                  <w:sz w:val="18"/>
                  <w:szCs w:val="18"/>
                  <w:lang w:eastAsia="zh-CN"/>
                </w:rPr>
                <w:delText>N</w:delText>
              </w:r>
            </w:del>
            <w:r>
              <w:rPr>
                <w:rFonts w:eastAsia="SimSun"/>
                <w:b/>
                <w:sz w:val="18"/>
                <w:szCs w:val="18"/>
                <w:lang w:eastAsia="zh-CN"/>
              </w:rPr>
              <w:t> = 290</w:t>
            </w:r>
          </w:p>
        </w:tc>
        <w:tc>
          <w:tcPr>
            <w:tcW w:w="1418" w:type="dxa"/>
            <w:tcBorders>
              <w:top w:val="single" w:sz="8" w:space="0" w:color="auto"/>
              <w:left w:val="nil"/>
              <w:bottom w:val="single" w:sz="8" w:space="0" w:color="auto"/>
              <w:right w:val="nil"/>
            </w:tcBorders>
            <w:tcMar>
              <w:top w:w="0" w:type="dxa"/>
              <w:left w:w="57" w:type="dxa"/>
              <w:bottom w:w="0" w:type="dxa"/>
              <w:right w:w="57" w:type="dxa"/>
            </w:tcMar>
            <w:vAlign w:val="bottom"/>
          </w:tcPr>
          <w:p w14:paraId="382F6CC9" w14:textId="77777777" w:rsidR="009700E5" w:rsidRDefault="002C033C">
            <w:pPr>
              <w:keepNext/>
              <w:spacing w:before="50" w:after="50" w:line="240" w:lineRule="exact"/>
              <w:jc w:val="center"/>
              <w:rPr>
                <w:rFonts w:eastAsia="SimSun"/>
                <w:b/>
                <w:sz w:val="18"/>
                <w:szCs w:val="18"/>
                <w:lang w:eastAsia="zh-CN"/>
              </w:rPr>
            </w:pPr>
            <w:r>
              <w:rPr>
                <w:rFonts w:eastAsia="SimSun"/>
                <w:b/>
                <w:sz w:val="18"/>
                <w:szCs w:val="18"/>
                <w:lang w:eastAsia="zh-CN"/>
              </w:rPr>
              <w:t>TCZ 8 mg/kg + placebo</w:t>
            </w:r>
          </w:p>
          <w:p w14:paraId="0E6D34A3" w14:textId="77777777" w:rsidR="009700E5" w:rsidRDefault="002C033C">
            <w:pPr>
              <w:keepNext/>
              <w:spacing w:before="50" w:after="50" w:line="240" w:lineRule="exact"/>
              <w:jc w:val="center"/>
              <w:rPr>
                <w:rFonts w:eastAsia="SimSun"/>
                <w:b/>
                <w:sz w:val="18"/>
                <w:szCs w:val="18"/>
                <w:lang w:eastAsia="zh-CN"/>
              </w:rPr>
            </w:pPr>
            <w:ins w:id="543" w:author="Author" w:date="2025-07-18T22:58:00Z">
              <w:r>
                <w:rPr>
                  <w:rFonts w:eastAsia="SimSun"/>
                  <w:b/>
                  <w:sz w:val="18"/>
                  <w:szCs w:val="18"/>
                  <w:lang w:eastAsia="zh-CN"/>
                </w:rPr>
                <w:t>n</w:t>
              </w:r>
            </w:ins>
            <w:del w:id="544" w:author="Author" w:date="2025-07-18T22:58:00Z">
              <w:r>
                <w:rPr>
                  <w:rFonts w:eastAsia="SimSun"/>
                  <w:b/>
                  <w:sz w:val="18"/>
                  <w:szCs w:val="18"/>
                  <w:lang w:eastAsia="zh-CN"/>
                </w:rPr>
                <w:delText>N</w:delText>
              </w:r>
            </w:del>
            <w:r>
              <w:rPr>
                <w:rFonts w:eastAsia="SimSun"/>
                <w:b/>
                <w:sz w:val="18"/>
                <w:szCs w:val="18"/>
                <w:lang w:eastAsia="zh-CN"/>
              </w:rPr>
              <w:t> = 292</w:t>
            </w:r>
          </w:p>
        </w:tc>
        <w:tc>
          <w:tcPr>
            <w:tcW w:w="1558" w:type="dxa"/>
            <w:tcBorders>
              <w:top w:val="single" w:sz="8" w:space="0" w:color="auto"/>
              <w:left w:val="nil"/>
              <w:bottom w:val="single" w:sz="8" w:space="0" w:color="auto"/>
              <w:right w:val="nil"/>
            </w:tcBorders>
          </w:tcPr>
          <w:p w14:paraId="0E890DFC" w14:textId="77777777" w:rsidR="009700E5" w:rsidRDefault="002C033C">
            <w:pPr>
              <w:keepNext/>
              <w:spacing w:before="50" w:after="50" w:line="240" w:lineRule="exact"/>
              <w:jc w:val="center"/>
              <w:rPr>
                <w:rFonts w:eastAsia="SimSun"/>
                <w:b/>
                <w:sz w:val="18"/>
                <w:szCs w:val="18"/>
                <w:lang w:eastAsia="zh-CN"/>
              </w:rPr>
            </w:pPr>
            <w:r>
              <w:rPr>
                <w:rFonts w:eastAsia="SimSun"/>
                <w:b/>
                <w:sz w:val="18"/>
                <w:szCs w:val="18"/>
                <w:lang w:eastAsia="zh-CN"/>
              </w:rPr>
              <w:t>TCZ 4 mg/kg +</w:t>
            </w:r>
            <w:r>
              <w:rPr>
                <w:rFonts w:eastAsia="SimSun"/>
                <w:b/>
                <w:sz w:val="18"/>
                <w:szCs w:val="18"/>
                <w:lang w:eastAsia="zh-CN"/>
              </w:rPr>
              <w:br/>
              <w:t>MTX</w:t>
            </w:r>
          </w:p>
          <w:p w14:paraId="3AEA3BF0" w14:textId="77777777" w:rsidR="009700E5" w:rsidRDefault="002C033C">
            <w:pPr>
              <w:keepNext/>
              <w:spacing w:before="50" w:after="50" w:line="240" w:lineRule="exact"/>
              <w:jc w:val="center"/>
              <w:rPr>
                <w:rFonts w:eastAsia="SimSun"/>
                <w:b/>
                <w:sz w:val="18"/>
                <w:szCs w:val="18"/>
                <w:lang w:eastAsia="zh-CN"/>
              </w:rPr>
            </w:pPr>
            <w:ins w:id="545" w:author="Author" w:date="2025-07-18T22:58:00Z">
              <w:r>
                <w:rPr>
                  <w:rFonts w:eastAsia="SimSun"/>
                  <w:b/>
                  <w:sz w:val="18"/>
                  <w:szCs w:val="18"/>
                  <w:lang w:eastAsia="zh-CN"/>
                </w:rPr>
                <w:t>n</w:t>
              </w:r>
            </w:ins>
            <w:del w:id="546" w:author="Author" w:date="2025-07-18T22:58:00Z">
              <w:r>
                <w:rPr>
                  <w:rFonts w:eastAsia="SimSun"/>
                  <w:b/>
                  <w:sz w:val="18"/>
                  <w:szCs w:val="18"/>
                  <w:lang w:eastAsia="zh-CN"/>
                </w:rPr>
                <w:delText>N</w:delText>
              </w:r>
            </w:del>
            <w:r>
              <w:rPr>
                <w:rFonts w:eastAsia="SimSun"/>
                <w:b/>
                <w:sz w:val="18"/>
                <w:szCs w:val="18"/>
                <w:lang w:eastAsia="zh-CN"/>
              </w:rPr>
              <w:t> = 288</w:t>
            </w:r>
          </w:p>
        </w:tc>
        <w:tc>
          <w:tcPr>
            <w:tcW w:w="992"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p w14:paraId="470A334A" w14:textId="77777777" w:rsidR="009700E5" w:rsidRDefault="002C033C">
            <w:pPr>
              <w:keepNext/>
              <w:spacing w:before="50" w:after="50" w:line="240" w:lineRule="exact"/>
              <w:jc w:val="center"/>
              <w:rPr>
                <w:rFonts w:eastAsia="SimSun"/>
                <w:b/>
                <w:sz w:val="18"/>
                <w:szCs w:val="18"/>
                <w:lang w:eastAsia="zh-CN"/>
              </w:rPr>
            </w:pPr>
            <w:r>
              <w:rPr>
                <w:rFonts w:eastAsia="SimSun"/>
                <w:b/>
                <w:sz w:val="18"/>
                <w:szCs w:val="18"/>
                <w:lang w:eastAsia="zh-CN"/>
              </w:rPr>
              <w:t>Placebo + MTX</w:t>
            </w:r>
          </w:p>
          <w:p w14:paraId="6D5E7433" w14:textId="77777777" w:rsidR="009700E5" w:rsidRDefault="002C033C">
            <w:pPr>
              <w:keepNext/>
              <w:spacing w:before="50" w:after="50" w:line="240" w:lineRule="exact"/>
              <w:jc w:val="center"/>
              <w:rPr>
                <w:rFonts w:eastAsia="SimSun"/>
                <w:sz w:val="18"/>
                <w:szCs w:val="18"/>
                <w:lang w:eastAsia="zh-CN"/>
              </w:rPr>
            </w:pPr>
            <w:ins w:id="547" w:author="Author" w:date="2025-07-18T22:58:00Z">
              <w:r>
                <w:rPr>
                  <w:rFonts w:eastAsia="SimSun"/>
                  <w:b/>
                  <w:sz w:val="18"/>
                  <w:szCs w:val="18"/>
                  <w:lang w:eastAsia="zh-CN"/>
                </w:rPr>
                <w:t>n</w:t>
              </w:r>
            </w:ins>
            <w:del w:id="548" w:author="Author" w:date="2025-07-18T22:58:00Z">
              <w:r>
                <w:rPr>
                  <w:rFonts w:eastAsia="SimSun"/>
                  <w:b/>
                  <w:sz w:val="18"/>
                  <w:szCs w:val="18"/>
                  <w:lang w:eastAsia="zh-CN"/>
                </w:rPr>
                <w:delText>N</w:delText>
              </w:r>
            </w:del>
            <w:r>
              <w:rPr>
                <w:rFonts w:eastAsia="SimSun"/>
                <w:b/>
                <w:sz w:val="18"/>
                <w:szCs w:val="18"/>
                <w:lang w:eastAsia="zh-CN"/>
              </w:rPr>
              <w:t> = 287</w:t>
            </w:r>
          </w:p>
        </w:tc>
      </w:tr>
      <w:tr w:rsidR="009700E5" w14:paraId="4EFE5B48" w14:textId="77777777">
        <w:trPr>
          <w:cantSplit/>
        </w:trPr>
        <w:tc>
          <w:tcPr>
            <w:tcW w:w="1842" w:type="dxa"/>
            <w:tcBorders>
              <w:top w:val="nil"/>
              <w:left w:val="single" w:sz="4" w:space="0" w:color="auto"/>
              <w:bottom w:val="nil"/>
              <w:right w:val="single" w:sz="8" w:space="0" w:color="auto"/>
            </w:tcBorders>
          </w:tcPr>
          <w:p w14:paraId="247DB158" w14:textId="77777777" w:rsidR="009700E5" w:rsidRDefault="009700E5">
            <w:pPr>
              <w:keepNext/>
              <w:spacing w:before="50" w:after="50" w:line="240" w:lineRule="exact"/>
              <w:rPr>
                <w:rFonts w:eastAsia="SimSun"/>
                <w:b/>
                <w:sz w:val="18"/>
                <w:szCs w:val="18"/>
                <w:lang w:eastAsia="zh-CN"/>
              </w:rPr>
            </w:pPr>
          </w:p>
        </w:tc>
        <w:tc>
          <w:tcPr>
            <w:tcW w:w="7371" w:type="dxa"/>
            <w:gridSpan w:val="6"/>
            <w:tcBorders>
              <w:top w:val="nil"/>
              <w:left w:val="single" w:sz="4" w:space="0" w:color="auto"/>
              <w:bottom w:val="nil"/>
              <w:right w:val="single" w:sz="8" w:space="0" w:color="auto"/>
            </w:tcBorders>
            <w:tcMar>
              <w:top w:w="0" w:type="dxa"/>
              <w:left w:w="57" w:type="dxa"/>
              <w:bottom w:w="0" w:type="dxa"/>
              <w:right w:w="57" w:type="dxa"/>
            </w:tcMar>
          </w:tcPr>
          <w:p w14:paraId="0509408F" w14:textId="77777777" w:rsidR="009700E5" w:rsidRDefault="002C033C">
            <w:pPr>
              <w:keepNext/>
              <w:spacing w:before="50" w:after="50" w:line="240" w:lineRule="exact"/>
              <w:rPr>
                <w:rFonts w:eastAsia="SimSun"/>
                <w:b/>
                <w:sz w:val="18"/>
                <w:szCs w:val="18"/>
                <w:lang w:eastAsia="zh-CN"/>
              </w:rPr>
            </w:pPr>
            <w:r>
              <w:rPr>
                <w:rFonts w:eastAsia="SimSun"/>
                <w:b/>
                <w:sz w:val="18"/>
                <w:szCs w:val="18"/>
                <w:lang w:eastAsia="zh-CN"/>
              </w:rPr>
              <w:t>Primárny cieľový ukazovateľ</w:t>
            </w:r>
          </w:p>
        </w:tc>
      </w:tr>
      <w:tr w:rsidR="009700E5" w14:paraId="1ED16F2C" w14:textId="77777777">
        <w:trPr>
          <w:cantSplit/>
        </w:trPr>
        <w:tc>
          <w:tcPr>
            <w:tcW w:w="3686" w:type="dxa"/>
            <w:gridSpan w:val="2"/>
            <w:tcBorders>
              <w:top w:val="single" w:sz="4" w:space="0" w:color="auto"/>
              <w:left w:val="single" w:sz="4" w:space="0" w:color="auto"/>
              <w:bottom w:val="nil"/>
              <w:right w:val="nil"/>
            </w:tcBorders>
            <w:tcMar>
              <w:top w:w="0" w:type="dxa"/>
              <w:left w:w="57" w:type="dxa"/>
              <w:bottom w:w="0" w:type="dxa"/>
              <w:right w:w="57" w:type="dxa"/>
            </w:tcMar>
          </w:tcPr>
          <w:p w14:paraId="0F00AEE1" w14:textId="77777777" w:rsidR="009700E5" w:rsidRDefault="002C033C">
            <w:pPr>
              <w:keepNext/>
              <w:spacing w:before="50" w:after="50" w:line="240" w:lineRule="exact"/>
              <w:rPr>
                <w:rFonts w:eastAsia="SimSun"/>
                <w:sz w:val="18"/>
                <w:szCs w:val="18"/>
                <w:lang w:eastAsia="zh-CN"/>
              </w:rPr>
            </w:pPr>
            <w:r>
              <w:rPr>
                <w:rFonts w:eastAsia="SimSun"/>
                <w:sz w:val="18"/>
                <w:szCs w:val="18"/>
                <w:lang w:eastAsia="zh-CN"/>
              </w:rPr>
              <w:t xml:space="preserve">Remisia podľa DAS28                        </w:t>
            </w:r>
          </w:p>
        </w:tc>
        <w:tc>
          <w:tcPr>
            <w:tcW w:w="1559" w:type="dxa"/>
            <w:gridSpan w:val="2"/>
            <w:tcBorders>
              <w:top w:val="single" w:sz="4" w:space="0" w:color="auto"/>
              <w:left w:val="nil"/>
              <w:bottom w:val="nil"/>
              <w:right w:val="nil"/>
            </w:tcBorders>
            <w:tcMar>
              <w:top w:w="0" w:type="dxa"/>
              <w:left w:w="57" w:type="dxa"/>
              <w:bottom w:w="0" w:type="dxa"/>
              <w:right w:w="57" w:type="dxa"/>
            </w:tcMar>
          </w:tcPr>
          <w:p w14:paraId="2841996C" w14:textId="77777777" w:rsidR="009700E5" w:rsidRDefault="009700E5">
            <w:pPr>
              <w:keepNext/>
              <w:spacing w:before="50" w:after="50" w:line="240" w:lineRule="exact"/>
              <w:jc w:val="center"/>
              <w:rPr>
                <w:rFonts w:eastAsia="SimSun"/>
                <w:sz w:val="18"/>
                <w:szCs w:val="18"/>
                <w:lang w:eastAsia="zh-CN"/>
              </w:rPr>
            </w:pPr>
          </w:p>
        </w:tc>
        <w:tc>
          <w:tcPr>
            <w:tcW w:w="1418" w:type="dxa"/>
            <w:tcBorders>
              <w:top w:val="single" w:sz="4" w:space="0" w:color="auto"/>
              <w:left w:val="nil"/>
              <w:bottom w:val="nil"/>
              <w:right w:val="nil"/>
            </w:tcBorders>
            <w:tcMar>
              <w:top w:w="0" w:type="dxa"/>
              <w:left w:w="57" w:type="dxa"/>
              <w:bottom w:w="0" w:type="dxa"/>
              <w:right w:w="57" w:type="dxa"/>
            </w:tcMar>
          </w:tcPr>
          <w:p w14:paraId="77A79A19" w14:textId="77777777" w:rsidR="009700E5" w:rsidRDefault="009700E5">
            <w:pPr>
              <w:keepNext/>
              <w:spacing w:before="50" w:after="50" w:line="240" w:lineRule="exact"/>
              <w:jc w:val="center"/>
              <w:rPr>
                <w:rFonts w:eastAsia="SimSun"/>
                <w:sz w:val="18"/>
                <w:szCs w:val="18"/>
                <w:lang w:eastAsia="zh-CN"/>
              </w:rPr>
            </w:pPr>
          </w:p>
        </w:tc>
        <w:tc>
          <w:tcPr>
            <w:tcW w:w="1558" w:type="dxa"/>
            <w:tcBorders>
              <w:top w:val="single" w:sz="4" w:space="0" w:color="auto"/>
              <w:left w:val="nil"/>
              <w:bottom w:val="nil"/>
              <w:right w:val="nil"/>
            </w:tcBorders>
          </w:tcPr>
          <w:p w14:paraId="73CFB76D" w14:textId="77777777" w:rsidR="009700E5" w:rsidRDefault="009700E5">
            <w:pPr>
              <w:keepNext/>
              <w:spacing w:before="50" w:after="50" w:line="240" w:lineRule="exact"/>
              <w:jc w:val="center"/>
              <w:rPr>
                <w:rFonts w:eastAsia="SimSun"/>
                <w:sz w:val="18"/>
                <w:szCs w:val="18"/>
                <w:lang w:eastAsia="zh-CN"/>
              </w:rPr>
            </w:pPr>
          </w:p>
        </w:tc>
        <w:tc>
          <w:tcPr>
            <w:tcW w:w="992" w:type="dxa"/>
            <w:tcBorders>
              <w:top w:val="single" w:sz="4" w:space="0" w:color="auto"/>
              <w:left w:val="nil"/>
              <w:bottom w:val="nil"/>
              <w:right w:val="single" w:sz="8" w:space="0" w:color="auto"/>
            </w:tcBorders>
            <w:tcMar>
              <w:top w:w="0" w:type="dxa"/>
              <w:left w:w="57" w:type="dxa"/>
              <w:bottom w:w="0" w:type="dxa"/>
              <w:right w:w="57" w:type="dxa"/>
            </w:tcMar>
          </w:tcPr>
          <w:p w14:paraId="02BCC4AA" w14:textId="77777777" w:rsidR="009700E5" w:rsidRDefault="009700E5">
            <w:pPr>
              <w:keepNext/>
              <w:spacing w:before="50" w:after="50" w:line="240" w:lineRule="exact"/>
              <w:jc w:val="center"/>
              <w:rPr>
                <w:rFonts w:eastAsia="SimSun"/>
                <w:sz w:val="18"/>
                <w:szCs w:val="18"/>
                <w:lang w:eastAsia="zh-CN"/>
              </w:rPr>
            </w:pPr>
          </w:p>
        </w:tc>
      </w:tr>
      <w:tr w:rsidR="009700E5" w14:paraId="6FAE9401" w14:textId="77777777">
        <w:trPr>
          <w:cantSplit/>
        </w:trPr>
        <w:tc>
          <w:tcPr>
            <w:tcW w:w="3686" w:type="dxa"/>
            <w:gridSpan w:val="2"/>
            <w:tcBorders>
              <w:top w:val="nil"/>
              <w:left w:val="single" w:sz="4" w:space="0" w:color="auto"/>
              <w:bottom w:val="single" w:sz="4" w:space="0" w:color="auto"/>
              <w:right w:val="nil"/>
            </w:tcBorders>
            <w:tcMar>
              <w:top w:w="0" w:type="dxa"/>
              <w:left w:w="57" w:type="dxa"/>
              <w:bottom w:w="0" w:type="dxa"/>
              <w:right w:w="57" w:type="dxa"/>
            </w:tcMar>
          </w:tcPr>
          <w:p w14:paraId="63A2B46A" w14:textId="77777777" w:rsidR="009700E5" w:rsidRDefault="002C033C">
            <w:pPr>
              <w:keepNext/>
              <w:spacing w:before="50" w:after="50" w:line="240" w:lineRule="exact"/>
              <w:ind w:left="1440"/>
              <w:rPr>
                <w:rFonts w:eastAsia="SimSun"/>
                <w:sz w:val="18"/>
                <w:szCs w:val="18"/>
                <w:lang w:eastAsia="zh-CN"/>
              </w:rPr>
            </w:pPr>
            <w:r>
              <w:rPr>
                <w:rFonts w:eastAsia="SimSun"/>
                <w:sz w:val="18"/>
                <w:szCs w:val="18"/>
                <w:lang w:eastAsia="zh-CN"/>
              </w:rPr>
              <w:t>24. týždeň                     n (%)</w:t>
            </w:r>
          </w:p>
        </w:tc>
        <w:tc>
          <w:tcPr>
            <w:tcW w:w="1559" w:type="dxa"/>
            <w:gridSpan w:val="2"/>
            <w:tcBorders>
              <w:top w:val="nil"/>
              <w:left w:val="nil"/>
              <w:bottom w:val="single" w:sz="4" w:space="0" w:color="auto"/>
              <w:right w:val="nil"/>
            </w:tcBorders>
            <w:tcMar>
              <w:top w:w="0" w:type="dxa"/>
              <w:left w:w="57" w:type="dxa"/>
              <w:bottom w:w="0" w:type="dxa"/>
              <w:right w:w="57" w:type="dxa"/>
            </w:tcMar>
          </w:tcPr>
          <w:p w14:paraId="73F037A6"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130 (44,8)***</w:t>
            </w:r>
          </w:p>
        </w:tc>
        <w:tc>
          <w:tcPr>
            <w:tcW w:w="1418" w:type="dxa"/>
            <w:tcBorders>
              <w:top w:val="nil"/>
              <w:left w:val="nil"/>
              <w:bottom w:val="single" w:sz="4" w:space="0" w:color="auto"/>
              <w:right w:val="nil"/>
            </w:tcBorders>
            <w:tcMar>
              <w:top w:w="0" w:type="dxa"/>
              <w:left w:w="57" w:type="dxa"/>
              <w:bottom w:w="0" w:type="dxa"/>
              <w:right w:w="57" w:type="dxa"/>
            </w:tcMar>
          </w:tcPr>
          <w:p w14:paraId="6193BFC8"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113 (38,7)***</w:t>
            </w:r>
          </w:p>
        </w:tc>
        <w:tc>
          <w:tcPr>
            <w:tcW w:w="1558" w:type="dxa"/>
            <w:tcBorders>
              <w:top w:val="nil"/>
              <w:left w:val="nil"/>
              <w:bottom w:val="single" w:sz="4" w:space="0" w:color="auto"/>
              <w:right w:val="nil"/>
            </w:tcBorders>
          </w:tcPr>
          <w:p w14:paraId="7C314BD2"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92 (31,9)</w:t>
            </w:r>
          </w:p>
        </w:tc>
        <w:tc>
          <w:tcPr>
            <w:tcW w:w="992" w:type="dxa"/>
            <w:tcBorders>
              <w:top w:val="nil"/>
              <w:left w:val="nil"/>
              <w:bottom w:val="single" w:sz="4" w:space="0" w:color="auto"/>
              <w:right w:val="single" w:sz="8" w:space="0" w:color="auto"/>
            </w:tcBorders>
            <w:tcMar>
              <w:top w:w="0" w:type="dxa"/>
              <w:left w:w="57" w:type="dxa"/>
              <w:bottom w:w="0" w:type="dxa"/>
              <w:right w:w="57" w:type="dxa"/>
            </w:tcMar>
          </w:tcPr>
          <w:p w14:paraId="0A36B446"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43 (15,0)</w:t>
            </w:r>
          </w:p>
        </w:tc>
      </w:tr>
      <w:tr w:rsidR="009700E5" w14:paraId="5C956170" w14:textId="77777777">
        <w:trPr>
          <w:cantSplit/>
        </w:trPr>
        <w:tc>
          <w:tcPr>
            <w:tcW w:w="1842" w:type="dxa"/>
            <w:tcBorders>
              <w:top w:val="single" w:sz="4" w:space="0" w:color="auto"/>
              <w:left w:val="single" w:sz="4" w:space="0" w:color="auto"/>
              <w:bottom w:val="single" w:sz="4" w:space="0" w:color="auto"/>
              <w:right w:val="single" w:sz="8" w:space="0" w:color="auto"/>
            </w:tcBorders>
          </w:tcPr>
          <w:p w14:paraId="1770DB82" w14:textId="77777777" w:rsidR="009700E5" w:rsidRDefault="009700E5">
            <w:pPr>
              <w:keepNext/>
              <w:spacing w:before="50" w:after="50" w:line="240" w:lineRule="exact"/>
              <w:rPr>
                <w:rFonts w:eastAsia="SimSun"/>
                <w:b/>
                <w:sz w:val="18"/>
                <w:szCs w:val="18"/>
                <w:lang w:eastAsia="zh-CN"/>
              </w:rPr>
            </w:pPr>
          </w:p>
        </w:tc>
        <w:tc>
          <w:tcPr>
            <w:tcW w:w="7371" w:type="dxa"/>
            <w:gridSpan w:val="6"/>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5FA1C87E" w14:textId="77777777" w:rsidR="009700E5" w:rsidRDefault="002C033C">
            <w:pPr>
              <w:keepNext/>
              <w:spacing w:before="50" w:after="50" w:line="240" w:lineRule="exact"/>
              <w:rPr>
                <w:rFonts w:eastAsia="SimSun"/>
                <w:b/>
                <w:sz w:val="18"/>
                <w:szCs w:val="18"/>
                <w:lang w:eastAsia="zh-CN"/>
              </w:rPr>
            </w:pPr>
            <w:r>
              <w:rPr>
                <w:rFonts w:eastAsia="SimSun"/>
                <w:b/>
                <w:sz w:val="18"/>
                <w:szCs w:val="18"/>
                <w:lang w:eastAsia="zh-CN"/>
              </w:rPr>
              <w:t>Kľúčové sekundárne cieľové ukazovatele</w:t>
            </w:r>
          </w:p>
        </w:tc>
      </w:tr>
      <w:tr w:rsidR="009700E5" w14:paraId="02964DD8" w14:textId="77777777">
        <w:trPr>
          <w:cantSplit/>
        </w:trPr>
        <w:tc>
          <w:tcPr>
            <w:tcW w:w="3828" w:type="dxa"/>
            <w:gridSpan w:val="3"/>
            <w:tcBorders>
              <w:top w:val="single" w:sz="4" w:space="0" w:color="auto"/>
              <w:left w:val="single" w:sz="4" w:space="0" w:color="auto"/>
              <w:bottom w:val="nil"/>
              <w:right w:val="nil"/>
            </w:tcBorders>
            <w:tcMar>
              <w:top w:w="0" w:type="dxa"/>
              <w:left w:w="57" w:type="dxa"/>
              <w:bottom w:w="0" w:type="dxa"/>
              <w:right w:w="57" w:type="dxa"/>
            </w:tcMar>
          </w:tcPr>
          <w:p w14:paraId="69C7F375" w14:textId="77777777" w:rsidR="009700E5" w:rsidRDefault="002C033C">
            <w:pPr>
              <w:keepNext/>
              <w:spacing w:before="50" w:after="50" w:line="240" w:lineRule="exact"/>
              <w:rPr>
                <w:rFonts w:eastAsia="SimSun"/>
                <w:sz w:val="18"/>
                <w:szCs w:val="18"/>
                <w:lang w:eastAsia="zh-CN"/>
              </w:rPr>
            </w:pPr>
            <w:r>
              <w:rPr>
                <w:rFonts w:eastAsia="SimSun"/>
                <w:sz w:val="18"/>
                <w:szCs w:val="18"/>
                <w:lang w:eastAsia="zh-CN"/>
              </w:rPr>
              <w:t>Remisia podľa DAS28</w:t>
            </w:r>
          </w:p>
        </w:tc>
        <w:tc>
          <w:tcPr>
            <w:tcW w:w="1417" w:type="dxa"/>
            <w:tcBorders>
              <w:top w:val="single" w:sz="4" w:space="0" w:color="auto"/>
              <w:left w:val="nil"/>
              <w:bottom w:val="nil"/>
              <w:right w:val="nil"/>
            </w:tcBorders>
            <w:tcMar>
              <w:top w:w="0" w:type="dxa"/>
              <w:left w:w="57" w:type="dxa"/>
              <w:bottom w:w="0" w:type="dxa"/>
              <w:right w:w="57" w:type="dxa"/>
            </w:tcMar>
          </w:tcPr>
          <w:p w14:paraId="36D3AD51" w14:textId="77777777" w:rsidR="009700E5" w:rsidRDefault="009700E5">
            <w:pPr>
              <w:keepNext/>
              <w:spacing w:before="50" w:after="50" w:line="240" w:lineRule="exact"/>
              <w:jc w:val="center"/>
              <w:rPr>
                <w:rFonts w:eastAsia="SimSun"/>
                <w:sz w:val="18"/>
                <w:szCs w:val="18"/>
                <w:lang w:eastAsia="zh-CN"/>
              </w:rPr>
            </w:pPr>
          </w:p>
        </w:tc>
        <w:tc>
          <w:tcPr>
            <w:tcW w:w="1418" w:type="dxa"/>
            <w:tcBorders>
              <w:top w:val="single" w:sz="4" w:space="0" w:color="auto"/>
              <w:left w:val="nil"/>
              <w:bottom w:val="nil"/>
              <w:right w:val="nil"/>
            </w:tcBorders>
            <w:tcMar>
              <w:top w:w="0" w:type="dxa"/>
              <w:left w:w="57" w:type="dxa"/>
              <w:bottom w:w="0" w:type="dxa"/>
              <w:right w:w="57" w:type="dxa"/>
            </w:tcMar>
          </w:tcPr>
          <w:p w14:paraId="71ACBFC9" w14:textId="77777777" w:rsidR="009700E5" w:rsidRDefault="009700E5">
            <w:pPr>
              <w:keepNext/>
              <w:spacing w:before="50" w:after="50" w:line="240" w:lineRule="exact"/>
              <w:jc w:val="center"/>
              <w:rPr>
                <w:rFonts w:eastAsia="SimSun"/>
                <w:sz w:val="18"/>
                <w:szCs w:val="18"/>
                <w:lang w:eastAsia="zh-CN"/>
              </w:rPr>
            </w:pPr>
          </w:p>
        </w:tc>
        <w:tc>
          <w:tcPr>
            <w:tcW w:w="1558" w:type="dxa"/>
            <w:tcBorders>
              <w:top w:val="single" w:sz="4" w:space="0" w:color="auto"/>
              <w:left w:val="nil"/>
              <w:bottom w:val="nil"/>
              <w:right w:val="nil"/>
            </w:tcBorders>
          </w:tcPr>
          <w:p w14:paraId="0B46672D" w14:textId="77777777" w:rsidR="009700E5" w:rsidRDefault="009700E5">
            <w:pPr>
              <w:keepNext/>
              <w:spacing w:before="50" w:after="50" w:line="240" w:lineRule="exact"/>
              <w:jc w:val="center"/>
              <w:rPr>
                <w:rFonts w:eastAsia="SimSun"/>
                <w:sz w:val="18"/>
                <w:szCs w:val="18"/>
                <w:lang w:eastAsia="zh-CN"/>
              </w:rPr>
            </w:pPr>
          </w:p>
        </w:tc>
        <w:tc>
          <w:tcPr>
            <w:tcW w:w="992" w:type="dxa"/>
            <w:tcBorders>
              <w:top w:val="single" w:sz="4" w:space="0" w:color="auto"/>
              <w:left w:val="nil"/>
              <w:bottom w:val="nil"/>
              <w:right w:val="single" w:sz="8" w:space="0" w:color="auto"/>
            </w:tcBorders>
            <w:tcMar>
              <w:top w:w="0" w:type="dxa"/>
              <w:left w:w="57" w:type="dxa"/>
              <w:bottom w:w="0" w:type="dxa"/>
              <w:right w:w="57" w:type="dxa"/>
            </w:tcMar>
          </w:tcPr>
          <w:p w14:paraId="26F0E538" w14:textId="77777777" w:rsidR="009700E5" w:rsidRDefault="009700E5">
            <w:pPr>
              <w:keepNext/>
              <w:spacing w:before="50" w:after="50" w:line="240" w:lineRule="exact"/>
              <w:jc w:val="center"/>
              <w:rPr>
                <w:rFonts w:eastAsia="SimSun"/>
                <w:sz w:val="18"/>
                <w:szCs w:val="18"/>
                <w:lang w:eastAsia="zh-CN"/>
              </w:rPr>
            </w:pPr>
          </w:p>
        </w:tc>
      </w:tr>
      <w:tr w:rsidR="009700E5" w14:paraId="5FB73D5A" w14:textId="77777777">
        <w:trPr>
          <w:cantSplit/>
        </w:trPr>
        <w:tc>
          <w:tcPr>
            <w:tcW w:w="3828" w:type="dxa"/>
            <w:gridSpan w:val="3"/>
            <w:tcBorders>
              <w:top w:val="nil"/>
              <w:left w:val="single" w:sz="4" w:space="0" w:color="auto"/>
              <w:bottom w:val="single" w:sz="4" w:space="0" w:color="auto"/>
              <w:right w:val="nil"/>
            </w:tcBorders>
            <w:tcMar>
              <w:top w:w="0" w:type="dxa"/>
              <w:left w:w="57" w:type="dxa"/>
              <w:bottom w:w="0" w:type="dxa"/>
              <w:right w:w="57" w:type="dxa"/>
            </w:tcMar>
          </w:tcPr>
          <w:p w14:paraId="5B35094B" w14:textId="77777777" w:rsidR="009700E5" w:rsidRDefault="002C033C">
            <w:pPr>
              <w:keepNext/>
              <w:spacing w:before="50" w:after="50" w:line="240" w:lineRule="exact"/>
              <w:ind w:left="1440"/>
              <w:rPr>
                <w:rFonts w:eastAsia="SimSun"/>
                <w:sz w:val="18"/>
                <w:szCs w:val="18"/>
                <w:lang w:eastAsia="zh-CN"/>
              </w:rPr>
            </w:pPr>
            <w:r>
              <w:rPr>
                <w:rFonts w:eastAsia="SimSun"/>
                <w:sz w:val="18"/>
                <w:szCs w:val="18"/>
                <w:lang w:eastAsia="zh-CN"/>
              </w:rPr>
              <w:t>52. týždeň          ACR, n (%)</w:t>
            </w:r>
          </w:p>
        </w:tc>
        <w:tc>
          <w:tcPr>
            <w:tcW w:w="1417" w:type="dxa"/>
            <w:tcBorders>
              <w:top w:val="nil"/>
              <w:left w:val="nil"/>
              <w:bottom w:val="single" w:sz="4" w:space="0" w:color="auto"/>
              <w:right w:val="nil"/>
            </w:tcBorders>
            <w:tcMar>
              <w:top w:w="0" w:type="dxa"/>
              <w:left w:w="57" w:type="dxa"/>
              <w:bottom w:w="0" w:type="dxa"/>
              <w:right w:w="57" w:type="dxa"/>
            </w:tcMar>
          </w:tcPr>
          <w:p w14:paraId="1CB27A70"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142 (49,0)***</w:t>
            </w:r>
          </w:p>
        </w:tc>
        <w:tc>
          <w:tcPr>
            <w:tcW w:w="1418" w:type="dxa"/>
            <w:tcBorders>
              <w:top w:val="nil"/>
              <w:left w:val="nil"/>
              <w:bottom w:val="single" w:sz="4" w:space="0" w:color="auto"/>
              <w:right w:val="nil"/>
            </w:tcBorders>
            <w:tcMar>
              <w:top w:w="0" w:type="dxa"/>
              <w:left w:w="57" w:type="dxa"/>
              <w:bottom w:w="0" w:type="dxa"/>
              <w:right w:w="57" w:type="dxa"/>
            </w:tcMar>
          </w:tcPr>
          <w:p w14:paraId="060FCC4B"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115 (39,4)</w:t>
            </w:r>
          </w:p>
        </w:tc>
        <w:tc>
          <w:tcPr>
            <w:tcW w:w="1558" w:type="dxa"/>
            <w:tcBorders>
              <w:top w:val="nil"/>
              <w:left w:val="nil"/>
              <w:bottom w:val="single" w:sz="4" w:space="0" w:color="auto"/>
              <w:right w:val="nil"/>
            </w:tcBorders>
          </w:tcPr>
          <w:p w14:paraId="271D162A"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98 (34,0)</w:t>
            </w:r>
          </w:p>
        </w:tc>
        <w:tc>
          <w:tcPr>
            <w:tcW w:w="992" w:type="dxa"/>
            <w:tcBorders>
              <w:top w:val="nil"/>
              <w:left w:val="nil"/>
              <w:bottom w:val="single" w:sz="4" w:space="0" w:color="auto"/>
              <w:right w:val="single" w:sz="8" w:space="0" w:color="auto"/>
            </w:tcBorders>
            <w:tcMar>
              <w:top w:w="0" w:type="dxa"/>
              <w:left w:w="57" w:type="dxa"/>
              <w:bottom w:w="0" w:type="dxa"/>
              <w:right w:w="57" w:type="dxa"/>
            </w:tcMar>
          </w:tcPr>
          <w:p w14:paraId="21E81696"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56 (19,5)</w:t>
            </w:r>
          </w:p>
        </w:tc>
      </w:tr>
      <w:tr w:rsidR="009700E5" w14:paraId="5B15F74C" w14:textId="77777777">
        <w:trPr>
          <w:cantSplit/>
        </w:trPr>
        <w:tc>
          <w:tcPr>
            <w:tcW w:w="3828" w:type="dxa"/>
            <w:gridSpan w:val="3"/>
            <w:tcBorders>
              <w:top w:val="single" w:sz="4" w:space="0" w:color="auto"/>
              <w:left w:val="single" w:sz="4" w:space="0" w:color="auto"/>
              <w:bottom w:val="nil"/>
              <w:right w:val="nil"/>
            </w:tcBorders>
            <w:tcMar>
              <w:top w:w="0" w:type="dxa"/>
              <w:left w:w="57" w:type="dxa"/>
              <w:bottom w:w="0" w:type="dxa"/>
              <w:right w:w="57" w:type="dxa"/>
            </w:tcMar>
          </w:tcPr>
          <w:p w14:paraId="13B97CC4" w14:textId="77777777" w:rsidR="009700E5" w:rsidRDefault="009700E5">
            <w:pPr>
              <w:keepNext/>
              <w:spacing w:before="50" w:after="50" w:line="240" w:lineRule="exact"/>
              <w:rPr>
                <w:rFonts w:eastAsia="SimSun"/>
                <w:sz w:val="18"/>
                <w:szCs w:val="18"/>
                <w:lang w:eastAsia="zh-CN"/>
              </w:rPr>
            </w:pPr>
          </w:p>
        </w:tc>
        <w:tc>
          <w:tcPr>
            <w:tcW w:w="1417" w:type="dxa"/>
            <w:tcBorders>
              <w:top w:val="single" w:sz="4" w:space="0" w:color="auto"/>
              <w:left w:val="nil"/>
              <w:bottom w:val="nil"/>
              <w:right w:val="nil"/>
            </w:tcBorders>
            <w:tcMar>
              <w:top w:w="0" w:type="dxa"/>
              <w:left w:w="57" w:type="dxa"/>
              <w:bottom w:w="0" w:type="dxa"/>
              <w:right w:w="57" w:type="dxa"/>
            </w:tcMar>
          </w:tcPr>
          <w:p w14:paraId="4DF4213A" w14:textId="77777777" w:rsidR="009700E5" w:rsidRDefault="009700E5">
            <w:pPr>
              <w:keepNext/>
              <w:spacing w:before="50" w:after="50" w:line="240" w:lineRule="exact"/>
              <w:jc w:val="center"/>
              <w:rPr>
                <w:rFonts w:eastAsia="SimSun"/>
                <w:sz w:val="18"/>
                <w:szCs w:val="18"/>
                <w:lang w:eastAsia="zh-CN"/>
              </w:rPr>
            </w:pPr>
          </w:p>
        </w:tc>
        <w:tc>
          <w:tcPr>
            <w:tcW w:w="1418" w:type="dxa"/>
            <w:tcBorders>
              <w:top w:val="single" w:sz="4" w:space="0" w:color="auto"/>
              <w:left w:val="nil"/>
              <w:bottom w:val="nil"/>
              <w:right w:val="nil"/>
            </w:tcBorders>
            <w:tcMar>
              <w:top w:w="0" w:type="dxa"/>
              <w:left w:w="57" w:type="dxa"/>
              <w:bottom w:w="0" w:type="dxa"/>
              <w:right w:w="57" w:type="dxa"/>
            </w:tcMar>
          </w:tcPr>
          <w:p w14:paraId="29AB867D" w14:textId="77777777" w:rsidR="009700E5" w:rsidRDefault="009700E5">
            <w:pPr>
              <w:keepNext/>
              <w:spacing w:before="50" w:after="50" w:line="240" w:lineRule="exact"/>
              <w:jc w:val="center"/>
              <w:rPr>
                <w:rFonts w:eastAsia="SimSun"/>
                <w:sz w:val="18"/>
                <w:szCs w:val="18"/>
                <w:lang w:eastAsia="zh-CN"/>
              </w:rPr>
            </w:pPr>
          </w:p>
        </w:tc>
        <w:tc>
          <w:tcPr>
            <w:tcW w:w="1558" w:type="dxa"/>
            <w:tcBorders>
              <w:top w:val="single" w:sz="4" w:space="0" w:color="auto"/>
              <w:left w:val="nil"/>
              <w:bottom w:val="nil"/>
              <w:right w:val="nil"/>
            </w:tcBorders>
          </w:tcPr>
          <w:p w14:paraId="345329C6" w14:textId="77777777" w:rsidR="009700E5" w:rsidRDefault="009700E5">
            <w:pPr>
              <w:keepNext/>
              <w:spacing w:before="50" w:after="50" w:line="240" w:lineRule="exact"/>
              <w:jc w:val="center"/>
              <w:rPr>
                <w:rFonts w:eastAsia="SimSun"/>
                <w:sz w:val="18"/>
                <w:szCs w:val="18"/>
                <w:lang w:eastAsia="zh-CN"/>
              </w:rPr>
            </w:pPr>
          </w:p>
        </w:tc>
        <w:tc>
          <w:tcPr>
            <w:tcW w:w="992" w:type="dxa"/>
            <w:tcBorders>
              <w:top w:val="single" w:sz="4" w:space="0" w:color="auto"/>
              <w:left w:val="nil"/>
              <w:bottom w:val="nil"/>
              <w:right w:val="single" w:sz="4" w:space="0" w:color="auto"/>
            </w:tcBorders>
            <w:tcMar>
              <w:top w:w="0" w:type="dxa"/>
              <w:left w:w="57" w:type="dxa"/>
              <w:bottom w:w="0" w:type="dxa"/>
              <w:right w:w="57" w:type="dxa"/>
            </w:tcMar>
          </w:tcPr>
          <w:p w14:paraId="75766BE4" w14:textId="77777777" w:rsidR="009700E5" w:rsidRDefault="009700E5">
            <w:pPr>
              <w:keepNext/>
              <w:spacing w:before="50" w:after="50" w:line="240" w:lineRule="exact"/>
              <w:jc w:val="center"/>
              <w:rPr>
                <w:rFonts w:eastAsia="SimSun"/>
                <w:sz w:val="18"/>
                <w:szCs w:val="18"/>
                <w:lang w:eastAsia="zh-CN"/>
              </w:rPr>
            </w:pPr>
          </w:p>
        </w:tc>
      </w:tr>
      <w:tr w:rsidR="009700E5" w14:paraId="256B1F52" w14:textId="77777777">
        <w:trPr>
          <w:cantSplit/>
        </w:trPr>
        <w:tc>
          <w:tcPr>
            <w:tcW w:w="3828" w:type="dxa"/>
            <w:gridSpan w:val="3"/>
            <w:tcBorders>
              <w:top w:val="nil"/>
              <w:left w:val="single" w:sz="4" w:space="0" w:color="auto"/>
              <w:bottom w:val="nil"/>
              <w:right w:val="nil"/>
            </w:tcBorders>
            <w:tcMar>
              <w:top w:w="0" w:type="dxa"/>
              <w:left w:w="57" w:type="dxa"/>
              <w:bottom w:w="0" w:type="dxa"/>
              <w:right w:w="57" w:type="dxa"/>
            </w:tcMar>
          </w:tcPr>
          <w:p w14:paraId="74BD06FB" w14:textId="77777777" w:rsidR="009700E5" w:rsidRDefault="002C033C">
            <w:pPr>
              <w:keepNext/>
              <w:spacing w:before="50" w:after="50" w:line="240" w:lineRule="exact"/>
              <w:ind w:left="1440"/>
              <w:rPr>
                <w:rFonts w:eastAsia="SimSun"/>
                <w:sz w:val="18"/>
                <w:szCs w:val="18"/>
                <w:lang w:eastAsia="zh-CN"/>
              </w:rPr>
            </w:pPr>
            <w:r>
              <w:rPr>
                <w:rFonts w:eastAsia="SimSun"/>
                <w:sz w:val="18"/>
                <w:szCs w:val="18"/>
                <w:lang w:eastAsia="zh-CN"/>
              </w:rPr>
              <w:t>24. týždeň          ACR 20, n (%)</w:t>
            </w:r>
          </w:p>
        </w:tc>
        <w:tc>
          <w:tcPr>
            <w:tcW w:w="1417" w:type="dxa"/>
            <w:tcMar>
              <w:top w:w="0" w:type="dxa"/>
              <w:left w:w="57" w:type="dxa"/>
              <w:bottom w:w="0" w:type="dxa"/>
              <w:right w:w="57" w:type="dxa"/>
            </w:tcMar>
          </w:tcPr>
          <w:p w14:paraId="12C1CC5D"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216 (74,5)*</w:t>
            </w:r>
          </w:p>
        </w:tc>
        <w:tc>
          <w:tcPr>
            <w:tcW w:w="1418" w:type="dxa"/>
            <w:tcMar>
              <w:top w:w="0" w:type="dxa"/>
              <w:left w:w="57" w:type="dxa"/>
              <w:bottom w:w="0" w:type="dxa"/>
              <w:right w:w="57" w:type="dxa"/>
            </w:tcMar>
          </w:tcPr>
          <w:p w14:paraId="2FC9C4F5"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205 (70,2)</w:t>
            </w:r>
          </w:p>
        </w:tc>
        <w:tc>
          <w:tcPr>
            <w:tcW w:w="1558" w:type="dxa"/>
            <w:tcBorders>
              <w:right w:val="nil"/>
            </w:tcBorders>
          </w:tcPr>
          <w:p w14:paraId="6A95B52E"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212 (73,6)</w:t>
            </w:r>
          </w:p>
        </w:tc>
        <w:tc>
          <w:tcPr>
            <w:tcW w:w="992" w:type="dxa"/>
            <w:tcBorders>
              <w:top w:val="nil"/>
              <w:left w:val="nil"/>
              <w:bottom w:val="nil"/>
              <w:right w:val="single" w:sz="8" w:space="0" w:color="auto"/>
            </w:tcBorders>
            <w:tcMar>
              <w:top w:w="0" w:type="dxa"/>
              <w:left w:w="57" w:type="dxa"/>
              <w:bottom w:w="0" w:type="dxa"/>
              <w:right w:w="57" w:type="dxa"/>
            </w:tcMar>
          </w:tcPr>
          <w:p w14:paraId="0C549F2C"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187 (65,2)</w:t>
            </w:r>
          </w:p>
        </w:tc>
      </w:tr>
      <w:tr w:rsidR="009700E5" w14:paraId="07923487" w14:textId="77777777">
        <w:trPr>
          <w:cantSplit/>
        </w:trPr>
        <w:tc>
          <w:tcPr>
            <w:tcW w:w="3828" w:type="dxa"/>
            <w:gridSpan w:val="3"/>
            <w:tcBorders>
              <w:top w:val="nil"/>
              <w:left w:val="single" w:sz="4" w:space="0" w:color="auto"/>
              <w:bottom w:val="nil"/>
              <w:right w:val="nil"/>
            </w:tcBorders>
            <w:tcMar>
              <w:top w:w="0" w:type="dxa"/>
              <w:left w:w="57" w:type="dxa"/>
              <w:bottom w:w="0" w:type="dxa"/>
              <w:right w:w="57" w:type="dxa"/>
            </w:tcMar>
          </w:tcPr>
          <w:p w14:paraId="199D5972" w14:textId="77777777" w:rsidR="009700E5" w:rsidRDefault="002C033C">
            <w:pPr>
              <w:keepNext/>
              <w:spacing w:before="50" w:after="50" w:line="240" w:lineRule="exact"/>
              <w:jc w:val="right"/>
              <w:rPr>
                <w:rFonts w:eastAsia="SimSun"/>
                <w:sz w:val="18"/>
                <w:szCs w:val="18"/>
                <w:lang w:eastAsia="zh-CN"/>
              </w:rPr>
            </w:pPr>
            <w:r>
              <w:rPr>
                <w:rFonts w:eastAsia="SimSun"/>
                <w:sz w:val="18"/>
                <w:szCs w:val="18"/>
                <w:lang w:eastAsia="zh-CN"/>
              </w:rPr>
              <w:t>ACR 50, n (%)</w:t>
            </w:r>
          </w:p>
        </w:tc>
        <w:tc>
          <w:tcPr>
            <w:tcW w:w="1417" w:type="dxa"/>
            <w:tcMar>
              <w:top w:w="0" w:type="dxa"/>
              <w:left w:w="57" w:type="dxa"/>
              <w:bottom w:w="0" w:type="dxa"/>
              <w:right w:w="57" w:type="dxa"/>
            </w:tcMar>
          </w:tcPr>
          <w:p w14:paraId="447D16EC"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165 (56,9)**</w:t>
            </w:r>
          </w:p>
        </w:tc>
        <w:tc>
          <w:tcPr>
            <w:tcW w:w="1418" w:type="dxa"/>
            <w:tcMar>
              <w:top w:w="0" w:type="dxa"/>
              <w:left w:w="57" w:type="dxa"/>
              <w:bottom w:w="0" w:type="dxa"/>
              <w:right w:w="57" w:type="dxa"/>
            </w:tcMar>
          </w:tcPr>
          <w:p w14:paraId="0DE53188"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139 (47,6)</w:t>
            </w:r>
          </w:p>
        </w:tc>
        <w:tc>
          <w:tcPr>
            <w:tcW w:w="1558" w:type="dxa"/>
            <w:tcBorders>
              <w:right w:val="nil"/>
            </w:tcBorders>
          </w:tcPr>
          <w:p w14:paraId="2CA9E10F"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138 (47,9)</w:t>
            </w:r>
          </w:p>
        </w:tc>
        <w:tc>
          <w:tcPr>
            <w:tcW w:w="992" w:type="dxa"/>
            <w:tcBorders>
              <w:top w:val="nil"/>
              <w:left w:val="nil"/>
              <w:bottom w:val="nil"/>
              <w:right w:val="single" w:sz="8" w:space="0" w:color="auto"/>
            </w:tcBorders>
            <w:tcMar>
              <w:top w:w="0" w:type="dxa"/>
              <w:left w:w="57" w:type="dxa"/>
              <w:bottom w:w="0" w:type="dxa"/>
              <w:right w:w="57" w:type="dxa"/>
            </w:tcMar>
          </w:tcPr>
          <w:p w14:paraId="0C2BCE33"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124 (43,2)</w:t>
            </w:r>
          </w:p>
        </w:tc>
      </w:tr>
      <w:tr w:rsidR="009700E5" w14:paraId="350CA3C8" w14:textId="77777777">
        <w:trPr>
          <w:cantSplit/>
        </w:trPr>
        <w:tc>
          <w:tcPr>
            <w:tcW w:w="3828" w:type="dxa"/>
            <w:gridSpan w:val="3"/>
            <w:tcBorders>
              <w:top w:val="nil"/>
              <w:left w:val="single" w:sz="4" w:space="0" w:color="auto"/>
              <w:bottom w:val="nil"/>
              <w:right w:val="nil"/>
            </w:tcBorders>
            <w:tcMar>
              <w:top w:w="0" w:type="dxa"/>
              <w:left w:w="57" w:type="dxa"/>
              <w:bottom w:w="0" w:type="dxa"/>
              <w:right w:w="57" w:type="dxa"/>
            </w:tcMar>
          </w:tcPr>
          <w:p w14:paraId="0EF5C2C9" w14:textId="77777777" w:rsidR="009700E5" w:rsidRDefault="002C033C">
            <w:pPr>
              <w:keepNext/>
              <w:spacing w:before="50" w:after="50" w:line="240" w:lineRule="exact"/>
              <w:jc w:val="right"/>
              <w:rPr>
                <w:rFonts w:eastAsia="SimSun"/>
                <w:sz w:val="18"/>
                <w:szCs w:val="18"/>
                <w:lang w:eastAsia="zh-CN"/>
              </w:rPr>
            </w:pPr>
            <w:r>
              <w:rPr>
                <w:rFonts w:eastAsia="SimSun"/>
                <w:sz w:val="18"/>
                <w:szCs w:val="18"/>
                <w:lang w:eastAsia="zh-CN"/>
              </w:rPr>
              <w:t>ACR 70, n (%)</w:t>
            </w:r>
          </w:p>
        </w:tc>
        <w:tc>
          <w:tcPr>
            <w:tcW w:w="1417" w:type="dxa"/>
            <w:tcMar>
              <w:top w:w="0" w:type="dxa"/>
              <w:left w:w="57" w:type="dxa"/>
              <w:bottom w:w="0" w:type="dxa"/>
              <w:right w:w="57" w:type="dxa"/>
            </w:tcMar>
          </w:tcPr>
          <w:p w14:paraId="053E6527"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112 (38,6)**</w:t>
            </w:r>
          </w:p>
        </w:tc>
        <w:tc>
          <w:tcPr>
            <w:tcW w:w="1418" w:type="dxa"/>
            <w:tcMar>
              <w:top w:w="0" w:type="dxa"/>
              <w:left w:w="57" w:type="dxa"/>
              <w:bottom w:w="0" w:type="dxa"/>
              <w:right w:w="57" w:type="dxa"/>
            </w:tcMar>
          </w:tcPr>
          <w:p w14:paraId="45BB2B43"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88 (30,1)</w:t>
            </w:r>
          </w:p>
        </w:tc>
        <w:tc>
          <w:tcPr>
            <w:tcW w:w="1558" w:type="dxa"/>
            <w:tcBorders>
              <w:right w:val="nil"/>
            </w:tcBorders>
          </w:tcPr>
          <w:p w14:paraId="3877759E"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100 (34,7)</w:t>
            </w:r>
          </w:p>
        </w:tc>
        <w:tc>
          <w:tcPr>
            <w:tcW w:w="992" w:type="dxa"/>
            <w:tcBorders>
              <w:top w:val="nil"/>
              <w:left w:val="nil"/>
              <w:bottom w:val="nil"/>
              <w:right w:val="single" w:sz="8" w:space="0" w:color="auto"/>
            </w:tcBorders>
            <w:tcMar>
              <w:top w:w="0" w:type="dxa"/>
              <w:left w:w="57" w:type="dxa"/>
              <w:bottom w:w="0" w:type="dxa"/>
              <w:right w:w="57" w:type="dxa"/>
            </w:tcMar>
          </w:tcPr>
          <w:p w14:paraId="59E804CA"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73 (25,4)</w:t>
            </w:r>
          </w:p>
        </w:tc>
      </w:tr>
      <w:tr w:rsidR="009700E5" w14:paraId="297904D7" w14:textId="77777777">
        <w:trPr>
          <w:cantSplit/>
        </w:trPr>
        <w:tc>
          <w:tcPr>
            <w:tcW w:w="3828" w:type="dxa"/>
            <w:gridSpan w:val="3"/>
            <w:tcBorders>
              <w:top w:val="nil"/>
              <w:left w:val="single" w:sz="4" w:space="0" w:color="auto"/>
              <w:bottom w:val="nil"/>
              <w:right w:val="nil"/>
            </w:tcBorders>
            <w:tcMar>
              <w:top w:w="0" w:type="dxa"/>
              <w:left w:w="57" w:type="dxa"/>
              <w:bottom w:w="0" w:type="dxa"/>
              <w:right w:w="57" w:type="dxa"/>
            </w:tcMar>
          </w:tcPr>
          <w:p w14:paraId="40F406CC" w14:textId="77777777" w:rsidR="009700E5" w:rsidRDefault="002C033C">
            <w:pPr>
              <w:keepNext/>
              <w:spacing w:before="50" w:after="50" w:line="240" w:lineRule="exact"/>
              <w:ind w:left="1440"/>
              <w:rPr>
                <w:rFonts w:eastAsia="SimSun"/>
                <w:sz w:val="18"/>
                <w:szCs w:val="18"/>
                <w:lang w:eastAsia="zh-CN"/>
              </w:rPr>
            </w:pPr>
            <w:r>
              <w:rPr>
                <w:rFonts w:eastAsia="SimSun"/>
                <w:sz w:val="18"/>
                <w:szCs w:val="18"/>
                <w:lang w:eastAsia="zh-CN"/>
              </w:rPr>
              <w:t>52. týždeň          ACR 20, n (%)</w:t>
            </w:r>
          </w:p>
        </w:tc>
        <w:tc>
          <w:tcPr>
            <w:tcW w:w="1417" w:type="dxa"/>
            <w:tcMar>
              <w:top w:w="0" w:type="dxa"/>
              <w:left w:w="57" w:type="dxa"/>
              <w:bottom w:w="0" w:type="dxa"/>
              <w:right w:w="57" w:type="dxa"/>
            </w:tcMar>
          </w:tcPr>
          <w:p w14:paraId="6CB5A376"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195 (67,2)*</w:t>
            </w:r>
          </w:p>
        </w:tc>
        <w:tc>
          <w:tcPr>
            <w:tcW w:w="1418" w:type="dxa"/>
            <w:tcMar>
              <w:top w:w="0" w:type="dxa"/>
              <w:left w:w="57" w:type="dxa"/>
              <w:bottom w:w="0" w:type="dxa"/>
              <w:right w:w="57" w:type="dxa"/>
            </w:tcMar>
          </w:tcPr>
          <w:p w14:paraId="0F4CE087"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184 (63,0)</w:t>
            </w:r>
          </w:p>
        </w:tc>
        <w:tc>
          <w:tcPr>
            <w:tcW w:w="1558" w:type="dxa"/>
            <w:tcBorders>
              <w:right w:val="nil"/>
            </w:tcBorders>
          </w:tcPr>
          <w:p w14:paraId="134E5BDC"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181 (62,8)</w:t>
            </w:r>
          </w:p>
        </w:tc>
        <w:tc>
          <w:tcPr>
            <w:tcW w:w="992" w:type="dxa"/>
            <w:tcBorders>
              <w:top w:val="nil"/>
              <w:left w:val="nil"/>
              <w:bottom w:val="nil"/>
              <w:right w:val="single" w:sz="8" w:space="0" w:color="auto"/>
            </w:tcBorders>
            <w:tcMar>
              <w:top w:w="0" w:type="dxa"/>
              <w:left w:w="57" w:type="dxa"/>
              <w:bottom w:w="0" w:type="dxa"/>
              <w:right w:w="57" w:type="dxa"/>
            </w:tcMar>
          </w:tcPr>
          <w:p w14:paraId="4026BEF8"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164 (57,1)</w:t>
            </w:r>
          </w:p>
        </w:tc>
      </w:tr>
      <w:tr w:rsidR="009700E5" w14:paraId="7C5F2614" w14:textId="77777777">
        <w:trPr>
          <w:cantSplit/>
        </w:trPr>
        <w:tc>
          <w:tcPr>
            <w:tcW w:w="3828" w:type="dxa"/>
            <w:gridSpan w:val="3"/>
            <w:tcBorders>
              <w:top w:val="nil"/>
              <w:left w:val="single" w:sz="4" w:space="0" w:color="auto"/>
              <w:bottom w:val="nil"/>
              <w:right w:val="nil"/>
            </w:tcBorders>
            <w:tcMar>
              <w:top w:w="0" w:type="dxa"/>
              <w:left w:w="57" w:type="dxa"/>
              <w:bottom w:w="0" w:type="dxa"/>
              <w:right w:w="57" w:type="dxa"/>
            </w:tcMar>
          </w:tcPr>
          <w:p w14:paraId="22BB704B" w14:textId="77777777" w:rsidR="009700E5" w:rsidRDefault="002C033C">
            <w:pPr>
              <w:keepNext/>
              <w:spacing w:before="50" w:after="50" w:line="240" w:lineRule="exact"/>
              <w:jc w:val="right"/>
              <w:rPr>
                <w:rFonts w:eastAsia="SimSun"/>
                <w:sz w:val="18"/>
                <w:szCs w:val="18"/>
                <w:lang w:eastAsia="zh-CN"/>
              </w:rPr>
            </w:pPr>
            <w:r>
              <w:rPr>
                <w:rFonts w:eastAsia="SimSun"/>
                <w:sz w:val="18"/>
                <w:szCs w:val="18"/>
                <w:lang w:eastAsia="zh-CN"/>
              </w:rPr>
              <w:t>ACR 50, n (%)</w:t>
            </w:r>
          </w:p>
        </w:tc>
        <w:tc>
          <w:tcPr>
            <w:tcW w:w="1417" w:type="dxa"/>
            <w:tcMar>
              <w:top w:w="0" w:type="dxa"/>
              <w:left w:w="57" w:type="dxa"/>
              <w:bottom w:w="0" w:type="dxa"/>
              <w:right w:w="57" w:type="dxa"/>
            </w:tcMar>
          </w:tcPr>
          <w:p w14:paraId="0BCFABF7"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162 (55,9)**</w:t>
            </w:r>
          </w:p>
        </w:tc>
        <w:tc>
          <w:tcPr>
            <w:tcW w:w="1418" w:type="dxa"/>
            <w:tcMar>
              <w:top w:w="0" w:type="dxa"/>
              <w:left w:w="57" w:type="dxa"/>
              <w:bottom w:w="0" w:type="dxa"/>
              <w:right w:w="57" w:type="dxa"/>
            </w:tcMar>
          </w:tcPr>
          <w:p w14:paraId="3904D77B"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144 (49,3)</w:t>
            </w:r>
          </w:p>
        </w:tc>
        <w:tc>
          <w:tcPr>
            <w:tcW w:w="1558" w:type="dxa"/>
            <w:tcBorders>
              <w:right w:val="nil"/>
            </w:tcBorders>
          </w:tcPr>
          <w:p w14:paraId="09CB5EBB"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151 (52,4)</w:t>
            </w:r>
          </w:p>
        </w:tc>
        <w:tc>
          <w:tcPr>
            <w:tcW w:w="992" w:type="dxa"/>
            <w:tcBorders>
              <w:top w:val="nil"/>
              <w:left w:val="nil"/>
              <w:bottom w:val="nil"/>
              <w:right w:val="single" w:sz="8" w:space="0" w:color="auto"/>
            </w:tcBorders>
            <w:tcMar>
              <w:top w:w="0" w:type="dxa"/>
              <w:left w:w="57" w:type="dxa"/>
              <w:bottom w:w="0" w:type="dxa"/>
              <w:right w:w="57" w:type="dxa"/>
            </w:tcMar>
          </w:tcPr>
          <w:p w14:paraId="59FDE5A1"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117 (40,8)</w:t>
            </w:r>
          </w:p>
        </w:tc>
      </w:tr>
      <w:tr w:rsidR="009700E5" w14:paraId="6F49F8A2" w14:textId="77777777">
        <w:trPr>
          <w:cantSplit/>
        </w:trPr>
        <w:tc>
          <w:tcPr>
            <w:tcW w:w="3828" w:type="dxa"/>
            <w:gridSpan w:val="3"/>
            <w:tcBorders>
              <w:top w:val="nil"/>
              <w:left w:val="single" w:sz="4" w:space="0" w:color="auto"/>
              <w:bottom w:val="single" w:sz="4" w:space="0" w:color="auto"/>
              <w:right w:val="nil"/>
            </w:tcBorders>
            <w:tcMar>
              <w:top w:w="0" w:type="dxa"/>
              <w:left w:w="57" w:type="dxa"/>
              <w:bottom w:w="0" w:type="dxa"/>
              <w:right w:w="57" w:type="dxa"/>
            </w:tcMar>
          </w:tcPr>
          <w:p w14:paraId="6944D03D" w14:textId="77777777" w:rsidR="009700E5" w:rsidRDefault="002C033C">
            <w:pPr>
              <w:keepNext/>
              <w:spacing w:before="50" w:after="50" w:line="240" w:lineRule="exact"/>
              <w:jc w:val="right"/>
              <w:rPr>
                <w:rFonts w:eastAsia="SimSun"/>
                <w:sz w:val="18"/>
                <w:szCs w:val="18"/>
                <w:lang w:eastAsia="zh-CN"/>
              </w:rPr>
            </w:pPr>
            <w:r>
              <w:rPr>
                <w:rFonts w:eastAsia="SimSun"/>
                <w:sz w:val="18"/>
                <w:szCs w:val="18"/>
                <w:lang w:eastAsia="zh-CN"/>
              </w:rPr>
              <w:t>ACR 70, n (%)</w:t>
            </w:r>
          </w:p>
        </w:tc>
        <w:tc>
          <w:tcPr>
            <w:tcW w:w="1417" w:type="dxa"/>
            <w:tcBorders>
              <w:top w:val="nil"/>
              <w:left w:val="nil"/>
              <w:bottom w:val="single" w:sz="4" w:space="0" w:color="auto"/>
              <w:right w:val="nil"/>
            </w:tcBorders>
            <w:tcMar>
              <w:top w:w="0" w:type="dxa"/>
              <w:left w:w="57" w:type="dxa"/>
              <w:bottom w:w="0" w:type="dxa"/>
              <w:right w:w="57" w:type="dxa"/>
            </w:tcMar>
          </w:tcPr>
          <w:p w14:paraId="0FF5A17C"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125 (43,1)**</w:t>
            </w:r>
          </w:p>
        </w:tc>
        <w:tc>
          <w:tcPr>
            <w:tcW w:w="1418" w:type="dxa"/>
            <w:tcBorders>
              <w:top w:val="nil"/>
              <w:left w:val="nil"/>
              <w:bottom w:val="single" w:sz="4" w:space="0" w:color="auto"/>
              <w:right w:val="nil"/>
            </w:tcBorders>
            <w:tcMar>
              <w:top w:w="0" w:type="dxa"/>
              <w:left w:w="57" w:type="dxa"/>
              <w:bottom w:w="0" w:type="dxa"/>
              <w:right w:w="57" w:type="dxa"/>
            </w:tcMar>
          </w:tcPr>
          <w:p w14:paraId="5D40C60C"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105 (36,0)</w:t>
            </w:r>
          </w:p>
        </w:tc>
        <w:tc>
          <w:tcPr>
            <w:tcW w:w="1558" w:type="dxa"/>
            <w:tcBorders>
              <w:top w:val="nil"/>
              <w:left w:val="nil"/>
              <w:bottom w:val="single" w:sz="4" w:space="0" w:color="auto"/>
              <w:right w:val="nil"/>
            </w:tcBorders>
          </w:tcPr>
          <w:p w14:paraId="18FA9673"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107 (37,2)</w:t>
            </w:r>
          </w:p>
        </w:tc>
        <w:tc>
          <w:tcPr>
            <w:tcW w:w="992" w:type="dxa"/>
            <w:tcBorders>
              <w:top w:val="nil"/>
              <w:left w:val="nil"/>
              <w:bottom w:val="single" w:sz="4" w:space="0" w:color="auto"/>
              <w:right w:val="single" w:sz="8" w:space="0" w:color="auto"/>
            </w:tcBorders>
            <w:tcMar>
              <w:top w:w="0" w:type="dxa"/>
              <w:left w:w="57" w:type="dxa"/>
              <w:bottom w:w="0" w:type="dxa"/>
              <w:right w:w="57" w:type="dxa"/>
            </w:tcMar>
          </w:tcPr>
          <w:p w14:paraId="606A7651"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83 (28,9)</w:t>
            </w:r>
          </w:p>
        </w:tc>
      </w:tr>
      <w:tr w:rsidR="009700E5" w14:paraId="2B8C9D2C" w14:textId="77777777">
        <w:trPr>
          <w:cantSplit/>
        </w:trPr>
        <w:tc>
          <w:tcPr>
            <w:tcW w:w="3828" w:type="dxa"/>
            <w:gridSpan w:val="3"/>
            <w:tcBorders>
              <w:top w:val="single" w:sz="4" w:space="0" w:color="auto"/>
              <w:left w:val="single" w:sz="4" w:space="0" w:color="auto"/>
              <w:bottom w:val="nil"/>
              <w:right w:val="nil"/>
            </w:tcBorders>
            <w:tcMar>
              <w:top w:w="0" w:type="dxa"/>
              <w:left w:w="57" w:type="dxa"/>
              <w:bottom w:w="0" w:type="dxa"/>
              <w:right w:w="57" w:type="dxa"/>
            </w:tcMar>
          </w:tcPr>
          <w:p w14:paraId="03D45EAF" w14:textId="77777777" w:rsidR="009700E5" w:rsidRDefault="002C033C">
            <w:pPr>
              <w:keepNext/>
              <w:spacing w:before="50" w:after="50" w:line="240" w:lineRule="exact"/>
              <w:rPr>
                <w:rFonts w:eastAsia="SimSun"/>
                <w:sz w:val="18"/>
                <w:szCs w:val="18"/>
                <w:lang w:eastAsia="zh-CN"/>
              </w:rPr>
            </w:pPr>
            <w:r>
              <w:rPr>
                <w:rFonts w:eastAsia="SimSun"/>
                <w:sz w:val="18"/>
                <w:szCs w:val="18"/>
                <w:lang w:eastAsia="zh-CN"/>
              </w:rPr>
              <w:t>HAQ-DI (upravená priemerná zmena oproti východiskovej hodnote)</w:t>
            </w:r>
          </w:p>
        </w:tc>
        <w:tc>
          <w:tcPr>
            <w:tcW w:w="1417" w:type="dxa"/>
            <w:tcBorders>
              <w:top w:val="single" w:sz="4" w:space="0" w:color="auto"/>
              <w:left w:val="nil"/>
              <w:bottom w:val="nil"/>
              <w:right w:val="nil"/>
            </w:tcBorders>
            <w:tcMar>
              <w:top w:w="0" w:type="dxa"/>
              <w:left w:w="57" w:type="dxa"/>
              <w:bottom w:w="0" w:type="dxa"/>
              <w:right w:w="57" w:type="dxa"/>
            </w:tcMar>
          </w:tcPr>
          <w:p w14:paraId="05410E8F" w14:textId="77777777" w:rsidR="009700E5" w:rsidRDefault="009700E5">
            <w:pPr>
              <w:keepNext/>
              <w:spacing w:before="50" w:after="50" w:line="240" w:lineRule="exact"/>
              <w:rPr>
                <w:rFonts w:eastAsia="SimSun"/>
                <w:sz w:val="18"/>
                <w:szCs w:val="18"/>
                <w:lang w:eastAsia="zh-CN"/>
              </w:rPr>
            </w:pPr>
          </w:p>
        </w:tc>
        <w:tc>
          <w:tcPr>
            <w:tcW w:w="1418" w:type="dxa"/>
            <w:tcBorders>
              <w:top w:val="single" w:sz="4" w:space="0" w:color="auto"/>
              <w:left w:val="nil"/>
              <w:bottom w:val="nil"/>
              <w:right w:val="nil"/>
            </w:tcBorders>
            <w:tcMar>
              <w:top w:w="0" w:type="dxa"/>
              <w:left w:w="57" w:type="dxa"/>
              <w:bottom w:w="0" w:type="dxa"/>
              <w:right w:w="57" w:type="dxa"/>
            </w:tcMar>
          </w:tcPr>
          <w:p w14:paraId="2BD83328" w14:textId="77777777" w:rsidR="009700E5" w:rsidRDefault="009700E5">
            <w:pPr>
              <w:keepNext/>
              <w:spacing w:before="50" w:after="50" w:line="240" w:lineRule="exact"/>
              <w:rPr>
                <w:rFonts w:eastAsia="SimSun"/>
                <w:sz w:val="18"/>
                <w:szCs w:val="18"/>
                <w:lang w:eastAsia="zh-CN"/>
              </w:rPr>
            </w:pPr>
          </w:p>
        </w:tc>
        <w:tc>
          <w:tcPr>
            <w:tcW w:w="1558" w:type="dxa"/>
            <w:tcBorders>
              <w:top w:val="single" w:sz="4" w:space="0" w:color="auto"/>
              <w:left w:val="nil"/>
              <w:bottom w:val="nil"/>
              <w:right w:val="nil"/>
            </w:tcBorders>
          </w:tcPr>
          <w:p w14:paraId="202F49A5" w14:textId="77777777" w:rsidR="009700E5" w:rsidRDefault="009700E5">
            <w:pPr>
              <w:keepNext/>
              <w:spacing w:before="50" w:after="50" w:line="240" w:lineRule="exact"/>
              <w:rPr>
                <w:rFonts w:eastAsia="SimSun"/>
                <w:sz w:val="18"/>
                <w:szCs w:val="18"/>
                <w:lang w:eastAsia="zh-CN"/>
              </w:rPr>
            </w:pPr>
          </w:p>
        </w:tc>
        <w:tc>
          <w:tcPr>
            <w:tcW w:w="992" w:type="dxa"/>
            <w:tcBorders>
              <w:top w:val="single" w:sz="4" w:space="0" w:color="auto"/>
              <w:left w:val="nil"/>
              <w:bottom w:val="nil"/>
              <w:right w:val="nil"/>
            </w:tcBorders>
            <w:tcMar>
              <w:top w:w="0" w:type="dxa"/>
              <w:left w:w="57" w:type="dxa"/>
              <w:bottom w:w="0" w:type="dxa"/>
              <w:right w:w="57" w:type="dxa"/>
            </w:tcMar>
          </w:tcPr>
          <w:p w14:paraId="5128F6B0" w14:textId="77777777" w:rsidR="009700E5" w:rsidRDefault="009700E5">
            <w:pPr>
              <w:keepNext/>
              <w:spacing w:before="50" w:after="50" w:line="240" w:lineRule="exact"/>
              <w:rPr>
                <w:rFonts w:eastAsia="SimSun"/>
                <w:sz w:val="18"/>
                <w:szCs w:val="18"/>
                <w:lang w:eastAsia="zh-CN"/>
              </w:rPr>
            </w:pPr>
          </w:p>
        </w:tc>
      </w:tr>
      <w:tr w:rsidR="009700E5" w14:paraId="341895CD" w14:textId="77777777">
        <w:trPr>
          <w:cantSplit/>
        </w:trPr>
        <w:tc>
          <w:tcPr>
            <w:tcW w:w="3828" w:type="dxa"/>
            <w:gridSpan w:val="3"/>
            <w:tcBorders>
              <w:top w:val="nil"/>
              <w:left w:val="single" w:sz="4" w:space="0" w:color="auto"/>
              <w:bottom w:val="single" w:sz="8" w:space="0" w:color="auto"/>
              <w:right w:val="nil"/>
            </w:tcBorders>
            <w:tcMar>
              <w:top w:w="0" w:type="dxa"/>
              <w:left w:w="57" w:type="dxa"/>
              <w:bottom w:w="0" w:type="dxa"/>
              <w:right w:w="57" w:type="dxa"/>
            </w:tcMar>
          </w:tcPr>
          <w:p w14:paraId="4C7675A7" w14:textId="77777777" w:rsidR="009700E5" w:rsidRDefault="002C033C">
            <w:pPr>
              <w:keepNext/>
              <w:spacing w:before="50" w:after="50" w:line="240" w:lineRule="exact"/>
              <w:ind w:left="1440"/>
              <w:rPr>
                <w:rFonts w:eastAsia="SimSun"/>
                <w:sz w:val="18"/>
                <w:szCs w:val="18"/>
                <w:lang w:eastAsia="zh-CN"/>
              </w:rPr>
            </w:pPr>
            <w:r>
              <w:rPr>
                <w:rFonts w:eastAsia="SimSun"/>
                <w:sz w:val="18"/>
                <w:szCs w:val="18"/>
                <w:lang w:eastAsia="zh-CN"/>
              </w:rPr>
              <w:t>52. týždeň</w:t>
            </w:r>
          </w:p>
        </w:tc>
        <w:tc>
          <w:tcPr>
            <w:tcW w:w="1417" w:type="dxa"/>
            <w:tcBorders>
              <w:top w:val="nil"/>
              <w:left w:val="nil"/>
              <w:bottom w:val="single" w:sz="8" w:space="0" w:color="auto"/>
              <w:right w:val="nil"/>
            </w:tcBorders>
            <w:tcMar>
              <w:top w:w="0" w:type="dxa"/>
              <w:left w:w="57" w:type="dxa"/>
              <w:bottom w:w="0" w:type="dxa"/>
              <w:right w:w="57" w:type="dxa"/>
            </w:tcMar>
          </w:tcPr>
          <w:p w14:paraId="778C6B3F"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-0,81*</w:t>
            </w:r>
          </w:p>
        </w:tc>
        <w:tc>
          <w:tcPr>
            <w:tcW w:w="1418" w:type="dxa"/>
            <w:tcBorders>
              <w:top w:val="nil"/>
              <w:left w:val="nil"/>
              <w:bottom w:val="single" w:sz="8" w:space="0" w:color="auto"/>
              <w:right w:val="nil"/>
            </w:tcBorders>
            <w:tcMar>
              <w:top w:w="0" w:type="dxa"/>
              <w:left w:w="57" w:type="dxa"/>
              <w:bottom w:w="0" w:type="dxa"/>
              <w:right w:w="57" w:type="dxa"/>
            </w:tcMar>
          </w:tcPr>
          <w:p w14:paraId="60FB3916"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-0,67</w:t>
            </w:r>
          </w:p>
        </w:tc>
        <w:tc>
          <w:tcPr>
            <w:tcW w:w="1558" w:type="dxa"/>
            <w:tcBorders>
              <w:top w:val="nil"/>
              <w:left w:val="nil"/>
              <w:bottom w:val="single" w:sz="8" w:space="0" w:color="auto"/>
              <w:right w:val="nil"/>
            </w:tcBorders>
          </w:tcPr>
          <w:p w14:paraId="20C9DBBC"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-0,75</w:t>
            </w:r>
          </w:p>
        </w:tc>
        <w:tc>
          <w:tcPr>
            <w:tcW w:w="992" w:type="dxa"/>
            <w:tcBorders>
              <w:top w:val="nil"/>
              <w:left w:val="nil"/>
              <w:bottom w:val="single" w:sz="8" w:space="0" w:color="auto"/>
              <w:right w:val="single" w:sz="8" w:space="0" w:color="auto"/>
            </w:tcBorders>
            <w:tcMar>
              <w:top w:w="0" w:type="dxa"/>
              <w:left w:w="57" w:type="dxa"/>
              <w:bottom w:w="0" w:type="dxa"/>
              <w:right w:w="57" w:type="dxa"/>
            </w:tcMar>
          </w:tcPr>
          <w:p w14:paraId="7AFF6D7F"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-0,64</w:t>
            </w:r>
          </w:p>
        </w:tc>
      </w:tr>
      <w:tr w:rsidR="009700E5" w14:paraId="19C784F7" w14:textId="77777777">
        <w:trPr>
          <w:cantSplit/>
        </w:trPr>
        <w:tc>
          <w:tcPr>
            <w:tcW w:w="1842" w:type="dxa"/>
            <w:tcBorders>
              <w:top w:val="single" w:sz="8" w:space="0" w:color="auto"/>
              <w:left w:val="single" w:sz="4" w:space="0" w:color="auto"/>
              <w:bottom w:val="single" w:sz="4" w:space="0" w:color="auto"/>
              <w:right w:val="single" w:sz="8" w:space="0" w:color="auto"/>
            </w:tcBorders>
          </w:tcPr>
          <w:p w14:paraId="2E37AC45" w14:textId="77777777" w:rsidR="009700E5" w:rsidRDefault="009700E5">
            <w:pPr>
              <w:keepNext/>
              <w:spacing w:before="50" w:after="50" w:line="240" w:lineRule="exact"/>
              <w:rPr>
                <w:rFonts w:eastAsia="SimSun"/>
                <w:b/>
                <w:sz w:val="18"/>
                <w:szCs w:val="18"/>
                <w:lang w:eastAsia="zh-CN"/>
              </w:rPr>
            </w:pPr>
          </w:p>
        </w:tc>
        <w:tc>
          <w:tcPr>
            <w:tcW w:w="7371" w:type="dxa"/>
            <w:gridSpan w:val="6"/>
            <w:tcBorders>
              <w:top w:val="single" w:sz="8" w:space="0" w:color="auto"/>
              <w:left w:val="single" w:sz="4" w:space="0" w:color="auto"/>
              <w:bottom w:val="single" w:sz="4" w:space="0" w:color="auto"/>
              <w:right w:val="single" w:sz="8" w:space="0" w:color="auto"/>
            </w:tcBorders>
            <w:tcMar>
              <w:top w:w="0" w:type="dxa"/>
              <w:left w:w="57" w:type="dxa"/>
              <w:bottom w:w="0" w:type="dxa"/>
              <w:right w:w="57" w:type="dxa"/>
            </w:tcMar>
          </w:tcPr>
          <w:p w14:paraId="28D8A1E5" w14:textId="77777777" w:rsidR="009700E5" w:rsidRDefault="002C033C">
            <w:pPr>
              <w:keepNext/>
              <w:spacing w:before="50" w:after="50" w:line="240" w:lineRule="exact"/>
              <w:rPr>
                <w:rFonts w:eastAsia="SimSun"/>
                <w:b/>
                <w:sz w:val="18"/>
                <w:szCs w:val="18"/>
                <w:lang w:eastAsia="zh-CN"/>
              </w:rPr>
            </w:pPr>
            <w:r>
              <w:rPr>
                <w:rFonts w:eastAsia="SimSun"/>
                <w:b/>
                <w:sz w:val="18"/>
                <w:szCs w:val="18"/>
                <w:lang w:eastAsia="zh-CN"/>
              </w:rPr>
              <w:t>Rádiografické cieľové ukazovatele (priemerná zmena oproti východiskovej hodnote)</w:t>
            </w:r>
          </w:p>
        </w:tc>
      </w:tr>
      <w:tr w:rsidR="009700E5" w14:paraId="1311A8BE" w14:textId="77777777">
        <w:trPr>
          <w:cantSplit/>
        </w:trPr>
        <w:tc>
          <w:tcPr>
            <w:tcW w:w="3828" w:type="dxa"/>
            <w:gridSpan w:val="3"/>
            <w:tcBorders>
              <w:top w:val="single" w:sz="4" w:space="0" w:color="auto"/>
              <w:left w:val="single" w:sz="4" w:space="0" w:color="auto"/>
              <w:bottom w:val="nil"/>
              <w:right w:val="nil"/>
            </w:tcBorders>
            <w:tcMar>
              <w:top w:w="0" w:type="dxa"/>
              <w:left w:w="57" w:type="dxa"/>
              <w:bottom w:w="0" w:type="dxa"/>
              <w:right w:w="57" w:type="dxa"/>
            </w:tcMar>
          </w:tcPr>
          <w:p w14:paraId="1644C91B" w14:textId="77777777" w:rsidR="009700E5" w:rsidRDefault="002C033C">
            <w:pPr>
              <w:keepNext/>
              <w:spacing w:before="50" w:after="50" w:line="240" w:lineRule="exact"/>
              <w:ind w:left="1440"/>
              <w:rPr>
                <w:rFonts w:eastAsia="SimSun"/>
                <w:sz w:val="18"/>
                <w:szCs w:val="18"/>
                <w:lang w:eastAsia="zh-CN"/>
              </w:rPr>
            </w:pPr>
            <w:r>
              <w:rPr>
                <w:rFonts w:eastAsia="SimSun"/>
                <w:sz w:val="18"/>
                <w:szCs w:val="18"/>
                <w:lang w:eastAsia="zh-CN"/>
              </w:rPr>
              <w:t>52. týždeň                       mTSS</w:t>
            </w:r>
          </w:p>
        </w:tc>
        <w:tc>
          <w:tcPr>
            <w:tcW w:w="1417" w:type="dxa"/>
            <w:tcBorders>
              <w:top w:val="single" w:sz="4" w:space="0" w:color="auto"/>
              <w:left w:val="nil"/>
              <w:bottom w:val="nil"/>
              <w:right w:val="nil"/>
            </w:tcBorders>
            <w:tcMar>
              <w:top w:w="0" w:type="dxa"/>
              <w:left w:w="57" w:type="dxa"/>
              <w:bottom w:w="0" w:type="dxa"/>
              <w:right w:w="57" w:type="dxa"/>
            </w:tcMar>
          </w:tcPr>
          <w:p w14:paraId="67E3CE53"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0,08***</w:t>
            </w:r>
          </w:p>
        </w:tc>
        <w:tc>
          <w:tcPr>
            <w:tcW w:w="1418" w:type="dxa"/>
            <w:tcBorders>
              <w:top w:val="single" w:sz="4" w:space="0" w:color="auto"/>
              <w:left w:val="nil"/>
              <w:bottom w:val="nil"/>
              <w:right w:val="nil"/>
            </w:tcBorders>
            <w:tcMar>
              <w:top w:w="0" w:type="dxa"/>
              <w:left w:w="57" w:type="dxa"/>
              <w:bottom w:w="0" w:type="dxa"/>
              <w:right w:w="57" w:type="dxa"/>
            </w:tcMar>
          </w:tcPr>
          <w:p w14:paraId="296F24DD"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0,26</w:t>
            </w:r>
          </w:p>
        </w:tc>
        <w:tc>
          <w:tcPr>
            <w:tcW w:w="1558" w:type="dxa"/>
            <w:tcBorders>
              <w:top w:val="single" w:sz="4" w:space="0" w:color="auto"/>
              <w:left w:val="nil"/>
              <w:bottom w:val="nil"/>
              <w:right w:val="nil"/>
            </w:tcBorders>
          </w:tcPr>
          <w:p w14:paraId="27E5FC8A"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0,42</w:t>
            </w:r>
          </w:p>
        </w:tc>
        <w:tc>
          <w:tcPr>
            <w:tcW w:w="992" w:type="dxa"/>
            <w:tcBorders>
              <w:top w:val="single" w:sz="4" w:space="0" w:color="auto"/>
              <w:left w:val="nil"/>
              <w:bottom w:val="nil"/>
              <w:right w:val="single" w:sz="8" w:space="0" w:color="auto"/>
            </w:tcBorders>
            <w:tcMar>
              <w:top w:w="0" w:type="dxa"/>
              <w:left w:w="57" w:type="dxa"/>
              <w:bottom w:w="0" w:type="dxa"/>
              <w:right w:w="57" w:type="dxa"/>
            </w:tcMar>
          </w:tcPr>
          <w:p w14:paraId="3D161432"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1,14</w:t>
            </w:r>
          </w:p>
        </w:tc>
      </w:tr>
      <w:tr w:rsidR="009700E5" w14:paraId="48258262" w14:textId="77777777">
        <w:trPr>
          <w:cantSplit/>
        </w:trPr>
        <w:tc>
          <w:tcPr>
            <w:tcW w:w="3828" w:type="dxa"/>
            <w:gridSpan w:val="3"/>
            <w:tcBorders>
              <w:top w:val="nil"/>
              <w:left w:val="single" w:sz="4" w:space="0" w:color="auto"/>
              <w:bottom w:val="nil"/>
              <w:right w:val="nil"/>
            </w:tcBorders>
            <w:tcMar>
              <w:top w:w="0" w:type="dxa"/>
              <w:left w:w="57" w:type="dxa"/>
              <w:bottom w:w="0" w:type="dxa"/>
              <w:right w:w="57" w:type="dxa"/>
            </w:tcMar>
          </w:tcPr>
          <w:p w14:paraId="27834E0D" w14:textId="77777777" w:rsidR="009700E5" w:rsidRDefault="002C033C">
            <w:pPr>
              <w:keepNext/>
              <w:spacing w:before="50" w:after="50" w:line="240" w:lineRule="exact"/>
              <w:jc w:val="right"/>
              <w:rPr>
                <w:rFonts w:eastAsia="SimSun"/>
                <w:sz w:val="18"/>
                <w:szCs w:val="18"/>
                <w:lang w:eastAsia="zh-CN"/>
              </w:rPr>
            </w:pPr>
            <w:r>
              <w:rPr>
                <w:rFonts w:eastAsia="SimSun"/>
                <w:sz w:val="18"/>
                <w:szCs w:val="18"/>
                <w:lang w:eastAsia="zh-CN"/>
              </w:rPr>
              <w:t>Skóre erózie</w:t>
            </w:r>
          </w:p>
        </w:tc>
        <w:tc>
          <w:tcPr>
            <w:tcW w:w="1417" w:type="dxa"/>
            <w:tcMar>
              <w:top w:w="0" w:type="dxa"/>
              <w:left w:w="57" w:type="dxa"/>
              <w:bottom w:w="0" w:type="dxa"/>
              <w:right w:w="57" w:type="dxa"/>
            </w:tcMar>
          </w:tcPr>
          <w:p w14:paraId="73561812"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0,05**</w:t>
            </w:r>
          </w:p>
        </w:tc>
        <w:tc>
          <w:tcPr>
            <w:tcW w:w="1418" w:type="dxa"/>
            <w:tcMar>
              <w:top w:w="0" w:type="dxa"/>
              <w:left w:w="57" w:type="dxa"/>
              <w:bottom w:w="0" w:type="dxa"/>
              <w:right w:w="57" w:type="dxa"/>
            </w:tcMar>
          </w:tcPr>
          <w:p w14:paraId="48E65217"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0,15</w:t>
            </w:r>
          </w:p>
        </w:tc>
        <w:tc>
          <w:tcPr>
            <w:tcW w:w="1558" w:type="dxa"/>
            <w:tcBorders>
              <w:right w:val="nil"/>
            </w:tcBorders>
          </w:tcPr>
          <w:p w14:paraId="46E81765"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0,25</w:t>
            </w:r>
          </w:p>
        </w:tc>
        <w:tc>
          <w:tcPr>
            <w:tcW w:w="992" w:type="dxa"/>
            <w:tcBorders>
              <w:top w:val="nil"/>
              <w:left w:val="nil"/>
              <w:bottom w:val="nil"/>
              <w:right w:val="single" w:sz="8" w:space="0" w:color="auto"/>
            </w:tcBorders>
            <w:tcMar>
              <w:top w:w="0" w:type="dxa"/>
              <w:left w:w="57" w:type="dxa"/>
              <w:bottom w:w="0" w:type="dxa"/>
              <w:right w:w="57" w:type="dxa"/>
            </w:tcMar>
          </w:tcPr>
          <w:p w14:paraId="50D64BC4"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0,63</w:t>
            </w:r>
          </w:p>
        </w:tc>
      </w:tr>
      <w:tr w:rsidR="009700E5" w14:paraId="23EB46A3" w14:textId="77777777">
        <w:trPr>
          <w:cantSplit/>
        </w:trPr>
        <w:tc>
          <w:tcPr>
            <w:tcW w:w="3828" w:type="dxa"/>
            <w:gridSpan w:val="3"/>
            <w:tcBorders>
              <w:top w:val="nil"/>
              <w:left w:val="single" w:sz="4" w:space="0" w:color="auto"/>
              <w:bottom w:val="nil"/>
              <w:right w:val="nil"/>
            </w:tcBorders>
            <w:tcMar>
              <w:top w:w="0" w:type="dxa"/>
              <w:left w:w="57" w:type="dxa"/>
              <w:bottom w:w="0" w:type="dxa"/>
              <w:right w:w="57" w:type="dxa"/>
            </w:tcMar>
          </w:tcPr>
          <w:p w14:paraId="6207BDD2" w14:textId="77777777" w:rsidR="009700E5" w:rsidRDefault="002C033C">
            <w:pPr>
              <w:keepNext/>
              <w:spacing w:before="50" w:after="50" w:line="240" w:lineRule="exact"/>
              <w:jc w:val="right"/>
              <w:rPr>
                <w:rFonts w:eastAsia="SimSun"/>
                <w:sz w:val="18"/>
                <w:szCs w:val="18"/>
                <w:lang w:eastAsia="zh-CN"/>
              </w:rPr>
            </w:pPr>
            <w:r>
              <w:rPr>
                <w:rFonts w:eastAsia="SimSun"/>
                <w:sz w:val="18"/>
                <w:szCs w:val="18"/>
                <w:lang w:eastAsia="zh-CN"/>
              </w:rPr>
              <w:t>JSN</w:t>
            </w:r>
          </w:p>
        </w:tc>
        <w:tc>
          <w:tcPr>
            <w:tcW w:w="1417" w:type="dxa"/>
            <w:tcMar>
              <w:top w:w="0" w:type="dxa"/>
              <w:left w:w="57" w:type="dxa"/>
              <w:bottom w:w="0" w:type="dxa"/>
              <w:right w:w="57" w:type="dxa"/>
            </w:tcMar>
          </w:tcPr>
          <w:p w14:paraId="5E0A016C"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0,03</w:t>
            </w:r>
          </w:p>
        </w:tc>
        <w:tc>
          <w:tcPr>
            <w:tcW w:w="1418" w:type="dxa"/>
            <w:tcMar>
              <w:top w:w="0" w:type="dxa"/>
              <w:left w:w="57" w:type="dxa"/>
              <w:bottom w:w="0" w:type="dxa"/>
              <w:right w:w="57" w:type="dxa"/>
            </w:tcMar>
          </w:tcPr>
          <w:p w14:paraId="40E567CC"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0,11</w:t>
            </w:r>
          </w:p>
        </w:tc>
        <w:tc>
          <w:tcPr>
            <w:tcW w:w="1558" w:type="dxa"/>
            <w:tcBorders>
              <w:right w:val="nil"/>
            </w:tcBorders>
          </w:tcPr>
          <w:p w14:paraId="3BCBD59A"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0,17</w:t>
            </w:r>
          </w:p>
        </w:tc>
        <w:tc>
          <w:tcPr>
            <w:tcW w:w="992" w:type="dxa"/>
            <w:tcBorders>
              <w:top w:val="nil"/>
              <w:left w:val="nil"/>
              <w:bottom w:val="nil"/>
              <w:right w:val="single" w:sz="8" w:space="0" w:color="auto"/>
            </w:tcBorders>
            <w:tcMar>
              <w:top w:w="0" w:type="dxa"/>
              <w:left w:w="57" w:type="dxa"/>
              <w:bottom w:w="0" w:type="dxa"/>
              <w:right w:w="57" w:type="dxa"/>
            </w:tcMar>
          </w:tcPr>
          <w:p w14:paraId="15CE3C48"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0,51</w:t>
            </w:r>
          </w:p>
        </w:tc>
      </w:tr>
      <w:tr w:rsidR="009700E5" w14:paraId="778CD2E2" w14:textId="77777777">
        <w:trPr>
          <w:cantSplit/>
        </w:trPr>
        <w:tc>
          <w:tcPr>
            <w:tcW w:w="3828" w:type="dxa"/>
            <w:gridSpan w:val="3"/>
            <w:tcBorders>
              <w:top w:val="nil"/>
              <w:left w:val="single" w:sz="4" w:space="0" w:color="auto"/>
              <w:bottom w:val="nil"/>
              <w:right w:val="nil"/>
            </w:tcBorders>
            <w:tcMar>
              <w:top w:w="0" w:type="dxa"/>
              <w:left w:w="57" w:type="dxa"/>
              <w:bottom w:w="0" w:type="dxa"/>
              <w:right w:w="57" w:type="dxa"/>
            </w:tcMar>
          </w:tcPr>
          <w:p w14:paraId="1401A2B3" w14:textId="77777777" w:rsidR="009700E5" w:rsidRDefault="002C033C">
            <w:pPr>
              <w:keepNext/>
              <w:spacing w:before="50" w:after="50" w:line="240" w:lineRule="exact"/>
              <w:jc w:val="right"/>
              <w:rPr>
                <w:rFonts w:eastAsia="SimSun"/>
                <w:sz w:val="18"/>
                <w:szCs w:val="18"/>
                <w:lang w:eastAsia="zh-CN"/>
              </w:rPr>
            </w:pPr>
            <w:r>
              <w:rPr>
                <w:rFonts w:eastAsia="SimSun"/>
                <w:sz w:val="18"/>
                <w:szCs w:val="18"/>
                <w:lang w:eastAsia="zh-CN"/>
              </w:rPr>
              <w:t xml:space="preserve">Rádiograficky bez progresie n (%) (zmena oproti východiskovej hodnote v mTSS ≤ 0) </w:t>
            </w:r>
          </w:p>
        </w:tc>
        <w:tc>
          <w:tcPr>
            <w:tcW w:w="1417" w:type="dxa"/>
            <w:tcMar>
              <w:top w:w="0" w:type="dxa"/>
              <w:left w:w="57" w:type="dxa"/>
              <w:bottom w:w="0" w:type="dxa"/>
              <w:right w:w="57" w:type="dxa"/>
            </w:tcMar>
          </w:tcPr>
          <w:p w14:paraId="1DCB6B72"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226 (83)</w:t>
            </w:r>
            <w:r>
              <w:rPr>
                <w:rFonts w:cs="Arial"/>
                <w:b/>
                <w:sz w:val="20"/>
                <w:vertAlign w:val="superscript"/>
                <w:lang w:eastAsia="en-US"/>
              </w:rPr>
              <w:t>‡</w:t>
            </w:r>
          </w:p>
        </w:tc>
        <w:tc>
          <w:tcPr>
            <w:tcW w:w="1418" w:type="dxa"/>
            <w:tcMar>
              <w:top w:w="0" w:type="dxa"/>
              <w:left w:w="57" w:type="dxa"/>
              <w:bottom w:w="0" w:type="dxa"/>
              <w:right w:w="57" w:type="dxa"/>
            </w:tcMar>
          </w:tcPr>
          <w:p w14:paraId="1FE5B3A8"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226 (82)</w:t>
            </w:r>
            <w:r>
              <w:rPr>
                <w:rFonts w:cs="Arial"/>
                <w:b/>
                <w:sz w:val="20"/>
                <w:vertAlign w:val="superscript"/>
                <w:lang w:eastAsia="en-US"/>
              </w:rPr>
              <w:t>‡</w:t>
            </w:r>
          </w:p>
        </w:tc>
        <w:tc>
          <w:tcPr>
            <w:tcW w:w="1558" w:type="dxa"/>
            <w:tcBorders>
              <w:right w:val="nil"/>
            </w:tcBorders>
          </w:tcPr>
          <w:p w14:paraId="4A29F332"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211 (79)</w:t>
            </w:r>
          </w:p>
        </w:tc>
        <w:tc>
          <w:tcPr>
            <w:tcW w:w="992" w:type="dxa"/>
            <w:tcBorders>
              <w:top w:val="nil"/>
              <w:left w:val="nil"/>
              <w:bottom w:val="nil"/>
              <w:right w:val="single" w:sz="8" w:space="0" w:color="auto"/>
            </w:tcBorders>
            <w:tcMar>
              <w:top w:w="0" w:type="dxa"/>
              <w:left w:w="57" w:type="dxa"/>
              <w:bottom w:w="0" w:type="dxa"/>
              <w:right w:w="57" w:type="dxa"/>
            </w:tcMar>
          </w:tcPr>
          <w:p w14:paraId="4663A3B9"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194 (73)</w:t>
            </w:r>
          </w:p>
        </w:tc>
      </w:tr>
      <w:tr w:rsidR="009700E5" w14:paraId="46D785D6" w14:textId="77777777">
        <w:trPr>
          <w:cantSplit/>
        </w:trPr>
        <w:tc>
          <w:tcPr>
            <w:tcW w:w="1842" w:type="dxa"/>
            <w:tcBorders>
              <w:top w:val="single" w:sz="8" w:space="0" w:color="auto"/>
              <w:left w:val="single" w:sz="4" w:space="0" w:color="auto"/>
              <w:bottom w:val="single" w:sz="8" w:space="0" w:color="auto"/>
              <w:right w:val="single" w:sz="8" w:space="0" w:color="auto"/>
            </w:tcBorders>
          </w:tcPr>
          <w:p w14:paraId="708330C5" w14:textId="77777777" w:rsidR="009700E5" w:rsidRDefault="009700E5">
            <w:pPr>
              <w:keepNext/>
              <w:spacing w:before="50" w:after="50" w:line="240" w:lineRule="exact"/>
              <w:rPr>
                <w:rFonts w:eastAsia="SimSun"/>
                <w:b/>
                <w:sz w:val="18"/>
                <w:szCs w:val="18"/>
                <w:lang w:eastAsia="zh-CN"/>
              </w:rPr>
            </w:pPr>
          </w:p>
        </w:tc>
        <w:tc>
          <w:tcPr>
            <w:tcW w:w="7371" w:type="dxa"/>
            <w:gridSpan w:val="6"/>
            <w:tcBorders>
              <w:top w:val="single" w:sz="8" w:space="0" w:color="auto"/>
              <w:left w:val="single" w:sz="4" w:space="0" w:color="auto"/>
              <w:bottom w:val="single" w:sz="8" w:space="0" w:color="auto"/>
              <w:right w:val="single" w:sz="8" w:space="0" w:color="auto"/>
            </w:tcBorders>
            <w:tcMar>
              <w:top w:w="0" w:type="dxa"/>
              <w:left w:w="57" w:type="dxa"/>
              <w:bottom w:w="0" w:type="dxa"/>
              <w:right w:w="57" w:type="dxa"/>
            </w:tcMar>
          </w:tcPr>
          <w:p w14:paraId="73F2DB64" w14:textId="77777777" w:rsidR="009700E5" w:rsidRDefault="002C033C">
            <w:pPr>
              <w:keepNext/>
              <w:spacing w:before="50" w:after="50" w:line="240" w:lineRule="exact"/>
              <w:rPr>
                <w:rFonts w:eastAsia="SimSun"/>
                <w:b/>
                <w:sz w:val="18"/>
                <w:szCs w:val="18"/>
                <w:lang w:eastAsia="zh-CN"/>
              </w:rPr>
            </w:pPr>
            <w:r>
              <w:rPr>
                <w:rFonts w:eastAsia="SimSun"/>
                <w:b/>
                <w:sz w:val="18"/>
                <w:szCs w:val="18"/>
                <w:lang w:eastAsia="zh-CN"/>
              </w:rPr>
              <w:t>Exploratívne cieľové ukazovatele</w:t>
            </w:r>
          </w:p>
        </w:tc>
      </w:tr>
      <w:tr w:rsidR="009700E5" w14:paraId="54235FB2" w14:textId="77777777">
        <w:trPr>
          <w:cantSplit/>
        </w:trPr>
        <w:tc>
          <w:tcPr>
            <w:tcW w:w="3828" w:type="dxa"/>
            <w:gridSpan w:val="3"/>
            <w:tcBorders>
              <w:top w:val="nil"/>
              <w:left w:val="single" w:sz="4" w:space="0" w:color="auto"/>
              <w:bottom w:val="nil"/>
              <w:right w:val="nil"/>
            </w:tcBorders>
            <w:tcMar>
              <w:top w:w="0" w:type="dxa"/>
              <w:left w:w="57" w:type="dxa"/>
              <w:bottom w:w="0" w:type="dxa"/>
              <w:right w:w="57" w:type="dxa"/>
            </w:tcMar>
          </w:tcPr>
          <w:p w14:paraId="55363BFB" w14:textId="77777777" w:rsidR="009700E5" w:rsidRDefault="002C033C">
            <w:pPr>
              <w:keepNext/>
              <w:spacing w:before="50" w:after="50" w:line="240" w:lineRule="exact"/>
              <w:jc w:val="right"/>
              <w:rPr>
                <w:rFonts w:eastAsia="SimSun"/>
                <w:sz w:val="18"/>
                <w:szCs w:val="18"/>
                <w:lang w:eastAsia="zh-CN"/>
              </w:rPr>
            </w:pPr>
            <w:r>
              <w:rPr>
                <w:rFonts w:eastAsia="SimSun"/>
                <w:sz w:val="18"/>
                <w:szCs w:val="18"/>
                <w:lang w:eastAsia="zh-CN"/>
              </w:rPr>
              <w:t>24. týždeň: remisia podľa ACR/EULAR - Boolean, n (%)</w:t>
            </w:r>
          </w:p>
        </w:tc>
        <w:tc>
          <w:tcPr>
            <w:tcW w:w="1417" w:type="dxa"/>
            <w:tcMar>
              <w:top w:w="0" w:type="dxa"/>
              <w:left w:w="57" w:type="dxa"/>
              <w:bottom w:w="0" w:type="dxa"/>
              <w:right w:w="57" w:type="dxa"/>
            </w:tcMar>
            <w:vAlign w:val="center"/>
          </w:tcPr>
          <w:p w14:paraId="1CA7F2D6"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47 (18,4)</w:t>
            </w:r>
            <w:r>
              <w:rPr>
                <w:rFonts w:cs="Arial"/>
                <w:b/>
                <w:sz w:val="20"/>
                <w:vertAlign w:val="superscript"/>
                <w:lang w:eastAsia="en-US"/>
              </w:rPr>
              <w:t xml:space="preserve"> ‡</w:t>
            </w:r>
          </w:p>
        </w:tc>
        <w:tc>
          <w:tcPr>
            <w:tcW w:w="1418" w:type="dxa"/>
            <w:tcMar>
              <w:top w:w="0" w:type="dxa"/>
              <w:left w:w="57" w:type="dxa"/>
              <w:bottom w:w="0" w:type="dxa"/>
              <w:right w:w="57" w:type="dxa"/>
            </w:tcMar>
            <w:vAlign w:val="center"/>
          </w:tcPr>
          <w:p w14:paraId="721BCFBC"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38 (14,2)</w:t>
            </w:r>
          </w:p>
        </w:tc>
        <w:tc>
          <w:tcPr>
            <w:tcW w:w="1558" w:type="dxa"/>
            <w:tcBorders>
              <w:right w:val="nil"/>
            </w:tcBorders>
          </w:tcPr>
          <w:p w14:paraId="2FFD50E4"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43 (16,7)</w:t>
            </w:r>
            <w:r>
              <w:rPr>
                <w:rFonts w:cs="Arial"/>
                <w:b/>
                <w:sz w:val="20"/>
                <w:vertAlign w:val="superscript"/>
                <w:lang w:eastAsia="en-US"/>
              </w:rPr>
              <w:t xml:space="preserve"> ‡</w:t>
            </w:r>
          </w:p>
        </w:tc>
        <w:tc>
          <w:tcPr>
            <w:tcW w:w="992" w:type="dxa"/>
            <w:tcBorders>
              <w:top w:val="nil"/>
              <w:left w:val="nil"/>
              <w:bottom w:val="nil"/>
              <w:right w:val="single" w:sz="8" w:space="0" w:color="auto"/>
            </w:tcBorders>
            <w:tcMar>
              <w:top w:w="0" w:type="dxa"/>
              <w:left w:w="57" w:type="dxa"/>
              <w:bottom w:w="0" w:type="dxa"/>
              <w:right w:w="57" w:type="dxa"/>
            </w:tcMar>
            <w:vAlign w:val="center"/>
          </w:tcPr>
          <w:p w14:paraId="2414FC64"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25 (10,0)</w:t>
            </w:r>
          </w:p>
        </w:tc>
      </w:tr>
      <w:tr w:rsidR="009700E5" w14:paraId="09B4C95A" w14:textId="77777777">
        <w:trPr>
          <w:cantSplit/>
        </w:trPr>
        <w:tc>
          <w:tcPr>
            <w:tcW w:w="3828" w:type="dxa"/>
            <w:gridSpan w:val="3"/>
            <w:tcBorders>
              <w:top w:val="nil"/>
              <w:left w:val="single" w:sz="4" w:space="0" w:color="auto"/>
              <w:bottom w:val="nil"/>
              <w:right w:val="nil"/>
            </w:tcBorders>
            <w:tcMar>
              <w:top w:w="0" w:type="dxa"/>
              <w:left w:w="57" w:type="dxa"/>
              <w:bottom w:w="0" w:type="dxa"/>
              <w:right w:w="57" w:type="dxa"/>
            </w:tcMar>
            <w:vAlign w:val="center"/>
          </w:tcPr>
          <w:p w14:paraId="6C1B018F" w14:textId="77777777" w:rsidR="009700E5" w:rsidRDefault="002C033C">
            <w:pPr>
              <w:keepNext/>
              <w:spacing w:before="50" w:after="50" w:line="240" w:lineRule="exact"/>
              <w:jc w:val="right"/>
              <w:rPr>
                <w:rFonts w:eastAsia="SimSun"/>
                <w:sz w:val="18"/>
                <w:szCs w:val="18"/>
                <w:lang w:eastAsia="zh-CN"/>
              </w:rPr>
            </w:pPr>
            <w:r>
              <w:rPr>
                <w:rFonts w:eastAsia="SimSun"/>
                <w:sz w:val="18"/>
                <w:szCs w:val="18"/>
                <w:lang w:eastAsia="zh-CN"/>
              </w:rPr>
              <w:t xml:space="preserve">      remisia podľa ACR/EULAR - Index, n (%)</w:t>
            </w:r>
          </w:p>
        </w:tc>
        <w:tc>
          <w:tcPr>
            <w:tcW w:w="1417" w:type="dxa"/>
            <w:tcMar>
              <w:top w:w="0" w:type="dxa"/>
              <w:left w:w="57" w:type="dxa"/>
              <w:bottom w:w="0" w:type="dxa"/>
              <w:right w:w="57" w:type="dxa"/>
            </w:tcMar>
            <w:vAlign w:val="center"/>
          </w:tcPr>
          <w:p w14:paraId="6317B93E"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73 (28,5)</w:t>
            </w:r>
            <w:r>
              <w:rPr>
                <w:rFonts w:cs="Arial"/>
                <w:b/>
                <w:sz w:val="20"/>
                <w:vertAlign w:val="superscript"/>
                <w:lang w:eastAsia="en-US"/>
              </w:rPr>
              <w:t xml:space="preserve"> ‡</w:t>
            </w:r>
          </w:p>
        </w:tc>
        <w:tc>
          <w:tcPr>
            <w:tcW w:w="1418" w:type="dxa"/>
            <w:tcMar>
              <w:top w:w="0" w:type="dxa"/>
              <w:left w:w="57" w:type="dxa"/>
              <w:bottom w:w="0" w:type="dxa"/>
              <w:right w:w="57" w:type="dxa"/>
            </w:tcMar>
            <w:vAlign w:val="center"/>
          </w:tcPr>
          <w:p w14:paraId="202A67C0"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60 (22,6)</w:t>
            </w:r>
          </w:p>
        </w:tc>
        <w:tc>
          <w:tcPr>
            <w:tcW w:w="1558" w:type="dxa"/>
            <w:tcBorders>
              <w:right w:val="nil"/>
            </w:tcBorders>
          </w:tcPr>
          <w:p w14:paraId="15DAFDA1"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58 (22,6)</w:t>
            </w:r>
          </w:p>
        </w:tc>
        <w:tc>
          <w:tcPr>
            <w:tcW w:w="992" w:type="dxa"/>
            <w:tcBorders>
              <w:top w:val="nil"/>
              <w:left w:val="nil"/>
              <w:bottom w:val="nil"/>
              <w:right w:val="single" w:sz="8" w:space="0" w:color="auto"/>
            </w:tcBorders>
            <w:tcMar>
              <w:top w:w="0" w:type="dxa"/>
              <w:left w:w="57" w:type="dxa"/>
              <w:bottom w:w="0" w:type="dxa"/>
              <w:right w:w="57" w:type="dxa"/>
            </w:tcMar>
            <w:vAlign w:val="center"/>
          </w:tcPr>
          <w:p w14:paraId="0D40CAE7"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41 (16,4)</w:t>
            </w:r>
          </w:p>
        </w:tc>
      </w:tr>
      <w:tr w:rsidR="009700E5" w14:paraId="050C2AD9" w14:textId="77777777">
        <w:trPr>
          <w:cantSplit/>
        </w:trPr>
        <w:tc>
          <w:tcPr>
            <w:tcW w:w="3828" w:type="dxa"/>
            <w:gridSpan w:val="3"/>
            <w:tcBorders>
              <w:top w:val="nil"/>
              <w:left w:val="single" w:sz="4" w:space="0" w:color="auto"/>
              <w:bottom w:val="nil"/>
              <w:right w:val="nil"/>
            </w:tcBorders>
            <w:tcMar>
              <w:top w:w="0" w:type="dxa"/>
              <w:left w:w="57" w:type="dxa"/>
              <w:bottom w:w="0" w:type="dxa"/>
              <w:right w:w="57" w:type="dxa"/>
            </w:tcMar>
            <w:vAlign w:val="center"/>
          </w:tcPr>
          <w:p w14:paraId="779D3578" w14:textId="77777777" w:rsidR="009700E5" w:rsidRDefault="002C033C">
            <w:pPr>
              <w:keepNext/>
              <w:spacing w:before="50" w:after="50" w:line="240" w:lineRule="exact"/>
              <w:jc w:val="right"/>
              <w:rPr>
                <w:rFonts w:eastAsia="SimSun"/>
                <w:sz w:val="18"/>
                <w:szCs w:val="18"/>
                <w:lang w:eastAsia="zh-CN"/>
              </w:rPr>
            </w:pPr>
            <w:r>
              <w:rPr>
                <w:rFonts w:eastAsia="SimSun"/>
                <w:sz w:val="18"/>
                <w:szCs w:val="18"/>
                <w:lang w:eastAsia="zh-CN"/>
              </w:rPr>
              <w:t>52. týždeň: remisia podľa ACR/EULAR - Boolean, n (%)</w:t>
            </w:r>
          </w:p>
        </w:tc>
        <w:tc>
          <w:tcPr>
            <w:tcW w:w="1417" w:type="dxa"/>
            <w:tcMar>
              <w:top w:w="0" w:type="dxa"/>
              <w:left w:w="57" w:type="dxa"/>
              <w:bottom w:w="0" w:type="dxa"/>
              <w:right w:w="57" w:type="dxa"/>
            </w:tcMar>
            <w:vAlign w:val="center"/>
          </w:tcPr>
          <w:p w14:paraId="65192A23"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59 (25,7)</w:t>
            </w:r>
            <w:r>
              <w:rPr>
                <w:rFonts w:cs="Arial"/>
                <w:b/>
                <w:sz w:val="20"/>
                <w:vertAlign w:val="superscript"/>
                <w:lang w:eastAsia="en-US"/>
              </w:rPr>
              <w:t xml:space="preserve"> ‡</w:t>
            </w:r>
          </w:p>
        </w:tc>
        <w:tc>
          <w:tcPr>
            <w:tcW w:w="1418" w:type="dxa"/>
            <w:tcMar>
              <w:top w:w="0" w:type="dxa"/>
              <w:left w:w="57" w:type="dxa"/>
              <w:bottom w:w="0" w:type="dxa"/>
              <w:right w:w="57" w:type="dxa"/>
            </w:tcMar>
            <w:vAlign w:val="center"/>
          </w:tcPr>
          <w:p w14:paraId="11727023"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43 (18,7)</w:t>
            </w:r>
          </w:p>
        </w:tc>
        <w:tc>
          <w:tcPr>
            <w:tcW w:w="1558" w:type="dxa"/>
            <w:tcBorders>
              <w:right w:val="nil"/>
            </w:tcBorders>
          </w:tcPr>
          <w:p w14:paraId="6E44A602"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48 (21,1)</w:t>
            </w:r>
          </w:p>
        </w:tc>
        <w:tc>
          <w:tcPr>
            <w:tcW w:w="992" w:type="dxa"/>
            <w:tcBorders>
              <w:top w:val="nil"/>
              <w:left w:val="nil"/>
              <w:bottom w:val="nil"/>
              <w:right w:val="single" w:sz="4" w:space="0" w:color="auto"/>
            </w:tcBorders>
            <w:tcMar>
              <w:top w:w="0" w:type="dxa"/>
              <w:left w:w="57" w:type="dxa"/>
              <w:bottom w:w="0" w:type="dxa"/>
              <w:right w:w="57" w:type="dxa"/>
            </w:tcMar>
            <w:vAlign w:val="center"/>
          </w:tcPr>
          <w:p w14:paraId="5AA19CE0"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34 (15,5)</w:t>
            </w:r>
          </w:p>
        </w:tc>
      </w:tr>
      <w:tr w:rsidR="009700E5" w14:paraId="343D58BD" w14:textId="77777777">
        <w:trPr>
          <w:cantSplit/>
        </w:trPr>
        <w:tc>
          <w:tcPr>
            <w:tcW w:w="3828" w:type="dxa"/>
            <w:gridSpan w:val="3"/>
            <w:tcBorders>
              <w:top w:val="nil"/>
              <w:left w:val="single" w:sz="4" w:space="0" w:color="auto"/>
              <w:bottom w:val="single" w:sz="4" w:space="0" w:color="auto"/>
              <w:right w:val="nil"/>
            </w:tcBorders>
            <w:tcMar>
              <w:top w:w="0" w:type="dxa"/>
              <w:left w:w="57" w:type="dxa"/>
              <w:bottom w:w="0" w:type="dxa"/>
              <w:right w:w="57" w:type="dxa"/>
            </w:tcMar>
            <w:vAlign w:val="center"/>
          </w:tcPr>
          <w:p w14:paraId="3ED488C5" w14:textId="77777777" w:rsidR="009700E5" w:rsidRDefault="002C033C">
            <w:pPr>
              <w:keepNext/>
              <w:spacing w:before="50" w:after="50" w:line="240" w:lineRule="exact"/>
              <w:jc w:val="right"/>
              <w:rPr>
                <w:rFonts w:eastAsia="SimSun"/>
                <w:sz w:val="18"/>
                <w:szCs w:val="18"/>
                <w:lang w:eastAsia="zh-CN"/>
              </w:rPr>
            </w:pPr>
            <w:r>
              <w:rPr>
                <w:rFonts w:eastAsia="SimSun"/>
                <w:sz w:val="18"/>
                <w:szCs w:val="18"/>
                <w:lang w:eastAsia="zh-CN"/>
              </w:rPr>
              <w:t xml:space="preserve">             remisia podľa ACR/EULAR - Index, n (%)</w:t>
            </w:r>
          </w:p>
        </w:tc>
        <w:tc>
          <w:tcPr>
            <w:tcW w:w="1417" w:type="dxa"/>
            <w:tcBorders>
              <w:top w:val="nil"/>
              <w:left w:val="nil"/>
              <w:bottom w:val="single" w:sz="4" w:space="0" w:color="auto"/>
              <w:right w:val="nil"/>
            </w:tcBorders>
            <w:tcMar>
              <w:top w:w="0" w:type="dxa"/>
              <w:left w:w="57" w:type="dxa"/>
              <w:bottom w:w="0" w:type="dxa"/>
              <w:right w:w="57" w:type="dxa"/>
            </w:tcMar>
            <w:vAlign w:val="center"/>
          </w:tcPr>
          <w:p w14:paraId="7A8FC168"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83 (36,1)</w:t>
            </w:r>
            <w:r>
              <w:rPr>
                <w:rFonts w:cs="Arial"/>
                <w:b/>
                <w:sz w:val="20"/>
                <w:vertAlign w:val="superscript"/>
                <w:lang w:eastAsia="en-US"/>
              </w:rPr>
              <w:t xml:space="preserve"> ‡</w:t>
            </w:r>
          </w:p>
        </w:tc>
        <w:tc>
          <w:tcPr>
            <w:tcW w:w="1418" w:type="dxa"/>
            <w:tcBorders>
              <w:top w:val="nil"/>
              <w:left w:val="nil"/>
              <w:bottom w:val="single" w:sz="4" w:space="0" w:color="auto"/>
              <w:right w:val="nil"/>
            </w:tcBorders>
            <w:tcMar>
              <w:top w:w="0" w:type="dxa"/>
              <w:left w:w="57" w:type="dxa"/>
              <w:bottom w:w="0" w:type="dxa"/>
              <w:right w:w="57" w:type="dxa"/>
            </w:tcMar>
            <w:vAlign w:val="center"/>
          </w:tcPr>
          <w:p w14:paraId="77FBBCCC"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69 (30,0)</w:t>
            </w:r>
          </w:p>
        </w:tc>
        <w:tc>
          <w:tcPr>
            <w:tcW w:w="1558" w:type="dxa"/>
            <w:tcBorders>
              <w:top w:val="nil"/>
              <w:left w:val="nil"/>
              <w:bottom w:val="single" w:sz="4" w:space="0" w:color="auto"/>
              <w:right w:val="nil"/>
            </w:tcBorders>
          </w:tcPr>
          <w:p w14:paraId="0F86CE6E"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66 (29,3)</w:t>
            </w:r>
          </w:p>
        </w:tc>
        <w:tc>
          <w:tcPr>
            <w:tcW w:w="992" w:type="dxa"/>
            <w:tcBorders>
              <w:top w:val="nil"/>
              <w:left w:val="nil"/>
              <w:bottom w:val="single" w:sz="4" w:space="0" w:color="auto"/>
              <w:right w:val="single" w:sz="8" w:space="0" w:color="auto"/>
            </w:tcBorders>
            <w:tcMar>
              <w:top w:w="0" w:type="dxa"/>
              <w:left w:w="57" w:type="dxa"/>
              <w:bottom w:w="0" w:type="dxa"/>
              <w:right w:w="57" w:type="dxa"/>
            </w:tcMar>
            <w:vAlign w:val="center"/>
          </w:tcPr>
          <w:p w14:paraId="41AA103A" w14:textId="77777777" w:rsidR="009700E5" w:rsidRDefault="002C033C">
            <w:pPr>
              <w:keepNext/>
              <w:spacing w:before="50" w:after="50" w:line="240" w:lineRule="exact"/>
              <w:jc w:val="center"/>
              <w:rPr>
                <w:rFonts w:eastAsia="SimSun"/>
                <w:sz w:val="18"/>
                <w:szCs w:val="18"/>
                <w:lang w:eastAsia="zh-CN"/>
              </w:rPr>
            </w:pPr>
            <w:r>
              <w:rPr>
                <w:rFonts w:eastAsia="SimSun"/>
                <w:sz w:val="18"/>
                <w:szCs w:val="18"/>
                <w:lang w:eastAsia="zh-CN"/>
              </w:rPr>
              <w:t>49 (22,4)</w:t>
            </w:r>
          </w:p>
        </w:tc>
      </w:tr>
    </w:tbl>
    <w:p w14:paraId="30821211" w14:textId="77777777" w:rsidR="009700E5" w:rsidRDefault="002C033C">
      <w:pPr>
        <w:keepNext/>
        <w:numPr>
          <w:ilvl w:val="12"/>
          <w:numId w:val="0"/>
        </w:numPr>
        <w:ind w:right="-2"/>
        <w:rPr>
          <w:sz w:val="18"/>
          <w:szCs w:val="18"/>
        </w:rPr>
      </w:pPr>
      <w:r>
        <w:rPr>
          <w:sz w:val="18"/>
          <w:szCs w:val="18"/>
        </w:rPr>
        <w:t>mTSS - modified Total Sharp Score (celkové Sharpove skóre modifikované van der Heijdom)</w:t>
      </w:r>
    </w:p>
    <w:p w14:paraId="08FBF3FD" w14:textId="77777777" w:rsidR="009700E5" w:rsidRDefault="002C033C">
      <w:pPr>
        <w:keepNext/>
        <w:numPr>
          <w:ilvl w:val="12"/>
          <w:numId w:val="0"/>
        </w:numPr>
        <w:ind w:right="-2"/>
        <w:rPr>
          <w:sz w:val="18"/>
          <w:szCs w:val="18"/>
        </w:rPr>
      </w:pPr>
      <w:r>
        <w:rPr>
          <w:sz w:val="18"/>
          <w:szCs w:val="18"/>
        </w:rPr>
        <w:t>JSN - skóre Joint space narrowing (zúženie kĺbovej štrbiny )</w:t>
      </w:r>
    </w:p>
    <w:p w14:paraId="44CBF445" w14:textId="77777777" w:rsidR="009700E5" w:rsidRDefault="002C033C">
      <w:pPr>
        <w:keepNext/>
        <w:numPr>
          <w:ilvl w:val="12"/>
          <w:numId w:val="0"/>
        </w:numPr>
        <w:ind w:right="-2"/>
        <w:rPr>
          <w:sz w:val="18"/>
          <w:szCs w:val="18"/>
        </w:rPr>
      </w:pPr>
      <w:r>
        <w:rPr>
          <w:sz w:val="18"/>
          <w:szCs w:val="18"/>
        </w:rPr>
        <w:t>TCZ - tocilizumab</w:t>
      </w:r>
    </w:p>
    <w:p w14:paraId="5F66E038" w14:textId="77777777" w:rsidR="009700E5" w:rsidRDefault="002C033C">
      <w:pPr>
        <w:keepNext/>
        <w:numPr>
          <w:ilvl w:val="12"/>
          <w:numId w:val="0"/>
        </w:numPr>
        <w:ind w:right="-2"/>
        <w:rPr>
          <w:sz w:val="18"/>
          <w:szCs w:val="18"/>
        </w:rPr>
      </w:pPr>
      <w:r>
        <w:rPr>
          <w:sz w:val="18"/>
          <w:szCs w:val="18"/>
        </w:rPr>
        <w:t>MTX - metotrexát</w:t>
      </w:r>
    </w:p>
    <w:p w14:paraId="08B4A66E" w14:textId="77777777" w:rsidR="009700E5" w:rsidRDefault="002C033C">
      <w:pPr>
        <w:keepNext/>
        <w:numPr>
          <w:ilvl w:val="12"/>
          <w:numId w:val="0"/>
        </w:numPr>
        <w:ind w:right="-2"/>
        <w:rPr>
          <w:sz w:val="18"/>
          <w:szCs w:val="18"/>
        </w:rPr>
      </w:pPr>
      <w:r>
        <w:rPr>
          <w:sz w:val="18"/>
          <w:szCs w:val="18"/>
        </w:rPr>
        <w:t>ACR - kritériá American College of Rheumatology (ACR)</w:t>
      </w:r>
    </w:p>
    <w:p w14:paraId="15617486" w14:textId="77777777" w:rsidR="009700E5" w:rsidRDefault="002C033C">
      <w:pPr>
        <w:keepNext/>
        <w:numPr>
          <w:ilvl w:val="12"/>
          <w:numId w:val="0"/>
        </w:numPr>
        <w:ind w:right="-2"/>
        <w:rPr>
          <w:sz w:val="18"/>
          <w:szCs w:val="18"/>
        </w:rPr>
      </w:pPr>
      <w:r>
        <w:rPr>
          <w:sz w:val="18"/>
          <w:szCs w:val="18"/>
        </w:rPr>
        <w:t xml:space="preserve">Všetky porovnania účinnosti vs. placebo + MTX. ***p ≤ 0,0001; **p &lt; 0,001; *p &lt; 0,05; </w:t>
      </w:r>
    </w:p>
    <w:p w14:paraId="56BFF2C0" w14:textId="77777777" w:rsidR="009700E5" w:rsidRDefault="002C033C">
      <w:pPr>
        <w:keepNext/>
        <w:numPr>
          <w:ilvl w:val="12"/>
          <w:numId w:val="0"/>
        </w:numPr>
        <w:ind w:right="-2"/>
        <w:rPr>
          <w:sz w:val="18"/>
          <w:szCs w:val="18"/>
        </w:rPr>
      </w:pPr>
      <w:r>
        <w:rPr>
          <w:sz w:val="18"/>
          <w:szCs w:val="18"/>
        </w:rPr>
        <w:t>‡p-hodnota &lt; 0,05 vs. placebo + MTX, ale cieľový ukazovateľ bol exploratívny (nezahrnutý v hierarchii štatistického testovania, a preto nebol kontrolovaný na multiplicitu)</w:t>
      </w:r>
    </w:p>
    <w:p w14:paraId="1CD080D3" w14:textId="77777777" w:rsidR="009700E5" w:rsidRDefault="009700E5">
      <w:pPr>
        <w:numPr>
          <w:ilvl w:val="12"/>
          <w:numId w:val="0"/>
        </w:numPr>
      </w:pPr>
    </w:p>
    <w:p w14:paraId="05EAE6AA" w14:textId="77777777" w:rsidR="009700E5" w:rsidRDefault="002C033C">
      <w:pPr>
        <w:keepNext/>
        <w:keepLines/>
        <w:rPr>
          <w:rFonts w:eastAsia="MS PGothic"/>
          <w:iCs/>
          <w:color w:val="000000"/>
          <w:szCs w:val="22"/>
          <w:u w:val="single"/>
        </w:rPr>
      </w:pPr>
      <w:bookmarkStart w:id="549" w:name="_Hlk88032608"/>
      <w:r>
        <w:rPr>
          <w:rFonts w:eastAsia="MS PGothic"/>
          <w:iCs/>
          <w:color w:val="000000"/>
          <w:szCs w:val="22"/>
          <w:u w:val="single"/>
        </w:rPr>
        <w:lastRenderedPageBreak/>
        <w:t>COVID-19</w:t>
      </w:r>
    </w:p>
    <w:p w14:paraId="1F9FAA3A" w14:textId="77777777" w:rsidR="009700E5" w:rsidRDefault="002C033C">
      <w:pPr>
        <w:keepNext/>
        <w:keepLines/>
        <w:rPr>
          <w:rFonts w:eastAsia="MS PGothic"/>
          <w:i/>
          <w:iCs/>
          <w:color w:val="000000"/>
          <w:szCs w:val="22"/>
        </w:rPr>
      </w:pPr>
      <w:r>
        <w:rPr>
          <w:rFonts w:eastAsia="MS PGothic"/>
          <w:i/>
          <w:iCs/>
          <w:color w:val="000000"/>
          <w:szCs w:val="22"/>
        </w:rPr>
        <w:t>Klinická účinnosť</w:t>
      </w:r>
    </w:p>
    <w:p w14:paraId="4B523BD3" w14:textId="77777777" w:rsidR="009700E5" w:rsidRDefault="002C033C">
      <w:pPr>
        <w:keepNext/>
        <w:keepLines/>
        <w:rPr>
          <w:rFonts w:eastAsia="MS PGothic"/>
          <w:bCs/>
          <w:color w:val="000000"/>
          <w:szCs w:val="22"/>
        </w:rPr>
      </w:pPr>
      <w:del w:id="550" w:author="Author" w:date="2025-07-18T23:01:00Z">
        <w:r>
          <w:rPr>
            <w:rFonts w:eastAsia="MS PGothic"/>
            <w:bCs/>
            <w:color w:val="000000"/>
            <w:szCs w:val="22"/>
          </w:rPr>
          <w:delText xml:space="preserve">Štúdia </w:delText>
        </w:r>
      </w:del>
      <w:ins w:id="551" w:author="Author" w:date="2025-07-21T09:40:00Z">
        <w:r>
          <w:rPr>
            <w:rFonts w:eastAsia="MS PGothic"/>
            <w:bCs/>
            <w:color w:val="000000"/>
            <w:szCs w:val="22"/>
          </w:rPr>
          <w:t>Klinické s</w:t>
        </w:r>
      </w:ins>
      <w:ins w:id="552" w:author="Author" w:date="2025-07-18T23:01:00Z">
        <w:del w:id="553" w:author="Author" w:date="2025-07-21T09:40:00Z">
          <w:r>
            <w:rPr>
              <w:rFonts w:eastAsia="MS PGothic"/>
              <w:bCs/>
              <w:color w:val="000000"/>
              <w:szCs w:val="22"/>
            </w:rPr>
            <w:delText>S</w:delText>
          </w:r>
        </w:del>
        <w:r>
          <w:rPr>
            <w:rFonts w:eastAsia="MS PGothic"/>
            <w:bCs/>
            <w:color w:val="000000"/>
            <w:szCs w:val="22"/>
          </w:rPr>
          <w:t xml:space="preserve">kúšanie </w:t>
        </w:r>
      </w:ins>
      <w:r>
        <w:rPr>
          <w:rFonts w:eastAsia="MS PGothic"/>
          <w:bCs/>
          <w:color w:val="000000"/>
          <w:szCs w:val="22"/>
        </w:rPr>
        <w:t>RECOVERY (randomizované hodnotenie liečby COVID</w:t>
      </w:r>
      <w:r>
        <w:rPr>
          <w:rFonts w:eastAsia="MS PGothic"/>
          <w:bCs/>
          <w:color w:val="000000"/>
          <w:szCs w:val="22"/>
        </w:rPr>
        <w:noBreakHyphen/>
        <w:t>19; Collaborative Group Study) u hospitalizovaných dospelých, ktorým bolo diagnostikované ochorenie COVID</w:t>
      </w:r>
      <w:r>
        <w:rPr>
          <w:rFonts w:eastAsia="MS PGothic"/>
          <w:bCs/>
          <w:color w:val="000000"/>
          <w:szCs w:val="22"/>
        </w:rPr>
        <w:noBreakHyphen/>
        <w:t>19</w:t>
      </w:r>
    </w:p>
    <w:p w14:paraId="2CCDF5CE" w14:textId="77777777" w:rsidR="009700E5" w:rsidRDefault="009700E5">
      <w:pPr>
        <w:keepNext/>
        <w:keepLines/>
        <w:rPr>
          <w:rFonts w:eastAsia="MS PGothic"/>
          <w:bCs/>
          <w:color w:val="000000"/>
          <w:szCs w:val="22"/>
        </w:rPr>
      </w:pPr>
    </w:p>
    <w:p w14:paraId="745BA5BE" w14:textId="77777777" w:rsidR="009700E5" w:rsidRDefault="002C033C">
      <w:pPr>
        <w:rPr>
          <w:szCs w:val="22"/>
        </w:rPr>
      </w:pPr>
      <w:r>
        <w:rPr>
          <w:szCs w:val="22"/>
        </w:rPr>
        <w:t>RECOVERY bol</w:t>
      </w:r>
      <w:ins w:id="554" w:author="Author" w:date="2025-07-18T23:01:00Z">
        <w:r>
          <w:rPr>
            <w:szCs w:val="22"/>
          </w:rPr>
          <w:t>o</w:t>
        </w:r>
      </w:ins>
      <w:del w:id="555" w:author="Author" w:date="2025-07-18T23:01:00Z">
        <w:r>
          <w:rPr>
            <w:szCs w:val="22"/>
          </w:rPr>
          <w:delText>a</w:delText>
        </w:r>
      </w:del>
      <w:r>
        <w:rPr>
          <w:szCs w:val="22"/>
        </w:rPr>
        <w:t xml:space="preserve"> veľk</w:t>
      </w:r>
      <w:ins w:id="556" w:author="Author" w:date="2025-07-18T23:01:00Z">
        <w:r>
          <w:rPr>
            <w:szCs w:val="22"/>
          </w:rPr>
          <w:t>é</w:t>
        </w:r>
      </w:ins>
      <w:del w:id="557" w:author="Author" w:date="2025-07-18T23:01:00Z">
        <w:r>
          <w:rPr>
            <w:szCs w:val="22"/>
          </w:rPr>
          <w:delText>á</w:delText>
        </w:r>
      </w:del>
      <w:r>
        <w:rPr>
          <w:szCs w:val="22"/>
        </w:rPr>
        <w:t>, randomizovan</w:t>
      </w:r>
      <w:ins w:id="558" w:author="Author" w:date="2025-07-18T23:01:00Z">
        <w:r>
          <w:rPr>
            <w:szCs w:val="22"/>
          </w:rPr>
          <w:t>é</w:t>
        </w:r>
      </w:ins>
      <w:del w:id="559" w:author="Author" w:date="2025-07-18T23:01:00Z">
        <w:r>
          <w:rPr>
            <w:szCs w:val="22"/>
          </w:rPr>
          <w:delText>á</w:delText>
        </w:r>
      </w:del>
      <w:r>
        <w:rPr>
          <w:szCs w:val="22"/>
        </w:rPr>
        <w:t>, kontrolovan</w:t>
      </w:r>
      <w:ins w:id="560" w:author="Author" w:date="2025-07-18T23:01:00Z">
        <w:r>
          <w:rPr>
            <w:szCs w:val="22"/>
          </w:rPr>
          <w:t>é</w:t>
        </w:r>
      </w:ins>
      <w:del w:id="561" w:author="Author" w:date="2025-07-18T23:01:00Z">
        <w:r>
          <w:rPr>
            <w:szCs w:val="22"/>
          </w:rPr>
          <w:delText>á</w:delText>
        </w:r>
      </w:del>
      <w:r>
        <w:rPr>
          <w:szCs w:val="22"/>
        </w:rPr>
        <w:t>, otvoren</w:t>
      </w:r>
      <w:ins w:id="562" w:author="Author" w:date="2025-07-18T23:01:00Z">
        <w:r>
          <w:rPr>
            <w:szCs w:val="22"/>
          </w:rPr>
          <w:t>é</w:t>
        </w:r>
      </w:ins>
      <w:del w:id="563" w:author="Author" w:date="2025-07-18T23:01:00Z">
        <w:r>
          <w:rPr>
            <w:szCs w:val="22"/>
          </w:rPr>
          <w:delText>á</w:delText>
        </w:r>
      </w:del>
      <w:r>
        <w:rPr>
          <w:szCs w:val="22"/>
        </w:rPr>
        <w:t>, multicentrick</w:t>
      </w:r>
      <w:ins w:id="564" w:author="Author" w:date="2025-07-18T23:01:00Z">
        <w:r>
          <w:rPr>
            <w:szCs w:val="22"/>
          </w:rPr>
          <w:t>é</w:t>
        </w:r>
      </w:ins>
      <w:del w:id="565" w:author="Author" w:date="2025-07-18T23:01:00Z">
        <w:r>
          <w:rPr>
            <w:szCs w:val="22"/>
          </w:rPr>
          <w:delText>á</w:delText>
        </w:r>
      </w:del>
      <w:r>
        <w:rPr>
          <w:szCs w:val="22"/>
        </w:rPr>
        <w:t xml:space="preserve"> platformov</w:t>
      </w:r>
      <w:ins w:id="566" w:author="Author" w:date="2025-07-18T23:01:00Z">
        <w:r>
          <w:rPr>
            <w:szCs w:val="22"/>
          </w:rPr>
          <w:t>é</w:t>
        </w:r>
      </w:ins>
      <w:del w:id="567" w:author="Author" w:date="2025-07-18T23:01:00Z">
        <w:r>
          <w:rPr>
            <w:szCs w:val="22"/>
          </w:rPr>
          <w:delText>á</w:delText>
        </w:r>
      </w:del>
      <w:r>
        <w:rPr>
          <w:szCs w:val="22"/>
        </w:rPr>
        <w:t xml:space="preserve"> </w:t>
      </w:r>
      <w:del w:id="568" w:author="Author" w:date="2025-07-18T23:01:00Z">
        <w:r>
          <w:rPr>
            <w:szCs w:val="22"/>
          </w:rPr>
          <w:delText>štúdia</w:delText>
        </w:r>
      </w:del>
      <w:ins w:id="569" w:author="Author" w:date="2025-07-21T09:41:00Z">
        <w:r>
          <w:rPr>
            <w:szCs w:val="22"/>
          </w:rPr>
          <w:t xml:space="preserve">klinické </w:t>
        </w:r>
      </w:ins>
      <w:ins w:id="570" w:author="Author" w:date="2025-07-18T23:01:00Z">
        <w:r>
          <w:rPr>
            <w:szCs w:val="22"/>
          </w:rPr>
          <w:t>skúšanie</w:t>
        </w:r>
      </w:ins>
      <w:r>
        <w:rPr>
          <w:szCs w:val="22"/>
        </w:rPr>
        <w:t>, ktor</w:t>
      </w:r>
      <w:ins w:id="571" w:author="Author" w:date="2025-07-18T23:01:00Z">
        <w:r>
          <w:rPr>
            <w:szCs w:val="22"/>
          </w:rPr>
          <w:t>é</w:t>
        </w:r>
      </w:ins>
      <w:del w:id="572" w:author="Author" w:date="2025-07-18T23:01:00Z">
        <w:r>
          <w:rPr>
            <w:szCs w:val="22"/>
          </w:rPr>
          <w:delText>á</w:delText>
        </w:r>
      </w:del>
      <w:r>
        <w:rPr>
          <w:szCs w:val="22"/>
        </w:rPr>
        <w:t xml:space="preserve"> sa uskutočni</w:t>
      </w:r>
      <w:ins w:id="573" w:author="Author" w:date="2025-07-21T11:28:00Z">
        <w:r>
          <w:rPr>
            <w:szCs w:val="22"/>
          </w:rPr>
          <w:t>lo</w:t>
        </w:r>
      </w:ins>
      <w:ins w:id="574" w:author="Author" w:date="2025-07-18T23:01:00Z">
        <w:del w:id="575" w:author="Author" w:date="2025-07-21T11:27:00Z">
          <w:r>
            <w:rPr>
              <w:szCs w:val="22"/>
            </w:rPr>
            <w:delText>o</w:delText>
          </w:r>
        </w:del>
      </w:ins>
      <w:del w:id="576" w:author="Author" w:date="2025-07-18T23:01:00Z">
        <w:r>
          <w:rPr>
            <w:szCs w:val="22"/>
          </w:rPr>
          <w:delText>l</w:delText>
        </w:r>
      </w:del>
      <w:del w:id="577" w:author="Author" w:date="2025-07-21T11:27:00Z">
        <w:r>
          <w:rPr>
            <w:szCs w:val="22"/>
          </w:rPr>
          <w:delText>a</w:delText>
        </w:r>
      </w:del>
      <w:r>
        <w:rPr>
          <w:szCs w:val="22"/>
        </w:rPr>
        <w:t xml:space="preserve"> v Spojenom kráľovstve s cieľom zhodnotiť účinnosť a bezpečnosť potenciálnych liečob u hospitalizovaných dospelých pacientov so závažnou formou COVID</w:t>
      </w:r>
      <w:r>
        <w:rPr>
          <w:szCs w:val="22"/>
        </w:rPr>
        <w:noBreakHyphen/>
        <w:t>19. Všetci vhodní pacienti dostávali zvyčajnú starostlivosť a podstúpili úvodnú (hlavnú) randomizáciu. Pacienti, ktorí boli vhodní na zaradenie do klinického skúšania, mali klinicky suspektnú alebo laboratórne potvrdenú infekciu vírusom SARS</w:t>
      </w:r>
      <w:r>
        <w:rPr>
          <w:szCs w:val="22"/>
        </w:rPr>
        <w:noBreakHyphen/>
        <w:t>CoV</w:t>
      </w:r>
      <w:r>
        <w:rPr>
          <w:szCs w:val="22"/>
        </w:rPr>
        <w:noBreakHyphen/>
        <w:t>2 a nemali žiadne zdravotné kontraindikácie pre akúkoľvek z liečob. Pacienti s klinickými známkami progredujúceho ochorenia COVID</w:t>
      </w:r>
      <w:r>
        <w:rPr>
          <w:szCs w:val="22"/>
        </w:rPr>
        <w:noBreakHyphen/>
        <w:t>19 (definovaného ako hodnota saturácie krvi kyslíkom </w:t>
      </w:r>
      <w:r>
        <w:rPr>
          <w:rFonts w:eastAsia="MS Mincho"/>
          <w:szCs w:val="22"/>
        </w:rPr>
        <w:sym w:font="Symbol" w:char="F03C"/>
      </w:r>
      <w:r>
        <w:rPr>
          <w:szCs w:val="22"/>
        </w:rPr>
        <w:t xml:space="preserve"> 92 % </w:t>
      </w:r>
      <w:r>
        <w:t>pri dýchaní vzduchu v miestosti</w:t>
      </w:r>
      <w:r>
        <w:rPr>
          <w:szCs w:val="22"/>
        </w:rPr>
        <w:t xml:space="preserve"> alebo pri podávaní kyslíkovej liečby a CRP ≥ 75 mg/l) mohli podstúpiť druhú randomizáciu, v rámci ktorej im bolo pridelený buď intravenózny tocilizumab, alebo samotná zvyčajná starostlivosť.</w:t>
      </w:r>
    </w:p>
    <w:p w14:paraId="7AF255EB" w14:textId="77777777" w:rsidR="009700E5" w:rsidRDefault="009700E5">
      <w:pPr>
        <w:rPr>
          <w:szCs w:val="22"/>
        </w:rPr>
      </w:pPr>
    </w:p>
    <w:p w14:paraId="3DD707CA" w14:textId="77777777" w:rsidR="009700E5" w:rsidRDefault="002C033C">
      <w:pPr>
        <w:rPr>
          <w:szCs w:val="22"/>
        </w:rPr>
      </w:pPr>
      <w:r>
        <w:rPr>
          <w:szCs w:val="22"/>
        </w:rPr>
        <w:t>Analýzy účinnosti sa vykonali v populácii všetkých randomizovaných pacientov (intent</w:t>
      </w:r>
      <w:r>
        <w:rPr>
          <w:szCs w:val="22"/>
        </w:rPr>
        <w:noBreakHyphen/>
        <w:t>to</w:t>
      </w:r>
      <w:r>
        <w:rPr>
          <w:szCs w:val="22"/>
        </w:rPr>
        <w:noBreakHyphen/>
        <w:t>treat, ITT), ktorá pozostávala zo 4 116 pacientov, pričom 2 022 pacientov bolo randomizovaných do skupiny s tocilizumabom + zvyčajnou starostlivosťou a 2 094 pacientov bolo randomizovaných do skupiny so samotnou zvyčajnou starostlivosťou. D</w:t>
      </w:r>
      <w:r>
        <w:t>emografické charakteristiky a charakteristiky ochorení</w:t>
      </w:r>
      <w:r>
        <w:rPr>
          <w:szCs w:val="22"/>
        </w:rPr>
        <w:t xml:space="preserve"> pri zaradení do </w:t>
      </w:r>
      <w:del w:id="578" w:author="Author" w:date="2025-07-18T23:16:00Z">
        <w:r>
          <w:rPr>
            <w:szCs w:val="22"/>
          </w:rPr>
          <w:delText>štúdie</w:delText>
        </w:r>
        <w:r>
          <w:delText xml:space="preserve"> </w:delText>
        </w:r>
      </w:del>
      <w:ins w:id="579" w:author="Author" w:date="2025-07-21T09:41:00Z">
        <w:r>
          <w:t xml:space="preserve">klinického </w:t>
        </w:r>
      </w:ins>
      <w:ins w:id="580" w:author="Author" w:date="2025-07-18T23:16:00Z">
        <w:r>
          <w:rPr>
            <w:szCs w:val="22"/>
          </w:rPr>
          <w:t xml:space="preserve">skúšania </w:t>
        </w:r>
      </w:ins>
      <w:r>
        <w:t>boli medzi liečebnými skupinami v ITT</w:t>
      </w:r>
      <w:r>
        <w:noBreakHyphen/>
        <w:t>populácii dobre vyvážené</w:t>
      </w:r>
      <w:r>
        <w:rPr>
          <w:szCs w:val="22"/>
        </w:rPr>
        <w:t>. Priemerný vek účastníkov bol 63,6 roka (štandardná odchýlka [standard deviation, SD] 13,6 roka). Väčšinu pacientov tvorili osoby mužského pohlavia (67 %) a belošského pôvodu (76 %). Medián (rozmedzie) hladiny CRP bol 143 mg/l (75 – 982).</w:t>
      </w:r>
    </w:p>
    <w:p w14:paraId="7D52AE1D" w14:textId="77777777" w:rsidR="009700E5" w:rsidRDefault="009700E5">
      <w:pPr>
        <w:rPr>
          <w:szCs w:val="22"/>
        </w:rPr>
      </w:pPr>
    </w:p>
    <w:p w14:paraId="67EE97A7" w14:textId="77777777" w:rsidR="009700E5" w:rsidRDefault="002C033C">
      <w:pPr>
        <w:rPr>
          <w:szCs w:val="22"/>
        </w:rPr>
      </w:pPr>
      <w:r>
        <w:rPr>
          <w:szCs w:val="22"/>
        </w:rPr>
        <w:t xml:space="preserve">Pri zaradení do </w:t>
      </w:r>
      <w:del w:id="581" w:author="Author" w:date="2025-07-18T23:02:00Z">
        <w:r>
          <w:rPr>
            <w:szCs w:val="22"/>
          </w:rPr>
          <w:delText xml:space="preserve">štúdie </w:delText>
        </w:r>
      </w:del>
      <w:ins w:id="582" w:author="Author" w:date="2025-07-21T09:42:00Z">
        <w:r>
          <w:t>klinického</w:t>
        </w:r>
        <w:r>
          <w:rPr>
            <w:szCs w:val="22"/>
          </w:rPr>
          <w:t xml:space="preserve"> </w:t>
        </w:r>
      </w:ins>
      <w:ins w:id="583" w:author="Author" w:date="2025-07-18T23:02:00Z">
        <w:r>
          <w:rPr>
            <w:szCs w:val="22"/>
          </w:rPr>
          <w:t xml:space="preserve">skúšania </w:t>
        </w:r>
      </w:ins>
      <w:r>
        <w:rPr>
          <w:szCs w:val="22"/>
        </w:rPr>
        <w:t>0,2 % (n = 9) pacientov nedostávalo doplnkovú liečbu kyslíkom, 45 % pacientov potrebovalo nízkoprietokový kyslík, 41 % pacientov potrebovalo neinvazívnu ventiláciu alebo vysokoprietokový kyslík a 14 % pacientov potrebovalo invazívnu mechanickú ventiláciu; 82 % pacientov dostávalo systémové kortikosteroidy (definovaní ako pacienti, u ktorých sa liečba systémovými kortikosteroidmi začala buď pred randomizáciou, alebo v čase randomizácie). Najčastejšie komorbidity boli diabetes (28,4 %), ochorenie srdca (22,6 %) a chronické ochorenie pľúc (23,3 %).</w:t>
      </w:r>
    </w:p>
    <w:p w14:paraId="473CCB18" w14:textId="77777777" w:rsidR="009700E5" w:rsidRDefault="009700E5">
      <w:pPr>
        <w:rPr>
          <w:szCs w:val="22"/>
        </w:rPr>
      </w:pPr>
    </w:p>
    <w:p w14:paraId="02482101" w14:textId="77777777" w:rsidR="009700E5" w:rsidRDefault="002C033C">
      <w:pPr>
        <w:rPr>
          <w:szCs w:val="22"/>
        </w:rPr>
      </w:pPr>
      <w:r>
        <w:rPr>
          <w:szCs w:val="22"/>
        </w:rPr>
        <w:t>Primárnym výsledným ukazovateľom bol čas do úmrtia do 28. dňa. Pomer rizík (hazard ratio) pri porovnaní skupiny s tocilizumabom + zvyčajnou starostlivosťou so skupinou so samotnou zvyčajnou starostlivosťou bol 0,85 (95 % IS: 0,76 až 0,94), čo je štatisticky významný výsledok (p = 0,0028). Pravdepodobnosť úmrtia do 28. dňa sa odhadla na 30,7 % v skupine s tocilizumabom a na 34,9 % v skupine so zvyčajnou starostlivosťou. Rozdiel rizík sa odhadol na </w:t>
      </w:r>
      <w:r>
        <w:rPr>
          <w:szCs w:val="22"/>
        </w:rPr>
        <w:noBreakHyphen/>
        <w:t>4,1 % (95 % IS: </w:t>
      </w:r>
      <w:r>
        <w:rPr>
          <w:szCs w:val="22"/>
        </w:rPr>
        <w:noBreakHyphen/>
        <w:t>7,0 % až </w:t>
      </w:r>
      <w:r>
        <w:rPr>
          <w:szCs w:val="22"/>
        </w:rPr>
        <w:noBreakHyphen/>
        <w:t xml:space="preserve">1,3 %), čo je v zhode s primárnou analýzou. Pomer rizík pre vopred špecifikovanú podskupinu pacientov, ktorí pri zaradení do </w:t>
      </w:r>
      <w:del w:id="584" w:author="Author" w:date="2025-07-18T23:16:00Z">
        <w:r>
          <w:rPr>
            <w:szCs w:val="22"/>
          </w:rPr>
          <w:delText xml:space="preserve">štúdie </w:delText>
        </w:r>
      </w:del>
      <w:ins w:id="585" w:author="Author" w:date="2025-07-21T09:42:00Z">
        <w:r>
          <w:t>klinického</w:t>
        </w:r>
        <w:r>
          <w:rPr>
            <w:szCs w:val="22"/>
          </w:rPr>
          <w:t xml:space="preserve"> </w:t>
        </w:r>
      </w:ins>
      <w:ins w:id="586" w:author="Author" w:date="2025-07-18T23:16:00Z">
        <w:r>
          <w:rPr>
            <w:szCs w:val="22"/>
          </w:rPr>
          <w:t xml:space="preserve">skúšania </w:t>
        </w:r>
      </w:ins>
      <w:r>
        <w:rPr>
          <w:szCs w:val="22"/>
        </w:rPr>
        <w:t xml:space="preserve">dostávali systémové kortikosteroidy, bol 0,79 (95 % IS: 0,70 až 0,89) a pre vopred špecifikovanú podskupinu pacientov, ktorí pri zaradení do </w:t>
      </w:r>
      <w:del w:id="587" w:author="Author" w:date="2025-07-18T23:16:00Z">
        <w:r>
          <w:rPr>
            <w:szCs w:val="22"/>
          </w:rPr>
          <w:delText xml:space="preserve">štúdie </w:delText>
        </w:r>
      </w:del>
      <w:ins w:id="588" w:author="Author" w:date="2025-07-21T09:42:00Z">
        <w:r>
          <w:t>klinického</w:t>
        </w:r>
        <w:r>
          <w:rPr>
            <w:szCs w:val="22"/>
          </w:rPr>
          <w:t xml:space="preserve"> </w:t>
        </w:r>
      </w:ins>
      <w:ins w:id="589" w:author="Author" w:date="2025-07-18T23:16:00Z">
        <w:r>
          <w:rPr>
            <w:szCs w:val="22"/>
          </w:rPr>
          <w:t>skú</w:t>
        </w:r>
      </w:ins>
      <w:ins w:id="590" w:author="Author" w:date="2025-07-18T23:17:00Z">
        <w:r>
          <w:rPr>
            <w:szCs w:val="22"/>
          </w:rPr>
          <w:t>šania</w:t>
        </w:r>
      </w:ins>
      <w:ins w:id="591" w:author="Author" w:date="2025-07-18T23:16:00Z">
        <w:r>
          <w:rPr>
            <w:szCs w:val="22"/>
          </w:rPr>
          <w:t xml:space="preserve"> </w:t>
        </w:r>
      </w:ins>
      <w:r>
        <w:rPr>
          <w:szCs w:val="22"/>
        </w:rPr>
        <w:t>nedostávali systémové kortikosteroidy, bol 1,16 (95 % IS: 0,91 až 1,48).</w:t>
      </w:r>
    </w:p>
    <w:p w14:paraId="2426C934" w14:textId="77777777" w:rsidR="009700E5" w:rsidRDefault="009700E5">
      <w:pPr>
        <w:rPr>
          <w:szCs w:val="22"/>
        </w:rPr>
      </w:pPr>
    </w:p>
    <w:p w14:paraId="7F019F50" w14:textId="77777777" w:rsidR="009700E5" w:rsidRDefault="002C033C">
      <w:pPr>
        <w:rPr>
          <w:szCs w:val="22"/>
        </w:rPr>
      </w:pPr>
      <w:r>
        <w:rPr>
          <w:szCs w:val="22"/>
        </w:rPr>
        <w:t>Medián času do prepustenia z nemocnice bol 19 dní v skupine s tocilizumabom + zvyčajnou starostlivosťou a </w:t>
      </w:r>
      <w:r>
        <w:rPr>
          <w:rFonts w:eastAsia="MS Mincho"/>
          <w:szCs w:val="22"/>
        </w:rPr>
        <w:sym w:font="Symbol" w:char="F03E"/>
      </w:r>
      <w:r>
        <w:rPr>
          <w:szCs w:val="22"/>
        </w:rPr>
        <w:t> 28 dní v skupine so zvyčajnou starostlivosťou (pomer rizík [95 % IS] 1,22 [1,12 až 1,33]).</w:t>
      </w:r>
    </w:p>
    <w:p w14:paraId="7C49C595" w14:textId="77777777" w:rsidR="009700E5" w:rsidRDefault="009700E5">
      <w:pPr>
        <w:rPr>
          <w:szCs w:val="22"/>
        </w:rPr>
      </w:pPr>
    </w:p>
    <w:p w14:paraId="352DD958" w14:textId="77777777" w:rsidR="009700E5" w:rsidRDefault="002C033C">
      <w:pPr>
        <w:rPr>
          <w:szCs w:val="22"/>
        </w:rPr>
      </w:pPr>
      <w:r>
        <w:rPr>
          <w:szCs w:val="22"/>
        </w:rPr>
        <w:t xml:space="preserve">U pacientov, ktorí pri zaradení do </w:t>
      </w:r>
      <w:del w:id="592" w:author="Author" w:date="2025-07-18T23:02:00Z">
        <w:r>
          <w:rPr>
            <w:szCs w:val="22"/>
          </w:rPr>
          <w:delText xml:space="preserve">štúdie </w:delText>
        </w:r>
      </w:del>
      <w:ins w:id="593" w:author="Author" w:date="2025-07-21T09:42:00Z">
        <w:r>
          <w:t>klinického</w:t>
        </w:r>
        <w:r>
          <w:rPr>
            <w:szCs w:val="22"/>
          </w:rPr>
          <w:t xml:space="preserve"> </w:t>
        </w:r>
      </w:ins>
      <w:ins w:id="594" w:author="Author" w:date="2025-07-18T23:02:00Z">
        <w:r>
          <w:rPr>
            <w:szCs w:val="22"/>
          </w:rPr>
          <w:t xml:space="preserve">skúšania </w:t>
        </w:r>
      </w:ins>
      <w:r>
        <w:rPr>
          <w:szCs w:val="22"/>
        </w:rPr>
        <w:t>nepotrebovali invazívnu mechanickú ventiláciu, bol podiel pacientov, ktorí ku 28. dňu už potrebovali mechanickú ventiláciu alebo zomreli: 35 % (619/1 754) v skupine s tocilizumabom + zvyčajnou starostlivosťou a 42 % (754/1 800) v skupine so samotnou zvyčajnou starostlivosťou (pomer rizík [95 % IS] 0,84 [0,77 až 0,92] p </w:t>
      </w:r>
      <w:r>
        <w:rPr>
          <w:rFonts w:eastAsia="MS Mincho"/>
          <w:szCs w:val="22"/>
        </w:rPr>
        <w:sym w:font="Symbol" w:char="F03C"/>
      </w:r>
      <w:r>
        <w:rPr>
          <w:szCs w:val="22"/>
        </w:rPr>
        <w:t> 0,0001).</w:t>
      </w:r>
    </w:p>
    <w:p w14:paraId="3AF7D452" w14:textId="77777777" w:rsidR="009700E5" w:rsidRDefault="009700E5">
      <w:pPr>
        <w:rPr>
          <w:szCs w:val="22"/>
        </w:rPr>
      </w:pPr>
    </w:p>
    <w:bookmarkEnd w:id="549"/>
    <w:p w14:paraId="50990EFA" w14:textId="77777777" w:rsidR="009700E5" w:rsidRDefault="002C033C">
      <w:pPr>
        <w:keepNext/>
        <w:keepLines/>
        <w:numPr>
          <w:ilvl w:val="12"/>
          <w:numId w:val="0"/>
        </w:numPr>
        <w:rPr>
          <w:iCs/>
        </w:rPr>
      </w:pPr>
      <w:r>
        <w:rPr>
          <w:u w:val="single"/>
        </w:rPr>
        <w:lastRenderedPageBreak/>
        <w:t>Pediatrická populácia so sJIA</w:t>
      </w:r>
    </w:p>
    <w:p w14:paraId="1AE067B6" w14:textId="77777777" w:rsidR="009700E5" w:rsidRDefault="002C033C">
      <w:pPr>
        <w:keepNext/>
        <w:keepLines/>
        <w:numPr>
          <w:ilvl w:val="12"/>
          <w:numId w:val="0"/>
        </w:numPr>
        <w:rPr>
          <w:i/>
        </w:rPr>
      </w:pPr>
      <w:r>
        <w:rPr>
          <w:i/>
        </w:rPr>
        <w:t>Klinická účinnosť</w:t>
      </w:r>
    </w:p>
    <w:p w14:paraId="2DF77142" w14:textId="77777777" w:rsidR="009700E5" w:rsidRDefault="002C033C">
      <w:pPr>
        <w:keepNext/>
        <w:keepLines/>
        <w:numPr>
          <w:ilvl w:val="12"/>
          <w:numId w:val="0"/>
        </w:numPr>
        <w:ind w:right="-2"/>
        <w:rPr>
          <w:iCs/>
        </w:rPr>
      </w:pPr>
      <w:r>
        <w:rPr>
          <w:iCs/>
        </w:rPr>
        <w:t>Účinnosť tocilizumabu pri liečbe aktívnej sJIA bola hodnotená v 12</w:t>
      </w:r>
      <w:r>
        <w:rPr>
          <w:iCs/>
        </w:rPr>
        <w:noBreakHyphen/>
        <w:t>týždňov</w:t>
      </w:r>
      <w:ins w:id="595" w:author="Author" w:date="2025-07-18T23:03:00Z">
        <w:r>
          <w:rPr>
            <w:iCs/>
          </w:rPr>
          <w:t>om</w:t>
        </w:r>
      </w:ins>
      <w:del w:id="596" w:author="Author" w:date="2025-07-18T23:03:00Z">
        <w:r>
          <w:rPr>
            <w:iCs/>
          </w:rPr>
          <w:delText>ej</w:delText>
        </w:r>
      </w:del>
      <w:r>
        <w:rPr>
          <w:iCs/>
        </w:rPr>
        <w:t xml:space="preserve"> randomizovan</w:t>
      </w:r>
      <w:ins w:id="597" w:author="Author" w:date="2025-07-18T23:03:00Z">
        <w:r>
          <w:rPr>
            <w:iCs/>
          </w:rPr>
          <w:t>om</w:t>
        </w:r>
      </w:ins>
      <w:del w:id="598" w:author="Author" w:date="2025-07-18T23:03:00Z">
        <w:r>
          <w:rPr>
            <w:iCs/>
          </w:rPr>
          <w:delText>ej</w:delText>
        </w:r>
      </w:del>
      <w:r>
        <w:rPr>
          <w:iCs/>
        </w:rPr>
        <w:t>, dvojito zaslepen</w:t>
      </w:r>
      <w:ins w:id="599" w:author="Author" w:date="2025-07-18T23:03:00Z">
        <w:r>
          <w:rPr>
            <w:iCs/>
          </w:rPr>
          <w:t>om</w:t>
        </w:r>
      </w:ins>
      <w:del w:id="600" w:author="Author" w:date="2025-07-18T23:03:00Z">
        <w:r>
          <w:rPr>
            <w:iCs/>
          </w:rPr>
          <w:delText>ej</w:delText>
        </w:r>
      </w:del>
      <w:r>
        <w:rPr>
          <w:iCs/>
        </w:rPr>
        <w:t>, placebom kontrolovan</w:t>
      </w:r>
      <w:ins w:id="601" w:author="Author" w:date="2025-07-18T23:03:00Z">
        <w:r>
          <w:rPr>
            <w:iCs/>
          </w:rPr>
          <w:t>om klinickom skúšaní</w:t>
        </w:r>
      </w:ins>
      <w:del w:id="602" w:author="Author" w:date="2025-07-18T23:03:00Z">
        <w:r>
          <w:rPr>
            <w:iCs/>
          </w:rPr>
          <w:delText>ej</w:delText>
        </w:r>
      </w:del>
      <w:del w:id="603" w:author="Author" w:date="2025-07-18T23:04:00Z">
        <w:r>
          <w:rPr>
            <w:iCs/>
          </w:rPr>
          <w:delText xml:space="preserve"> štúdii</w:delText>
        </w:r>
      </w:del>
      <w:r>
        <w:rPr>
          <w:iCs/>
        </w:rPr>
        <w:t xml:space="preserve"> s paralelnými skupinami a s dvoma ramenami. Pacienti zaradení do klinického skúšania mali celkové trvanie choroby najmenej 6 mesiacov a aktívnu chorobu, ale bez akútneho vzplanutia vyžadujúceho dávku kortikosteroidov vyššiu ako ekvivalent prednizónu</w:t>
      </w:r>
      <w:r>
        <w:t xml:space="preserve"> 0,5 mg/kg</w:t>
      </w:r>
      <w:r>
        <w:rPr>
          <w:iCs/>
        </w:rPr>
        <w:t>. Účinnosť na liečbu syndrómu aktivácie makrofágov (MAS) nebola skúmaná.</w:t>
      </w:r>
    </w:p>
    <w:p w14:paraId="08C0B70A" w14:textId="77777777" w:rsidR="009700E5" w:rsidRDefault="009700E5">
      <w:pPr>
        <w:numPr>
          <w:ilvl w:val="12"/>
          <w:numId w:val="0"/>
        </w:numPr>
        <w:ind w:right="-2"/>
        <w:rPr>
          <w:iCs/>
        </w:rPr>
      </w:pPr>
    </w:p>
    <w:p w14:paraId="643AA7BD" w14:textId="77777777" w:rsidR="009700E5" w:rsidRDefault="002C033C">
      <w:pPr>
        <w:numPr>
          <w:ilvl w:val="12"/>
          <w:numId w:val="0"/>
        </w:numPr>
        <w:ind w:right="-2"/>
        <w:rPr>
          <w:iCs/>
        </w:rPr>
      </w:pPr>
      <w:r>
        <w:rPr>
          <w:iCs/>
        </w:rPr>
        <w:t>Pacienti (liečení s MTX alebo bez neho) boli randomizovaní (tocilizumab:placebo</w:t>
      </w:r>
      <w:ins w:id="604" w:author="Author" w:date="2025-07-21T09:43:00Z">
        <w:r>
          <w:rPr>
            <w:iCs/>
          </w:rPr>
          <w:t> </w:t>
        </w:r>
      </w:ins>
      <w:del w:id="605" w:author="Author" w:date="2025-07-21T09:43:00Z">
        <w:r>
          <w:rPr>
            <w:iCs/>
          </w:rPr>
          <w:delText xml:space="preserve"> </w:delText>
        </w:r>
      </w:del>
      <w:r>
        <w:rPr>
          <w:iCs/>
        </w:rPr>
        <w:t>=</w:t>
      </w:r>
      <w:ins w:id="606" w:author="Author" w:date="2025-07-21T09:43:00Z">
        <w:r>
          <w:rPr>
            <w:iCs/>
          </w:rPr>
          <w:t> </w:t>
        </w:r>
      </w:ins>
      <w:del w:id="607" w:author="Author" w:date="2025-07-21T09:43:00Z">
        <w:r>
          <w:rPr>
            <w:iCs/>
          </w:rPr>
          <w:delText xml:space="preserve"> </w:delText>
        </w:r>
      </w:del>
      <w:r>
        <w:rPr>
          <w:iCs/>
        </w:rPr>
        <w:t>2</w:t>
      </w:r>
      <w:ins w:id="608" w:author="Author" w:date="2025-07-21T09:43:00Z">
        <w:r>
          <w:rPr>
            <w:iCs/>
          </w:rPr>
          <w:t> </w:t>
        </w:r>
      </w:ins>
      <w:r>
        <w:rPr>
          <w:iCs/>
        </w:rPr>
        <w:t>:</w:t>
      </w:r>
      <w:ins w:id="609" w:author="Author" w:date="2025-07-21T09:43:00Z">
        <w:r>
          <w:rPr>
            <w:iCs/>
          </w:rPr>
          <w:t> </w:t>
        </w:r>
      </w:ins>
      <w:r>
        <w:rPr>
          <w:iCs/>
        </w:rPr>
        <w:t xml:space="preserve">1) do jednej z dvoch liečených skupín, 75 pacientov dostávalo infúzie tocilizumabu každé dva týždne, buď 8 mg/kg pre pacientov s telesnou hmotnosťou ≥ 30 kg, alebo 12 mg/kg pre pacientov s hmotnosťou </w:t>
      </w:r>
      <w:r>
        <w:rPr>
          <w:rFonts w:eastAsia="MS Mincho"/>
          <w:szCs w:val="22"/>
        </w:rPr>
        <w:sym w:font="Symbol" w:char="F03C"/>
      </w:r>
      <w:r>
        <w:rPr>
          <w:iCs/>
        </w:rPr>
        <w:t> 30 kg a 37 pacientov dostávalo každé dva týždne infúzie s placebom. Postupné znižovanie dávok kortikosteroidov bolo povolené od šiesteho týždňa u pacientov, ktorí dosiahli JIA ACR 70 odpoveď. Po 12 týždňoch alebo v čase ukončenia kvôli zhoršeniu choroby boli pacienti liečení v otvorenej fáze dávkou zodpovedajúcou telesnej hmotnosti.</w:t>
      </w:r>
    </w:p>
    <w:p w14:paraId="3941E4D6" w14:textId="77777777" w:rsidR="009700E5" w:rsidRDefault="009700E5">
      <w:pPr>
        <w:numPr>
          <w:ilvl w:val="12"/>
          <w:numId w:val="0"/>
        </w:numPr>
        <w:ind w:right="-2"/>
        <w:rPr>
          <w:iCs/>
        </w:rPr>
      </w:pPr>
    </w:p>
    <w:p w14:paraId="2FF4C427" w14:textId="77777777" w:rsidR="009700E5" w:rsidRDefault="002C033C">
      <w:pPr>
        <w:keepNext/>
        <w:keepLines/>
        <w:numPr>
          <w:ilvl w:val="12"/>
          <w:numId w:val="0"/>
        </w:numPr>
        <w:rPr>
          <w:i/>
          <w:iCs/>
        </w:rPr>
      </w:pPr>
      <w:r>
        <w:rPr>
          <w:i/>
          <w:iCs/>
        </w:rPr>
        <w:t>Klinická odpoveď</w:t>
      </w:r>
    </w:p>
    <w:p w14:paraId="5C15E0E9" w14:textId="77777777" w:rsidR="009700E5" w:rsidRDefault="002C033C">
      <w:pPr>
        <w:numPr>
          <w:ilvl w:val="12"/>
          <w:numId w:val="0"/>
        </w:numPr>
        <w:ind w:right="-2"/>
        <w:rPr>
          <w:iCs/>
        </w:rPr>
      </w:pPr>
      <w:r>
        <w:rPr>
          <w:iCs/>
        </w:rPr>
        <w:t>Primárny cieľový ukazovateľ bol podiel pacientov, ktorí dosiahli aspoň 30 % zlepšenie skóre JIA ACR (odpoveď JIA ACR 30) v 12. týždni a neprítomnosť horúčky (bez zaznamenania teploty ≥ 37,5 °C počas predošlých 7 dní). Osemdesiat päť percent (64/75) pacientov liečených tocilizumabom a 24,3 % (9/37) pacientov liečených placebom dosiahlo tento cieľový ukazovateľ. Tieto percentá boli vysoko signifikantne odlišné (p </w:t>
      </w:r>
      <w:r>
        <w:rPr>
          <w:rFonts w:eastAsia="MS Mincho"/>
          <w:szCs w:val="22"/>
        </w:rPr>
        <w:sym w:font="Symbol" w:char="F03C"/>
      </w:r>
      <w:r>
        <w:rPr>
          <w:iCs/>
        </w:rPr>
        <w:t> 0,0001).</w:t>
      </w:r>
    </w:p>
    <w:p w14:paraId="4E623531" w14:textId="77777777" w:rsidR="009700E5" w:rsidRDefault="009700E5">
      <w:pPr>
        <w:numPr>
          <w:ilvl w:val="12"/>
          <w:numId w:val="0"/>
        </w:numPr>
        <w:ind w:right="-2"/>
        <w:rPr>
          <w:iCs/>
        </w:rPr>
      </w:pPr>
    </w:p>
    <w:p w14:paraId="289F7DE1" w14:textId="77777777" w:rsidR="009700E5" w:rsidRDefault="002C033C">
      <w:pPr>
        <w:numPr>
          <w:ilvl w:val="12"/>
          <w:numId w:val="0"/>
        </w:numPr>
        <w:ind w:right="-2"/>
        <w:rPr>
          <w:iCs/>
        </w:rPr>
      </w:pPr>
      <w:r>
        <w:rPr>
          <w:iCs/>
        </w:rPr>
        <w:t>Percentá pacientov, ktorí dosiahli odpoveď JIA ACR 30, 50, 70 a 90 sú uvedené v tabuľke 8.</w:t>
      </w:r>
    </w:p>
    <w:p w14:paraId="09ACFBDB" w14:textId="77777777" w:rsidR="009700E5" w:rsidRDefault="009700E5">
      <w:pPr>
        <w:numPr>
          <w:ilvl w:val="12"/>
          <w:numId w:val="0"/>
        </w:numPr>
        <w:ind w:right="-2"/>
        <w:rPr>
          <w:iCs/>
        </w:rPr>
      </w:pPr>
    </w:p>
    <w:p w14:paraId="4C46AF3D" w14:textId="77777777" w:rsidR="009700E5" w:rsidRDefault="002C033C">
      <w:pPr>
        <w:numPr>
          <w:ilvl w:val="12"/>
          <w:numId w:val="0"/>
        </w:numPr>
        <w:ind w:right="-2"/>
        <w:rPr>
          <w:i/>
          <w:iCs/>
        </w:rPr>
      </w:pPr>
      <w:r>
        <w:rPr>
          <w:i/>
          <w:iCs/>
        </w:rPr>
        <w:t>Tabuľka 8. Odpoveď JIA ACR v 12. týždni (% pacientov)</w:t>
      </w:r>
    </w:p>
    <w:p w14:paraId="4EBD9738" w14:textId="77777777" w:rsidR="009700E5" w:rsidRDefault="009700E5">
      <w:pPr>
        <w:numPr>
          <w:ilvl w:val="12"/>
          <w:numId w:val="0"/>
        </w:numPr>
        <w:ind w:right="-2"/>
        <w:rPr>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409"/>
        <w:gridCol w:w="3261"/>
      </w:tblGrid>
      <w:tr w:rsidR="009700E5" w14:paraId="1EE07E25" w14:textId="77777777">
        <w:tc>
          <w:tcPr>
            <w:tcW w:w="2235" w:type="dxa"/>
          </w:tcPr>
          <w:p w14:paraId="5A5F13F0" w14:textId="77777777" w:rsidR="009700E5" w:rsidRPr="009700E5" w:rsidRDefault="002C033C">
            <w:pPr>
              <w:pStyle w:val="TextTi12"/>
              <w:spacing w:after="0" w:line="240" w:lineRule="auto"/>
              <w:rPr>
                <w:sz w:val="22"/>
                <w:szCs w:val="22"/>
                <w:rPrChange w:id="610" w:author="Author" w:date="2025-08-22T15:12:00Z">
                  <w:rPr>
                    <w:noProof w:val="0"/>
                    <w:sz w:val="22"/>
                    <w:szCs w:val="22"/>
                  </w:rPr>
                </w:rPrChange>
              </w:rPr>
            </w:pPr>
            <w:r>
              <w:rPr>
                <w:b/>
                <w:bCs/>
                <w:color w:val="000000"/>
                <w:sz w:val="22"/>
                <w:szCs w:val="22"/>
                <w:lang w:eastAsia="ja-JP"/>
                <w:rPrChange w:id="611" w:author="Author" w:date="2025-08-22T15:12:00Z">
                  <w:rPr>
                    <w:b/>
                    <w:bCs/>
                    <w:noProof w:val="0"/>
                    <w:color w:val="000000"/>
                    <w:sz w:val="22"/>
                    <w:szCs w:val="22"/>
                    <w:lang w:eastAsia="ja-JP"/>
                  </w:rPr>
                </w:rPrChange>
              </w:rPr>
              <w:t>Odpoveď</w:t>
            </w:r>
          </w:p>
        </w:tc>
        <w:tc>
          <w:tcPr>
            <w:tcW w:w="2409" w:type="dxa"/>
          </w:tcPr>
          <w:p w14:paraId="0C8CBACD" w14:textId="77777777" w:rsidR="009700E5" w:rsidRPr="009700E5" w:rsidRDefault="002C033C">
            <w:pPr>
              <w:pStyle w:val="TextTi12"/>
              <w:spacing w:after="0" w:line="240" w:lineRule="auto"/>
              <w:jc w:val="center"/>
              <w:rPr>
                <w:b/>
                <w:sz w:val="22"/>
                <w:szCs w:val="22"/>
                <w:rPrChange w:id="612" w:author="Author" w:date="2025-08-22T15:12:00Z">
                  <w:rPr>
                    <w:b/>
                    <w:noProof w:val="0"/>
                    <w:sz w:val="22"/>
                    <w:szCs w:val="22"/>
                  </w:rPr>
                </w:rPrChange>
              </w:rPr>
            </w:pPr>
            <w:r>
              <w:rPr>
                <w:b/>
                <w:sz w:val="22"/>
                <w:szCs w:val="22"/>
                <w:rPrChange w:id="613" w:author="Author" w:date="2025-08-22T15:12:00Z">
                  <w:rPr>
                    <w:b/>
                    <w:noProof w:val="0"/>
                    <w:sz w:val="22"/>
                    <w:szCs w:val="22"/>
                  </w:rPr>
                </w:rPrChange>
              </w:rPr>
              <w:t>Tocilizumab</w:t>
            </w:r>
          </w:p>
          <w:p w14:paraId="0DE7116F" w14:textId="77777777" w:rsidR="009700E5" w:rsidRPr="009700E5" w:rsidRDefault="002C033C">
            <w:pPr>
              <w:pStyle w:val="TextTi12"/>
              <w:spacing w:after="0" w:line="240" w:lineRule="auto"/>
              <w:jc w:val="center"/>
              <w:rPr>
                <w:b/>
                <w:sz w:val="22"/>
                <w:szCs w:val="22"/>
                <w:rPrChange w:id="614" w:author="Author" w:date="2025-08-22T15:12:00Z">
                  <w:rPr>
                    <w:b/>
                    <w:noProof w:val="0"/>
                    <w:sz w:val="22"/>
                    <w:szCs w:val="22"/>
                  </w:rPr>
                </w:rPrChange>
              </w:rPr>
            </w:pPr>
            <w:ins w:id="615" w:author="Author" w:date="2025-07-18T23:04:00Z">
              <w:r>
                <w:rPr>
                  <w:b/>
                  <w:sz w:val="22"/>
                  <w:szCs w:val="22"/>
                  <w:rPrChange w:id="616" w:author="Author" w:date="2025-08-22T15:12:00Z">
                    <w:rPr>
                      <w:b/>
                      <w:noProof w:val="0"/>
                      <w:sz w:val="22"/>
                      <w:szCs w:val="22"/>
                    </w:rPr>
                  </w:rPrChange>
                </w:rPr>
                <w:t>n</w:t>
              </w:r>
            </w:ins>
            <w:del w:id="617" w:author="Author" w:date="2025-07-18T23:04:00Z">
              <w:r>
                <w:rPr>
                  <w:b/>
                  <w:sz w:val="22"/>
                  <w:szCs w:val="22"/>
                  <w:rPrChange w:id="618" w:author="Author" w:date="2025-08-22T15:12:00Z">
                    <w:rPr>
                      <w:b/>
                      <w:noProof w:val="0"/>
                      <w:sz w:val="22"/>
                      <w:szCs w:val="22"/>
                    </w:rPr>
                  </w:rPrChange>
                </w:rPr>
                <w:delText>N</w:delText>
              </w:r>
            </w:del>
            <w:r>
              <w:rPr>
                <w:b/>
                <w:sz w:val="22"/>
                <w:szCs w:val="22"/>
                <w:rPrChange w:id="619" w:author="Author" w:date="2025-08-22T15:12:00Z">
                  <w:rPr>
                    <w:b/>
                    <w:noProof w:val="0"/>
                    <w:sz w:val="22"/>
                    <w:szCs w:val="22"/>
                  </w:rPr>
                </w:rPrChange>
              </w:rPr>
              <w:t xml:space="preserve"> = 75</w:t>
            </w:r>
          </w:p>
        </w:tc>
        <w:tc>
          <w:tcPr>
            <w:tcW w:w="3261" w:type="dxa"/>
          </w:tcPr>
          <w:p w14:paraId="74948352" w14:textId="77777777" w:rsidR="009700E5" w:rsidRPr="009700E5" w:rsidRDefault="002C033C">
            <w:pPr>
              <w:pStyle w:val="TextTi12"/>
              <w:spacing w:after="0" w:line="240" w:lineRule="auto"/>
              <w:jc w:val="center"/>
              <w:rPr>
                <w:b/>
                <w:sz w:val="22"/>
                <w:szCs w:val="22"/>
                <w:rPrChange w:id="620" w:author="Author" w:date="2025-08-22T15:12:00Z">
                  <w:rPr>
                    <w:b/>
                    <w:noProof w:val="0"/>
                    <w:sz w:val="22"/>
                    <w:szCs w:val="22"/>
                  </w:rPr>
                </w:rPrChange>
              </w:rPr>
            </w:pPr>
            <w:r>
              <w:rPr>
                <w:b/>
                <w:sz w:val="22"/>
                <w:szCs w:val="22"/>
                <w:rPrChange w:id="621" w:author="Author" w:date="2025-08-22T15:12:00Z">
                  <w:rPr>
                    <w:b/>
                    <w:noProof w:val="0"/>
                    <w:sz w:val="22"/>
                    <w:szCs w:val="22"/>
                  </w:rPr>
                </w:rPrChange>
              </w:rPr>
              <w:t>Placebo</w:t>
            </w:r>
          </w:p>
          <w:p w14:paraId="007EE33E" w14:textId="77777777" w:rsidR="009700E5" w:rsidRPr="009700E5" w:rsidRDefault="002C033C">
            <w:pPr>
              <w:pStyle w:val="TextTi12"/>
              <w:spacing w:after="0" w:line="240" w:lineRule="auto"/>
              <w:jc w:val="center"/>
              <w:rPr>
                <w:b/>
                <w:sz w:val="22"/>
                <w:szCs w:val="22"/>
                <w:rPrChange w:id="622" w:author="Author" w:date="2025-08-22T15:12:00Z">
                  <w:rPr>
                    <w:b/>
                    <w:noProof w:val="0"/>
                    <w:sz w:val="22"/>
                    <w:szCs w:val="22"/>
                  </w:rPr>
                </w:rPrChange>
              </w:rPr>
            </w:pPr>
            <w:ins w:id="623" w:author="Author" w:date="2025-07-18T23:04:00Z">
              <w:r>
                <w:rPr>
                  <w:b/>
                  <w:sz w:val="22"/>
                  <w:szCs w:val="22"/>
                  <w:rPrChange w:id="624" w:author="Author" w:date="2025-08-22T15:12:00Z">
                    <w:rPr>
                      <w:b/>
                      <w:noProof w:val="0"/>
                      <w:sz w:val="22"/>
                      <w:szCs w:val="22"/>
                    </w:rPr>
                  </w:rPrChange>
                </w:rPr>
                <w:t>n</w:t>
              </w:r>
            </w:ins>
            <w:del w:id="625" w:author="Author" w:date="2025-07-18T23:04:00Z">
              <w:r>
                <w:rPr>
                  <w:b/>
                  <w:sz w:val="22"/>
                  <w:szCs w:val="22"/>
                  <w:rPrChange w:id="626" w:author="Author" w:date="2025-08-22T15:12:00Z">
                    <w:rPr>
                      <w:b/>
                      <w:noProof w:val="0"/>
                      <w:sz w:val="22"/>
                      <w:szCs w:val="22"/>
                    </w:rPr>
                  </w:rPrChange>
                </w:rPr>
                <w:delText>N</w:delText>
              </w:r>
            </w:del>
            <w:r>
              <w:rPr>
                <w:b/>
                <w:sz w:val="22"/>
                <w:szCs w:val="22"/>
                <w:rPrChange w:id="627" w:author="Author" w:date="2025-08-22T15:12:00Z">
                  <w:rPr>
                    <w:b/>
                    <w:noProof w:val="0"/>
                    <w:sz w:val="22"/>
                    <w:szCs w:val="22"/>
                  </w:rPr>
                </w:rPrChange>
              </w:rPr>
              <w:t xml:space="preserve"> = 37</w:t>
            </w:r>
          </w:p>
        </w:tc>
      </w:tr>
      <w:tr w:rsidR="009700E5" w14:paraId="0C85F4F0" w14:textId="77777777">
        <w:tc>
          <w:tcPr>
            <w:tcW w:w="2235" w:type="dxa"/>
          </w:tcPr>
          <w:p w14:paraId="255402E6" w14:textId="77777777" w:rsidR="009700E5" w:rsidRPr="009700E5" w:rsidRDefault="002C033C">
            <w:pPr>
              <w:pStyle w:val="TextTi12"/>
              <w:spacing w:after="0" w:line="240" w:lineRule="auto"/>
              <w:rPr>
                <w:sz w:val="22"/>
                <w:szCs w:val="22"/>
                <w:rPrChange w:id="628" w:author="Author" w:date="2025-08-22T15:12:00Z">
                  <w:rPr>
                    <w:noProof w:val="0"/>
                    <w:sz w:val="22"/>
                    <w:szCs w:val="22"/>
                  </w:rPr>
                </w:rPrChange>
              </w:rPr>
            </w:pPr>
            <w:r>
              <w:rPr>
                <w:sz w:val="22"/>
                <w:szCs w:val="22"/>
                <w:rPrChange w:id="629" w:author="Author" w:date="2025-08-22T15:12:00Z">
                  <w:rPr>
                    <w:noProof w:val="0"/>
                    <w:sz w:val="22"/>
                    <w:szCs w:val="22"/>
                  </w:rPr>
                </w:rPrChange>
              </w:rPr>
              <w:t>JIA ACR 30</w:t>
            </w:r>
          </w:p>
        </w:tc>
        <w:tc>
          <w:tcPr>
            <w:tcW w:w="2409" w:type="dxa"/>
          </w:tcPr>
          <w:p w14:paraId="22FFEC0A" w14:textId="77777777" w:rsidR="009700E5" w:rsidRPr="009700E5" w:rsidRDefault="002C033C">
            <w:pPr>
              <w:pStyle w:val="TextTi12"/>
              <w:spacing w:after="0" w:line="240" w:lineRule="auto"/>
              <w:jc w:val="center"/>
              <w:rPr>
                <w:sz w:val="22"/>
                <w:szCs w:val="22"/>
                <w:rPrChange w:id="630" w:author="Author" w:date="2025-08-22T15:12:00Z">
                  <w:rPr>
                    <w:noProof w:val="0"/>
                    <w:sz w:val="22"/>
                    <w:szCs w:val="22"/>
                  </w:rPr>
                </w:rPrChange>
              </w:rPr>
            </w:pPr>
            <w:r>
              <w:rPr>
                <w:sz w:val="22"/>
                <w:szCs w:val="22"/>
                <w:rPrChange w:id="631" w:author="Author" w:date="2025-08-22T15:12:00Z">
                  <w:rPr>
                    <w:noProof w:val="0"/>
                    <w:sz w:val="22"/>
                    <w:szCs w:val="22"/>
                  </w:rPr>
                </w:rPrChange>
              </w:rPr>
              <w:t>90,7 %</w:t>
            </w:r>
            <w:r>
              <w:rPr>
                <w:sz w:val="22"/>
                <w:szCs w:val="22"/>
                <w:vertAlign w:val="superscript"/>
                <w:rPrChange w:id="632" w:author="Author" w:date="2025-08-22T15:12:00Z">
                  <w:rPr>
                    <w:noProof w:val="0"/>
                    <w:sz w:val="22"/>
                    <w:szCs w:val="22"/>
                    <w:vertAlign w:val="superscript"/>
                  </w:rPr>
                </w:rPrChange>
              </w:rPr>
              <w:t>1</w:t>
            </w:r>
          </w:p>
        </w:tc>
        <w:tc>
          <w:tcPr>
            <w:tcW w:w="3261" w:type="dxa"/>
          </w:tcPr>
          <w:p w14:paraId="4F0EF97C" w14:textId="77777777" w:rsidR="009700E5" w:rsidRPr="009700E5" w:rsidRDefault="002C033C">
            <w:pPr>
              <w:pStyle w:val="TextTi12"/>
              <w:spacing w:after="0" w:line="240" w:lineRule="auto"/>
              <w:jc w:val="center"/>
              <w:rPr>
                <w:sz w:val="22"/>
                <w:szCs w:val="22"/>
                <w:rPrChange w:id="633" w:author="Author" w:date="2025-08-22T15:12:00Z">
                  <w:rPr>
                    <w:noProof w:val="0"/>
                    <w:sz w:val="22"/>
                    <w:szCs w:val="22"/>
                  </w:rPr>
                </w:rPrChange>
              </w:rPr>
            </w:pPr>
            <w:r>
              <w:rPr>
                <w:sz w:val="22"/>
                <w:szCs w:val="22"/>
                <w:rPrChange w:id="634" w:author="Author" w:date="2025-08-22T15:12:00Z">
                  <w:rPr>
                    <w:noProof w:val="0"/>
                    <w:sz w:val="22"/>
                    <w:szCs w:val="22"/>
                  </w:rPr>
                </w:rPrChange>
              </w:rPr>
              <w:t>24,3 %</w:t>
            </w:r>
          </w:p>
        </w:tc>
      </w:tr>
      <w:tr w:rsidR="009700E5" w14:paraId="13C93CB9" w14:textId="77777777">
        <w:tc>
          <w:tcPr>
            <w:tcW w:w="2235" w:type="dxa"/>
          </w:tcPr>
          <w:p w14:paraId="0A123FC2" w14:textId="77777777" w:rsidR="009700E5" w:rsidRPr="009700E5" w:rsidRDefault="002C033C">
            <w:pPr>
              <w:pStyle w:val="TextTi12"/>
              <w:spacing w:after="0" w:line="240" w:lineRule="auto"/>
              <w:rPr>
                <w:sz w:val="22"/>
                <w:szCs w:val="22"/>
                <w:rPrChange w:id="635" w:author="Author" w:date="2025-08-22T15:12:00Z">
                  <w:rPr>
                    <w:noProof w:val="0"/>
                    <w:sz w:val="22"/>
                    <w:szCs w:val="22"/>
                  </w:rPr>
                </w:rPrChange>
              </w:rPr>
            </w:pPr>
            <w:r>
              <w:rPr>
                <w:sz w:val="22"/>
                <w:szCs w:val="22"/>
                <w:rPrChange w:id="636" w:author="Author" w:date="2025-08-22T15:12:00Z">
                  <w:rPr>
                    <w:noProof w:val="0"/>
                    <w:sz w:val="22"/>
                    <w:szCs w:val="22"/>
                  </w:rPr>
                </w:rPrChange>
              </w:rPr>
              <w:t>JIA ACR 50</w:t>
            </w:r>
          </w:p>
        </w:tc>
        <w:tc>
          <w:tcPr>
            <w:tcW w:w="2409" w:type="dxa"/>
          </w:tcPr>
          <w:p w14:paraId="79249B2A" w14:textId="77777777" w:rsidR="009700E5" w:rsidRPr="009700E5" w:rsidRDefault="002C033C">
            <w:pPr>
              <w:pStyle w:val="TextTi12"/>
              <w:spacing w:after="0" w:line="240" w:lineRule="auto"/>
              <w:jc w:val="center"/>
              <w:rPr>
                <w:sz w:val="22"/>
                <w:szCs w:val="22"/>
                <w:rPrChange w:id="637" w:author="Author" w:date="2025-08-22T15:12:00Z">
                  <w:rPr>
                    <w:noProof w:val="0"/>
                    <w:sz w:val="22"/>
                    <w:szCs w:val="22"/>
                  </w:rPr>
                </w:rPrChange>
              </w:rPr>
            </w:pPr>
            <w:r>
              <w:rPr>
                <w:sz w:val="22"/>
                <w:szCs w:val="22"/>
                <w:rPrChange w:id="638" w:author="Author" w:date="2025-08-22T15:12:00Z">
                  <w:rPr>
                    <w:noProof w:val="0"/>
                    <w:sz w:val="22"/>
                    <w:szCs w:val="22"/>
                  </w:rPr>
                </w:rPrChange>
              </w:rPr>
              <w:t>85,3 %</w:t>
            </w:r>
            <w:r>
              <w:rPr>
                <w:sz w:val="22"/>
                <w:szCs w:val="22"/>
                <w:vertAlign w:val="superscript"/>
                <w:rPrChange w:id="639" w:author="Author" w:date="2025-08-22T15:12:00Z">
                  <w:rPr>
                    <w:noProof w:val="0"/>
                    <w:sz w:val="22"/>
                    <w:szCs w:val="22"/>
                    <w:vertAlign w:val="superscript"/>
                  </w:rPr>
                </w:rPrChange>
              </w:rPr>
              <w:t>1</w:t>
            </w:r>
          </w:p>
        </w:tc>
        <w:tc>
          <w:tcPr>
            <w:tcW w:w="3261" w:type="dxa"/>
          </w:tcPr>
          <w:p w14:paraId="0C61821D" w14:textId="77777777" w:rsidR="009700E5" w:rsidRPr="009700E5" w:rsidRDefault="002C033C">
            <w:pPr>
              <w:pStyle w:val="TextTi12"/>
              <w:spacing w:after="0" w:line="240" w:lineRule="auto"/>
              <w:jc w:val="center"/>
              <w:rPr>
                <w:sz w:val="22"/>
                <w:szCs w:val="22"/>
                <w:rPrChange w:id="640" w:author="Author" w:date="2025-08-22T15:12:00Z">
                  <w:rPr>
                    <w:noProof w:val="0"/>
                    <w:sz w:val="22"/>
                    <w:szCs w:val="22"/>
                  </w:rPr>
                </w:rPrChange>
              </w:rPr>
            </w:pPr>
            <w:r>
              <w:rPr>
                <w:sz w:val="22"/>
                <w:szCs w:val="22"/>
                <w:rPrChange w:id="641" w:author="Author" w:date="2025-08-22T15:12:00Z">
                  <w:rPr>
                    <w:noProof w:val="0"/>
                    <w:sz w:val="22"/>
                    <w:szCs w:val="22"/>
                  </w:rPr>
                </w:rPrChange>
              </w:rPr>
              <w:t>10,8 %</w:t>
            </w:r>
          </w:p>
        </w:tc>
      </w:tr>
      <w:tr w:rsidR="009700E5" w14:paraId="16C95A65" w14:textId="77777777">
        <w:tc>
          <w:tcPr>
            <w:tcW w:w="2235" w:type="dxa"/>
          </w:tcPr>
          <w:p w14:paraId="2A2B42CD" w14:textId="77777777" w:rsidR="009700E5" w:rsidRPr="009700E5" w:rsidRDefault="002C033C">
            <w:pPr>
              <w:pStyle w:val="TextTi12"/>
              <w:spacing w:after="0" w:line="240" w:lineRule="auto"/>
              <w:rPr>
                <w:sz w:val="22"/>
                <w:szCs w:val="22"/>
                <w:rPrChange w:id="642" w:author="Author" w:date="2025-08-22T15:12:00Z">
                  <w:rPr>
                    <w:noProof w:val="0"/>
                    <w:sz w:val="22"/>
                    <w:szCs w:val="22"/>
                  </w:rPr>
                </w:rPrChange>
              </w:rPr>
            </w:pPr>
            <w:r>
              <w:rPr>
                <w:sz w:val="22"/>
                <w:szCs w:val="22"/>
                <w:rPrChange w:id="643" w:author="Author" w:date="2025-08-22T15:12:00Z">
                  <w:rPr>
                    <w:noProof w:val="0"/>
                    <w:sz w:val="22"/>
                    <w:szCs w:val="22"/>
                  </w:rPr>
                </w:rPrChange>
              </w:rPr>
              <w:t>JIA ACR 70</w:t>
            </w:r>
          </w:p>
        </w:tc>
        <w:tc>
          <w:tcPr>
            <w:tcW w:w="2409" w:type="dxa"/>
          </w:tcPr>
          <w:p w14:paraId="58AE71C9" w14:textId="77777777" w:rsidR="009700E5" w:rsidRPr="009700E5" w:rsidRDefault="002C033C">
            <w:pPr>
              <w:pStyle w:val="TextTi12"/>
              <w:spacing w:after="0" w:line="240" w:lineRule="auto"/>
              <w:jc w:val="center"/>
              <w:rPr>
                <w:sz w:val="22"/>
                <w:szCs w:val="22"/>
                <w:rPrChange w:id="644" w:author="Author" w:date="2025-08-22T15:12:00Z">
                  <w:rPr>
                    <w:noProof w:val="0"/>
                    <w:sz w:val="22"/>
                    <w:szCs w:val="22"/>
                  </w:rPr>
                </w:rPrChange>
              </w:rPr>
            </w:pPr>
            <w:r>
              <w:rPr>
                <w:sz w:val="22"/>
                <w:szCs w:val="22"/>
                <w:rPrChange w:id="645" w:author="Author" w:date="2025-08-22T15:12:00Z">
                  <w:rPr>
                    <w:noProof w:val="0"/>
                    <w:sz w:val="22"/>
                    <w:szCs w:val="22"/>
                  </w:rPr>
                </w:rPrChange>
              </w:rPr>
              <w:t>70,7 %</w:t>
            </w:r>
            <w:r>
              <w:rPr>
                <w:sz w:val="22"/>
                <w:szCs w:val="22"/>
                <w:vertAlign w:val="superscript"/>
                <w:rPrChange w:id="646" w:author="Author" w:date="2025-08-22T15:12:00Z">
                  <w:rPr>
                    <w:noProof w:val="0"/>
                    <w:sz w:val="22"/>
                    <w:szCs w:val="22"/>
                    <w:vertAlign w:val="superscript"/>
                  </w:rPr>
                </w:rPrChange>
              </w:rPr>
              <w:t>1</w:t>
            </w:r>
          </w:p>
        </w:tc>
        <w:tc>
          <w:tcPr>
            <w:tcW w:w="3261" w:type="dxa"/>
          </w:tcPr>
          <w:p w14:paraId="37501884" w14:textId="77777777" w:rsidR="009700E5" w:rsidRPr="009700E5" w:rsidRDefault="002C033C">
            <w:pPr>
              <w:pStyle w:val="TextTi12"/>
              <w:spacing w:after="0" w:line="240" w:lineRule="auto"/>
              <w:jc w:val="center"/>
              <w:rPr>
                <w:sz w:val="22"/>
                <w:szCs w:val="22"/>
                <w:rPrChange w:id="647" w:author="Author" w:date="2025-08-22T15:12:00Z">
                  <w:rPr>
                    <w:noProof w:val="0"/>
                    <w:sz w:val="22"/>
                    <w:szCs w:val="22"/>
                  </w:rPr>
                </w:rPrChange>
              </w:rPr>
            </w:pPr>
            <w:r>
              <w:rPr>
                <w:sz w:val="22"/>
                <w:szCs w:val="22"/>
                <w:rPrChange w:id="648" w:author="Author" w:date="2025-08-22T15:12:00Z">
                  <w:rPr>
                    <w:noProof w:val="0"/>
                    <w:sz w:val="22"/>
                    <w:szCs w:val="22"/>
                  </w:rPr>
                </w:rPrChange>
              </w:rPr>
              <w:t>8,1 %</w:t>
            </w:r>
          </w:p>
        </w:tc>
      </w:tr>
      <w:tr w:rsidR="009700E5" w14:paraId="19BE0562" w14:textId="77777777">
        <w:tc>
          <w:tcPr>
            <w:tcW w:w="2235" w:type="dxa"/>
          </w:tcPr>
          <w:p w14:paraId="459D9162" w14:textId="77777777" w:rsidR="009700E5" w:rsidRPr="009700E5" w:rsidRDefault="002C033C">
            <w:pPr>
              <w:pStyle w:val="TextTi12"/>
              <w:spacing w:after="0" w:line="240" w:lineRule="auto"/>
              <w:jc w:val="left"/>
              <w:rPr>
                <w:sz w:val="22"/>
                <w:szCs w:val="22"/>
                <w:rPrChange w:id="649" w:author="Author" w:date="2025-08-22T15:12:00Z">
                  <w:rPr>
                    <w:noProof w:val="0"/>
                    <w:sz w:val="22"/>
                    <w:szCs w:val="22"/>
                  </w:rPr>
                </w:rPrChange>
              </w:rPr>
            </w:pPr>
            <w:r>
              <w:rPr>
                <w:sz w:val="22"/>
                <w:szCs w:val="22"/>
                <w:rPrChange w:id="650" w:author="Author" w:date="2025-08-22T15:12:00Z">
                  <w:rPr>
                    <w:noProof w:val="0"/>
                    <w:sz w:val="22"/>
                    <w:szCs w:val="22"/>
                  </w:rPr>
                </w:rPrChange>
              </w:rPr>
              <w:t>JIA ACR 90</w:t>
            </w:r>
          </w:p>
        </w:tc>
        <w:tc>
          <w:tcPr>
            <w:tcW w:w="2409" w:type="dxa"/>
          </w:tcPr>
          <w:p w14:paraId="48DF3B63" w14:textId="77777777" w:rsidR="009700E5" w:rsidRPr="009700E5" w:rsidRDefault="002C033C">
            <w:pPr>
              <w:pStyle w:val="TextTi12"/>
              <w:spacing w:after="0" w:line="240" w:lineRule="auto"/>
              <w:jc w:val="center"/>
              <w:rPr>
                <w:sz w:val="22"/>
                <w:szCs w:val="22"/>
                <w:rPrChange w:id="651" w:author="Author" w:date="2025-08-22T15:12:00Z">
                  <w:rPr>
                    <w:noProof w:val="0"/>
                    <w:sz w:val="22"/>
                    <w:szCs w:val="22"/>
                  </w:rPr>
                </w:rPrChange>
              </w:rPr>
            </w:pPr>
            <w:r>
              <w:rPr>
                <w:sz w:val="22"/>
                <w:szCs w:val="22"/>
                <w:rPrChange w:id="652" w:author="Author" w:date="2025-08-22T15:12:00Z">
                  <w:rPr>
                    <w:noProof w:val="0"/>
                    <w:sz w:val="22"/>
                    <w:szCs w:val="22"/>
                  </w:rPr>
                </w:rPrChange>
              </w:rPr>
              <w:t>37,3 %</w:t>
            </w:r>
            <w:r>
              <w:rPr>
                <w:sz w:val="22"/>
                <w:szCs w:val="22"/>
                <w:vertAlign w:val="superscript"/>
                <w:rPrChange w:id="653" w:author="Author" w:date="2025-08-22T15:12:00Z">
                  <w:rPr>
                    <w:noProof w:val="0"/>
                    <w:sz w:val="22"/>
                    <w:szCs w:val="22"/>
                    <w:vertAlign w:val="superscript"/>
                  </w:rPr>
                </w:rPrChange>
              </w:rPr>
              <w:t>1</w:t>
            </w:r>
          </w:p>
        </w:tc>
        <w:tc>
          <w:tcPr>
            <w:tcW w:w="3261" w:type="dxa"/>
          </w:tcPr>
          <w:p w14:paraId="36F61630" w14:textId="77777777" w:rsidR="009700E5" w:rsidRPr="009700E5" w:rsidRDefault="002C033C">
            <w:pPr>
              <w:pStyle w:val="TextTi12"/>
              <w:spacing w:after="0" w:line="240" w:lineRule="auto"/>
              <w:jc w:val="center"/>
              <w:rPr>
                <w:sz w:val="22"/>
                <w:szCs w:val="22"/>
                <w:rPrChange w:id="654" w:author="Author" w:date="2025-08-22T15:12:00Z">
                  <w:rPr>
                    <w:noProof w:val="0"/>
                    <w:sz w:val="22"/>
                    <w:szCs w:val="22"/>
                  </w:rPr>
                </w:rPrChange>
              </w:rPr>
            </w:pPr>
            <w:r>
              <w:rPr>
                <w:sz w:val="22"/>
                <w:szCs w:val="22"/>
                <w:rPrChange w:id="655" w:author="Author" w:date="2025-08-22T15:12:00Z">
                  <w:rPr>
                    <w:noProof w:val="0"/>
                    <w:sz w:val="22"/>
                    <w:szCs w:val="22"/>
                  </w:rPr>
                </w:rPrChange>
              </w:rPr>
              <w:t>5,4 %</w:t>
            </w:r>
          </w:p>
        </w:tc>
      </w:tr>
    </w:tbl>
    <w:p w14:paraId="29E14131" w14:textId="77777777" w:rsidR="009700E5" w:rsidRDefault="002C033C">
      <w:pPr>
        <w:numPr>
          <w:ilvl w:val="12"/>
          <w:numId w:val="0"/>
        </w:numPr>
        <w:ind w:right="-2"/>
        <w:rPr>
          <w:sz w:val="18"/>
          <w:szCs w:val="18"/>
        </w:rPr>
      </w:pPr>
      <w:r>
        <w:rPr>
          <w:sz w:val="18"/>
          <w:szCs w:val="18"/>
          <w:vertAlign w:val="superscript"/>
        </w:rPr>
        <w:t>1</w:t>
      </w:r>
      <w:r>
        <w:rPr>
          <w:sz w:val="18"/>
          <w:szCs w:val="18"/>
        </w:rPr>
        <w:t>p &lt; 0,0001, tocilizumab oproti placebu</w:t>
      </w:r>
    </w:p>
    <w:p w14:paraId="418EBE4E" w14:textId="77777777" w:rsidR="009700E5" w:rsidRDefault="009700E5">
      <w:pPr>
        <w:numPr>
          <w:ilvl w:val="12"/>
          <w:numId w:val="0"/>
        </w:numPr>
        <w:ind w:right="-2"/>
        <w:rPr>
          <w:iCs/>
        </w:rPr>
      </w:pPr>
    </w:p>
    <w:p w14:paraId="1C279772" w14:textId="77777777" w:rsidR="009700E5" w:rsidRDefault="002C033C">
      <w:pPr>
        <w:numPr>
          <w:ilvl w:val="12"/>
          <w:numId w:val="0"/>
        </w:numPr>
        <w:ind w:right="-2"/>
        <w:rPr>
          <w:i/>
          <w:iCs/>
        </w:rPr>
      </w:pPr>
      <w:r>
        <w:rPr>
          <w:i/>
          <w:iCs/>
        </w:rPr>
        <w:t>Systémové účinky</w:t>
      </w:r>
    </w:p>
    <w:p w14:paraId="35E9B37A" w14:textId="77777777" w:rsidR="009700E5" w:rsidRDefault="002C033C">
      <w:pPr>
        <w:numPr>
          <w:ilvl w:val="12"/>
          <w:numId w:val="0"/>
        </w:numPr>
        <w:ind w:right="-2"/>
        <w:rPr>
          <w:iCs/>
        </w:rPr>
      </w:pPr>
      <w:r>
        <w:rPr>
          <w:iCs/>
        </w:rPr>
        <w:t xml:space="preserve">Z pacientov liečených tocilizumabom bolo 85 % takých, ktorí mali na začiatku </w:t>
      </w:r>
      <w:del w:id="656" w:author="Author" w:date="2025-07-18T23:04:00Z">
        <w:r>
          <w:rPr>
            <w:iCs/>
          </w:rPr>
          <w:delText xml:space="preserve">štúdie </w:delText>
        </w:r>
      </w:del>
      <w:ins w:id="657" w:author="Author" w:date="2025-07-21T09:43:00Z">
        <w:r>
          <w:t>klinického</w:t>
        </w:r>
        <w:r>
          <w:rPr>
            <w:iCs/>
          </w:rPr>
          <w:t xml:space="preserve"> </w:t>
        </w:r>
      </w:ins>
      <w:ins w:id="658" w:author="Author" w:date="2025-07-18T23:04:00Z">
        <w:r>
          <w:rPr>
            <w:iCs/>
          </w:rPr>
          <w:t xml:space="preserve">skúšania </w:t>
        </w:r>
      </w:ins>
      <w:r>
        <w:rPr>
          <w:iCs/>
        </w:rPr>
        <w:t>horúčku kvôli sJIA a v 12. týždni boli bez horúčky (bez zaznamenania teploty ≥ 37,5 °C počas predošlých 14 dní) oproti 21 % pacientov s placebom (p </w:t>
      </w:r>
      <w:r>
        <w:rPr>
          <w:rFonts w:eastAsia="MS Mincho"/>
          <w:szCs w:val="22"/>
        </w:rPr>
        <w:sym w:font="Symbol" w:char="F03C"/>
      </w:r>
      <w:r>
        <w:rPr>
          <w:iCs/>
        </w:rPr>
        <w:t> 0,0001).</w:t>
      </w:r>
    </w:p>
    <w:p w14:paraId="61971899" w14:textId="77777777" w:rsidR="009700E5" w:rsidRDefault="009700E5">
      <w:pPr>
        <w:numPr>
          <w:ilvl w:val="12"/>
          <w:numId w:val="0"/>
        </w:numPr>
        <w:ind w:right="-2"/>
        <w:rPr>
          <w:iCs/>
        </w:rPr>
      </w:pPr>
    </w:p>
    <w:p w14:paraId="7C979825" w14:textId="77777777" w:rsidR="009700E5" w:rsidRDefault="002C033C">
      <w:pPr>
        <w:numPr>
          <w:ilvl w:val="12"/>
          <w:numId w:val="0"/>
        </w:numPr>
        <w:ind w:right="-2"/>
        <w:rPr>
          <w:iCs/>
        </w:rPr>
      </w:pPr>
      <w:r>
        <w:rPr>
          <w:iCs/>
        </w:rPr>
        <w:t>Upravenou priemernou zmenou vo VAS bolesti po 12 týždňoch liečby tocilizumabom bolo zníženie o 41 bodov na škále 0 </w:t>
      </w:r>
      <w:r>
        <w:rPr>
          <w:iCs/>
        </w:rPr>
        <w:noBreakHyphen/>
        <w:t> 100 oproti zníženiu o 1 bod u pacientov s placebom (p </w:t>
      </w:r>
      <w:r>
        <w:rPr>
          <w:rFonts w:eastAsia="MS Mincho"/>
          <w:szCs w:val="22"/>
        </w:rPr>
        <w:sym w:font="Symbol" w:char="F03C"/>
      </w:r>
      <w:r>
        <w:rPr>
          <w:iCs/>
        </w:rPr>
        <w:t> 0,0001).</w:t>
      </w:r>
    </w:p>
    <w:p w14:paraId="5EB4B93A" w14:textId="77777777" w:rsidR="009700E5" w:rsidRDefault="009700E5">
      <w:pPr>
        <w:numPr>
          <w:ilvl w:val="12"/>
          <w:numId w:val="0"/>
        </w:numPr>
        <w:ind w:right="-2"/>
        <w:rPr>
          <w:iCs/>
        </w:rPr>
      </w:pPr>
    </w:p>
    <w:p w14:paraId="5632D497" w14:textId="77777777" w:rsidR="009700E5" w:rsidRDefault="002C033C">
      <w:pPr>
        <w:numPr>
          <w:ilvl w:val="12"/>
          <w:numId w:val="0"/>
        </w:numPr>
        <w:ind w:right="-2"/>
        <w:rPr>
          <w:i/>
          <w:iCs/>
        </w:rPr>
      </w:pPr>
      <w:r>
        <w:rPr>
          <w:i/>
          <w:iCs/>
        </w:rPr>
        <w:t>Postupné znižovanie dávok kortikosteroidov</w:t>
      </w:r>
    </w:p>
    <w:p w14:paraId="77127B9F" w14:textId="77777777" w:rsidR="009700E5" w:rsidRDefault="002C033C">
      <w:pPr>
        <w:numPr>
          <w:ilvl w:val="12"/>
          <w:numId w:val="0"/>
        </w:numPr>
        <w:ind w:right="-2"/>
        <w:rPr>
          <w:iCs/>
        </w:rPr>
      </w:pPr>
      <w:r>
        <w:rPr>
          <w:iCs/>
        </w:rPr>
        <w:t>Pacientom, ktorí dosiahli odpoveď JIA ACR 70 bolo povolené zníženie dávky kortikosteroidov. Sedemnásť (24 %) pacientov liečených tocilizumabom oproti 1 (3 %) pacientovi s placebom bolo schopných znížiť svoju dávku kortikosteroidov o aspoň 20 % bez zaznamenania následného vzplanutia JIA ACR 30 alebo objavenia sa systémových príznakov do 12. týždňa (p = 0,028). Znižovanie kortikosteroidov pokračovalo, pričom 44 pacientov v 44. týždni úplne prestalo užívať kortikosteroidy pri súčasnom zachovaní odpovede JIA ACR.</w:t>
      </w:r>
    </w:p>
    <w:p w14:paraId="1B1D69A4" w14:textId="77777777" w:rsidR="009700E5" w:rsidRDefault="009700E5">
      <w:pPr>
        <w:numPr>
          <w:ilvl w:val="12"/>
          <w:numId w:val="0"/>
        </w:numPr>
        <w:ind w:right="-2"/>
        <w:rPr>
          <w:iCs/>
        </w:rPr>
      </w:pPr>
    </w:p>
    <w:p w14:paraId="526A7B30" w14:textId="77777777" w:rsidR="009700E5" w:rsidRDefault="002C033C">
      <w:pPr>
        <w:keepNext/>
        <w:keepLines/>
        <w:rPr>
          <w:i/>
        </w:rPr>
      </w:pPr>
      <w:r>
        <w:rPr>
          <w:i/>
        </w:rPr>
        <w:lastRenderedPageBreak/>
        <w:t>Zdravotné výsledky a výsledky týkajúce sa kvality života</w:t>
      </w:r>
    </w:p>
    <w:p w14:paraId="5A04CCA2" w14:textId="77777777" w:rsidR="009700E5" w:rsidRDefault="002C033C">
      <w:pPr>
        <w:keepNext/>
        <w:keepLines/>
        <w:numPr>
          <w:ilvl w:val="12"/>
          <w:numId w:val="0"/>
        </w:numPr>
        <w:ind w:right="-2"/>
        <w:rPr>
          <w:iCs/>
        </w:rPr>
      </w:pPr>
      <w:r>
        <w:rPr>
          <w:iCs/>
        </w:rPr>
        <w:t>V 12. týždni bol pomer pacientov liečených tocilizumabom s minimálnym klinicky významným zlepšením v Detskom dotazníku hodnotenia zdravia </w:t>
      </w:r>
      <w:r>
        <w:rPr>
          <w:iCs/>
        </w:rPr>
        <w:noBreakHyphen/>
        <w:t> indexe neschopnosti (definovanom ako individuálne zníženie skóre ≥ 0,13) signifikantne vyšší ako u pacientov liečených placebom, 77 % oproti 19 % (p </w:t>
      </w:r>
      <w:r>
        <w:rPr>
          <w:rFonts w:eastAsia="MS Mincho"/>
          <w:szCs w:val="22"/>
        </w:rPr>
        <w:sym w:font="Symbol" w:char="F03C"/>
      </w:r>
      <w:r>
        <w:rPr>
          <w:iCs/>
        </w:rPr>
        <w:t> 0,0001).</w:t>
      </w:r>
    </w:p>
    <w:p w14:paraId="052B47C9" w14:textId="77777777" w:rsidR="009700E5" w:rsidRDefault="009700E5">
      <w:pPr>
        <w:numPr>
          <w:ilvl w:val="12"/>
          <w:numId w:val="0"/>
        </w:numPr>
        <w:ind w:right="-2"/>
        <w:rPr>
          <w:iCs/>
        </w:rPr>
      </w:pPr>
    </w:p>
    <w:p w14:paraId="686D90D5" w14:textId="77777777" w:rsidR="009700E5" w:rsidRDefault="002C033C">
      <w:pPr>
        <w:numPr>
          <w:ilvl w:val="12"/>
          <w:numId w:val="0"/>
        </w:numPr>
        <w:ind w:right="-2"/>
        <w:rPr>
          <w:i/>
          <w:iCs/>
        </w:rPr>
      </w:pPr>
      <w:r>
        <w:rPr>
          <w:i/>
          <w:iCs/>
        </w:rPr>
        <w:t>Laboratórne parametre</w:t>
      </w:r>
    </w:p>
    <w:p w14:paraId="4E5A18AA" w14:textId="77777777" w:rsidR="009700E5" w:rsidRDefault="002C033C">
      <w:pPr>
        <w:numPr>
          <w:ilvl w:val="12"/>
          <w:numId w:val="0"/>
        </w:numPr>
        <w:ind w:right="-2"/>
        <w:rPr>
          <w:iCs/>
        </w:rPr>
      </w:pPr>
      <w:r>
        <w:rPr>
          <w:iCs/>
        </w:rPr>
        <w:t xml:space="preserve">Päťdesiat zo sedemdesiat päť (67 %) pacientov liečených tocilizumabom malo na začiatku </w:t>
      </w:r>
      <w:del w:id="659" w:author="Author" w:date="2025-07-18T23:05:00Z">
        <w:r>
          <w:rPr>
            <w:iCs/>
          </w:rPr>
          <w:delText xml:space="preserve">štúdie </w:delText>
        </w:r>
      </w:del>
      <w:ins w:id="660" w:author="Author" w:date="2025-07-21T09:43:00Z">
        <w:r>
          <w:t>klinického</w:t>
        </w:r>
        <w:r>
          <w:rPr>
            <w:iCs/>
          </w:rPr>
          <w:t xml:space="preserve"> </w:t>
        </w:r>
      </w:ins>
      <w:ins w:id="661" w:author="Author" w:date="2025-07-18T23:05:00Z">
        <w:r>
          <w:rPr>
            <w:iCs/>
          </w:rPr>
          <w:t xml:space="preserve">skúšania </w:t>
        </w:r>
      </w:ins>
      <w:r>
        <w:rPr>
          <w:iCs/>
        </w:rPr>
        <w:t xml:space="preserve">hemoglobín </w:t>
      </w:r>
      <w:r>
        <w:rPr>
          <w:rFonts w:eastAsia="MS Mincho"/>
          <w:szCs w:val="22"/>
        </w:rPr>
        <w:sym w:font="Symbol" w:char="F03C"/>
      </w:r>
      <w:r>
        <w:rPr>
          <w:iCs/>
        </w:rPr>
        <w:t xml:space="preserve"> LLN (dolná hranica referenčného rozpätia). Štyridsať (80 %) z týchto pacientov zaznamenalo zvýšenie hemoglobínu na úroveň v rámci normálnych hodnôt v 12. týždni, v porovnaní s iba 2 z 29 (7 %) pacientov liečených placebom s hemoglobínom na pôvodnej hodnote </w:t>
      </w:r>
      <w:r>
        <w:rPr>
          <w:rFonts w:eastAsia="MS Mincho"/>
          <w:szCs w:val="22"/>
        </w:rPr>
        <w:sym w:font="Symbol" w:char="F03C"/>
      </w:r>
      <w:r>
        <w:rPr>
          <w:iCs/>
        </w:rPr>
        <w:t> LLN (p </w:t>
      </w:r>
      <w:r>
        <w:rPr>
          <w:rFonts w:eastAsia="MS Mincho"/>
          <w:szCs w:val="22"/>
        </w:rPr>
        <w:sym w:font="Symbol" w:char="F03C"/>
      </w:r>
      <w:r>
        <w:rPr>
          <w:iCs/>
        </w:rPr>
        <w:t> 0,0001).</w:t>
      </w:r>
    </w:p>
    <w:p w14:paraId="71711110" w14:textId="77777777" w:rsidR="009700E5" w:rsidRDefault="009700E5">
      <w:pPr>
        <w:numPr>
          <w:ilvl w:val="12"/>
          <w:numId w:val="0"/>
        </w:numPr>
        <w:ind w:right="-2"/>
        <w:rPr>
          <w:iCs/>
        </w:rPr>
      </w:pPr>
    </w:p>
    <w:p w14:paraId="19A894D1" w14:textId="77777777" w:rsidR="009700E5" w:rsidRDefault="002C033C">
      <w:pPr>
        <w:numPr>
          <w:ilvl w:val="12"/>
          <w:numId w:val="0"/>
        </w:numPr>
        <w:ind w:right="-2"/>
        <w:rPr>
          <w:u w:val="single"/>
        </w:rPr>
      </w:pPr>
      <w:r>
        <w:rPr>
          <w:u w:val="single"/>
        </w:rPr>
        <w:t>Pediatrická populácia s pJIA</w:t>
      </w:r>
    </w:p>
    <w:p w14:paraId="7361CF18" w14:textId="77777777" w:rsidR="009700E5" w:rsidRDefault="002C033C">
      <w:pPr>
        <w:numPr>
          <w:ilvl w:val="12"/>
          <w:numId w:val="0"/>
        </w:numPr>
        <w:ind w:right="-2"/>
        <w:rPr>
          <w:i/>
        </w:rPr>
      </w:pPr>
      <w:r>
        <w:rPr>
          <w:i/>
        </w:rPr>
        <w:t>Klinická účinnosť</w:t>
      </w:r>
    </w:p>
    <w:p w14:paraId="0A52BC44" w14:textId="77777777" w:rsidR="009700E5" w:rsidRDefault="002C033C">
      <w:pPr>
        <w:numPr>
          <w:ilvl w:val="12"/>
          <w:numId w:val="0"/>
        </w:numPr>
        <w:ind w:right="-2"/>
        <w:rPr>
          <w:iCs/>
        </w:rPr>
      </w:pPr>
      <w:r>
        <w:rPr>
          <w:iCs/>
        </w:rPr>
        <w:t>Účinnosť tocilizumabu sa hodnotila v</w:t>
      </w:r>
      <w:del w:id="662" w:author="Author" w:date="2025-07-18T23:17:00Z">
        <w:r>
          <w:rPr>
            <w:iCs/>
          </w:rPr>
          <w:delText> </w:delText>
        </w:r>
      </w:del>
      <w:ins w:id="663" w:author="Author" w:date="2025-07-18T23:17:00Z">
        <w:r>
          <w:rPr>
            <w:iCs/>
          </w:rPr>
          <w:t> </w:t>
        </w:r>
      </w:ins>
      <w:del w:id="664" w:author="Author" w:date="2025-07-18T23:17:00Z">
        <w:r>
          <w:rPr>
            <w:iCs/>
          </w:rPr>
          <w:delText xml:space="preserve">štúdii </w:delText>
        </w:r>
      </w:del>
      <w:ins w:id="665" w:author="Author" w:date="2025-07-21T09:44:00Z">
        <w:r>
          <w:rPr>
            <w:iCs/>
          </w:rPr>
          <w:t xml:space="preserve">klinickom </w:t>
        </w:r>
      </w:ins>
      <w:ins w:id="666" w:author="Author" w:date="2025-07-18T23:17:00Z">
        <w:r>
          <w:rPr>
            <w:iCs/>
          </w:rPr>
          <w:t xml:space="preserve">skúšaní </w:t>
        </w:r>
      </w:ins>
      <w:r>
        <w:rPr>
          <w:iCs/>
        </w:rPr>
        <w:t>WA19977 s tromi časťami vrátane otvoreného rozšírenia u detí s aktívnou pJIA. Časť I pozostávala zo 16</w:t>
      </w:r>
      <w:r>
        <w:rPr>
          <w:iCs/>
        </w:rPr>
        <w:noBreakHyphen/>
        <w:t>týždnovej, aktívnej, začiatočnej etapy liečby tocilizumabom (n = 188), po ktorej nasledovala časť II, 24</w:t>
      </w:r>
      <w:r>
        <w:rPr>
          <w:iCs/>
        </w:rPr>
        <w:noBreakHyphen/>
        <w:t>týždňové, randomizované, dvojito zaslepené, placebom kontrolované obdobie ukončenia liečby (n = 163), a po nej časť III, 64</w:t>
      </w:r>
      <w:r>
        <w:rPr>
          <w:iCs/>
        </w:rPr>
        <w:noBreakHyphen/>
        <w:t xml:space="preserve">týždňové otvorené obdobie. V časti I vhodní pacienti ≥ 30 kg dostávali tocilizumab v dávke 8 mg/kg intravenózne 4 dávky každé 4 týždne. Pacienti </w:t>
      </w:r>
      <w:r>
        <w:rPr>
          <w:rFonts w:eastAsia="MS Mincho"/>
          <w:szCs w:val="22"/>
        </w:rPr>
        <w:sym w:font="Symbol" w:char="F03C"/>
      </w:r>
      <w:r>
        <w:rPr>
          <w:iCs/>
        </w:rPr>
        <w:t xml:space="preserve"> 30 kg boli randomizovaní 1:1 a dostávali buď 8 mg/kg, alebo 10 mg/kg tocilizumabu intravenózne každé 4 týždne 4 dávky. Pacienti, ktorí dokončili časť I </w:t>
      </w:r>
      <w:del w:id="667" w:author="Author" w:date="2025-07-18T23:17:00Z">
        <w:r>
          <w:rPr>
            <w:iCs/>
          </w:rPr>
          <w:delText xml:space="preserve">štúdie </w:delText>
        </w:r>
      </w:del>
      <w:ins w:id="668" w:author="Author" w:date="2025-07-21T09:44:00Z">
        <w:r>
          <w:t>klinického</w:t>
        </w:r>
        <w:r>
          <w:rPr>
            <w:iCs/>
          </w:rPr>
          <w:t xml:space="preserve"> </w:t>
        </w:r>
      </w:ins>
      <w:ins w:id="669" w:author="Author" w:date="2025-07-18T23:17:00Z">
        <w:r>
          <w:rPr>
            <w:iCs/>
          </w:rPr>
          <w:t xml:space="preserve">skúšania </w:t>
        </w:r>
      </w:ins>
      <w:r>
        <w:rPr>
          <w:iCs/>
        </w:rPr>
        <w:t>a dosiahli aspoň JIA ACR 30 odpoveď v 16. týždni v porovnaní s východiskovou hodnotou boli vhodní vstúpiť do zaslepeného obdobia s ukončenou liečbou (časť II). V časti II boli pacienti randomizovaní na tocilizumab (rovnakú dávku dostávali v časti I) alebo na placebo v pomere 1:1, boli stratifikovaní podľa súčasného použitia MTX a súčasného použitia kortikosteroidov. Každý pacient pokračoval v </w:t>
      </w:r>
      <w:del w:id="670" w:author="Author" w:date="2025-07-18T23:17:00Z">
        <w:r>
          <w:rPr>
            <w:iCs/>
          </w:rPr>
          <w:delText xml:space="preserve">štúdii </w:delText>
        </w:r>
      </w:del>
      <w:ins w:id="671" w:author="Author" w:date="2025-07-21T09:44:00Z">
        <w:r>
          <w:rPr>
            <w:iCs/>
          </w:rPr>
          <w:t xml:space="preserve">klinickom </w:t>
        </w:r>
      </w:ins>
      <w:ins w:id="672" w:author="Author" w:date="2025-07-18T23:17:00Z">
        <w:r>
          <w:rPr>
            <w:iCs/>
          </w:rPr>
          <w:t xml:space="preserve">skúšaní </w:t>
        </w:r>
      </w:ins>
      <w:r>
        <w:rPr>
          <w:iCs/>
        </w:rPr>
        <w:t>v časti II až do 40. týždňa alebo kým pacient dosiahol JIA ACR 30 kritériá vzplanutia (oproti 16. týždňu) a bol vhodný pre ukončenie liečby tocilizumabom (rovnakú dávku dostali v časti I).</w:t>
      </w:r>
    </w:p>
    <w:p w14:paraId="230D2996" w14:textId="77777777" w:rsidR="009700E5" w:rsidRDefault="009700E5">
      <w:pPr>
        <w:numPr>
          <w:ilvl w:val="12"/>
          <w:numId w:val="0"/>
        </w:numPr>
        <w:ind w:right="-2"/>
        <w:rPr>
          <w:iCs/>
        </w:rPr>
      </w:pPr>
    </w:p>
    <w:p w14:paraId="4B0131C3" w14:textId="77777777" w:rsidR="009700E5" w:rsidRDefault="002C033C">
      <w:pPr>
        <w:keepNext/>
        <w:keepLines/>
        <w:numPr>
          <w:ilvl w:val="12"/>
          <w:numId w:val="0"/>
        </w:numPr>
        <w:rPr>
          <w:i/>
          <w:iCs/>
        </w:rPr>
      </w:pPr>
      <w:r>
        <w:rPr>
          <w:i/>
          <w:iCs/>
        </w:rPr>
        <w:t>Klinická odpoveď</w:t>
      </w:r>
    </w:p>
    <w:p w14:paraId="07DEF09E" w14:textId="77777777" w:rsidR="009700E5" w:rsidRDefault="002C033C">
      <w:pPr>
        <w:numPr>
          <w:ilvl w:val="12"/>
          <w:numId w:val="0"/>
        </w:numPr>
        <w:ind w:right="-2"/>
        <w:rPr>
          <w:iCs/>
        </w:rPr>
      </w:pPr>
      <w:r>
        <w:rPr>
          <w:iCs/>
        </w:rPr>
        <w:t>Primárnym koncovým ukazovateľom bol podiel pacientov s JIA ACR 30 vzplanutím v 40. týždni vzhľadom k 16. týždňu. Štyridsaťosem percent (48,1 %, 39/81) pacientov liečených placebom malo vzplanutie v porovnaní s 25,6 % (21/82) pacientov liečených tocilizumabom. Tieto podiely boli štatisticky významne rozdielne (p = 0,0024).</w:t>
      </w:r>
    </w:p>
    <w:p w14:paraId="0EC18AA9" w14:textId="77777777" w:rsidR="009700E5" w:rsidRDefault="009700E5">
      <w:pPr>
        <w:numPr>
          <w:ilvl w:val="12"/>
          <w:numId w:val="0"/>
        </w:numPr>
        <w:ind w:right="-2"/>
        <w:rPr>
          <w:iCs/>
        </w:rPr>
      </w:pPr>
    </w:p>
    <w:p w14:paraId="31F11DC8" w14:textId="77777777" w:rsidR="009700E5" w:rsidRDefault="002C033C">
      <w:pPr>
        <w:numPr>
          <w:ilvl w:val="12"/>
          <w:numId w:val="0"/>
        </w:numPr>
        <w:ind w:right="-2"/>
        <w:rPr>
          <w:iCs/>
        </w:rPr>
      </w:pPr>
      <w:r>
        <w:rPr>
          <w:iCs/>
        </w:rPr>
        <w:t>V závere časti I boli JIA ACR 30/50/70/90 odpovede 89,4 %; 83,0 %; 62,2 % a 26,1 %; v uvedenom poradí.</w:t>
      </w:r>
    </w:p>
    <w:p w14:paraId="0A1057D4" w14:textId="77777777" w:rsidR="009700E5" w:rsidRDefault="009700E5">
      <w:pPr>
        <w:numPr>
          <w:ilvl w:val="12"/>
          <w:numId w:val="0"/>
        </w:numPr>
        <w:ind w:right="-2"/>
        <w:rPr>
          <w:iCs/>
        </w:rPr>
      </w:pPr>
    </w:p>
    <w:p w14:paraId="30060F26" w14:textId="77777777" w:rsidR="009700E5" w:rsidRDefault="002C033C">
      <w:pPr>
        <w:rPr>
          <w:rFonts w:cs="Arial"/>
          <w:bCs/>
          <w:szCs w:val="22"/>
        </w:rPr>
      </w:pPr>
      <w:r>
        <w:t>V priebehu fázy vysadenia liečby (časť II) percento pacientov, ktorí dosiahli JIA ACR odpovede 30, 50 a 70 v 40. týždni v porovnaní s východiskovými hodnotami</w:t>
      </w:r>
      <w:r>
        <w:rPr>
          <w:rFonts w:cs="Arial"/>
          <w:szCs w:val="22"/>
          <w:lang w:eastAsia="de-DE"/>
        </w:rPr>
        <w:t xml:space="preserve"> je uvedené v tabuľke 9. V tejto štatistickej analýze pacienti, u ktorých došlo počas časti II k vzplanutiu ochorenia (a prešli do tocilizumabovej skupiny) alebo ktorí odstúpili z</w:t>
      </w:r>
      <w:ins w:id="673" w:author="Author" w:date="2025-07-21T09:44:00Z">
        <w:r>
          <w:rPr>
            <w:rFonts w:cs="Arial"/>
            <w:szCs w:val="22"/>
            <w:lang w:eastAsia="de-DE"/>
          </w:rPr>
          <w:t> </w:t>
        </w:r>
      </w:ins>
      <w:del w:id="674" w:author="Author" w:date="2025-07-21T09:44:00Z">
        <w:r>
          <w:rPr>
            <w:rFonts w:cs="Arial"/>
            <w:szCs w:val="22"/>
            <w:lang w:eastAsia="de-DE"/>
          </w:rPr>
          <w:delText xml:space="preserve">o </w:delText>
        </w:r>
      </w:del>
      <w:del w:id="675" w:author="Author" w:date="2025-07-18T23:05:00Z">
        <w:r>
          <w:rPr>
            <w:rFonts w:cs="Arial"/>
            <w:szCs w:val="22"/>
            <w:lang w:eastAsia="de-DE"/>
          </w:rPr>
          <w:delText>štúdie</w:delText>
        </w:r>
      </w:del>
      <w:ins w:id="676" w:author="Author" w:date="2025-07-21T09:45:00Z">
        <w:r>
          <w:rPr>
            <w:rFonts w:cs="Arial"/>
            <w:szCs w:val="22"/>
            <w:lang w:eastAsia="de-DE"/>
          </w:rPr>
          <w:t xml:space="preserve">klinického </w:t>
        </w:r>
      </w:ins>
      <w:ins w:id="677" w:author="Author" w:date="2025-07-18T23:05:00Z">
        <w:r>
          <w:rPr>
            <w:rFonts w:cs="Arial"/>
            <w:szCs w:val="22"/>
            <w:lang w:eastAsia="de-DE"/>
          </w:rPr>
          <w:t>skúšania</w:t>
        </w:r>
      </w:ins>
      <w:r>
        <w:rPr>
          <w:rFonts w:cs="Arial"/>
          <w:szCs w:val="22"/>
          <w:lang w:eastAsia="de-DE"/>
        </w:rPr>
        <w:t>, boli klasifikovaní ako neodpovedajúci na liečbu.</w:t>
      </w:r>
      <w:r>
        <w:rPr>
          <w:rFonts w:cs="Arial"/>
          <w:bCs/>
          <w:szCs w:val="22"/>
        </w:rPr>
        <w:t xml:space="preserve"> Ďalšie analýzy JIA ACR odpovedí, vzhľadom na pozorované údaje v 40. týždni, bez ohľadu na stav vzplanutia, ukázali, že do 40. týždňa 95,1 % pacientov, ktorí dostávali kontinuálnu liečbu tocilizumabom, dosiahli JIA ACR 30 alebo vyššiu.</w:t>
      </w:r>
    </w:p>
    <w:p w14:paraId="737FE1F2" w14:textId="77777777" w:rsidR="009700E5" w:rsidRDefault="009700E5">
      <w:pPr>
        <w:rPr>
          <w:rFonts w:cs="Arial"/>
          <w:bCs/>
          <w:szCs w:val="22"/>
        </w:rPr>
      </w:pPr>
    </w:p>
    <w:p w14:paraId="0C0BE326" w14:textId="77777777" w:rsidR="009700E5" w:rsidRDefault="002C033C">
      <w:pPr>
        <w:keepNext/>
        <w:keepLines/>
        <w:numPr>
          <w:ilvl w:val="12"/>
          <w:numId w:val="0"/>
        </w:numPr>
        <w:ind w:right="-2"/>
        <w:rPr>
          <w:i/>
          <w:iCs/>
        </w:rPr>
      </w:pPr>
      <w:r>
        <w:rPr>
          <w:i/>
          <w:iCs/>
        </w:rPr>
        <w:lastRenderedPageBreak/>
        <w:t xml:space="preserve">Tabuľka 9. Pozorovaný výskyt JIA ACR odpovede v 40. týždni v porovnaní s východiskovými hodnotami (percento pacientov) </w:t>
      </w:r>
    </w:p>
    <w:p w14:paraId="3F15E160" w14:textId="77777777" w:rsidR="009700E5" w:rsidRDefault="009700E5">
      <w:pPr>
        <w:keepNext/>
        <w:keepLines/>
        <w:numPr>
          <w:ilvl w:val="12"/>
          <w:numId w:val="0"/>
        </w:numPr>
        <w:ind w:left="993" w:right="-2" w:hanging="993"/>
        <w:rPr>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409"/>
        <w:gridCol w:w="2694"/>
      </w:tblGrid>
      <w:tr w:rsidR="009700E5" w14:paraId="1ADDF5A7" w14:textId="77777777">
        <w:tc>
          <w:tcPr>
            <w:tcW w:w="2802" w:type="dxa"/>
          </w:tcPr>
          <w:p w14:paraId="4573FF09" w14:textId="77777777" w:rsidR="009700E5" w:rsidRDefault="002C033C">
            <w:pPr>
              <w:keepNext/>
              <w:keepLines/>
              <w:spacing w:after="170" w:line="280" w:lineRule="atLeast"/>
              <w:jc w:val="both"/>
              <w:rPr>
                <w:szCs w:val="22"/>
                <w:lang w:eastAsia="de-DE"/>
              </w:rPr>
            </w:pPr>
            <w:r>
              <w:rPr>
                <w:b/>
                <w:bCs/>
                <w:color w:val="000000"/>
                <w:szCs w:val="22"/>
              </w:rPr>
              <w:t>Výskyt odpovede</w:t>
            </w:r>
          </w:p>
        </w:tc>
        <w:tc>
          <w:tcPr>
            <w:tcW w:w="2409" w:type="dxa"/>
          </w:tcPr>
          <w:p w14:paraId="0E0BC9F9" w14:textId="77777777" w:rsidR="009700E5" w:rsidRDefault="002C033C">
            <w:pPr>
              <w:keepNext/>
              <w:keepLines/>
              <w:spacing w:after="170" w:line="280" w:lineRule="atLeast"/>
              <w:jc w:val="both"/>
              <w:rPr>
                <w:szCs w:val="22"/>
                <w:lang w:eastAsia="de-DE"/>
              </w:rPr>
            </w:pPr>
            <w:r>
              <w:rPr>
                <w:szCs w:val="22"/>
                <w:lang w:eastAsia="de-DE"/>
              </w:rPr>
              <w:t>Tocilizumab</w:t>
            </w:r>
          </w:p>
          <w:p w14:paraId="755016CB" w14:textId="77777777" w:rsidR="009700E5" w:rsidRDefault="002C033C">
            <w:pPr>
              <w:keepNext/>
              <w:keepLines/>
              <w:spacing w:after="170" w:line="280" w:lineRule="atLeast"/>
              <w:jc w:val="both"/>
              <w:rPr>
                <w:szCs w:val="22"/>
                <w:lang w:eastAsia="de-DE"/>
              </w:rPr>
            </w:pPr>
            <w:ins w:id="678" w:author="Author" w:date="2025-07-18T23:05:00Z">
              <w:r>
                <w:rPr>
                  <w:szCs w:val="22"/>
                  <w:lang w:eastAsia="de-DE"/>
                </w:rPr>
                <w:t>n</w:t>
              </w:r>
            </w:ins>
            <w:del w:id="679" w:author="Author" w:date="2025-07-18T23:05:00Z">
              <w:r>
                <w:rPr>
                  <w:szCs w:val="22"/>
                  <w:lang w:eastAsia="de-DE"/>
                </w:rPr>
                <w:delText>N</w:delText>
              </w:r>
            </w:del>
            <w:r>
              <w:rPr>
                <w:szCs w:val="22"/>
                <w:lang w:eastAsia="de-DE"/>
              </w:rPr>
              <w:t> = 82</w:t>
            </w:r>
          </w:p>
        </w:tc>
        <w:tc>
          <w:tcPr>
            <w:tcW w:w="2694" w:type="dxa"/>
          </w:tcPr>
          <w:p w14:paraId="1C875293" w14:textId="77777777" w:rsidR="009700E5" w:rsidRDefault="002C033C">
            <w:pPr>
              <w:keepNext/>
              <w:keepLines/>
              <w:spacing w:after="170" w:line="280" w:lineRule="atLeast"/>
              <w:jc w:val="both"/>
              <w:rPr>
                <w:szCs w:val="22"/>
                <w:lang w:eastAsia="de-DE"/>
              </w:rPr>
            </w:pPr>
            <w:r>
              <w:rPr>
                <w:szCs w:val="22"/>
                <w:lang w:eastAsia="de-DE"/>
              </w:rPr>
              <w:t>Placebo</w:t>
            </w:r>
          </w:p>
          <w:p w14:paraId="0E778961" w14:textId="77777777" w:rsidR="009700E5" w:rsidRDefault="002C033C">
            <w:pPr>
              <w:keepNext/>
              <w:keepLines/>
              <w:spacing w:after="170" w:line="280" w:lineRule="atLeast"/>
              <w:jc w:val="both"/>
              <w:rPr>
                <w:szCs w:val="22"/>
                <w:lang w:eastAsia="de-DE"/>
              </w:rPr>
            </w:pPr>
            <w:ins w:id="680" w:author="Author" w:date="2025-07-18T23:06:00Z">
              <w:r>
                <w:rPr>
                  <w:szCs w:val="22"/>
                  <w:lang w:eastAsia="de-DE"/>
                </w:rPr>
                <w:t>n</w:t>
              </w:r>
            </w:ins>
            <w:del w:id="681" w:author="Author" w:date="2025-07-18T23:06:00Z">
              <w:r>
                <w:rPr>
                  <w:szCs w:val="22"/>
                  <w:lang w:eastAsia="de-DE"/>
                </w:rPr>
                <w:delText>N</w:delText>
              </w:r>
            </w:del>
            <w:r>
              <w:rPr>
                <w:szCs w:val="22"/>
                <w:lang w:eastAsia="de-DE"/>
              </w:rPr>
              <w:t> = 81</w:t>
            </w:r>
          </w:p>
        </w:tc>
      </w:tr>
      <w:tr w:rsidR="009700E5" w14:paraId="717CE3B0" w14:textId="77777777">
        <w:tc>
          <w:tcPr>
            <w:tcW w:w="2802" w:type="dxa"/>
          </w:tcPr>
          <w:p w14:paraId="5025CFF9" w14:textId="77777777" w:rsidR="009700E5" w:rsidRDefault="002C033C">
            <w:pPr>
              <w:keepNext/>
              <w:keepLines/>
              <w:spacing w:after="170" w:line="280" w:lineRule="atLeast"/>
              <w:jc w:val="both"/>
              <w:rPr>
                <w:szCs w:val="22"/>
                <w:lang w:eastAsia="de-DE"/>
              </w:rPr>
            </w:pPr>
            <w:r>
              <w:rPr>
                <w:szCs w:val="22"/>
                <w:lang w:eastAsia="de-DE"/>
              </w:rPr>
              <w:t>ACR 30</w:t>
            </w:r>
          </w:p>
        </w:tc>
        <w:tc>
          <w:tcPr>
            <w:tcW w:w="2409" w:type="dxa"/>
          </w:tcPr>
          <w:p w14:paraId="55A86829" w14:textId="77777777" w:rsidR="009700E5" w:rsidRDefault="002C033C">
            <w:pPr>
              <w:keepNext/>
              <w:keepLines/>
              <w:spacing w:after="170" w:line="280" w:lineRule="atLeast"/>
              <w:jc w:val="both"/>
              <w:rPr>
                <w:szCs w:val="22"/>
                <w:lang w:eastAsia="de-DE"/>
              </w:rPr>
            </w:pPr>
            <w:r>
              <w:rPr>
                <w:szCs w:val="22"/>
                <w:lang w:eastAsia="de-DE"/>
              </w:rPr>
              <w:t>74,4</w:t>
            </w:r>
            <w:r>
              <w:rPr>
                <w:iCs/>
              </w:rPr>
              <w:t> </w:t>
            </w:r>
            <w:r>
              <w:rPr>
                <w:szCs w:val="22"/>
                <w:lang w:eastAsia="de-DE"/>
              </w:rPr>
              <w:t>%*</w:t>
            </w:r>
          </w:p>
        </w:tc>
        <w:tc>
          <w:tcPr>
            <w:tcW w:w="2694" w:type="dxa"/>
          </w:tcPr>
          <w:p w14:paraId="38B0CB88" w14:textId="77777777" w:rsidR="009700E5" w:rsidRDefault="002C033C">
            <w:pPr>
              <w:keepNext/>
              <w:keepLines/>
              <w:spacing w:after="170" w:line="280" w:lineRule="atLeast"/>
              <w:jc w:val="both"/>
              <w:rPr>
                <w:szCs w:val="22"/>
                <w:lang w:eastAsia="de-DE"/>
              </w:rPr>
            </w:pPr>
            <w:r>
              <w:rPr>
                <w:szCs w:val="22"/>
                <w:lang w:eastAsia="de-DE"/>
              </w:rPr>
              <w:t>54,3</w:t>
            </w:r>
            <w:r>
              <w:rPr>
                <w:iCs/>
              </w:rPr>
              <w:t> </w:t>
            </w:r>
            <w:r>
              <w:rPr>
                <w:szCs w:val="22"/>
                <w:lang w:eastAsia="de-DE"/>
              </w:rPr>
              <w:t>%*</w:t>
            </w:r>
          </w:p>
        </w:tc>
      </w:tr>
      <w:tr w:rsidR="009700E5" w14:paraId="029524F5" w14:textId="77777777">
        <w:tc>
          <w:tcPr>
            <w:tcW w:w="2802" w:type="dxa"/>
          </w:tcPr>
          <w:p w14:paraId="5F37DB7C" w14:textId="77777777" w:rsidR="009700E5" w:rsidRDefault="002C033C">
            <w:pPr>
              <w:keepNext/>
              <w:keepLines/>
              <w:spacing w:after="170" w:line="280" w:lineRule="atLeast"/>
              <w:jc w:val="both"/>
              <w:rPr>
                <w:szCs w:val="22"/>
                <w:lang w:eastAsia="de-DE"/>
              </w:rPr>
            </w:pPr>
            <w:r>
              <w:rPr>
                <w:szCs w:val="22"/>
                <w:lang w:eastAsia="de-DE"/>
              </w:rPr>
              <w:t>ACR 50</w:t>
            </w:r>
          </w:p>
        </w:tc>
        <w:tc>
          <w:tcPr>
            <w:tcW w:w="2409" w:type="dxa"/>
          </w:tcPr>
          <w:p w14:paraId="7CEC0A52" w14:textId="77777777" w:rsidR="009700E5" w:rsidRDefault="002C033C">
            <w:pPr>
              <w:keepNext/>
              <w:keepLines/>
              <w:spacing w:after="170" w:line="280" w:lineRule="atLeast"/>
              <w:jc w:val="both"/>
              <w:rPr>
                <w:szCs w:val="22"/>
                <w:lang w:eastAsia="de-DE"/>
              </w:rPr>
            </w:pPr>
            <w:r>
              <w:rPr>
                <w:szCs w:val="22"/>
                <w:lang w:eastAsia="de-DE"/>
              </w:rPr>
              <w:t>73,2</w:t>
            </w:r>
            <w:r>
              <w:rPr>
                <w:iCs/>
              </w:rPr>
              <w:t> </w:t>
            </w:r>
            <w:r>
              <w:rPr>
                <w:szCs w:val="22"/>
                <w:lang w:eastAsia="de-DE"/>
              </w:rPr>
              <w:t>%*</w:t>
            </w:r>
          </w:p>
        </w:tc>
        <w:tc>
          <w:tcPr>
            <w:tcW w:w="2694" w:type="dxa"/>
          </w:tcPr>
          <w:p w14:paraId="0654E9AC" w14:textId="77777777" w:rsidR="009700E5" w:rsidRDefault="002C033C">
            <w:pPr>
              <w:keepNext/>
              <w:keepLines/>
              <w:spacing w:after="170" w:line="280" w:lineRule="atLeast"/>
              <w:jc w:val="both"/>
              <w:rPr>
                <w:szCs w:val="22"/>
                <w:lang w:eastAsia="de-DE"/>
              </w:rPr>
            </w:pPr>
            <w:r>
              <w:rPr>
                <w:szCs w:val="22"/>
                <w:lang w:eastAsia="de-DE"/>
              </w:rPr>
              <w:t>51,9</w:t>
            </w:r>
            <w:r>
              <w:rPr>
                <w:iCs/>
              </w:rPr>
              <w:t> </w:t>
            </w:r>
            <w:r>
              <w:rPr>
                <w:szCs w:val="22"/>
                <w:lang w:eastAsia="de-DE"/>
              </w:rPr>
              <w:t>%*</w:t>
            </w:r>
          </w:p>
        </w:tc>
      </w:tr>
      <w:tr w:rsidR="009700E5" w14:paraId="3AFD555A" w14:textId="77777777">
        <w:tc>
          <w:tcPr>
            <w:tcW w:w="2802" w:type="dxa"/>
          </w:tcPr>
          <w:p w14:paraId="2EB78AB2" w14:textId="77777777" w:rsidR="009700E5" w:rsidRDefault="002C033C">
            <w:pPr>
              <w:keepNext/>
              <w:keepLines/>
              <w:spacing w:after="170" w:line="280" w:lineRule="atLeast"/>
              <w:jc w:val="both"/>
              <w:rPr>
                <w:szCs w:val="22"/>
                <w:lang w:eastAsia="de-DE"/>
              </w:rPr>
            </w:pPr>
            <w:r>
              <w:rPr>
                <w:szCs w:val="22"/>
                <w:lang w:eastAsia="de-DE"/>
              </w:rPr>
              <w:t>ACR 70</w:t>
            </w:r>
          </w:p>
        </w:tc>
        <w:tc>
          <w:tcPr>
            <w:tcW w:w="2409" w:type="dxa"/>
          </w:tcPr>
          <w:p w14:paraId="52509147" w14:textId="77777777" w:rsidR="009700E5" w:rsidRDefault="002C033C">
            <w:pPr>
              <w:keepNext/>
              <w:keepLines/>
              <w:spacing w:after="170" w:line="280" w:lineRule="atLeast"/>
              <w:jc w:val="both"/>
              <w:rPr>
                <w:szCs w:val="22"/>
                <w:lang w:eastAsia="de-DE"/>
              </w:rPr>
            </w:pPr>
            <w:r>
              <w:rPr>
                <w:szCs w:val="22"/>
                <w:lang w:eastAsia="de-DE"/>
              </w:rPr>
              <w:t>64,6%*</w:t>
            </w:r>
          </w:p>
        </w:tc>
        <w:tc>
          <w:tcPr>
            <w:tcW w:w="2694" w:type="dxa"/>
          </w:tcPr>
          <w:p w14:paraId="77E22DA0" w14:textId="77777777" w:rsidR="009700E5" w:rsidRDefault="002C033C">
            <w:pPr>
              <w:keepNext/>
              <w:keepLines/>
              <w:spacing w:after="170" w:line="280" w:lineRule="atLeast"/>
              <w:jc w:val="both"/>
              <w:rPr>
                <w:szCs w:val="22"/>
                <w:lang w:eastAsia="de-DE"/>
              </w:rPr>
            </w:pPr>
            <w:r>
              <w:rPr>
                <w:szCs w:val="22"/>
                <w:lang w:eastAsia="de-DE"/>
              </w:rPr>
              <w:t>42,0</w:t>
            </w:r>
            <w:r>
              <w:rPr>
                <w:iCs/>
              </w:rPr>
              <w:t> </w:t>
            </w:r>
            <w:r>
              <w:rPr>
                <w:szCs w:val="22"/>
                <w:lang w:eastAsia="de-DE"/>
              </w:rPr>
              <w:t>%*</w:t>
            </w:r>
          </w:p>
        </w:tc>
      </w:tr>
    </w:tbl>
    <w:p w14:paraId="23C02BD9" w14:textId="77777777" w:rsidR="009700E5" w:rsidRDefault="002C033C">
      <w:pPr>
        <w:numPr>
          <w:ilvl w:val="12"/>
          <w:numId w:val="0"/>
        </w:numPr>
        <w:ind w:right="-2"/>
        <w:rPr>
          <w:sz w:val="18"/>
          <w:szCs w:val="18"/>
        </w:rPr>
      </w:pPr>
      <w:r>
        <w:rPr>
          <w:sz w:val="18"/>
          <w:szCs w:val="18"/>
        </w:rPr>
        <w:t>*p &lt; 0,01, tocilizumab oproti placebu</w:t>
      </w:r>
    </w:p>
    <w:p w14:paraId="1E5EE89E" w14:textId="77777777" w:rsidR="009700E5" w:rsidRDefault="009700E5">
      <w:pPr>
        <w:numPr>
          <w:ilvl w:val="12"/>
          <w:numId w:val="0"/>
        </w:numPr>
        <w:ind w:left="993" w:right="-2" w:hanging="993"/>
        <w:rPr>
          <w:iCs/>
        </w:rPr>
      </w:pPr>
    </w:p>
    <w:p w14:paraId="3A0EC57F" w14:textId="77777777" w:rsidR="009700E5" w:rsidRDefault="002C033C">
      <w:pPr>
        <w:keepNext/>
        <w:keepLines/>
        <w:rPr>
          <w:rFonts w:cs="Arial"/>
          <w:bCs/>
          <w:iCs/>
          <w:szCs w:val="22"/>
        </w:rPr>
      </w:pPr>
      <w:r>
        <w:rPr>
          <w:iCs/>
        </w:rPr>
        <w:t>Počet aktívnych kĺbov bol signifikantne nižší v porovnaní s východiskovými hodnotami u pacientov liečených tocilizumabom v porovnaní s placebom (upravené priemery zmien</w:t>
      </w:r>
      <w:r>
        <w:rPr>
          <w:rFonts w:cs="Arial"/>
          <w:bCs/>
          <w:iCs/>
          <w:szCs w:val="22"/>
        </w:rPr>
        <w:t xml:space="preserve"> -14,3 oproti -11,4, </w:t>
      </w:r>
      <w:r>
        <w:rPr>
          <w:iCs/>
        </w:rPr>
        <w:t>p = 0,0435). Celkové hodnotenie aktivity ochorenia lekárom, merané na škále 0 </w:t>
      </w:r>
      <w:r>
        <w:rPr>
          <w:iCs/>
        </w:rPr>
        <w:noBreakHyphen/>
        <w:t> </w:t>
      </w:r>
      <w:ins w:id="682" w:author="Author" w:date="2025-07-21T09:45:00Z">
        <w:r>
          <w:rPr>
            <w:iCs/>
          </w:rPr>
          <w:t>1</w:t>
        </w:r>
      </w:ins>
      <w:r>
        <w:rPr>
          <w:iCs/>
        </w:rPr>
        <w:t>00 mm, ukázalo výrazné zníženie aktivity ochorenia u tocilizumabu v porovnaní s placebom (upravené priemery zmien -45,2 mm oproti -35,2 mm, p = 0,0031).</w:t>
      </w:r>
    </w:p>
    <w:p w14:paraId="63BB79A4" w14:textId="77777777" w:rsidR="009700E5" w:rsidRDefault="009700E5">
      <w:pPr>
        <w:rPr>
          <w:rFonts w:cs="Arial"/>
          <w:bCs/>
          <w:iCs/>
          <w:szCs w:val="22"/>
        </w:rPr>
      </w:pPr>
    </w:p>
    <w:p w14:paraId="2A3686FC" w14:textId="77777777" w:rsidR="009700E5" w:rsidRDefault="002C033C">
      <w:pPr>
        <w:rPr>
          <w:iCs/>
        </w:rPr>
      </w:pPr>
      <w:r>
        <w:rPr>
          <w:iCs/>
        </w:rPr>
        <w:t>Upravená priemerná zmena bolesti podľa VAS po 40. týždňoch liečby tocilizumabom bola 32,4 mm, na škále 0 </w:t>
      </w:r>
      <w:r>
        <w:rPr>
          <w:iCs/>
        </w:rPr>
        <w:noBreakHyphen/>
        <w:t> 100 mm, v porovnaní so znížením 22,3 mm u pacientov dostávajúcich placebo (výrazne štatisticky významné; p = 0,0076).</w:t>
      </w:r>
    </w:p>
    <w:p w14:paraId="08E53570" w14:textId="77777777" w:rsidR="009700E5" w:rsidRDefault="009700E5">
      <w:pPr>
        <w:numPr>
          <w:ilvl w:val="12"/>
          <w:numId w:val="0"/>
        </w:numPr>
        <w:ind w:right="-2"/>
        <w:rPr>
          <w:iCs/>
        </w:rPr>
      </w:pPr>
    </w:p>
    <w:p w14:paraId="5C3FAC87" w14:textId="77777777" w:rsidR="009700E5" w:rsidRDefault="002C033C">
      <w:pPr>
        <w:numPr>
          <w:ilvl w:val="12"/>
          <w:numId w:val="0"/>
        </w:numPr>
        <w:ind w:right="-2"/>
        <w:rPr>
          <w:iCs/>
        </w:rPr>
      </w:pPr>
      <w:r>
        <w:rPr>
          <w:iCs/>
        </w:rPr>
        <w:t>Výskyt ACR odpovedí bol početne nižší u pacientov s predchádzajúcou biologickou liečbou ako je uvedené v tabuľke 10 nižšie.</w:t>
      </w:r>
    </w:p>
    <w:p w14:paraId="11CAA2A5" w14:textId="77777777" w:rsidR="009700E5" w:rsidRDefault="009700E5">
      <w:pPr>
        <w:numPr>
          <w:ilvl w:val="12"/>
          <w:numId w:val="0"/>
        </w:numPr>
        <w:ind w:right="-2"/>
        <w:rPr>
          <w:iCs/>
        </w:rPr>
      </w:pPr>
    </w:p>
    <w:p w14:paraId="25CE4120" w14:textId="77777777" w:rsidR="009700E5" w:rsidRDefault="002C033C">
      <w:pPr>
        <w:keepNext/>
        <w:keepLines/>
        <w:rPr>
          <w:rFonts w:eastAsia="Arial" w:cs="Arial"/>
          <w:bCs/>
          <w:i/>
        </w:rPr>
      </w:pPr>
      <w:r>
        <w:rPr>
          <w:rFonts w:eastAsia="Arial" w:cs="Arial"/>
          <w:bCs/>
          <w:i/>
        </w:rPr>
        <w:t>Tabuľka 10. Počet a podiel pacientov so vzplanutím ochorenia J</w:t>
      </w:r>
      <w:r>
        <w:rPr>
          <w:rFonts w:eastAsia="Arial" w:cs="Arial"/>
          <w:bCs/>
          <w:i/>
          <w:spacing w:val="3"/>
        </w:rPr>
        <w:t>I</w:t>
      </w:r>
      <w:r>
        <w:rPr>
          <w:rFonts w:eastAsia="Arial" w:cs="Arial"/>
          <w:bCs/>
          <w:i/>
        </w:rPr>
        <w:t>A</w:t>
      </w:r>
      <w:r>
        <w:rPr>
          <w:rFonts w:eastAsia="Arial" w:cs="Arial"/>
          <w:bCs/>
          <w:i/>
          <w:spacing w:val="-6"/>
        </w:rPr>
        <w:t xml:space="preserve"> </w:t>
      </w:r>
      <w:r>
        <w:rPr>
          <w:rFonts w:eastAsia="Arial" w:cs="Arial"/>
          <w:bCs/>
          <w:i/>
          <w:spacing w:val="-5"/>
        </w:rPr>
        <w:t>A</w:t>
      </w:r>
      <w:r>
        <w:rPr>
          <w:rFonts w:eastAsia="Arial" w:cs="Arial"/>
          <w:bCs/>
          <w:i/>
          <w:spacing w:val="2"/>
        </w:rPr>
        <w:t>C</w:t>
      </w:r>
      <w:r>
        <w:rPr>
          <w:rFonts w:eastAsia="Arial" w:cs="Arial"/>
          <w:bCs/>
          <w:i/>
        </w:rPr>
        <w:t xml:space="preserve">R 30 a podiel pacientov s odpoveďou </w:t>
      </w:r>
      <w:r>
        <w:rPr>
          <w:rFonts w:eastAsia="Arial" w:cs="Arial"/>
          <w:bCs/>
          <w:i/>
          <w:spacing w:val="1"/>
        </w:rPr>
        <w:t>J</w:t>
      </w:r>
      <w:r>
        <w:rPr>
          <w:rFonts w:eastAsia="Arial" w:cs="Arial"/>
          <w:bCs/>
          <w:i/>
          <w:spacing w:val="3"/>
        </w:rPr>
        <w:t>I</w:t>
      </w:r>
      <w:r>
        <w:rPr>
          <w:rFonts w:eastAsia="Arial" w:cs="Arial"/>
          <w:bCs/>
          <w:i/>
        </w:rPr>
        <w:t>A</w:t>
      </w:r>
      <w:r>
        <w:rPr>
          <w:rFonts w:eastAsia="Arial" w:cs="Arial"/>
          <w:bCs/>
          <w:i/>
          <w:spacing w:val="-6"/>
        </w:rPr>
        <w:t xml:space="preserve"> </w:t>
      </w:r>
      <w:r>
        <w:rPr>
          <w:rFonts w:eastAsia="Arial" w:cs="Arial"/>
          <w:bCs/>
          <w:i/>
          <w:spacing w:val="-5"/>
        </w:rPr>
        <w:t>A</w:t>
      </w:r>
      <w:r>
        <w:rPr>
          <w:rFonts w:eastAsia="Arial" w:cs="Arial"/>
          <w:bCs/>
          <w:i/>
          <w:spacing w:val="2"/>
        </w:rPr>
        <w:t>C</w:t>
      </w:r>
      <w:r>
        <w:rPr>
          <w:rFonts w:eastAsia="Arial" w:cs="Arial"/>
          <w:bCs/>
          <w:i/>
        </w:rPr>
        <w:t>R </w:t>
      </w:r>
      <w:r>
        <w:rPr>
          <w:rFonts w:eastAsia="Arial" w:cs="Arial"/>
          <w:bCs/>
          <w:i/>
          <w:spacing w:val="1"/>
        </w:rPr>
        <w:t>30/</w:t>
      </w:r>
      <w:r>
        <w:rPr>
          <w:rFonts w:eastAsia="Arial" w:cs="Arial"/>
          <w:bCs/>
          <w:i/>
          <w:spacing w:val="-1"/>
        </w:rPr>
        <w:t>5</w:t>
      </w:r>
      <w:r>
        <w:rPr>
          <w:rFonts w:eastAsia="Arial" w:cs="Arial"/>
          <w:bCs/>
          <w:i/>
          <w:spacing w:val="1"/>
        </w:rPr>
        <w:t>0/7</w:t>
      </w:r>
      <w:r>
        <w:rPr>
          <w:rFonts w:eastAsia="Arial" w:cs="Arial"/>
          <w:bCs/>
          <w:i/>
          <w:spacing w:val="-1"/>
        </w:rPr>
        <w:t>0</w:t>
      </w:r>
      <w:r>
        <w:rPr>
          <w:rFonts w:eastAsia="Arial" w:cs="Arial"/>
          <w:bCs/>
          <w:i/>
          <w:spacing w:val="1"/>
        </w:rPr>
        <w:t>/9</w:t>
      </w:r>
      <w:r>
        <w:rPr>
          <w:rFonts w:eastAsia="Arial" w:cs="Arial"/>
          <w:bCs/>
          <w:i/>
        </w:rPr>
        <w:t xml:space="preserve">0 v 40. týždni pri predchádzajúcej biologickej liečbe (OITT populácia – časť II </w:t>
      </w:r>
      <w:del w:id="683" w:author="Author" w:date="2025-07-18T23:17:00Z">
        <w:r>
          <w:rPr>
            <w:rFonts w:eastAsia="Arial" w:cs="Arial"/>
            <w:bCs/>
            <w:i/>
          </w:rPr>
          <w:delText>štúdie</w:delText>
        </w:r>
      </w:del>
      <w:ins w:id="684" w:author="Author" w:date="2025-07-21T09:46:00Z">
        <w:del w:id="685" w:author="Author" w:date="2025-07-24T21:03:00Z">
          <w:r>
            <w:delText xml:space="preserve"> </w:delText>
          </w:r>
        </w:del>
        <w:r>
          <w:rPr>
            <w:i/>
            <w:rPrChange w:id="686" w:author="Author" w:date="2025-08-22T15:12:00Z">
              <w:rPr/>
            </w:rPrChange>
          </w:rPr>
          <w:t>klinického</w:t>
        </w:r>
        <w:r>
          <w:rPr>
            <w:rFonts w:eastAsia="Arial" w:cs="Arial"/>
            <w:bCs/>
            <w:i/>
          </w:rPr>
          <w:t xml:space="preserve"> </w:t>
        </w:r>
      </w:ins>
      <w:ins w:id="687" w:author="Author" w:date="2025-07-18T23:17:00Z">
        <w:r>
          <w:rPr>
            <w:rFonts w:eastAsia="Arial" w:cs="Arial"/>
            <w:bCs/>
            <w:i/>
          </w:rPr>
          <w:t>skúšania</w:t>
        </w:r>
      </w:ins>
      <w:r>
        <w:rPr>
          <w:rFonts w:eastAsia="Arial" w:cs="Arial"/>
          <w:bCs/>
          <w:i/>
        </w:rPr>
        <w:t>)</w:t>
      </w:r>
    </w:p>
    <w:p w14:paraId="74A53067" w14:textId="77777777" w:rsidR="009700E5" w:rsidRDefault="009700E5">
      <w:pPr>
        <w:keepNext/>
        <w:keepLines/>
        <w:rPr>
          <w:rFonts w:eastAsia="Arial" w:cs="Arial"/>
          <w:bCs/>
          <w:i/>
        </w:rPr>
      </w:pPr>
    </w:p>
    <w:tbl>
      <w:tblPr>
        <w:tblW w:w="0" w:type="auto"/>
        <w:jc w:val="center"/>
        <w:tblLayout w:type="fixed"/>
        <w:tblCellMar>
          <w:left w:w="0" w:type="dxa"/>
          <w:right w:w="0" w:type="dxa"/>
        </w:tblCellMar>
        <w:tblLook w:val="01E0" w:firstRow="1" w:lastRow="1" w:firstColumn="1" w:lastColumn="1" w:noHBand="0" w:noVBand="0"/>
      </w:tblPr>
      <w:tblGrid>
        <w:gridCol w:w="2297"/>
        <w:gridCol w:w="1613"/>
        <w:gridCol w:w="1615"/>
        <w:gridCol w:w="1613"/>
        <w:gridCol w:w="1615"/>
      </w:tblGrid>
      <w:tr w:rsidR="009700E5" w14:paraId="3C392B31" w14:textId="77777777">
        <w:trPr>
          <w:trHeight w:hRule="exact" w:val="348"/>
          <w:jc w:val="center"/>
        </w:trPr>
        <w:tc>
          <w:tcPr>
            <w:tcW w:w="2297" w:type="dxa"/>
            <w:tcBorders>
              <w:top w:val="single" w:sz="4" w:space="0" w:color="000000"/>
              <w:left w:val="single" w:sz="4" w:space="0" w:color="000000"/>
              <w:bottom w:val="single" w:sz="4" w:space="0" w:color="000000"/>
              <w:right w:val="single" w:sz="4" w:space="0" w:color="000000"/>
            </w:tcBorders>
          </w:tcPr>
          <w:p w14:paraId="003EE013" w14:textId="77777777" w:rsidR="009700E5" w:rsidRDefault="009700E5">
            <w:pPr>
              <w:keepNext/>
              <w:keepLines/>
              <w:rPr>
                <w:szCs w:val="22"/>
              </w:rPr>
            </w:pPr>
          </w:p>
        </w:tc>
        <w:tc>
          <w:tcPr>
            <w:tcW w:w="3228" w:type="dxa"/>
            <w:gridSpan w:val="2"/>
            <w:tcBorders>
              <w:top w:val="single" w:sz="4" w:space="0" w:color="000000"/>
              <w:left w:val="single" w:sz="4" w:space="0" w:color="000000"/>
              <w:bottom w:val="single" w:sz="4" w:space="0" w:color="000000"/>
              <w:right w:val="single" w:sz="4" w:space="0" w:color="000000"/>
            </w:tcBorders>
          </w:tcPr>
          <w:p w14:paraId="0726E7BC" w14:textId="77777777" w:rsidR="009700E5" w:rsidRDefault="002C033C">
            <w:pPr>
              <w:keepNext/>
              <w:keepLines/>
              <w:spacing w:before="51"/>
              <w:ind w:left="1069" w:right="-20"/>
              <w:rPr>
                <w:rFonts w:eastAsia="Arial" w:cs="Arial"/>
                <w:szCs w:val="22"/>
              </w:rPr>
            </w:pPr>
            <w:r>
              <w:rPr>
                <w:rFonts w:eastAsia="Arial" w:cs="Arial"/>
                <w:b/>
                <w:bCs/>
                <w:spacing w:val="-1"/>
                <w:szCs w:val="22"/>
              </w:rPr>
              <w:t>P</w:t>
            </w:r>
            <w:r>
              <w:rPr>
                <w:rFonts w:eastAsia="Arial" w:cs="Arial"/>
                <w:b/>
                <w:bCs/>
                <w:spacing w:val="2"/>
                <w:szCs w:val="22"/>
              </w:rPr>
              <w:t>l</w:t>
            </w:r>
            <w:r>
              <w:rPr>
                <w:rFonts w:eastAsia="Arial" w:cs="Arial"/>
                <w:b/>
                <w:bCs/>
                <w:szCs w:val="22"/>
              </w:rPr>
              <w:t>ace</w:t>
            </w:r>
            <w:r>
              <w:rPr>
                <w:rFonts w:eastAsia="Arial" w:cs="Arial"/>
                <w:b/>
                <w:bCs/>
                <w:spacing w:val="1"/>
                <w:szCs w:val="22"/>
              </w:rPr>
              <w:t>b</w:t>
            </w:r>
            <w:r>
              <w:rPr>
                <w:rFonts w:eastAsia="Arial" w:cs="Arial"/>
                <w:b/>
                <w:bCs/>
                <w:szCs w:val="22"/>
              </w:rPr>
              <w:t>o</w:t>
            </w:r>
          </w:p>
        </w:tc>
        <w:tc>
          <w:tcPr>
            <w:tcW w:w="3228" w:type="dxa"/>
            <w:gridSpan w:val="2"/>
            <w:tcBorders>
              <w:top w:val="single" w:sz="4" w:space="0" w:color="000000"/>
              <w:left w:val="single" w:sz="4" w:space="0" w:color="000000"/>
              <w:bottom w:val="single" w:sz="4" w:space="0" w:color="000000"/>
              <w:right w:val="single" w:sz="4" w:space="0" w:color="000000"/>
            </w:tcBorders>
          </w:tcPr>
          <w:p w14:paraId="7A94DEED" w14:textId="77777777" w:rsidR="009700E5" w:rsidRDefault="002C033C">
            <w:pPr>
              <w:keepNext/>
              <w:keepLines/>
              <w:spacing w:before="51"/>
              <w:ind w:left="412" w:right="123"/>
              <w:rPr>
                <w:rFonts w:eastAsia="Arial" w:cs="Arial"/>
                <w:szCs w:val="22"/>
              </w:rPr>
            </w:pPr>
            <w:r>
              <w:rPr>
                <w:b/>
                <w:szCs w:val="22"/>
                <w:lang w:eastAsia="de-DE"/>
              </w:rPr>
              <w:t>Všetci s tocilizumabom</w:t>
            </w:r>
            <w:r>
              <w:rPr>
                <w:rFonts w:eastAsia="Arial" w:cs="Arial"/>
                <w:b/>
                <w:bCs/>
                <w:spacing w:val="-5"/>
                <w:szCs w:val="22"/>
              </w:rPr>
              <w:t xml:space="preserve"> tocitocilizumabomA</w:t>
            </w:r>
            <w:r>
              <w:rPr>
                <w:rFonts w:eastAsia="Arial" w:cs="Arial"/>
                <w:b/>
                <w:bCs/>
                <w:spacing w:val="3"/>
                <w:szCs w:val="22"/>
              </w:rPr>
              <w:t>l</w:t>
            </w:r>
            <w:r>
              <w:rPr>
                <w:rFonts w:eastAsia="Arial" w:cs="Arial"/>
                <w:b/>
                <w:bCs/>
                <w:szCs w:val="22"/>
              </w:rPr>
              <w:t>l</w:t>
            </w:r>
            <w:r>
              <w:rPr>
                <w:rFonts w:eastAsia="Arial" w:cs="Arial"/>
                <w:b/>
                <w:bCs/>
                <w:spacing w:val="-1"/>
                <w:szCs w:val="22"/>
              </w:rPr>
              <w:t xml:space="preserve"> </w:t>
            </w:r>
            <w:r>
              <w:rPr>
                <w:rFonts w:eastAsia="Arial" w:cs="Arial"/>
                <w:b/>
                <w:bCs/>
                <w:spacing w:val="3"/>
                <w:w w:val="99"/>
                <w:szCs w:val="22"/>
              </w:rPr>
              <w:t>T</w:t>
            </w:r>
            <w:r>
              <w:rPr>
                <w:rFonts w:eastAsia="Arial" w:cs="Arial"/>
                <w:b/>
                <w:bCs/>
                <w:w w:val="99"/>
                <w:szCs w:val="22"/>
              </w:rPr>
              <w:t>CZ</w:t>
            </w:r>
          </w:p>
        </w:tc>
      </w:tr>
      <w:tr w:rsidR="009700E5" w14:paraId="20EE7A30" w14:textId="77777777">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783AC027" w14:textId="77777777" w:rsidR="009700E5" w:rsidRDefault="002C033C">
            <w:pPr>
              <w:spacing w:before="51"/>
              <w:ind w:left="52" w:right="-20"/>
              <w:rPr>
                <w:rFonts w:eastAsia="Arial" w:cs="Arial"/>
                <w:szCs w:val="22"/>
              </w:rPr>
            </w:pPr>
            <w:r>
              <w:rPr>
                <w:rFonts w:eastAsia="Arial" w:cs="Arial"/>
                <w:b/>
                <w:bCs/>
                <w:szCs w:val="22"/>
              </w:rPr>
              <w:t>Bi</w:t>
            </w:r>
            <w:r>
              <w:rPr>
                <w:rFonts w:eastAsia="Arial" w:cs="Arial"/>
                <w:b/>
                <w:bCs/>
                <w:spacing w:val="1"/>
                <w:szCs w:val="22"/>
              </w:rPr>
              <w:t>o</w:t>
            </w:r>
            <w:r>
              <w:rPr>
                <w:rFonts w:eastAsia="Arial" w:cs="Arial"/>
                <w:b/>
                <w:bCs/>
                <w:szCs w:val="22"/>
              </w:rPr>
              <w:t>l</w:t>
            </w:r>
            <w:r>
              <w:rPr>
                <w:rFonts w:eastAsia="Arial" w:cs="Arial"/>
                <w:b/>
                <w:bCs/>
                <w:spacing w:val="1"/>
                <w:szCs w:val="22"/>
              </w:rPr>
              <w:t>og</w:t>
            </w:r>
            <w:r>
              <w:rPr>
                <w:rFonts w:eastAsia="Arial" w:cs="Arial"/>
                <w:b/>
                <w:bCs/>
                <w:szCs w:val="22"/>
              </w:rPr>
              <w:t>ická liečba</w:t>
            </w:r>
          </w:p>
        </w:tc>
        <w:tc>
          <w:tcPr>
            <w:tcW w:w="1613" w:type="dxa"/>
            <w:tcBorders>
              <w:top w:val="single" w:sz="4" w:space="0" w:color="000000"/>
              <w:left w:val="single" w:sz="4" w:space="0" w:color="000000"/>
              <w:bottom w:val="single" w:sz="4" w:space="0" w:color="000000"/>
              <w:right w:val="single" w:sz="4" w:space="0" w:color="000000"/>
            </w:tcBorders>
          </w:tcPr>
          <w:p w14:paraId="00EA91B5" w14:textId="77777777" w:rsidR="009700E5" w:rsidRDefault="002C033C">
            <w:pPr>
              <w:spacing w:before="51"/>
              <w:ind w:left="234" w:right="-20"/>
              <w:rPr>
                <w:rFonts w:eastAsia="Arial" w:cs="Arial"/>
                <w:szCs w:val="22"/>
              </w:rPr>
            </w:pPr>
            <w:r>
              <w:rPr>
                <w:rFonts w:eastAsia="Arial" w:cs="Arial"/>
                <w:b/>
                <w:bCs/>
                <w:spacing w:val="2"/>
                <w:szCs w:val="22"/>
              </w:rPr>
              <w:t>Áno</w:t>
            </w:r>
            <w:r>
              <w:rPr>
                <w:rFonts w:eastAsia="Arial" w:cs="Arial"/>
                <w:b/>
                <w:bCs/>
                <w:spacing w:val="-4"/>
                <w:szCs w:val="22"/>
              </w:rPr>
              <w:t xml:space="preserve"> </w:t>
            </w:r>
            <w:r>
              <w:rPr>
                <w:rFonts w:eastAsia="Arial" w:cs="Arial"/>
                <w:b/>
                <w:bCs/>
                <w:spacing w:val="1"/>
                <w:szCs w:val="22"/>
              </w:rPr>
              <w:t>(</w:t>
            </w:r>
            <w:ins w:id="688" w:author="Author" w:date="2025-07-18T23:06:00Z">
              <w:r>
                <w:rPr>
                  <w:rFonts w:eastAsia="Arial" w:cs="Arial"/>
                  <w:b/>
                  <w:bCs/>
                  <w:szCs w:val="22"/>
                </w:rPr>
                <w:t>n</w:t>
              </w:r>
            </w:ins>
            <w:del w:id="689" w:author="Author" w:date="2025-07-18T23:06:00Z">
              <w:r>
                <w:rPr>
                  <w:rFonts w:eastAsia="Arial" w:cs="Arial"/>
                  <w:b/>
                  <w:bCs/>
                  <w:szCs w:val="22"/>
                </w:rPr>
                <w:delText>N</w:delText>
              </w:r>
            </w:del>
            <w:r>
              <w:rPr>
                <w:rFonts w:eastAsia="Arial" w:cs="Arial"/>
                <w:b/>
                <w:bCs/>
                <w:spacing w:val="-2"/>
                <w:szCs w:val="22"/>
              </w:rPr>
              <w:t xml:space="preserve"> </w:t>
            </w:r>
            <w:r>
              <w:rPr>
                <w:szCs w:val="22"/>
              </w:rPr>
              <w:t>=</w:t>
            </w:r>
            <w:r>
              <w:rPr>
                <w:spacing w:val="4"/>
                <w:szCs w:val="22"/>
              </w:rPr>
              <w:t xml:space="preserve"> </w:t>
            </w:r>
            <w:r>
              <w:rPr>
                <w:rFonts w:eastAsia="Arial" w:cs="Arial"/>
                <w:b/>
                <w:bCs/>
                <w:szCs w:val="22"/>
              </w:rPr>
              <w:t>23)</w:t>
            </w:r>
          </w:p>
        </w:tc>
        <w:tc>
          <w:tcPr>
            <w:tcW w:w="1615" w:type="dxa"/>
            <w:tcBorders>
              <w:top w:val="single" w:sz="4" w:space="0" w:color="000000"/>
              <w:left w:val="single" w:sz="4" w:space="0" w:color="000000"/>
              <w:bottom w:val="single" w:sz="4" w:space="0" w:color="000000"/>
              <w:right w:val="single" w:sz="4" w:space="0" w:color="000000"/>
            </w:tcBorders>
          </w:tcPr>
          <w:p w14:paraId="41E471D8" w14:textId="77777777" w:rsidR="009700E5" w:rsidRDefault="002C033C">
            <w:pPr>
              <w:spacing w:before="51"/>
              <w:ind w:left="280" w:right="-20"/>
              <w:rPr>
                <w:rFonts w:eastAsia="Arial" w:cs="Arial"/>
                <w:szCs w:val="22"/>
              </w:rPr>
            </w:pPr>
            <w:r>
              <w:rPr>
                <w:rFonts w:eastAsia="Arial" w:cs="Arial"/>
                <w:b/>
                <w:bCs/>
                <w:szCs w:val="22"/>
              </w:rPr>
              <w:t>Nie</w:t>
            </w:r>
            <w:r>
              <w:rPr>
                <w:rFonts w:eastAsia="Arial" w:cs="Arial"/>
                <w:b/>
                <w:bCs/>
                <w:spacing w:val="-3"/>
                <w:szCs w:val="22"/>
              </w:rPr>
              <w:t xml:space="preserve"> </w:t>
            </w:r>
            <w:r>
              <w:rPr>
                <w:rFonts w:eastAsia="Arial" w:cs="Arial"/>
                <w:b/>
                <w:bCs/>
                <w:spacing w:val="1"/>
                <w:szCs w:val="22"/>
              </w:rPr>
              <w:t>(</w:t>
            </w:r>
            <w:ins w:id="690" w:author="Author" w:date="2025-07-18T23:06:00Z">
              <w:r>
                <w:rPr>
                  <w:rFonts w:eastAsia="Arial" w:cs="Arial"/>
                  <w:b/>
                  <w:bCs/>
                  <w:szCs w:val="22"/>
                </w:rPr>
                <w:t>n</w:t>
              </w:r>
            </w:ins>
            <w:del w:id="691" w:author="Author" w:date="2025-07-18T23:06:00Z">
              <w:r>
                <w:rPr>
                  <w:rFonts w:eastAsia="Arial" w:cs="Arial"/>
                  <w:b/>
                  <w:bCs/>
                  <w:szCs w:val="22"/>
                </w:rPr>
                <w:delText>N</w:delText>
              </w:r>
            </w:del>
            <w:r>
              <w:rPr>
                <w:rFonts w:eastAsia="Arial" w:cs="Arial"/>
                <w:b/>
                <w:bCs/>
                <w:spacing w:val="-2"/>
                <w:szCs w:val="22"/>
              </w:rPr>
              <w:t xml:space="preserve"> </w:t>
            </w:r>
            <w:r>
              <w:rPr>
                <w:szCs w:val="22"/>
              </w:rPr>
              <w:t>=</w:t>
            </w:r>
            <w:r>
              <w:rPr>
                <w:spacing w:val="4"/>
                <w:szCs w:val="22"/>
              </w:rPr>
              <w:t xml:space="preserve"> </w:t>
            </w:r>
            <w:r>
              <w:rPr>
                <w:rFonts w:eastAsia="Arial" w:cs="Arial"/>
                <w:b/>
                <w:bCs/>
                <w:szCs w:val="22"/>
              </w:rPr>
              <w:t>58)</w:t>
            </w:r>
          </w:p>
        </w:tc>
        <w:tc>
          <w:tcPr>
            <w:tcW w:w="1613" w:type="dxa"/>
            <w:tcBorders>
              <w:top w:val="single" w:sz="4" w:space="0" w:color="000000"/>
              <w:left w:val="single" w:sz="4" w:space="0" w:color="000000"/>
              <w:bottom w:val="single" w:sz="4" w:space="0" w:color="000000"/>
              <w:right w:val="single" w:sz="4" w:space="0" w:color="000000"/>
            </w:tcBorders>
          </w:tcPr>
          <w:p w14:paraId="73F041EF" w14:textId="77777777" w:rsidR="009700E5" w:rsidRDefault="002C033C">
            <w:pPr>
              <w:spacing w:before="51"/>
              <w:ind w:left="234" w:right="-20"/>
              <w:rPr>
                <w:rFonts w:eastAsia="Arial" w:cs="Arial"/>
                <w:szCs w:val="22"/>
              </w:rPr>
            </w:pPr>
            <w:r>
              <w:rPr>
                <w:rFonts w:eastAsia="Arial" w:cs="Arial"/>
                <w:b/>
                <w:bCs/>
                <w:spacing w:val="2"/>
                <w:szCs w:val="22"/>
              </w:rPr>
              <w:t>Áno</w:t>
            </w:r>
            <w:r>
              <w:rPr>
                <w:rFonts w:eastAsia="Arial" w:cs="Arial"/>
                <w:b/>
                <w:bCs/>
                <w:spacing w:val="-5"/>
                <w:szCs w:val="22"/>
              </w:rPr>
              <w:t xml:space="preserve"> </w:t>
            </w:r>
            <w:r>
              <w:rPr>
                <w:rFonts w:eastAsia="Arial" w:cs="Arial"/>
                <w:b/>
                <w:bCs/>
                <w:spacing w:val="1"/>
                <w:szCs w:val="22"/>
              </w:rPr>
              <w:t>(</w:t>
            </w:r>
            <w:ins w:id="692" w:author="Author" w:date="2025-07-18T23:06:00Z">
              <w:r>
                <w:rPr>
                  <w:rFonts w:eastAsia="Arial" w:cs="Arial"/>
                  <w:b/>
                  <w:bCs/>
                  <w:szCs w:val="22"/>
                </w:rPr>
                <w:t>n</w:t>
              </w:r>
            </w:ins>
            <w:del w:id="693" w:author="Author" w:date="2025-07-18T23:06:00Z">
              <w:r>
                <w:rPr>
                  <w:rFonts w:eastAsia="Arial" w:cs="Arial"/>
                  <w:b/>
                  <w:bCs/>
                  <w:szCs w:val="22"/>
                </w:rPr>
                <w:delText>N</w:delText>
              </w:r>
            </w:del>
            <w:r>
              <w:rPr>
                <w:rFonts w:eastAsia="Arial" w:cs="Arial"/>
                <w:b/>
                <w:bCs/>
                <w:spacing w:val="-2"/>
                <w:szCs w:val="22"/>
              </w:rPr>
              <w:t xml:space="preserve"> </w:t>
            </w:r>
            <w:r>
              <w:rPr>
                <w:szCs w:val="22"/>
              </w:rPr>
              <w:t>=</w:t>
            </w:r>
            <w:r>
              <w:rPr>
                <w:spacing w:val="4"/>
                <w:szCs w:val="22"/>
              </w:rPr>
              <w:t xml:space="preserve"> </w:t>
            </w:r>
            <w:r>
              <w:rPr>
                <w:rFonts w:eastAsia="Arial" w:cs="Arial"/>
                <w:b/>
                <w:bCs/>
                <w:szCs w:val="22"/>
              </w:rPr>
              <w:t>27)</w:t>
            </w:r>
          </w:p>
        </w:tc>
        <w:tc>
          <w:tcPr>
            <w:tcW w:w="1615" w:type="dxa"/>
            <w:tcBorders>
              <w:top w:val="single" w:sz="4" w:space="0" w:color="000000"/>
              <w:left w:val="single" w:sz="4" w:space="0" w:color="000000"/>
              <w:bottom w:val="single" w:sz="4" w:space="0" w:color="000000"/>
              <w:right w:val="single" w:sz="4" w:space="0" w:color="000000"/>
            </w:tcBorders>
          </w:tcPr>
          <w:p w14:paraId="631E6AA7" w14:textId="77777777" w:rsidR="009700E5" w:rsidRDefault="002C033C">
            <w:pPr>
              <w:spacing w:before="51"/>
              <w:ind w:left="281" w:right="-20"/>
              <w:rPr>
                <w:rFonts w:eastAsia="Arial" w:cs="Arial"/>
                <w:szCs w:val="22"/>
              </w:rPr>
            </w:pPr>
            <w:r>
              <w:rPr>
                <w:rFonts w:eastAsia="Arial" w:cs="Arial"/>
                <w:b/>
                <w:bCs/>
                <w:szCs w:val="22"/>
              </w:rPr>
              <w:t>Nie</w:t>
            </w:r>
            <w:r>
              <w:rPr>
                <w:rFonts w:eastAsia="Arial" w:cs="Arial"/>
                <w:b/>
                <w:bCs/>
                <w:spacing w:val="-3"/>
                <w:szCs w:val="22"/>
              </w:rPr>
              <w:t xml:space="preserve"> </w:t>
            </w:r>
            <w:r>
              <w:rPr>
                <w:rFonts w:eastAsia="Arial" w:cs="Arial"/>
                <w:b/>
                <w:bCs/>
                <w:spacing w:val="1"/>
                <w:szCs w:val="22"/>
              </w:rPr>
              <w:t>(</w:t>
            </w:r>
            <w:ins w:id="694" w:author="Author" w:date="2025-07-18T23:06:00Z">
              <w:r>
                <w:rPr>
                  <w:rFonts w:eastAsia="Arial" w:cs="Arial"/>
                  <w:b/>
                  <w:bCs/>
                  <w:szCs w:val="22"/>
                </w:rPr>
                <w:t>n</w:t>
              </w:r>
            </w:ins>
            <w:del w:id="695" w:author="Author" w:date="2025-07-18T23:06:00Z">
              <w:r>
                <w:rPr>
                  <w:rFonts w:eastAsia="Arial" w:cs="Arial"/>
                  <w:b/>
                  <w:bCs/>
                  <w:szCs w:val="22"/>
                </w:rPr>
                <w:delText>N</w:delText>
              </w:r>
            </w:del>
            <w:r>
              <w:rPr>
                <w:rFonts w:eastAsia="Arial" w:cs="Arial"/>
                <w:b/>
                <w:bCs/>
                <w:spacing w:val="-2"/>
                <w:szCs w:val="22"/>
              </w:rPr>
              <w:t xml:space="preserve"> </w:t>
            </w:r>
            <w:r>
              <w:rPr>
                <w:szCs w:val="22"/>
              </w:rPr>
              <w:t>=</w:t>
            </w:r>
            <w:r>
              <w:rPr>
                <w:spacing w:val="4"/>
                <w:szCs w:val="22"/>
              </w:rPr>
              <w:t xml:space="preserve"> </w:t>
            </w:r>
            <w:r>
              <w:rPr>
                <w:rFonts w:eastAsia="Arial" w:cs="Arial"/>
                <w:b/>
                <w:bCs/>
                <w:szCs w:val="22"/>
              </w:rPr>
              <w:t>55)</w:t>
            </w:r>
          </w:p>
        </w:tc>
      </w:tr>
      <w:tr w:rsidR="009700E5" w14:paraId="4997C7F4" w14:textId="77777777">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77D23E07" w14:textId="77777777" w:rsidR="009700E5" w:rsidRDefault="002C033C">
            <w:pPr>
              <w:spacing w:before="51"/>
              <w:ind w:left="52" w:right="-20"/>
              <w:rPr>
                <w:rFonts w:eastAsia="Arial" w:cs="Arial"/>
                <w:szCs w:val="22"/>
              </w:rPr>
            </w:pPr>
            <w:r>
              <w:rPr>
                <w:rFonts w:eastAsia="Arial" w:cs="Arial"/>
                <w:spacing w:val="3"/>
                <w:szCs w:val="22"/>
              </w:rPr>
              <w:t>Vzplanutie</w:t>
            </w:r>
            <w:r>
              <w:rPr>
                <w:rFonts w:eastAsia="Arial" w:cs="Arial"/>
                <w:spacing w:val="1"/>
                <w:szCs w:val="22"/>
              </w:rPr>
              <w:t xml:space="preserve"> J</w:t>
            </w:r>
            <w:r>
              <w:rPr>
                <w:rFonts w:eastAsia="Arial" w:cs="Arial"/>
                <w:szCs w:val="22"/>
              </w:rPr>
              <w:t>IA</w:t>
            </w:r>
            <w:r>
              <w:rPr>
                <w:rFonts w:eastAsia="Arial" w:cs="Arial"/>
                <w:spacing w:val="-4"/>
                <w:szCs w:val="22"/>
              </w:rPr>
              <w:t xml:space="preserve"> </w:t>
            </w:r>
            <w:r>
              <w:rPr>
                <w:rFonts w:eastAsia="Arial" w:cs="Arial"/>
                <w:szCs w:val="22"/>
              </w:rPr>
              <w:t>A</w:t>
            </w:r>
            <w:r>
              <w:rPr>
                <w:rFonts w:eastAsia="Arial" w:cs="Arial"/>
                <w:spacing w:val="3"/>
                <w:szCs w:val="22"/>
              </w:rPr>
              <w:t>C</w:t>
            </w:r>
            <w:r>
              <w:rPr>
                <w:rFonts w:eastAsia="Arial" w:cs="Arial"/>
                <w:szCs w:val="22"/>
              </w:rPr>
              <w:t>R 30</w:t>
            </w:r>
          </w:p>
        </w:tc>
        <w:tc>
          <w:tcPr>
            <w:tcW w:w="1613" w:type="dxa"/>
            <w:tcBorders>
              <w:top w:val="single" w:sz="4" w:space="0" w:color="000000"/>
              <w:left w:val="single" w:sz="4" w:space="0" w:color="000000"/>
              <w:bottom w:val="single" w:sz="4" w:space="0" w:color="000000"/>
              <w:right w:val="single" w:sz="4" w:space="0" w:color="000000"/>
            </w:tcBorders>
          </w:tcPr>
          <w:p w14:paraId="57A29465" w14:textId="77777777" w:rsidR="009700E5" w:rsidRDefault="002C033C">
            <w:pPr>
              <w:spacing w:before="51"/>
              <w:ind w:left="402" w:right="-20"/>
              <w:rPr>
                <w:rFonts w:eastAsia="Arial" w:cs="Arial"/>
                <w:szCs w:val="22"/>
              </w:rPr>
            </w:pPr>
            <w:r>
              <w:rPr>
                <w:rFonts w:eastAsia="Arial" w:cs="Arial"/>
                <w:szCs w:val="22"/>
              </w:rPr>
              <w:t>18</w:t>
            </w:r>
            <w:r>
              <w:rPr>
                <w:rFonts w:eastAsia="Arial" w:cs="Arial"/>
                <w:spacing w:val="-3"/>
                <w:szCs w:val="22"/>
              </w:rPr>
              <w:t xml:space="preserve"> </w:t>
            </w:r>
            <w:r>
              <w:rPr>
                <w:rFonts w:eastAsia="Arial" w:cs="Arial"/>
                <w:spacing w:val="1"/>
                <w:szCs w:val="22"/>
              </w:rPr>
              <w:t>(</w:t>
            </w:r>
            <w:r>
              <w:rPr>
                <w:rFonts w:eastAsia="Arial" w:cs="Arial"/>
                <w:szCs w:val="22"/>
              </w:rPr>
              <w:t>78</w:t>
            </w:r>
            <w:r>
              <w:rPr>
                <w:rFonts w:eastAsia="Arial" w:cs="Arial"/>
                <w:spacing w:val="2"/>
                <w:szCs w:val="22"/>
              </w:rPr>
              <w:t>,</w:t>
            </w:r>
            <w:r>
              <w:rPr>
                <w:rFonts w:eastAsia="Arial" w:cs="Arial"/>
                <w:szCs w:val="22"/>
              </w:rPr>
              <w:t>3)</w:t>
            </w:r>
          </w:p>
        </w:tc>
        <w:tc>
          <w:tcPr>
            <w:tcW w:w="1615" w:type="dxa"/>
            <w:tcBorders>
              <w:top w:val="single" w:sz="4" w:space="0" w:color="000000"/>
              <w:left w:val="single" w:sz="4" w:space="0" w:color="000000"/>
              <w:bottom w:val="single" w:sz="4" w:space="0" w:color="000000"/>
              <w:right w:val="single" w:sz="4" w:space="0" w:color="000000"/>
            </w:tcBorders>
          </w:tcPr>
          <w:p w14:paraId="1323B84B" w14:textId="77777777" w:rsidR="009700E5" w:rsidRDefault="002C033C">
            <w:pPr>
              <w:spacing w:before="51"/>
              <w:ind w:left="402" w:right="-20"/>
              <w:rPr>
                <w:rFonts w:eastAsia="Arial" w:cs="Arial"/>
                <w:szCs w:val="22"/>
              </w:rPr>
            </w:pPr>
            <w:r>
              <w:rPr>
                <w:rFonts w:eastAsia="Arial" w:cs="Arial"/>
                <w:szCs w:val="22"/>
              </w:rPr>
              <w:t>21</w:t>
            </w:r>
            <w:r>
              <w:rPr>
                <w:rFonts w:eastAsia="Arial" w:cs="Arial"/>
                <w:spacing w:val="-3"/>
                <w:szCs w:val="22"/>
              </w:rPr>
              <w:t xml:space="preserve"> </w:t>
            </w:r>
            <w:r>
              <w:rPr>
                <w:rFonts w:eastAsia="Arial" w:cs="Arial"/>
                <w:spacing w:val="1"/>
                <w:szCs w:val="22"/>
              </w:rPr>
              <w:t>(</w:t>
            </w:r>
            <w:r>
              <w:rPr>
                <w:rFonts w:eastAsia="Arial" w:cs="Arial"/>
                <w:szCs w:val="22"/>
              </w:rPr>
              <w:t>36</w:t>
            </w:r>
            <w:r>
              <w:rPr>
                <w:rFonts w:eastAsia="Arial" w:cs="Arial"/>
                <w:spacing w:val="2"/>
                <w:szCs w:val="22"/>
              </w:rPr>
              <w:t>,</w:t>
            </w:r>
            <w:r>
              <w:rPr>
                <w:rFonts w:eastAsia="Arial" w:cs="Arial"/>
                <w:szCs w:val="22"/>
              </w:rPr>
              <w:t>2)</w:t>
            </w:r>
          </w:p>
        </w:tc>
        <w:tc>
          <w:tcPr>
            <w:tcW w:w="1613" w:type="dxa"/>
            <w:tcBorders>
              <w:top w:val="single" w:sz="4" w:space="0" w:color="000000"/>
              <w:left w:val="single" w:sz="4" w:space="0" w:color="000000"/>
              <w:bottom w:val="single" w:sz="4" w:space="0" w:color="000000"/>
              <w:right w:val="single" w:sz="4" w:space="0" w:color="000000"/>
            </w:tcBorders>
          </w:tcPr>
          <w:p w14:paraId="5C61C14D" w14:textId="77777777" w:rsidR="009700E5" w:rsidRDefault="002C033C">
            <w:pPr>
              <w:spacing w:before="51"/>
              <w:ind w:left="402" w:right="-20"/>
              <w:rPr>
                <w:rFonts w:eastAsia="Arial" w:cs="Arial"/>
                <w:szCs w:val="22"/>
              </w:rPr>
            </w:pPr>
            <w:r>
              <w:rPr>
                <w:rFonts w:eastAsia="Arial" w:cs="Arial"/>
                <w:szCs w:val="22"/>
              </w:rPr>
              <w:t>12</w:t>
            </w:r>
            <w:r>
              <w:rPr>
                <w:rFonts w:eastAsia="Arial" w:cs="Arial"/>
                <w:spacing w:val="-3"/>
                <w:szCs w:val="22"/>
              </w:rPr>
              <w:t xml:space="preserve"> </w:t>
            </w:r>
            <w:r>
              <w:rPr>
                <w:rFonts w:eastAsia="Arial" w:cs="Arial"/>
                <w:spacing w:val="1"/>
                <w:szCs w:val="22"/>
              </w:rPr>
              <w:t>(</w:t>
            </w:r>
            <w:r>
              <w:rPr>
                <w:rFonts w:eastAsia="Arial" w:cs="Arial"/>
                <w:szCs w:val="22"/>
              </w:rPr>
              <w:t>44</w:t>
            </w:r>
            <w:r>
              <w:rPr>
                <w:rFonts w:eastAsia="Arial" w:cs="Arial"/>
                <w:spacing w:val="2"/>
                <w:szCs w:val="22"/>
              </w:rPr>
              <w:t>,</w:t>
            </w:r>
            <w:r>
              <w:rPr>
                <w:rFonts w:eastAsia="Arial" w:cs="Arial"/>
                <w:szCs w:val="22"/>
              </w:rPr>
              <w:t>4)</w:t>
            </w:r>
          </w:p>
        </w:tc>
        <w:tc>
          <w:tcPr>
            <w:tcW w:w="1615" w:type="dxa"/>
            <w:tcBorders>
              <w:top w:val="single" w:sz="4" w:space="0" w:color="000000"/>
              <w:left w:val="single" w:sz="4" w:space="0" w:color="000000"/>
              <w:bottom w:val="single" w:sz="4" w:space="0" w:color="000000"/>
              <w:right w:val="single" w:sz="4" w:space="0" w:color="000000"/>
            </w:tcBorders>
          </w:tcPr>
          <w:p w14:paraId="2D419FAF" w14:textId="77777777" w:rsidR="009700E5" w:rsidRDefault="002C033C">
            <w:pPr>
              <w:spacing w:before="51"/>
              <w:ind w:left="457" w:right="-20"/>
              <w:rPr>
                <w:rFonts w:eastAsia="Arial" w:cs="Arial"/>
                <w:szCs w:val="22"/>
              </w:rPr>
            </w:pPr>
            <w:r>
              <w:rPr>
                <w:rFonts w:eastAsia="Arial" w:cs="Arial"/>
                <w:szCs w:val="22"/>
              </w:rPr>
              <w:t>9</w:t>
            </w:r>
            <w:r>
              <w:rPr>
                <w:rFonts w:eastAsia="Arial" w:cs="Arial"/>
                <w:spacing w:val="-2"/>
                <w:szCs w:val="22"/>
              </w:rPr>
              <w:t xml:space="preserve"> </w:t>
            </w:r>
            <w:r>
              <w:rPr>
                <w:rFonts w:eastAsia="Arial" w:cs="Arial"/>
                <w:spacing w:val="1"/>
                <w:szCs w:val="22"/>
              </w:rPr>
              <w:t>(</w:t>
            </w:r>
            <w:r>
              <w:rPr>
                <w:rFonts w:eastAsia="Arial" w:cs="Arial"/>
                <w:szCs w:val="22"/>
              </w:rPr>
              <w:t>16,4)</w:t>
            </w:r>
          </w:p>
        </w:tc>
      </w:tr>
      <w:tr w:rsidR="009700E5" w14:paraId="4C4A3AC9" w14:textId="77777777">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5EDEAB23" w14:textId="77777777" w:rsidR="009700E5" w:rsidRDefault="002C033C">
            <w:pPr>
              <w:spacing w:before="51"/>
              <w:ind w:left="52" w:right="-20"/>
              <w:rPr>
                <w:rFonts w:eastAsia="Arial" w:cs="Arial"/>
                <w:szCs w:val="22"/>
              </w:rPr>
            </w:pPr>
            <w:r>
              <w:rPr>
                <w:rFonts w:eastAsia="Arial" w:cs="Arial"/>
                <w:spacing w:val="1"/>
                <w:szCs w:val="22"/>
              </w:rPr>
              <w:t>Odpoveď J</w:t>
            </w:r>
            <w:r>
              <w:rPr>
                <w:rFonts w:eastAsia="Arial" w:cs="Arial"/>
                <w:szCs w:val="22"/>
              </w:rPr>
              <w:t>IA</w:t>
            </w:r>
            <w:r>
              <w:rPr>
                <w:rFonts w:eastAsia="Arial" w:cs="Arial"/>
                <w:spacing w:val="-4"/>
                <w:szCs w:val="22"/>
              </w:rPr>
              <w:t xml:space="preserve"> </w:t>
            </w:r>
            <w:r>
              <w:rPr>
                <w:rFonts w:eastAsia="Arial" w:cs="Arial"/>
                <w:szCs w:val="22"/>
              </w:rPr>
              <w:t>A</w:t>
            </w:r>
            <w:r>
              <w:rPr>
                <w:rFonts w:eastAsia="Arial" w:cs="Arial"/>
                <w:spacing w:val="3"/>
                <w:szCs w:val="22"/>
              </w:rPr>
              <w:t>C</w:t>
            </w:r>
            <w:r>
              <w:rPr>
                <w:rFonts w:eastAsia="Arial" w:cs="Arial"/>
                <w:szCs w:val="22"/>
              </w:rPr>
              <w:t>R 30</w:t>
            </w:r>
          </w:p>
        </w:tc>
        <w:tc>
          <w:tcPr>
            <w:tcW w:w="1613" w:type="dxa"/>
            <w:tcBorders>
              <w:top w:val="single" w:sz="4" w:space="0" w:color="000000"/>
              <w:left w:val="single" w:sz="4" w:space="0" w:color="000000"/>
              <w:bottom w:val="single" w:sz="4" w:space="0" w:color="000000"/>
              <w:right w:val="single" w:sz="4" w:space="0" w:color="000000"/>
            </w:tcBorders>
          </w:tcPr>
          <w:p w14:paraId="1F585334" w14:textId="77777777" w:rsidR="009700E5" w:rsidRDefault="002C033C">
            <w:pPr>
              <w:spacing w:before="51"/>
              <w:ind w:left="457" w:right="-20"/>
              <w:rPr>
                <w:rFonts w:eastAsia="Arial" w:cs="Arial"/>
                <w:szCs w:val="22"/>
              </w:rPr>
            </w:pPr>
            <w:r>
              <w:rPr>
                <w:rFonts w:eastAsia="Arial" w:cs="Arial"/>
                <w:szCs w:val="22"/>
              </w:rPr>
              <w:t>6</w:t>
            </w:r>
            <w:r>
              <w:rPr>
                <w:rFonts w:eastAsia="Arial" w:cs="Arial"/>
                <w:spacing w:val="-2"/>
                <w:szCs w:val="22"/>
              </w:rPr>
              <w:t xml:space="preserve"> </w:t>
            </w:r>
            <w:r>
              <w:rPr>
                <w:rFonts w:eastAsia="Arial" w:cs="Arial"/>
                <w:spacing w:val="1"/>
                <w:szCs w:val="22"/>
              </w:rPr>
              <w:t>(</w:t>
            </w:r>
            <w:r>
              <w:rPr>
                <w:rFonts w:eastAsia="Arial" w:cs="Arial"/>
                <w:szCs w:val="22"/>
              </w:rPr>
              <w:t>26,1)</w:t>
            </w:r>
          </w:p>
        </w:tc>
        <w:tc>
          <w:tcPr>
            <w:tcW w:w="1615" w:type="dxa"/>
            <w:tcBorders>
              <w:top w:val="single" w:sz="4" w:space="0" w:color="000000"/>
              <w:left w:val="single" w:sz="4" w:space="0" w:color="000000"/>
              <w:bottom w:val="single" w:sz="4" w:space="0" w:color="000000"/>
              <w:right w:val="single" w:sz="4" w:space="0" w:color="000000"/>
            </w:tcBorders>
          </w:tcPr>
          <w:p w14:paraId="1A7CC48A" w14:textId="77777777" w:rsidR="009700E5" w:rsidRDefault="002C033C">
            <w:pPr>
              <w:spacing w:before="51"/>
              <w:ind w:left="401" w:right="-20"/>
              <w:rPr>
                <w:rFonts w:eastAsia="Arial" w:cs="Arial"/>
                <w:szCs w:val="22"/>
              </w:rPr>
            </w:pPr>
            <w:r>
              <w:rPr>
                <w:rFonts w:eastAsia="Arial" w:cs="Arial"/>
                <w:szCs w:val="22"/>
              </w:rPr>
              <w:t>38</w:t>
            </w:r>
            <w:r>
              <w:rPr>
                <w:rFonts w:eastAsia="Arial" w:cs="Arial"/>
                <w:spacing w:val="-3"/>
                <w:szCs w:val="22"/>
              </w:rPr>
              <w:t xml:space="preserve"> </w:t>
            </w:r>
            <w:r>
              <w:rPr>
                <w:rFonts w:eastAsia="Arial" w:cs="Arial"/>
                <w:spacing w:val="1"/>
                <w:szCs w:val="22"/>
              </w:rPr>
              <w:t>(</w:t>
            </w:r>
            <w:r>
              <w:rPr>
                <w:rFonts w:eastAsia="Arial" w:cs="Arial"/>
                <w:szCs w:val="22"/>
              </w:rPr>
              <w:t>65</w:t>
            </w:r>
            <w:r>
              <w:rPr>
                <w:rFonts w:eastAsia="Arial" w:cs="Arial"/>
                <w:spacing w:val="2"/>
                <w:szCs w:val="22"/>
              </w:rPr>
              <w:t>,</w:t>
            </w:r>
            <w:r>
              <w:rPr>
                <w:rFonts w:eastAsia="Arial" w:cs="Arial"/>
                <w:szCs w:val="22"/>
              </w:rPr>
              <w:t>5)</w:t>
            </w:r>
          </w:p>
        </w:tc>
        <w:tc>
          <w:tcPr>
            <w:tcW w:w="1613" w:type="dxa"/>
            <w:tcBorders>
              <w:top w:val="single" w:sz="4" w:space="0" w:color="000000"/>
              <w:left w:val="single" w:sz="4" w:space="0" w:color="000000"/>
              <w:bottom w:val="single" w:sz="4" w:space="0" w:color="000000"/>
              <w:right w:val="single" w:sz="4" w:space="0" w:color="000000"/>
            </w:tcBorders>
          </w:tcPr>
          <w:p w14:paraId="3F8CA305" w14:textId="77777777" w:rsidR="009700E5" w:rsidRDefault="002C033C">
            <w:pPr>
              <w:spacing w:before="51"/>
              <w:ind w:left="401" w:right="-20"/>
              <w:rPr>
                <w:rFonts w:eastAsia="Arial" w:cs="Arial"/>
                <w:szCs w:val="22"/>
              </w:rPr>
            </w:pPr>
            <w:r>
              <w:rPr>
                <w:rFonts w:eastAsia="Arial" w:cs="Arial"/>
                <w:szCs w:val="22"/>
              </w:rPr>
              <w:t>15</w:t>
            </w:r>
            <w:r>
              <w:rPr>
                <w:rFonts w:eastAsia="Arial" w:cs="Arial"/>
                <w:spacing w:val="-3"/>
                <w:szCs w:val="22"/>
              </w:rPr>
              <w:t xml:space="preserve"> </w:t>
            </w:r>
            <w:r>
              <w:rPr>
                <w:rFonts w:eastAsia="Arial" w:cs="Arial"/>
                <w:spacing w:val="1"/>
                <w:szCs w:val="22"/>
              </w:rPr>
              <w:t>(</w:t>
            </w:r>
            <w:r>
              <w:rPr>
                <w:rFonts w:eastAsia="Arial" w:cs="Arial"/>
                <w:szCs w:val="22"/>
              </w:rPr>
              <w:t>55</w:t>
            </w:r>
            <w:r>
              <w:rPr>
                <w:rFonts w:eastAsia="Arial" w:cs="Arial"/>
                <w:spacing w:val="2"/>
                <w:szCs w:val="22"/>
              </w:rPr>
              <w:t>,</w:t>
            </w:r>
            <w:r>
              <w:rPr>
                <w:rFonts w:eastAsia="Arial" w:cs="Arial"/>
                <w:szCs w:val="22"/>
              </w:rPr>
              <w:t>6)</w:t>
            </w:r>
          </w:p>
        </w:tc>
        <w:tc>
          <w:tcPr>
            <w:tcW w:w="1615" w:type="dxa"/>
            <w:tcBorders>
              <w:top w:val="single" w:sz="4" w:space="0" w:color="000000"/>
              <w:left w:val="single" w:sz="4" w:space="0" w:color="000000"/>
              <w:bottom w:val="single" w:sz="4" w:space="0" w:color="000000"/>
              <w:right w:val="single" w:sz="4" w:space="0" w:color="000000"/>
            </w:tcBorders>
          </w:tcPr>
          <w:p w14:paraId="1156DC33" w14:textId="77777777" w:rsidR="009700E5" w:rsidRDefault="002C033C">
            <w:pPr>
              <w:spacing w:before="51"/>
              <w:ind w:left="401" w:right="-20"/>
              <w:rPr>
                <w:rFonts w:eastAsia="Arial" w:cs="Arial"/>
                <w:szCs w:val="22"/>
              </w:rPr>
            </w:pPr>
            <w:r>
              <w:rPr>
                <w:rFonts w:eastAsia="Arial" w:cs="Arial"/>
                <w:szCs w:val="22"/>
              </w:rPr>
              <w:t>46</w:t>
            </w:r>
            <w:r>
              <w:rPr>
                <w:rFonts w:eastAsia="Arial" w:cs="Arial"/>
                <w:spacing w:val="-3"/>
                <w:szCs w:val="22"/>
              </w:rPr>
              <w:t xml:space="preserve"> </w:t>
            </w:r>
            <w:r>
              <w:rPr>
                <w:rFonts w:eastAsia="Arial" w:cs="Arial"/>
                <w:spacing w:val="1"/>
                <w:szCs w:val="22"/>
              </w:rPr>
              <w:t>(</w:t>
            </w:r>
            <w:r>
              <w:rPr>
                <w:rFonts w:eastAsia="Arial" w:cs="Arial"/>
                <w:szCs w:val="22"/>
              </w:rPr>
              <w:t>83</w:t>
            </w:r>
            <w:r>
              <w:rPr>
                <w:rFonts w:eastAsia="Arial" w:cs="Arial"/>
                <w:spacing w:val="2"/>
                <w:szCs w:val="22"/>
              </w:rPr>
              <w:t>,</w:t>
            </w:r>
            <w:r>
              <w:rPr>
                <w:rFonts w:eastAsia="Arial" w:cs="Arial"/>
                <w:szCs w:val="22"/>
              </w:rPr>
              <w:t>6)</w:t>
            </w:r>
          </w:p>
        </w:tc>
      </w:tr>
      <w:tr w:rsidR="009700E5" w14:paraId="73E12958" w14:textId="77777777">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56BE1BF1" w14:textId="77777777" w:rsidR="009700E5" w:rsidRDefault="002C033C">
            <w:pPr>
              <w:spacing w:before="51"/>
              <w:ind w:left="52" w:right="-20"/>
              <w:rPr>
                <w:rFonts w:eastAsia="Arial" w:cs="Arial"/>
                <w:szCs w:val="22"/>
              </w:rPr>
            </w:pPr>
            <w:r>
              <w:rPr>
                <w:rFonts w:eastAsia="Arial" w:cs="Arial"/>
                <w:spacing w:val="1"/>
                <w:szCs w:val="22"/>
              </w:rPr>
              <w:t>Odpoveď J</w:t>
            </w:r>
            <w:r>
              <w:rPr>
                <w:rFonts w:eastAsia="Arial" w:cs="Arial"/>
                <w:szCs w:val="22"/>
              </w:rPr>
              <w:t>IA</w:t>
            </w:r>
            <w:r>
              <w:rPr>
                <w:rFonts w:eastAsia="Arial" w:cs="Arial"/>
                <w:spacing w:val="-4"/>
                <w:szCs w:val="22"/>
              </w:rPr>
              <w:t xml:space="preserve"> </w:t>
            </w:r>
            <w:r>
              <w:rPr>
                <w:rFonts w:eastAsia="Arial" w:cs="Arial"/>
                <w:szCs w:val="22"/>
              </w:rPr>
              <w:t>A</w:t>
            </w:r>
            <w:r>
              <w:rPr>
                <w:rFonts w:eastAsia="Arial" w:cs="Arial"/>
                <w:spacing w:val="3"/>
                <w:szCs w:val="22"/>
              </w:rPr>
              <w:t>C</w:t>
            </w:r>
            <w:r>
              <w:rPr>
                <w:rFonts w:eastAsia="Arial" w:cs="Arial"/>
                <w:szCs w:val="22"/>
              </w:rPr>
              <w:t>R 50</w:t>
            </w:r>
          </w:p>
        </w:tc>
        <w:tc>
          <w:tcPr>
            <w:tcW w:w="1613" w:type="dxa"/>
            <w:tcBorders>
              <w:top w:val="single" w:sz="4" w:space="0" w:color="000000"/>
              <w:left w:val="single" w:sz="4" w:space="0" w:color="000000"/>
              <w:bottom w:val="single" w:sz="4" w:space="0" w:color="000000"/>
              <w:right w:val="single" w:sz="4" w:space="0" w:color="000000"/>
            </w:tcBorders>
          </w:tcPr>
          <w:p w14:paraId="5642CE1B" w14:textId="77777777" w:rsidR="009700E5" w:rsidRDefault="002C033C">
            <w:pPr>
              <w:spacing w:before="51"/>
              <w:ind w:left="457" w:right="-20"/>
              <w:rPr>
                <w:rFonts w:eastAsia="Arial" w:cs="Arial"/>
                <w:szCs w:val="22"/>
              </w:rPr>
            </w:pPr>
            <w:r>
              <w:rPr>
                <w:rFonts w:eastAsia="Arial" w:cs="Arial"/>
                <w:szCs w:val="22"/>
              </w:rPr>
              <w:t>5</w:t>
            </w:r>
            <w:r>
              <w:rPr>
                <w:rFonts w:eastAsia="Arial" w:cs="Arial"/>
                <w:spacing w:val="-2"/>
                <w:szCs w:val="22"/>
              </w:rPr>
              <w:t xml:space="preserve"> </w:t>
            </w:r>
            <w:r>
              <w:rPr>
                <w:rFonts w:eastAsia="Arial" w:cs="Arial"/>
                <w:spacing w:val="1"/>
                <w:szCs w:val="22"/>
              </w:rPr>
              <w:t>(</w:t>
            </w:r>
            <w:r>
              <w:rPr>
                <w:rFonts w:eastAsia="Arial" w:cs="Arial"/>
                <w:szCs w:val="22"/>
              </w:rPr>
              <w:t>21,7)</w:t>
            </w:r>
          </w:p>
        </w:tc>
        <w:tc>
          <w:tcPr>
            <w:tcW w:w="1615" w:type="dxa"/>
            <w:tcBorders>
              <w:top w:val="single" w:sz="4" w:space="0" w:color="000000"/>
              <w:left w:val="single" w:sz="4" w:space="0" w:color="000000"/>
              <w:bottom w:val="single" w:sz="4" w:space="0" w:color="000000"/>
              <w:right w:val="single" w:sz="4" w:space="0" w:color="000000"/>
            </w:tcBorders>
          </w:tcPr>
          <w:p w14:paraId="5BE9CEAE" w14:textId="77777777" w:rsidR="009700E5" w:rsidRDefault="002C033C">
            <w:pPr>
              <w:spacing w:before="51"/>
              <w:ind w:left="401" w:right="-20"/>
              <w:rPr>
                <w:rFonts w:eastAsia="Arial" w:cs="Arial"/>
                <w:szCs w:val="22"/>
              </w:rPr>
            </w:pPr>
            <w:r>
              <w:rPr>
                <w:rFonts w:eastAsia="Arial" w:cs="Arial"/>
                <w:szCs w:val="22"/>
              </w:rPr>
              <w:t>37</w:t>
            </w:r>
            <w:r>
              <w:rPr>
                <w:rFonts w:eastAsia="Arial" w:cs="Arial"/>
                <w:spacing w:val="-3"/>
                <w:szCs w:val="22"/>
              </w:rPr>
              <w:t xml:space="preserve"> </w:t>
            </w:r>
            <w:r>
              <w:rPr>
                <w:rFonts w:eastAsia="Arial" w:cs="Arial"/>
                <w:spacing w:val="1"/>
                <w:szCs w:val="22"/>
              </w:rPr>
              <w:t>(</w:t>
            </w:r>
            <w:r>
              <w:rPr>
                <w:rFonts w:eastAsia="Arial" w:cs="Arial"/>
                <w:szCs w:val="22"/>
              </w:rPr>
              <w:t>63</w:t>
            </w:r>
            <w:r>
              <w:rPr>
                <w:rFonts w:eastAsia="Arial" w:cs="Arial"/>
                <w:spacing w:val="2"/>
                <w:szCs w:val="22"/>
              </w:rPr>
              <w:t>,</w:t>
            </w:r>
            <w:r>
              <w:rPr>
                <w:rFonts w:eastAsia="Arial" w:cs="Arial"/>
                <w:szCs w:val="22"/>
              </w:rPr>
              <w:t>8)</w:t>
            </w:r>
          </w:p>
        </w:tc>
        <w:tc>
          <w:tcPr>
            <w:tcW w:w="1613" w:type="dxa"/>
            <w:tcBorders>
              <w:top w:val="single" w:sz="4" w:space="0" w:color="000000"/>
              <w:left w:val="single" w:sz="4" w:space="0" w:color="000000"/>
              <w:bottom w:val="single" w:sz="4" w:space="0" w:color="000000"/>
              <w:right w:val="single" w:sz="4" w:space="0" w:color="000000"/>
            </w:tcBorders>
          </w:tcPr>
          <w:p w14:paraId="33AAC021" w14:textId="77777777" w:rsidR="009700E5" w:rsidRDefault="002C033C">
            <w:pPr>
              <w:spacing w:before="51"/>
              <w:ind w:left="401" w:right="-20"/>
              <w:rPr>
                <w:rFonts w:eastAsia="Arial" w:cs="Arial"/>
                <w:szCs w:val="22"/>
              </w:rPr>
            </w:pPr>
            <w:r>
              <w:rPr>
                <w:rFonts w:eastAsia="Arial" w:cs="Arial"/>
                <w:szCs w:val="22"/>
              </w:rPr>
              <w:t>14</w:t>
            </w:r>
            <w:r>
              <w:rPr>
                <w:rFonts w:eastAsia="Arial" w:cs="Arial"/>
                <w:spacing w:val="-3"/>
                <w:szCs w:val="22"/>
              </w:rPr>
              <w:t xml:space="preserve"> </w:t>
            </w:r>
            <w:r>
              <w:rPr>
                <w:rFonts w:eastAsia="Arial" w:cs="Arial"/>
                <w:spacing w:val="1"/>
                <w:szCs w:val="22"/>
              </w:rPr>
              <w:t>(</w:t>
            </w:r>
            <w:r>
              <w:rPr>
                <w:rFonts w:eastAsia="Arial" w:cs="Arial"/>
                <w:szCs w:val="22"/>
              </w:rPr>
              <w:t>51</w:t>
            </w:r>
            <w:r>
              <w:rPr>
                <w:rFonts w:eastAsia="Arial" w:cs="Arial"/>
                <w:spacing w:val="2"/>
                <w:szCs w:val="22"/>
              </w:rPr>
              <w:t>,</w:t>
            </w:r>
            <w:r>
              <w:rPr>
                <w:rFonts w:eastAsia="Arial" w:cs="Arial"/>
                <w:szCs w:val="22"/>
              </w:rPr>
              <w:t>9)</w:t>
            </w:r>
          </w:p>
        </w:tc>
        <w:tc>
          <w:tcPr>
            <w:tcW w:w="1615" w:type="dxa"/>
            <w:tcBorders>
              <w:top w:val="single" w:sz="4" w:space="0" w:color="000000"/>
              <w:left w:val="single" w:sz="4" w:space="0" w:color="000000"/>
              <w:bottom w:val="single" w:sz="4" w:space="0" w:color="000000"/>
              <w:right w:val="single" w:sz="4" w:space="0" w:color="000000"/>
            </w:tcBorders>
          </w:tcPr>
          <w:p w14:paraId="38998070" w14:textId="77777777" w:rsidR="009700E5" w:rsidRDefault="002C033C">
            <w:pPr>
              <w:spacing w:before="51"/>
              <w:ind w:left="401" w:right="-20"/>
              <w:rPr>
                <w:rFonts w:eastAsia="Arial" w:cs="Arial"/>
                <w:szCs w:val="22"/>
              </w:rPr>
            </w:pPr>
            <w:r>
              <w:rPr>
                <w:rFonts w:eastAsia="Arial" w:cs="Arial"/>
                <w:szCs w:val="22"/>
              </w:rPr>
              <w:t>46</w:t>
            </w:r>
            <w:r>
              <w:rPr>
                <w:rFonts w:eastAsia="Arial" w:cs="Arial"/>
                <w:spacing w:val="-3"/>
                <w:szCs w:val="22"/>
              </w:rPr>
              <w:t xml:space="preserve"> </w:t>
            </w:r>
            <w:r>
              <w:rPr>
                <w:rFonts w:eastAsia="Arial" w:cs="Arial"/>
                <w:spacing w:val="1"/>
                <w:szCs w:val="22"/>
              </w:rPr>
              <w:t>(</w:t>
            </w:r>
            <w:r>
              <w:rPr>
                <w:rFonts w:eastAsia="Arial" w:cs="Arial"/>
                <w:szCs w:val="22"/>
              </w:rPr>
              <w:t>83</w:t>
            </w:r>
            <w:r>
              <w:rPr>
                <w:rFonts w:eastAsia="Arial" w:cs="Arial"/>
                <w:spacing w:val="2"/>
                <w:szCs w:val="22"/>
              </w:rPr>
              <w:t>,</w:t>
            </w:r>
            <w:r>
              <w:rPr>
                <w:rFonts w:eastAsia="Arial" w:cs="Arial"/>
                <w:szCs w:val="22"/>
              </w:rPr>
              <w:t>6)</w:t>
            </w:r>
          </w:p>
        </w:tc>
      </w:tr>
      <w:tr w:rsidR="009700E5" w14:paraId="34041CBA" w14:textId="77777777">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1FFBFAF3" w14:textId="77777777" w:rsidR="009700E5" w:rsidRDefault="002C033C">
            <w:pPr>
              <w:spacing w:before="51"/>
              <w:ind w:left="52" w:right="-20"/>
              <w:rPr>
                <w:rFonts w:eastAsia="Arial" w:cs="Arial"/>
                <w:szCs w:val="22"/>
              </w:rPr>
            </w:pPr>
            <w:r>
              <w:rPr>
                <w:rFonts w:eastAsia="Arial" w:cs="Arial"/>
                <w:spacing w:val="1"/>
                <w:szCs w:val="22"/>
              </w:rPr>
              <w:t>Odpoveď J</w:t>
            </w:r>
            <w:r>
              <w:rPr>
                <w:rFonts w:eastAsia="Arial" w:cs="Arial"/>
                <w:szCs w:val="22"/>
              </w:rPr>
              <w:t>IA</w:t>
            </w:r>
            <w:r>
              <w:rPr>
                <w:rFonts w:eastAsia="Arial" w:cs="Arial"/>
                <w:spacing w:val="-4"/>
                <w:szCs w:val="22"/>
              </w:rPr>
              <w:t xml:space="preserve"> </w:t>
            </w:r>
            <w:r>
              <w:rPr>
                <w:rFonts w:eastAsia="Arial" w:cs="Arial"/>
                <w:szCs w:val="22"/>
              </w:rPr>
              <w:t>A</w:t>
            </w:r>
            <w:r>
              <w:rPr>
                <w:rFonts w:eastAsia="Arial" w:cs="Arial"/>
                <w:spacing w:val="3"/>
                <w:szCs w:val="22"/>
              </w:rPr>
              <w:t>C</w:t>
            </w:r>
            <w:r>
              <w:rPr>
                <w:rFonts w:eastAsia="Arial" w:cs="Arial"/>
                <w:szCs w:val="22"/>
              </w:rPr>
              <w:t>R 70</w:t>
            </w:r>
          </w:p>
        </w:tc>
        <w:tc>
          <w:tcPr>
            <w:tcW w:w="1613" w:type="dxa"/>
            <w:tcBorders>
              <w:top w:val="single" w:sz="4" w:space="0" w:color="000000"/>
              <w:left w:val="single" w:sz="4" w:space="0" w:color="000000"/>
              <w:bottom w:val="single" w:sz="4" w:space="0" w:color="000000"/>
              <w:right w:val="single" w:sz="4" w:space="0" w:color="000000"/>
            </w:tcBorders>
          </w:tcPr>
          <w:p w14:paraId="20D6F7FF" w14:textId="77777777" w:rsidR="009700E5" w:rsidRDefault="002C033C">
            <w:pPr>
              <w:spacing w:before="51"/>
              <w:ind w:left="512" w:right="-20"/>
              <w:rPr>
                <w:rFonts w:eastAsia="Arial" w:cs="Arial"/>
                <w:szCs w:val="22"/>
              </w:rPr>
            </w:pPr>
            <w:r>
              <w:rPr>
                <w:rFonts w:eastAsia="Arial" w:cs="Arial"/>
                <w:szCs w:val="22"/>
              </w:rPr>
              <w:t>2</w:t>
            </w:r>
            <w:r>
              <w:rPr>
                <w:rFonts w:eastAsia="Arial" w:cs="Arial"/>
                <w:spacing w:val="-2"/>
                <w:szCs w:val="22"/>
              </w:rPr>
              <w:t xml:space="preserve"> </w:t>
            </w:r>
            <w:r>
              <w:rPr>
                <w:rFonts w:eastAsia="Arial" w:cs="Arial"/>
                <w:spacing w:val="1"/>
                <w:szCs w:val="22"/>
              </w:rPr>
              <w:t>(</w:t>
            </w:r>
            <w:r>
              <w:rPr>
                <w:rFonts w:eastAsia="Arial" w:cs="Arial"/>
                <w:szCs w:val="22"/>
              </w:rPr>
              <w:t>8,7)</w:t>
            </w:r>
          </w:p>
        </w:tc>
        <w:tc>
          <w:tcPr>
            <w:tcW w:w="1615" w:type="dxa"/>
            <w:tcBorders>
              <w:top w:val="single" w:sz="4" w:space="0" w:color="000000"/>
              <w:left w:val="single" w:sz="4" w:space="0" w:color="000000"/>
              <w:bottom w:val="single" w:sz="4" w:space="0" w:color="000000"/>
              <w:right w:val="single" w:sz="4" w:space="0" w:color="000000"/>
            </w:tcBorders>
          </w:tcPr>
          <w:p w14:paraId="71F4C28E" w14:textId="77777777" w:rsidR="009700E5" w:rsidRDefault="002C033C">
            <w:pPr>
              <w:spacing w:before="51"/>
              <w:ind w:left="401" w:right="-20"/>
              <w:rPr>
                <w:rFonts w:eastAsia="Arial" w:cs="Arial"/>
                <w:szCs w:val="22"/>
              </w:rPr>
            </w:pPr>
            <w:r>
              <w:rPr>
                <w:rFonts w:eastAsia="Arial" w:cs="Arial"/>
                <w:szCs w:val="22"/>
              </w:rPr>
              <w:t>32</w:t>
            </w:r>
            <w:r>
              <w:rPr>
                <w:rFonts w:eastAsia="Arial" w:cs="Arial"/>
                <w:spacing w:val="-3"/>
                <w:szCs w:val="22"/>
              </w:rPr>
              <w:t xml:space="preserve"> </w:t>
            </w:r>
            <w:r>
              <w:rPr>
                <w:rFonts w:eastAsia="Arial" w:cs="Arial"/>
                <w:spacing w:val="1"/>
                <w:szCs w:val="22"/>
              </w:rPr>
              <w:t>(</w:t>
            </w:r>
            <w:r>
              <w:rPr>
                <w:rFonts w:eastAsia="Arial" w:cs="Arial"/>
                <w:szCs w:val="22"/>
              </w:rPr>
              <w:t>55</w:t>
            </w:r>
            <w:r>
              <w:rPr>
                <w:rFonts w:eastAsia="Arial" w:cs="Arial"/>
                <w:spacing w:val="2"/>
                <w:szCs w:val="22"/>
              </w:rPr>
              <w:t>,</w:t>
            </w:r>
            <w:r>
              <w:rPr>
                <w:rFonts w:eastAsia="Arial" w:cs="Arial"/>
                <w:szCs w:val="22"/>
              </w:rPr>
              <w:t>2)</w:t>
            </w:r>
          </w:p>
        </w:tc>
        <w:tc>
          <w:tcPr>
            <w:tcW w:w="1613" w:type="dxa"/>
            <w:tcBorders>
              <w:top w:val="single" w:sz="4" w:space="0" w:color="000000"/>
              <w:left w:val="single" w:sz="4" w:space="0" w:color="000000"/>
              <w:bottom w:val="single" w:sz="4" w:space="0" w:color="000000"/>
              <w:right w:val="single" w:sz="4" w:space="0" w:color="000000"/>
            </w:tcBorders>
          </w:tcPr>
          <w:p w14:paraId="55D8C862" w14:textId="77777777" w:rsidR="009700E5" w:rsidRDefault="002C033C">
            <w:pPr>
              <w:spacing w:before="51"/>
              <w:ind w:left="401" w:right="-20"/>
              <w:rPr>
                <w:rFonts w:eastAsia="Arial" w:cs="Arial"/>
                <w:szCs w:val="22"/>
              </w:rPr>
            </w:pPr>
            <w:r>
              <w:rPr>
                <w:rFonts w:eastAsia="Arial" w:cs="Arial"/>
                <w:szCs w:val="22"/>
              </w:rPr>
              <w:t>13</w:t>
            </w:r>
            <w:r>
              <w:rPr>
                <w:rFonts w:eastAsia="Arial" w:cs="Arial"/>
                <w:spacing w:val="-3"/>
                <w:szCs w:val="22"/>
              </w:rPr>
              <w:t xml:space="preserve"> </w:t>
            </w:r>
            <w:r>
              <w:rPr>
                <w:rFonts w:eastAsia="Arial" w:cs="Arial"/>
                <w:spacing w:val="1"/>
                <w:szCs w:val="22"/>
              </w:rPr>
              <w:t>(</w:t>
            </w:r>
            <w:r>
              <w:rPr>
                <w:rFonts w:eastAsia="Arial" w:cs="Arial"/>
                <w:szCs w:val="22"/>
              </w:rPr>
              <w:t>48</w:t>
            </w:r>
            <w:r>
              <w:rPr>
                <w:rFonts w:eastAsia="Arial" w:cs="Arial"/>
                <w:spacing w:val="2"/>
                <w:szCs w:val="22"/>
              </w:rPr>
              <w:t>,</w:t>
            </w:r>
            <w:r>
              <w:rPr>
                <w:rFonts w:eastAsia="Arial" w:cs="Arial"/>
                <w:szCs w:val="22"/>
              </w:rPr>
              <w:t>1)</w:t>
            </w:r>
          </w:p>
        </w:tc>
        <w:tc>
          <w:tcPr>
            <w:tcW w:w="1615" w:type="dxa"/>
            <w:tcBorders>
              <w:top w:val="single" w:sz="4" w:space="0" w:color="000000"/>
              <w:left w:val="single" w:sz="4" w:space="0" w:color="000000"/>
              <w:bottom w:val="single" w:sz="4" w:space="0" w:color="000000"/>
              <w:right w:val="single" w:sz="4" w:space="0" w:color="000000"/>
            </w:tcBorders>
          </w:tcPr>
          <w:p w14:paraId="788C28BF" w14:textId="77777777" w:rsidR="009700E5" w:rsidRDefault="002C033C">
            <w:pPr>
              <w:spacing w:before="51"/>
              <w:ind w:left="401" w:right="-20"/>
              <w:rPr>
                <w:rFonts w:eastAsia="Arial" w:cs="Arial"/>
                <w:szCs w:val="22"/>
              </w:rPr>
            </w:pPr>
            <w:r>
              <w:rPr>
                <w:rFonts w:eastAsia="Arial" w:cs="Arial"/>
                <w:szCs w:val="22"/>
              </w:rPr>
              <w:t>40</w:t>
            </w:r>
            <w:r>
              <w:rPr>
                <w:rFonts w:eastAsia="Arial" w:cs="Arial"/>
                <w:spacing w:val="-3"/>
                <w:szCs w:val="22"/>
              </w:rPr>
              <w:t xml:space="preserve"> </w:t>
            </w:r>
            <w:r>
              <w:rPr>
                <w:rFonts w:eastAsia="Arial" w:cs="Arial"/>
                <w:spacing w:val="1"/>
                <w:szCs w:val="22"/>
              </w:rPr>
              <w:t>(</w:t>
            </w:r>
            <w:r>
              <w:rPr>
                <w:rFonts w:eastAsia="Arial" w:cs="Arial"/>
                <w:szCs w:val="22"/>
              </w:rPr>
              <w:t>72</w:t>
            </w:r>
            <w:r>
              <w:rPr>
                <w:rFonts w:eastAsia="Arial" w:cs="Arial"/>
                <w:spacing w:val="2"/>
                <w:szCs w:val="22"/>
              </w:rPr>
              <w:t>,</w:t>
            </w:r>
            <w:r>
              <w:rPr>
                <w:rFonts w:eastAsia="Arial" w:cs="Arial"/>
                <w:szCs w:val="22"/>
              </w:rPr>
              <w:t>7)</w:t>
            </w:r>
          </w:p>
        </w:tc>
      </w:tr>
      <w:tr w:rsidR="009700E5" w14:paraId="5FE4457B" w14:textId="77777777">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1CCED06F" w14:textId="77777777" w:rsidR="009700E5" w:rsidRDefault="002C033C">
            <w:pPr>
              <w:spacing w:before="51"/>
              <w:ind w:left="52" w:right="-20"/>
              <w:rPr>
                <w:rFonts w:eastAsia="Arial" w:cs="Arial"/>
                <w:szCs w:val="22"/>
              </w:rPr>
            </w:pPr>
            <w:r>
              <w:rPr>
                <w:rFonts w:eastAsia="Arial" w:cs="Arial"/>
                <w:spacing w:val="1"/>
                <w:szCs w:val="22"/>
              </w:rPr>
              <w:t>Odpoveď J</w:t>
            </w:r>
            <w:r>
              <w:rPr>
                <w:rFonts w:eastAsia="Arial" w:cs="Arial"/>
                <w:szCs w:val="22"/>
              </w:rPr>
              <w:t>IA</w:t>
            </w:r>
            <w:r>
              <w:rPr>
                <w:rFonts w:eastAsia="Arial" w:cs="Arial"/>
                <w:spacing w:val="-4"/>
                <w:szCs w:val="22"/>
              </w:rPr>
              <w:t xml:space="preserve"> </w:t>
            </w:r>
            <w:r>
              <w:rPr>
                <w:rFonts w:eastAsia="Arial" w:cs="Arial"/>
                <w:szCs w:val="22"/>
              </w:rPr>
              <w:t>A</w:t>
            </w:r>
            <w:r>
              <w:rPr>
                <w:rFonts w:eastAsia="Arial" w:cs="Arial"/>
                <w:spacing w:val="3"/>
                <w:szCs w:val="22"/>
              </w:rPr>
              <w:t>C</w:t>
            </w:r>
            <w:r>
              <w:rPr>
                <w:rFonts w:eastAsia="Arial" w:cs="Arial"/>
                <w:szCs w:val="22"/>
              </w:rPr>
              <w:t>R 90</w:t>
            </w:r>
          </w:p>
        </w:tc>
        <w:tc>
          <w:tcPr>
            <w:tcW w:w="1613" w:type="dxa"/>
            <w:tcBorders>
              <w:top w:val="single" w:sz="4" w:space="0" w:color="000000"/>
              <w:left w:val="single" w:sz="4" w:space="0" w:color="000000"/>
              <w:bottom w:val="single" w:sz="4" w:space="0" w:color="000000"/>
              <w:right w:val="single" w:sz="4" w:space="0" w:color="000000"/>
            </w:tcBorders>
          </w:tcPr>
          <w:p w14:paraId="451EE307" w14:textId="77777777" w:rsidR="009700E5" w:rsidRDefault="002C033C">
            <w:pPr>
              <w:spacing w:before="51"/>
              <w:ind w:left="512" w:right="-20"/>
              <w:rPr>
                <w:rFonts w:eastAsia="Arial" w:cs="Arial"/>
                <w:szCs w:val="22"/>
              </w:rPr>
            </w:pPr>
            <w:r>
              <w:rPr>
                <w:rFonts w:eastAsia="Arial" w:cs="Arial"/>
                <w:szCs w:val="22"/>
              </w:rPr>
              <w:t>2</w:t>
            </w:r>
            <w:r>
              <w:rPr>
                <w:rFonts w:eastAsia="Arial" w:cs="Arial"/>
                <w:spacing w:val="-2"/>
                <w:szCs w:val="22"/>
              </w:rPr>
              <w:t xml:space="preserve"> </w:t>
            </w:r>
            <w:r>
              <w:rPr>
                <w:rFonts w:eastAsia="Arial" w:cs="Arial"/>
                <w:spacing w:val="1"/>
                <w:szCs w:val="22"/>
              </w:rPr>
              <w:t>(</w:t>
            </w:r>
            <w:r>
              <w:rPr>
                <w:rFonts w:eastAsia="Arial" w:cs="Arial"/>
                <w:szCs w:val="22"/>
              </w:rPr>
              <w:t>8,7)</w:t>
            </w:r>
          </w:p>
        </w:tc>
        <w:tc>
          <w:tcPr>
            <w:tcW w:w="1615" w:type="dxa"/>
            <w:tcBorders>
              <w:top w:val="single" w:sz="4" w:space="0" w:color="000000"/>
              <w:left w:val="single" w:sz="4" w:space="0" w:color="000000"/>
              <w:bottom w:val="single" w:sz="4" w:space="0" w:color="000000"/>
              <w:right w:val="single" w:sz="4" w:space="0" w:color="000000"/>
            </w:tcBorders>
          </w:tcPr>
          <w:p w14:paraId="4CF85FEE" w14:textId="77777777" w:rsidR="009700E5" w:rsidRDefault="002C033C">
            <w:pPr>
              <w:spacing w:before="51"/>
              <w:ind w:left="402" w:right="-20"/>
              <w:rPr>
                <w:rFonts w:eastAsia="Arial" w:cs="Arial"/>
                <w:szCs w:val="22"/>
              </w:rPr>
            </w:pPr>
            <w:r>
              <w:rPr>
                <w:rFonts w:eastAsia="Arial" w:cs="Arial"/>
                <w:szCs w:val="22"/>
              </w:rPr>
              <w:t>17</w:t>
            </w:r>
            <w:r>
              <w:rPr>
                <w:rFonts w:eastAsia="Arial" w:cs="Arial"/>
                <w:spacing w:val="-3"/>
                <w:szCs w:val="22"/>
              </w:rPr>
              <w:t xml:space="preserve"> </w:t>
            </w:r>
            <w:r>
              <w:rPr>
                <w:rFonts w:eastAsia="Arial" w:cs="Arial"/>
                <w:spacing w:val="1"/>
                <w:szCs w:val="22"/>
              </w:rPr>
              <w:t>(</w:t>
            </w:r>
            <w:r>
              <w:rPr>
                <w:rFonts w:eastAsia="Arial" w:cs="Arial"/>
                <w:szCs w:val="22"/>
              </w:rPr>
              <w:t>29</w:t>
            </w:r>
            <w:r>
              <w:rPr>
                <w:rFonts w:eastAsia="Arial" w:cs="Arial"/>
                <w:spacing w:val="2"/>
                <w:szCs w:val="22"/>
              </w:rPr>
              <w:t>,</w:t>
            </w:r>
            <w:r>
              <w:rPr>
                <w:rFonts w:eastAsia="Arial" w:cs="Arial"/>
                <w:szCs w:val="22"/>
              </w:rPr>
              <w:t>3)</w:t>
            </w:r>
          </w:p>
        </w:tc>
        <w:tc>
          <w:tcPr>
            <w:tcW w:w="1613" w:type="dxa"/>
            <w:tcBorders>
              <w:top w:val="single" w:sz="4" w:space="0" w:color="000000"/>
              <w:left w:val="single" w:sz="4" w:space="0" w:color="000000"/>
              <w:bottom w:val="single" w:sz="4" w:space="0" w:color="000000"/>
              <w:right w:val="single" w:sz="4" w:space="0" w:color="000000"/>
            </w:tcBorders>
          </w:tcPr>
          <w:p w14:paraId="6F8505E0" w14:textId="77777777" w:rsidR="009700E5" w:rsidRDefault="002C033C">
            <w:pPr>
              <w:spacing w:before="51"/>
              <w:ind w:left="457" w:right="-20"/>
              <w:rPr>
                <w:rFonts w:eastAsia="Arial" w:cs="Arial"/>
                <w:szCs w:val="22"/>
              </w:rPr>
            </w:pPr>
            <w:r>
              <w:rPr>
                <w:rFonts w:eastAsia="Arial" w:cs="Arial"/>
                <w:szCs w:val="22"/>
              </w:rPr>
              <w:t>5</w:t>
            </w:r>
            <w:r>
              <w:rPr>
                <w:rFonts w:eastAsia="Arial" w:cs="Arial"/>
                <w:spacing w:val="-2"/>
                <w:szCs w:val="22"/>
              </w:rPr>
              <w:t xml:space="preserve"> </w:t>
            </w:r>
            <w:r>
              <w:rPr>
                <w:rFonts w:eastAsia="Arial" w:cs="Arial"/>
                <w:spacing w:val="1"/>
                <w:szCs w:val="22"/>
              </w:rPr>
              <w:t>(</w:t>
            </w:r>
            <w:r>
              <w:rPr>
                <w:rFonts w:eastAsia="Arial" w:cs="Arial"/>
                <w:szCs w:val="22"/>
              </w:rPr>
              <w:t>18,5)</w:t>
            </w:r>
          </w:p>
        </w:tc>
        <w:tc>
          <w:tcPr>
            <w:tcW w:w="1615" w:type="dxa"/>
            <w:tcBorders>
              <w:top w:val="single" w:sz="4" w:space="0" w:color="000000"/>
              <w:left w:val="single" w:sz="4" w:space="0" w:color="000000"/>
              <w:bottom w:val="single" w:sz="4" w:space="0" w:color="000000"/>
              <w:right w:val="single" w:sz="4" w:space="0" w:color="000000"/>
            </w:tcBorders>
          </w:tcPr>
          <w:p w14:paraId="5D3F491A" w14:textId="77777777" w:rsidR="009700E5" w:rsidRDefault="002C033C">
            <w:pPr>
              <w:spacing w:before="51"/>
              <w:ind w:left="401" w:right="-20"/>
              <w:rPr>
                <w:rFonts w:eastAsia="Arial" w:cs="Arial"/>
                <w:szCs w:val="22"/>
              </w:rPr>
            </w:pPr>
            <w:r>
              <w:rPr>
                <w:rFonts w:eastAsia="Arial" w:cs="Arial"/>
                <w:szCs w:val="22"/>
              </w:rPr>
              <w:t>32</w:t>
            </w:r>
            <w:r>
              <w:rPr>
                <w:rFonts w:eastAsia="Arial" w:cs="Arial"/>
                <w:spacing w:val="-3"/>
                <w:szCs w:val="22"/>
              </w:rPr>
              <w:t xml:space="preserve"> </w:t>
            </w:r>
            <w:r>
              <w:rPr>
                <w:rFonts w:eastAsia="Arial" w:cs="Arial"/>
                <w:spacing w:val="1"/>
                <w:szCs w:val="22"/>
              </w:rPr>
              <w:t>(</w:t>
            </w:r>
            <w:r>
              <w:rPr>
                <w:rFonts w:eastAsia="Arial" w:cs="Arial"/>
                <w:szCs w:val="22"/>
              </w:rPr>
              <w:t>58</w:t>
            </w:r>
            <w:r>
              <w:rPr>
                <w:rFonts w:eastAsia="Arial" w:cs="Arial"/>
                <w:spacing w:val="2"/>
                <w:szCs w:val="22"/>
              </w:rPr>
              <w:t>,</w:t>
            </w:r>
            <w:r>
              <w:rPr>
                <w:rFonts w:eastAsia="Arial" w:cs="Arial"/>
                <w:szCs w:val="22"/>
              </w:rPr>
              <w:t>2)</w:t>
            </w:r>
          </w:p>
        </w:tc>
      </w:tr>
    </w:tbl>
    <w:p w14:paraId="534A741F" w14:textId="77777777" w:rsidR="009700E5" w:rsidRDefault="002C033C">
      <w:pPr>
        <w:rPr>
          <w:sz w:val="18"/>
          <w:szCs w:val="18"/>
        </w:rPr>
      </w:pPr>
      <w:r>
        <w:rPr>
          <w:sz w:val="18"/>
          <w:szCs w:val="18"/>
        </w:rPr>
        <w:t>TCZ</w:t>
      </w:r>
      <w:ins w:id="696" w:author="Author" w:date="2025-07-21T09:46:00Z">
        <w:r>
          <w:rPr>
            <w:sz w:val="18"/>
            <w:szCs w:val="18"/>
          </w:rPr>
          <w:t> </w:t>
        </w:r>
      </w:ins>
      <w:del w:id="697" w:author="Author" w:date="2025-07-21T09:46:00Z">
        <w:r>
          <w:rPr>
            <w:sz w:val="18"/>
            <w:szCs w:val="18"/>
          </w:rPr>
          <w:delText xml:space="preserve"> </w:delText>
        </w:r>
      </w:del>
      <w:r>
        <w:rPr>
          <w:sz w:val="18"/>
          <w:szCs w:val="18"/>
        </w:rPr>
        <w:t>=</w:t>
      </w:r>
      <w:ins w:id="698" w:author="Author" w:date="2025-07-21T09:46:00Z">
        <w:r>
          <w:rPr>
            <w:sz w:val="18"/>
            <w:szCs w:val="18"/>
          </w:rPr>
          <w:t> </w:t>
        </w:r>
      </w:ins>
      <w:del w:id="699" w:author="Author" w:date="2025-07-21T09:46:00Z">
        <w:r>
          <w:rPr>
            <w:sz w:val="18"/>
            <w:szCs w:val="18"/>
          </w:rPr>
          <w:delText xml:space="preserve"> </w:delText>
        </w:r>
      </w:del>
      <w:r>
        <w:rPr>
          <w:sz w:val="18"/>
          <w:szCs w:val="18"/>
        </w:rPr>
        <w:t>tocilizumab</w:t>
      </w:r>
    </w:p>
    <w:p w14:paraId="6A55AD70" w14:textId="77777777" w:rsidR="009700E5" w:rsidRDefault="009700E5">
      <w:pPr>
        <w:rPr>
          <w:szCs w:val="22"/>
        </w:rPr>
      </w:pPr>
    </w:p>
    <w:p w14:paraId="73EB9C44" w14:textId="77777777" w:rsidR="009700E5" w:rsidRDefault="002C033C">
      <w:pPr>
        <w:rPr>
          <w:rFonts w:cs="Arial"/>
        </w:rPr>
      </w:pPr>
      <w:r>
        <w:rPr>
          <w:rFonts w:cs="Arial"/>
        </w:rPr>
        <w:t>Pacienti randomizovaní na liečbu tocilizumabom mali menej vzplanutí ochorenia ACR 30 a vyššie celkové odpovede ACR ako pacienti, ktorí dostávali placebo bez ohľadu na predchádzajúcu biologickú liečbu.</w:t>
      </w:r>
    </w:p>
    <w:p w14:paraId="30D6E333" w14:textId="77777777" w:rsidR="009700E5" w:rsidRDefault="009700E5">
      <w:pPr>
        <w:rPr>
          <w:rFonts w:cs="Arial"/>
        </w:rPr>
      </w:pPr>
    </w:p>
    <w:p w14:paraId="3ED6F72A" w14:textId="77777777" w:rsidR="009700E5" w:rsidRDefault="002C033C">
      <w:pPr>
        <w:keepNext/>
        <w:keepLines/>
        <w:outlineLvl w:val="0"/>
        <w:rPr>
          <w:u w:val="single"/>
        </w:rPr>
      </w:pPr>
      <w:r>
        <w:rPr>
          <w:u w:val="single"/>
        </w:rPr>
        <w:lastRenderedPageBreak/>
        <w:t>CRS</w:t>
      </w:r>
    </w:p>
    <w:p w14:paraId="57D4E5B7" w14:textId="77777777" w:rsidR="009700E5" w:rsidRDefault="002C033C">
      <w:pPr>
        <w:keepNext/>
        <w:keepLines/>
        <w:outlineLvl w:val="0"/>
        <w:rPr>
          <w:bCs/>
        </w:rPr>
      </w:pPr>
      <w:r>
        <w:t>Účinnosť tocilizumabu v liečbe CRS bola hodnotená retrospektívnou analýzou údajov z klinických skúšaní, v ktorých sa skúmala liečba T</w:t>
      </w:r>
      <w:r>
        <w:noBreakHyphen/>
        <w:t xml:space="preserve">lymfocytmi exprimujúcimi CAR (tisagenlecleucel a </w:t>
      </w:r>
      <w:r>
        <w:rPr>
          <w:bCs/>
        </w:rPr>
        <w:t xml:space="preserve">axicabtagén ciloleucel) pri malígnych hematologických ochoreniach. Hodnotení pacienti boli liečení tocilizumabom v dávke 8 mg/kg (12 mg/kg u pacientov s hmotnosťou </w:t>
      </w:r>
      <w:r>
        <w:rPr>
          <w:rFonts w:eastAsia="MS Mincho"/>
          <w:szCs w:val="22"/>
        </w:rPr>
        <w:sym w:font="Symbol" w:char="F03C"/>
      </w:r>
      <w:r>
        <w:t> 30 kg) s dodatočnou alebo bez dodatočnej vysokej dávky kortikosteroidov na liečbu závažného alebo život ohrozujúceho CRS; do analýzy bola zahrnutá iba prvá epizóda CRS. Populácia pacientov hodnotiaca účinnosť v ramene s tisagenlecleucelom zahŕňala 28 mužov a 23 žien (celkovo 51 pacientov) s mediánom veku 17 rokov (rozsah 3 </w:t>
      </w:r>
      <w:r>
        <w:noBreakHyphen/>
        <w:t> 68 rokov). Medián času od nástupu CRS do prvej dávky tocilizumabu bol 3 dni (rozsah 0 </w:t>
      </w:r>
      <w:r>
        <w:noBreakHyphen/>
        <w:t> 18 dní). Ustúpenie CRS bolo definované ako stav bez horúčky a vyradenie vazopresorov po minimálne 24 hodín. Pacienti boli považovaní za reagujúcich, ak CRS ustúpilo do 14 dní od prvej dávky tocilizumabu, ak neboli potrebné viac ako 2 dávky, a ak na liečbu neboli použité iné lieky ako tocilizumab a kortikosteroidy. Tridsaťdeväť pacientov (76,5%; 95%IS: 62,5%–87,2%) dosiahlo odpoveď. V nezávislom ramene s 15 pacientmi (rozsah veku 9 </w:t>
      </w:r>
      <w:r>
        <w:noBreakHyphen/>
        <w:t xml:space="preserve"> 75 rokov) s CRS vyvolaným </w:t>
      </w:r>
      <w:r>
        <w:rPr>
          <w:bCs/>
        </w:rPr>
        <w:t>axicabtagén ciloleucelom bolo 53 % pacientov, ktorí odpovedali na liečbu.</w:t>
      </w:r>
    </w:p>
    <w:p w14:paraId="1D7D870F" w14:textId="77777777" w:rsidR="009700E5" w:rsidRDefault="009700E5">
      <w:pPr>
        <w:outlineLvl w:val="0"/>
        <w:rPr>
          <w:bCs/>
        </w:rPr>
      </w:pPr>
    </w:p>
    <w:p w14:paraId="73B2FB4D" w14:textId="77777777" w:rsidR="009700E5" w:rsidRDefault="002C033C">
      <w:pPr>
        <w:rPr>
          <w:ins w:id="700" w:author="Author" w:date="2025-07-18T23:07:00Z"/>
          <w:rFonts w:eastAsia="SimSun"/>
          <w:szCs w:val="22"/>
          <w:lang w:eastAsia="zh-CN"/>
        </w:rPr>
      </w:pPr>
      <w:r>
        <w:rPr>
          <w:szCs w:val="22"/>
        </w:rPr>
        <w:t xml:space="preserve">Európska agentúra pre lieky udelila výnimku z povinnosti </w:t>
      </w:r>
      <w:r>
        <w:rPr>
          <w:rFonts w:eastAsia="SimSun"/>
          <w:szCs w:val="22"/>
          <w:lang w:eastAsia="zh-CN"/>
        </w:rPr>
        <w:t xml:space="preserve">predložiť výsledky </w:t>
      </w:r>
      <w:del w:id="701" w:author="Author" w:date="2025-07-18T23:07:00Z">
        <w:r>
          <w:rPr>
            <w:rFonts w:eastAsia="SimSun"/>
            <w:szCs w:val="22"/>
            <w:lang w:eastAsia="zh-CN"/>
          </w:rPr>
          <w:delText xml:space="preserve">štúdii </w:delText>
        </w:r>
      </w:del>
      <w:ins w:id="702" w:author="Author" w:date="2025-07-18T23:07:00Z">
        <w:del w:id="703" w:author="Author" w:date="2025-07-21T09:46:00Z">
          <w:r>
            <w:rPr>
              <w:rFonts w:eastAsia="SimSun"/>
              <w:szCs w:val="22"/>
              <w:lang w:eastAsia="zh-CN"/>
            </w:rPr>
            <w:delText>š</w:delText>
          </w:r>
        </w:del>
      </w:ins>
    </w:p>
    <w:p w14:paraId="345FA34C" w14:textId="77777777" w:rsidR="009700E5" w:rsidRDefault="002C033C">
      <w:pPr>
        <w:rPr>
          <w:b/>
        </w:rPr>
      </w:pPr>
      <w:ins w:id="704" w:author="Author" w:date="2025-07-21T09:47:00Z">
        <w:r>
          <w:rPr>
            <w:rFonts w:eastAsia="SimSun"/>
            <w:szCs w:val="22"/>
            <w:lang w:eastAsia="zh-CN"/>
          </w:rPr>
          <w:t xml:space="preserve">klinických </w:t>
        </w:r>
      </w:ins>
      <w:ins w:id="705" w:author="Author" w:date="2025-07-18T23:07:00Z">
        <w:r>
          <w:rPr>
            <w:rFonts w:eastAsia="SimSun"/>
            <w:szCs w:val="22"/>
            <w:lang w:eastAsia="zh-CN"/>
          </w:rPr>
          <w:t>skúšan</w:t>
        </w:r>
      </w:ins>
      <w:ins w:id="706" w:author="Author" w:date="2025-07-21T09:47:00Z">
        <w:r>
          <w:rPr>
            <w:rFonts w:eastAsia="SimSun"/>
            <w:szCs w:val="22"/>
            <w:lang w:eastAsia="zh-CN"/>
          </w:rPr>
          <w:t>í</w:t>
        </w:r>
      </w:ins>
      <w:ins w:id="707" w:author="Author" w:date="2025-07-18T23:07:00Z">
        <w:del w:id="708" w:author="Author" w:date="2025-07-21T09:47:00Z">
          <w:r>
            <w:rPr>
              <w:rFonts w:eastAsia="SimSun"/>
              <w:szCs w:val="22"/>
              <w:lang w:eastAsia="zh-CN"/>
            </w:rPr>
            <w:delText>i</w:delText>
          </w:r>
        </w:del>
        <w:r>
          <w:rPr>
            <w:rFonts w:eastAsia="SimSun"/>
            <w:szCs w:val="22"/>
            <w:lang w:eastAsia="zh-CN"/>
          </w:rPr>
          <w:t xml:space="preserve"> </w:t>
        </w:r>
      </w:ins>
      <w:r>
        <w:rPr>
          <w:rFonts w:eastAsia="SimSun"/>
          <w:szCs w:val="22"/>
          <w:lang w:eastAsia="zh-CN"/>
        </w:rPr>
        <w:t xml:space="preserve">s tocilizumabom vo všetkých podskupinách pediatrickej populácie na </w:t>
      </w:r>
      <w:r>
        <w:t>liečbu syndrómu uvoľnenia cytokínov vyvolaného liečbou T</w:t>
      </w:r>
      <w:r>
        <w:noBreakHyphen/>
        <w:t xml:space="preserve">lymfocytmi exprimujúcimi CAR. </w:t>
      </w:r>
    </w:p>
    <w:p w14:paraId="54086ADB" w14:textId="77777777" w:rsidR="009700E5" w:rsidRDefault="009700E5">
      <w:pPr>
        <w:outlineLvl w:val="0"/>
        <w:rPr>
          <w:bCs/>
        </w:rPr>
      </w:pPr>
      <w:bookmarkStart w:id="709" w:name="_Hlk88032699"/>
    </w:p>
    <w:p w14:paraId="61F84200" w14:textId="77777777" w:rsidR="009700E5" w:rsidRDefault="002C033C">
      <w:pPr>
        <w:outlineLvl w:val="0"/>
        <w:rPr>
          <w:bCs/>
          <w:u w:val="single"/>
        </w:rPr>
      </w:pPr>
      <w:r>
        <w:rPr>
          <w:bCs/>
          <w:u w:val="single"/>
        </w:rPr>
        <w:t>COVID</w:t>
      </w:r>
      <w:r>
        <w:rPr>
          <w:bCs/>
          <w:u w:val="single"/>
        </w:rPr>
        <w:noBreakHyphen/>
        <w:t>19</w:t>
      </w:r>
    </w:p>
    <w:p w14:paraId="0C08F02A" w14:textId="77777777" w:rsidR="009700E5" w:rsidRDefault="002C033C">
      <w:pPr>
        <w:outlineLvl w:val="0"/>
        <w:rPr>
          <w:bCs/>
          <w:u w:val="single"/>
        </w:rPr>
      </w:pPr>
      <w:r>
        <w:rPr>
          <w:szCs w:val="22"/>
        </w:rPr>
        <w:t>Európska agentúra pre lieky</w:t>
      </w:r>
      <w:r>
        <w:t xml:space="preserve"> </w:t>
      </w:r>
      <w:r>
        <w:rPr>
          <w:szCs w:val="22"/>
        </w:rPr>
        <w:t xml:space="preserve">udelila odklad z povinnosti predložiť výsledky </w:t>
      </w:r>
      <w:ins w:id="710" w:author="Author" w:date="2025-07-21T09:47:00Z">
        <w:r>
          <w:rPr>
            <w:szCs w:val="22"/>
          </w:rPr>
          <w:t xml:space="preserve">klinických </w:t>
        </w:r>
      </w:ins>
      <w:ins w:id="711" w:author="Author" w:date="2025-07-18T23:07:00Z">
        <w:r>
          <w:rPr>
            <w:szCs w:val="22"/>
          </w:rPr>
          <w:t>skúšaní</w:t>
        </w:r>
      </w:ins>
      <w:del w:id="712" w:author="Author" w:date="2025-07-18T23:07:00Z">
        <w:r>
          <w:rPr>
            <w:szCs w:val="22"/>
          </w:rPr>
          <w:delText>štúdií</w:delText>
        </w:r>
      </w:del>
      <w:r>
        <w:rPr>
          <w:szCs w:val="22"/>
        </w:rPr>
        <w:t xml:space="preserve"> s tocilizumabom v jednej alebo vo viacerých podskupinách pediatrickej populácie pri liečbe COVID</w:t>
      </w:r>
      <w:r>
        <w:rPr>
          <w:szCs w:val="22"/>
        </w:rPr>
        <w:noBreakHyphen/>
        <w:t>19.</w:t>
      </w:r>
    </w:p>
    <w:bookmarkEnd w:id="709"/>
    <w:p w14:paraId="4DF23FE4" w14:textId="77777777" w:rsidR="009700E5" w:rsidRDefault="009700E5">
      <w:pPr>
        <w:outlineLvl w:val="0"/>
        <w:rPr>
          <w:bCs/>
        </w:rPr>
      </w:pPr>
    </w:p>
    <w:p w14:paraId="6189F65A" w14:textId="77777777" w:rsidR="009700E5" w:rsidRDefault="002C033C">
      <w:pPr>
        <w:keepNext/>
        <w:keepLines/>
        <w:outlineLvl w:val="0"/>
        <w:rPr>
          <w:b/>
        </w:rPr>
      </w:pPr>
      <w:r>
        <w:rPr>
          <w:b/>
        </w:rPr>
        <w:t>5.2</w:t>
      </w:r>
      <w:r>
        <w:rPr>
          <w:b/>
        </w:rPr>
        <w:tab/>
      </w:r>
      <w:r>
        <w:rPr>
          <w:b/>
          <w:szCs w:val="22"/>
        </w:rPr>
        <w:t>Farmakokinetické vlastnosti</w:t>
      </w:r>
    </w:p>
    <w:p w14:paraId="04BCC373" w14:textId="77777777" w:rsidR="009700E5" w:rsidRDefault="009700E5">
      <w:pPr>
        <w:keepNext/>
        <w:keepLines/>
        <w:outlineLvl w:val="0"/>
      </w:pPr>
    </w:p>
    <w:p w14:paraId="58A2C3B4" w14:textId="77777777" w:rsidR="009700E5" w:rsidRDefault="002C033C">
      <w:pPr>
        <w:keepNext/>
        <w:keepLines/>
        <w:outlineLvl w:val="0"/>
        <w:rPr>
          <w:u w:val="single"/>
        </w:rPr>
      </w:pPr>
      <w:r>
        <w:rPr>
          <w:u w:val="single"/>
        </w:rPr>
        <w:t>Pacienti s RA</w:t>
      </w:r>
    </w:p>
    <w:p w14:paraId="773AC1AE" w14:textId="77777777" w:rsidR="009700E5" w:rsidRDefault="002C033C">
      <w:pPr>
        <w:numPr>
          <w:ilvl w:val="12"/>
          <w:numId w:val="0"/>
        </w:numPr>
        <w:ind w:right="-2"/>
        <w:rPr>
          <w:iCs/>
        </w:rPr>
      </w:pPr>
      <w:r>
        <w:rPr>
          <w:iCs/>
        </w:rPr>
        <w:t>Farmakokinetika tocilizumabu sa stanovila za použitia populačnej farmakokinetickej analýzy údajov z databázy zloženej z 3 552 pacientov s RA liečených dávkou 4 alebo 8 mg/kg tocilizumabu podávanou raz za 4 týždne formou jednu hodinu trvajúcej infúzie alebo so 162 mg tocilizumabu podávaného subkutánne buď raz týždenne, alebo každý druhý týždeň počas 24 týždňov.</w:t>
      </w:r>
    </w:p>
    <w:p w14:paraId="242522A1" w14:textId="77777777" w:rsidR="009700E5" w:rsidRDefault="009700E5">
      <w:pPr>
        <w:numPr>
          <w:ilvl w:val="12"/>
          <w:numId w:val="0"/>
        </w:numPr>
        <w:ind w:right="-2"/>
        <w:rPr>
          <w:iCs/>
        </w:rPr>
      </w:pPr>
    </w:p>
    <w:p w14:paraId="3FAE3C0D" w14:textId="77777777" w:rsidR="009700E5" w:rsidRDefault="002C033C">
      <w:pPr>
        <w:rPr>
          <w:iCs/>
        </w:rPr>
      </w:pPr>
      <w:r>
        <w:rPr>
          <w:iCs/>
        </w:rPr>
        <w:t>Nasledujúce parametre (predpokladaný priemer </w:t>
      </w:r>
      <w:r>
        <w:rPr>
          <w:iCs/>
          <w:szCs w:val="22"/>
        </w:rPr>
        <w:t>±</w:t>
      </w:r>
      <w:r>
        <w:rPr>
          <w:iCs/>
        </w:rPr>
        <w:t> SD, štandardná odchýlka) sa odhadli pre dávku 8 mg/kg tocilizumabu podávanú raz za 4 týždne: plocha pod krivkou pre plazmatickú koncentráciu (AUC) v rovnovážnom stave = 38 000 </w:t>
      </w:r>
      <w:r>
        <w:rPr>
          <w:iCs/>
          <w:szCs w:val="22"/>
        </w:rPr>
        <w:t>±</w:t>
      </w:r>
      <w:r>
        <w:rPr>
          <w:iCs/>
        </w:rPr>
        <w:t> 13 000 h µg/ml, minimálna koncentrácia (C</w:t>
      </w:r>
      <w:r>
        <w:rPr>
          <w:iCs/>
          <w:vertAlign w:val="subscript"/>
        </w:rPr>
        <w:t>min</w:t>
      </w:r>
      <w:r>
        <w:rPr>
          <w:iCs/>
        </w:rPr>
        <w:t>) =15,9 </w:t>
      </w:r>
      <w:r>
        <w:rPr>
          <w:iCs/>
          <w:szCs w:val="22"/>
        </w:rPr>
        <w:t>±</w:t>
      </w:r>
      <w:r>
        <w:rPr>
          <w:iCs/>
        </w:rPr>
        <w:t> 13,1 </w:t>
      </w:r>
      <w:r>
        <w:rPr>
          <w:iCs/>
        </w:rPr>
        <w:sym w:font="Symbol" w:char="F06D"/>
      </w:r>
      <w:r>
        <w:rPr>
          <w:iCs/>
        </w:rPr>
        <w:t>g/ml a maximálna koncentrácia (C</w:t>
      </w:r>
      <w:r>
        <w:rPr>
          <w:iCs/>
          <w:vertAlign w:val="subscript"/>
        </w:rPr>
        <w:t>max</w:t>
      </w:r>
      <w:r>
        <w:rPr>
          <w:iCs/>
        </w:rPr>
        <w:t>) = 182 </w:t>
      </w:r>
      <w:r>
        <w:rPr>
          <w:iCs/>
          <w:szCs w:val="22"/>
        </w:rPr>
        <w:t>±</w:t>
      </w:r>
      <w:r>
        <w:rPr>
          <w:iCs/>
        </w:rPr>
        <w:t> 50,4 µg/ml a pomer kumulácie v hodnote 1,32 pri AUC a1,09 pri C</w:t>
      </w:r>
      <w:r>
        <w:rPr>
          <w:iCs/>
          <w:vertAlign w:val="subscript"/>
        </w:rPr>
        <w:t>max</w:t>
      </w:r>
      <w:r>
        <w:rPr>
          <w:iCs/>
        </w:rPr>
        <w:t xml:space="preserve"> bol nízky. Pomer kumulácie bol vyšší pri C</w:t>
      </w:r>
      <w:r>
        <w:rPr>
          <w:iCs/>
          <w:vertAlign w:val="subscript"/>
        </w:rPr>
        <w:t>min</w:t>
      </w:r>
      <w:r>
        <w:rPr>
          <w:iCs/>
        </w:rPr>
        <w:t xml:space="preserve"> (2,49), čo sa očakávalo na základe prispenia nelineárneho klírensu pri nižších koncentráciách. Rovnovážny stav sa dosiahol po podaní prvej dávky pri hodnote C</w:t>
      </w:r>
      <w:r>
        <w:rPr>
          <w:iCs/>
          <w:vertAlign w:val="subscript"/>
        </w:rPr>
        <w:t>max</w:t>
      </w:r>
      <w:r>
        <w:rPr>
          <w:iCs/>
        </w:rPr>
        <w:t>, po 8 týždňoch pri hodnote AUC a po 20 týždňoch pri hodnote C</w:t>
      </w:r>
      <w:r>
        <w:rPr>
          <w:iCs/>
          <w:vertAlign w:val="subscript"/>
        </w:rPr>
        <w:t>min</w:t>
      </w:r>
      <w:r>
        <w:rPr>
          <w:iCs/>
        </w:rPr>
        <w:t>. AUC, C</w:t>
      </w:r>
      <w:r>
        <w:rPr>
          <w:iCs/>
          <w:vertAlign w:val="subscript"/>
        </w:rPr>
        <w:t>min</w:t>
      </w:r>
      <w:r>
        <w:rPr>
          <w:iCs/>
        </w:rPr>
        <w:t xml:space="preserve"> a C</w:t>
      </w:r>
      <w:r>
        <w:rPr>
          <w:iCs/>
          <w:vertAlign w:val="subscript"/>
        </w:rPr>
        <w:t>max</w:t>
      </w:r>
      <w:r>
        <w:rPr>
          <w:iCs/>
        </w:rPr>
        <w:t xml:space="preserve"> tocilizumabu vzrástlo so stúpajúcou telesnou hmotnosťou. Pri telesnej hmotnosti ≥ 100 kg bol predpovedaný priemer </w:t>
      </w:r>
      <w:r>
        <w:t>(± SD) AUC tocilizumabu v rovnovážnom stave</w:t>
      </w:r>
      <w:r>
        <w:rPr>
          <w:iCs/>
        </w:rPr>
        <w:t>5</w:t>
      </w:r>
      <w:r>
        <w:t>0</w:t>
      </w:r>
      <w:r>
        <w:rPr>
          <w:iCs/>
        </w:rPr>
        <w:t> </w:t>
      </w:r>
      <w:r>
        <w:t>000 ± 16</w:t>
      </w:r>
      <w:r>
        <w:rPr>
          <w:iCs/>
        </w:rPr>
        <w:t> </w:t>
      </w:r>
      <w:r>
        <w:t>800 μg</w:t>
      </w:r>
      <w:ins w:id="713" w:author="Author" w:date="2026-02-09T14:24:00Z">
        <w:r>
          <w:t xml:space="preserve"> </w:t>
        </w:r>
      </w:ins>
      <w:ins w:id="714" w:author="Author" w:date="2025-08-05T11:03:00Z">
        <w:r>
          <w:rPr>
            <w:szCs w:val="22"/>
          </w:rPr>
          <w:t>×</w:t>
        </w:r>
      </w:ins>
      <w:ins w:id="715" w:author="Author" w:date="2026-02-09T14:24:00Z">
        <w:r>
          <w:rPr>
            <w:szCs w:val="22"/>
          </w:rPr>
          <w:t xml:space="preserve"> </w:t>
        </w:r>
      </w:ins>
      <w:del w:id="716" w:author="Author" w:date="2025-08-05T11:03:00Z">
        <w:r>
          <w:delText>•</w:delText>
        </w:r>
      </w:del>
      <w:r>
        <w:t>h/ml, C</w:t>
      </w:r>
      <w:r>
        <w:rPr>
          <w:vertAlign w:val="subscript"/>
        </w:rPr>
        <w:t>min</w:t>
      </w:r>
      <w:r>
        <w:t xml:space="preserve"> tocilizumabu 24,4 ± 17,5 μg/ml a C</w:t>
      </w:r>
      <w:r>
        <w:rPr>
          <w:vertAlign w:val="subscript"/>
        </w:rPr>
        <w:t>max</w:t>
      </w:r>
      <w:r>
        <w:t xml:space="preserve"> tocilizumabu 226</w:t>
      </w:r>
      <w:r>
        <w:rPr>
          <w:iCs/>
        </w:rPr>
        <w:t> </w:t>
      </w:r>
      <w:r>
        <w:t>±</w:t>
      </w:r>
      <w:r>
        <w:rPr>
          <w:iCs/>
        </w:rPr>
        <w:t> </w:t>
      </w:r>
      <w:r>
        <w:t xml:space="preserve">50,3 μg/ml, čo sú vyššie hodnoty, než hodnoty pri priemernej expozícii v súbore pacientov (t.j. celková hmotnosť všetkých pacientov) ako je uvedené vyššie. Krivka odpovede na dávku sa pri tocilizumabe pri vyšších expozíciách splošťuje, čo vedie k nižšiemu nárastu účinnosti pre každé ďalšie zvýšenie koncentrácie tocilizumabu, takže u pacientov liečených tocilizumabom dávkou </w:t>
      </w:r>
      <w:r>
        <w:rPr>
          <w:rFonts w:eastAsia="MS Mincho"/>
          <w:szCs w:val="22"/>
        </w:rPr>
        <w:sym w:font="Symbol" w:char="F03E"/>
      </w:r>
      <w:r>
        <w:t> 800 mg nedochádza už k žiadnemu zmysluplnému zvýšeniu účinnosti. Preto sa neodporúčajú dávky, ktoré presahujú 800 mg na infúziu (pozri časť </w:t>
      </w:r>
      <w:r>
        <w:rPr>
          <w:iCs/>
        </w:rPr>
        <w:t>4.2).</w:t>
      </w:r>
    </w:p>
    <w:p w14:paraId="1A429617" w14:textId="77777777" w:rsidR="009700E5" w:rsidRDefault="009700E5">
      <w:pPr>
        <w:numPr>
          <w:ilvl w:val="12"/>
          <w:numId w:val="0"/>
        </w:numPr>
        <w:rPr>
          <w:iCs/>
          <w:szCs w:val="22"/>
        </w:rPr>
      </w:pPr>
      <w:bookmarkStart w:id="717" w:name="_Hlk88032884"/>
    </w:p>
    <w:p w14:paraId="0784C242" w14:textId="77777777" w:rsidR="009700E5" w:rsidRPr="009700E5" w:rsidRDefault="002C033C">
      <w:pPr>
        <w:pStyle w:val="Standard1"/>
        <w:keepNext/>
        <w:keepLines/>
        <w:numPr>
          <w:ilvl w:val="12"/>
          <w:numId w:val="0"/>
        </w:numPr>
        <w:rPr>
          <w:rFonts w:ascii="Times New Roman" w:hAnsi="Times New Roman"/>
          <w:noProof/>
          <w:sz w:val="22"/>
          <w:szCs w:val="22"/>
          <w:u w:val="single"/>
          <w:lang w:val="sk-SK"/>
          <w:rPrChange w:id="718" w:author="Author" w:date="2025-08-22T15:12:00Z">
            <w:rPr>
              <w:rFonts w:ascii="Times New Roman" w:hAnsi="Times New Roman"/>
              <w:sz w:val="22"/>
              <w:szCs w:val="22"/>
              <w:u w:val="single"/>
              <w:lang w:val="sk-SK"/>
            </w:rPr>
          </w:rPrChange>
        </w:rPr>
      </w:pPr>
      <w:r>
        <w:rPr>
          <w:rFonts w:ascii="Times New Roman" w:hAnsi="Times New Roman"/>
          <w:noProof/>
          <w:sz w:val="22"/>
          <w:szCs w:val="22"/>
          <w:u w:val="single"/>
          <w:lang w:val="sk-SK"/>
          <w:rPrChange w:id="719" w:author="Author" w:date="2025-08-22T15:12:00Z">
            <w:rPr>
              <w:rFonts w:ascii="Times New Roman" w:hAnsi="Times New Roman"/>
              <w:sz w:val="22"/>
              <w:szCs w:val="22"/>
              <w:u w:val="single"/>
              <w:lang w:val="sk-SK"/>
            </w:rPr>
          </w:rPrChange>
        </w:rPr>
        <w:lastRenderedPageBreak/>
        <w:t>Pacienti s COVID</w:t>
      </w:r>
      <w:r>
        <w:rPr>
          <w:rFonts w:ascii="Times New Roman" w:hAnsi="Times New Roman"/>
          <w:noProof/>
          <w:sz w:val="22"/>
          <w:szCs w:val="22"/>
          <w:u w:val="single"/>
          <w:lang w:val="sk-SK"/>
          <w:rPrChange w:id="720" w:author="Author" w:date="2025-08-22T15:12:00Z">
            <w:rPr>
              <w:rFonts w:ascii="Times New Roman" w:hAnsi="Times New Roman"/>
              <w:sz w:val="22"/>
              <w:szCs w:val="22"/>
              <w:u w:val="single"/>
              <w:lang w:val="sk-SK"/>
            </w:rPr>
          </w:rPrChange>
        </w:rPr>
        <w:noBreakHyphen/>
        <w:t>19</w:t>
      </w:r>
    </w:p>
    <w:p w14:paraId="0B1CFF8C" w14:textId="77777777" w:rsidR="009700E5" w:rsidRDefault="002C033C">
      <w:pPr>
        <w:keepNext/>
        <w:keepLines/>
        <w:numPr>
          <w:ilvl w:val="12"/>
          <w:numId w:val="0"/>
        </w:numPr>
        <w:rPr>
          <w:iCs/>
          <w:szCs w:val="22"/>
        </w:rPr>
      </w:pPr>
      <w:r>
        <w:rPr>
          <w:iCs/>
        </w:rPr>
        <w:t>Farmakokinetika tocilizumabu bola charakterizovaná použitím populačnej farmakokinetickej analýzy údajov z databázy, ktorá zahŕňala </w:t>
      </w:r>
      <w:r>
        <w:rPr>
          <w:szCs w:val="22"/>
        </w:rPr>
        <w:t>380 dospelých pacientov s COVID</w:t>
      </w:r>
      <w:r>
        <w:rPr>
          <w:szCs w:val="22"/>
        </w:rPr>
        <w:noBreakHyphen/>
        <w:t>19 v</w:t>
      </w:r>
      <w:del w:id="721" w:author="Author" w:date="2025-07-21T09:48:00Z">
        <w:r>
          <w:rPr>
            <w:szCs w:val="22"/>
          </w:rPr>
          <w:delText> </w:delText>
        </w:r>
      </w:del>
      <w:ins w:id="722" w:author="Author" w:date="2025-07-21T09:48:00Z">
        <w:r>
          <w:rPr>
            <w:szCs w:val="22"/>
          </w:rPr>
          <w:t xml:space="preserve"> klinickom </w:t>
        </w:r>
      </w:ins>
      <w:ins w:id="723" w:author="Author" w:date="2025-07-18T23:08:00Z">
        <w:r>
          <w:rPr>
            <w:szCs w:val="22"/>
          </w:rPr>
          <w:t>skúšaní</w:t>
        </w:r>
      </w:ins>
      <w:del w:id="724" w:author="Author" w:date="2025-07-18T23:08:00Z">
        <w:r>
          <w:rPr>
            <w:szCs w:val="22"/>
          </w:rPr>
          <w:delText>štúdii</w:delText>
        </w:r>
      </w:del>
      <w:r>
        <w:rPr>
          <w:szCs w:val="22"/>
        </w:rPr>
        <w:t> WA42380 (COVACTA) a v </w:t>
      </w:r>
      <w:del w:id="725" w:author="Author" w:date="2025-07-18T23:08:00Z">
        <w:r>
          <w:rPr>
            <w:szCs w:val="22"/>
          </w:rPr>
          <w:delText>štúdii </w:delText>
        </w:r>
      </w:del>
      <w:ins w:id="726" w:author="Author" w:date="2025-07-21T09:48:00Z">
        <w:r>
          <w:rPr>
            <w:szCs w:val="22"/>
          </w:rPr>
          <w:t xml:space="preserve">klinickom </w:t>
        </w:r>
      </w:ins>
      <w:ins w:id="727" w:author="Author" w:date="2025-07-18T23:08:00Z">
        <w:r>
          <w:rPr>
            <w:szCs w:val="22"/>
          </w:rPr>
          <w:t>skúšaní </w:t>
        </w:r>
      </w:ins>
      <w:r>
        <w:rPr>
          <w:szCs w:val="22"/>
        </w:rPr>
        <w:t xml:space="preserve">CA42481 (MARIPOSA), ktorí boli liečení jednorazovou infúziou 8 mg/kg tocilizumabu alebo dvomi infúziami podanými s časovým odstupom aspoň 8 hodín. </w:t>
      </w:r>
      <w:r>
        <w:rPr>
          <w:iCs/>
        </w:rPr>
        <w:t>Nasledujúce parametre (predpokladaný priemer </w:t>
      </w:r>
      <w:r>
        <w:t>±</w:t>
      </w:r>
      <w:r>
        <w:rPr>
          <w:iCs/>
        </w:rPr>
        <w:t> SD) boli odhadnuté pre dávku tocilizumabu 8 mg/kg</w:t>
      </w:r>
      <w:r>
        <w:rPr>
          <w:szCs w:val="22"/>
        </w:rPr>
        <w:t xml:space="preserve">: </w:t>
      </w:r>
      <w:r>
        <w:rPr>
          <w:iCs/>
        </w:rPr>
        <w:t xml:space="preserve">plocha pod krivkou počas </w:t>
      </w:r>
      <w:r>
        <w:rPr>
          <w:szCs w:val="22"/>
        </w:rPr>
        <w:t>28 dní (AUC</w:t>
      </w:r>
      <w:r>
        <w:rPr>
          <w:szCs w:val="22"/>
          <w:vertAlign w:val="subscript"/>
        </w:rPr>
        <w:t>0-28</w:t>
      </w:r>
      <w:r>
        <w:rPr>
          <w:szCs w:val="22"/>
        </w:rPr>
        <w:t>) = 18 312 (5 184) hodina</w:t>
      </w:r>
      <w:ins w:id="728" w:author="Author" w:date="2025-07-21T09:49:00Z">
        <w:r>
          <w:rPr>
            <w:szCs w:val="22"/>
          </w:rPr>
          <w:t> </w:t>
        </w:r>
      </w:ins>
      <w:ins w:id="729" w:author="Author" w:date="2025-07-18T23:20:00Z">
        <w:del w:id="730" w:author="Author" w:date="2025-07-21T09:49:00Z">
          <w:r>
            <w:rPr>
              <w:szCs w:val="22"/>
            </w:rPr>
            <w:delText xml:space="preserve"> </w:delText>
          </w:r>
        </w:del>
      </w:ins>
      <w:ins w:id="731" w:author="Author" w:date="2025-07-21T09:49:00Z">
        <w:r>
          <w:rPr>
            <w:szCs w:val="22"/>
          </w:rPr>
          <w:t>×</w:t>
        </w:r>
      </w:ins>
      <w:ins w:id="732" w:author="Author" w:date="2025-07-18T23:20:00Z">
        <w:del w:id="733" w:author="Author" w:date="2025-07-21T09:49:00Z">
          <w:r>
            <w:rPr>
              <w:szCs w:val="22"/>
            </w:rPr>
            <w:delText>x</w:delText>
          </w:r>
        </w:del>
      </w:ins>
      <w:ins w:id="734" w:author="Author" w:date="2025-07-21T09:49:00Z">
        <w:r>
          <w:rPr>
            <w:szCs w:val="22"/>
          </w:rPr>
          <w:t> </w:t>
        </w:r>
      </w:ins>
      <w:ins w:id="735" w:author="Author" w:date="2025-07-18T23:20:00Z">
        <w:del w:id="736" w:author="Author" w:date="2025-07-21T09:49:00Z">
          <w:r>
            <w:rPr>
              <w:szCs w:val="22"/>
            </w:rPr>
            <w:delText xml:space="preserve"> </w:delText>
          </w:r>
        </w:del>
      </w:ins>
      <w:del w:id="737" w:author="Author" w:date="2025-07-18T23:20:00Z">
        <w:r>
          <w:rPr>
            <w:szCs w:val="22"/>
          </w:rPr>
          <w:delText>•</w:delText>
        </w:r>
      </w:del>
      <w:r>
        <w:rPr>
          <w:szCs w:val="22"/>
        </w:rPr>
        <w:t>µg/ml, koncentrácia na 28. deň (C</w:t>
      </w:r>
      <w:r>
        <w:rPr>
          <w:szCs w:val="22"/>
          <w:vertAlign w:val="subscript"/>
        </w:rPr>
        <w:t>28. deň</w:t>
      </w:r>
      <w:r>
        <w:rPr>
          <w:szCs w:val="22"/>
        </w:rPr>
        <w:t>) = 0,934 (1,93) µg/ml a maximálna koncentrácia (C</w:t>
      </w:r>
      <w:r>
        <w:rPr>
          <w:szCs w:val="22"/>
          <w:vertAlign w:val="subscript"/>
        </w:rPr>
        <w:t>max</w:t>
      </w:r>
      <w:r>
        <w:rPr>
          <w:szCs w:val="22"/>
        </w:rPr>
        <w:t>) = 154 (34,9) µg/ml. Odhadnuté (</w:t>
      </w:r>
      <w:r>
        <w:rPr>
          <w:iCs/>
        </w:rPr>
        <w:t>predpokladaný priemer </w:t>
      </w:r>
      <w:r>
        <w:t>±</w:t>
      </w:r>
      <w:r>
        <w:rPr>
          <w:iCs/>
        </w:rPr>
        <w:t> SD</w:t>
      </w:r>
      <w:r>
        <w:rPr>
          <w:szCs w:val="22"/>
        </w:rPr>
        <w:t>) boli aj hodnoty AUC</w:t>
      </w:r>
      <w:r>
        <w:rPr>
          <w:szCs w:val="22"/>
          <w:vertAlign w:val="subscript"/>
        </w:rPr>
        <w:t>0</w:t>
      </w:r>
      <w:r>
        <w:rPr>
          <w:szCs w:val="22"/>
          <w:vertAlign w:val="subscript"/>
        </w:rPr>
        <w:noBreakHyphen/>
        <w:t>28</w:t>
      </w:r>
      <w:r>
        <w:rPr>
          <w:szCs w:val="22"/>
        </w:rPr>
        <w:t>, C</w:t>
      </w:r>
      <w:r>
        <w:rPr>
          <w:szCs w:val="22"/>
          <w:vertAlign w:val="subscript"/>
        </w:rPr>
        <w:t>28. deň</w:t>
      </w:r>
      <w:r>
        <w:rPr>
          <w:szCs w:val="22"/>
        </w:rPr>
        <w:t xml:space="preserve"> a C</w:t>
      </w:r>
      <w:r>
        <w:rPr>
          <w:szCs w:val="22"/>
          <w:vertAlign w:val="subscript"/>
        </w:rPr>
        <w:t>max</w:t>
      </w:r>
      <w:r>
        <w:rPr>
          <w:szCs w:val="22"/>
        </w:rPr>
        <w:t xml:space="preserve"> po dvoch dávkach tocilizumabu 8 mg/kg podaných s odstupom 8 hodín: 42 240 (11 520) hodina</w:t>
      </w:r>
      <w:ins w:id="738" w:author="Author" w:date="2025-07-21T09:49:00Z">
        <w:r>
          <w:rPr>
            <w:szCs w:val="22"/>
          </w:rPr>
          <w:t> × </w:t>
        </w:r>
      </w:ins>
      <w:ins w:id="739" w:author="Author" w:date="2025-07-18T23:20:00Z">
        <w:del w:id="740" w:author="Author" w:date="2025-07-21T09:49:00Z">
          <w:r>
            <w:rPr>
              <w:szCs w:val="22"/>
            </w:rPr>
            <w:delText xml:space="preserve"> x </w:delText>
          </w:r>
        </w:del>
      </w:ins>
      <w:del w:id="741" w:author="Author" w:date="2025-07-18T23:20:00Z">
        <w:r>
          <w:rPr>
            <w:szCs w:val="22"/>
          </w:rPr>
          <w:delText>•</w:delText>
        </w:r>
      </w:del>
      <w:r>
        <w:rPr>
          <w:szCs w:val="22"/>
        </w:rPr>
        <w:t>µg/ml, 8,94 (8,5) µg/ml a 296 (64,7) µg/ml v uvedenom poradí.</w:t>
      </w:r>
    </w:p>
    <w:bookmarkEnd w:id="717"/>
    <w:p w14:paraId="72845FB8" w14:textId="77777777" w:rsidR="009700E5" w:rsidRDefault="009700E5">
      <w:pPr>
        <w:numPr>
          <w:ilvl w:val="12"/>
          <w:numId w:val="0"/>
        </w:numPr>
        <w:ind w:right="-2"/>
        <w:rPr>
          <w:iCs/>
        </w:rPr>
      </w:pPr>
    </w:p>
    <w:p w14:paraId="5B590915" w14:textId="77777777" w:rsidR="009700E5" w:rsidRDefault="002C033C">
      <w:pPr>
        <w:keepNext/>
        <w:keepLines/>
        <w:numPr>
          <w:ilvl w:val="12"/>
          <w:numId w:val="0"/>
        </w:numPr>
        <w:rPr>
          <w:iCs/>
        </w:rPr>
      </w:pPr>
      <w:r>
        <w:rPr>
          <w:iCs/>
          <w:u w:val="single"/>
        </w:rPr>
        <w:t>Distribúcia</w:t>
      </w:r>
    </w:p>
    <w:p w14:paraId="01BE528F" w14:textId="77777777" w:rsidR="009700E5" w:rsidRDefault="002C033C">
      <w:pPr>
        <w:keepNext/>
        <w:keepLines/>
        <w:numPr>
          <w:ilvl w:val="12"/>
          <w:numId w:val="0"/>
        </w:numPr>
        <w:rPr>
          <w:iCs/>
        </w:rPr>
      </w:pPr>
      <w:r>
        <w:rPr>
          <w:iCs/>
        </w:rPr>
        <w:t>U pacientov s RA bol distribučný objem centrálneho kompartmentu 3,72 l, distribučný objem periférneho kompartmentu bol 3,35 l, čo malo za následok distribučný objem 7,07 l v rovnovážnom stave.</w:t>
      </w:r>
    </w:p>
    <w:p w14:paraId="7D71E8F3" w14:textId="77777777" w:rsidR="009700E5" w:rsidRDefault="009700E5">
      <w:pPr>
        <w:keepNext/>
        <w:keepLines/>
        <w:numPr>
          <w:ilvl w:val="12"/>
          <w:numId w:val="0"/>
        </w:numPr>
        <w:rPr>
          <w:iCs/>
        </w:rPr>
      </w:pPr>
      <w:bookmarkStart w:id="742" w:name="_Hlk88032918"/>
    </w:p>
    <w:p w14:paraId="1602AA8B" w14:textId="77777777" w:rsidR="009700E5" w:rsidRDefault="002C033C">
      <w:pPr>
        <w:keepNext/>
        <w:keepLines/>
        <w:numPr>
          <w:ilvl w:val="12"/>
          <w:numId w:val="0"/>
        </w:numPr>
        <w:rPr>
          <w:iCs/>
        </w:rPr>
      </w:pPr>
      <w:r>
        <w:rPr>
          <w:iCs/>
        </w:rPr>
        <w:t>U dospelých pacientov s COVID</w:t>
      </w:r>
      <w:r>
        <w:rPr>
          <w:iCs/>
        </w:rPr>
        <w:noBreakHyphen/>
        <w:t>19 bol distribučný objem centrálneho kompartmentu 4,52 l, distribučný objem periférneho kompartmentu bol 4,23 l, čo malo za následok distribučný objem 8,75 l.</w:t>
      </w:r>
    </w:p>
    <w:bookmarkEnd w:id="742"/>
    <w:p w14:paraId="7F554F10" w14:textId="77777777" w:rsidR="009700E5" w:rsidRDefault="009700E5">
      <w:pPr>
        <w:numPr>
          <w:ilvl w:val="12"/>
          <w:numId w:val="0"/>
        </w:numPr>
        <w:ind w:right="-2"/>
        <w:rPr>
          <w:iCs/>
        </w:rPr>
      </w:pPr>
    </w:p>
    <w:p w14:paraId="06C71E57" w14:textId="77777777" w:rsidR="009700E5" w:rsidRDefault="002C033C">
      <w:pPr>
        <w:keepNext/>
        <w:keepLines/>
        <w:numPr>
          <w:ilvl w:val="12"/>
          <w:numId w:val="0"/>
        </w:numPr>
        <w:rPr>
          <w:iCs/>
        </w:rPr>
      </w:pPr>
      <w:bookmarkStart w:id="743" w:name="_Hlk88033336"/>
      <w:r>
        <w:rPr>
          <w:iCs/>
          <w:u w:val="single"/>
        </w:rPr>
        <w:t>Eliminácia</w:t>
      </w:r>
    </w:p>
    <w:p w14:paraId="1FE39718" w14:textId="77777777" w:rsidR="009700E5" w:rsidRDefault="002C033C">
      <w:pPr>
        <w:keepNext/>
        <w:keepLines/>
        <w:numPr>
          <w:ilvl w:val="12"/>
          <w:numId w:val="0"/>
        </w:numPr>
        <w:rPr>
          <w:iCs/>
        </w:rPr>
      </w:pPr>
      <w:r>
        <w:rPr>
          <w:iCs/>
        </w:rPr>
        <w:t>Po intravenóznom podaní tocilizumab podlieha duálnej eliminácii z cirkulácie, jedna cesta spočíva v lineárnom klírense a jedna cesta spočíva v nelineárnom klírense závislom od koncentrácie. U pacientov s RA bol lineárny klírens 9,5 ml/h. Lineárny klírens u dospelých pacientov s COVID</w:t>
      </w:r>
      <w:r>
        <w:rPr>
          <w:iCs/>
        </w:rPr>
        <w:noBreakHyphen/>
        <w:t xml:space="preserve">19 bol 17,6 ml/h u pacientov, ktorí pri zaradení do </w:t>
      </w:r>
      <w:del w:id="744" w:author="Author" w:date="2025-07-18T23:17:00Z">
        <w:r>
          <w:rPr>
            <w:iCs/>
          </w:rPr>
          <w:delText xml:space="preserve">štúdie </w:delText>
        </w:r>
      </w:del>
      <w:ins w:id="745" w:author="Author" w:date="2025-07-21T09:50:00Z">
        <w:r>
          <w:rPr>
            <w:iCs/>
          </w:rPr>
          <w:t xml:space="preserve">klinického </w:t>
        </w:r>
      </w:ins>
      <w:ins w:id="746" w:author="Author" w:date="2025-07-18T23:17:00Z">
        <w:r>
          <w:rPr>
            <w:iCs/>
          </w:rPr>
          <w:t xml:space="preserve">skúšania </w:t>
        </w:r>
      </w:ins>
      <w:r>
        <w:rPr>
          <w:iCs/>
        </w:rPr>
        <w:t xml:space="preserve">spadali do kategórie 3 poradovej škály (ordinal scale category 3 – OS 3, pacienti, ktorí potrebujú doplnkovú liečbu kyslíkom), 22,5 ml/h u pacientov, ktorí pri zaradení do </w:t>
      </w:r>
      <w:del w:id="747" w:author="Author" w:date="2025-07-18T23:17:00Z">
        <w:r>
          <w:rPr>
            <w:iCs/>
          </w:rPr>
          <w:delText xml:space="preserve">štúdie </w:delText>
        </w:r>
      </w:del>
      <w:ins w:id="748" w:author="Author" w:date="2025-07-21T09:50:00Z">
        <w:r>
          <w:t>klinického</w:t>
        </w:r>
        <w:r>
          <w:rPr>
            <w:iCs/>
          </w:rPr>
          <w:t xml:space="preserve"> </w:t>
        </w:r>
      </w:ins>
      <w:ins w:id="749" w:author="Author" w:date="2025-07-18T23:17:00Z">
        <w:r>
          <w:rPr>
            <w:iCs/>
          </w:rPr>
          <w:t xml:space="preserve">skúšania </w:t>
        </w:r>
      </w:ins>
      <w:r>
        <w:rPr>
          <w:iCs/>
        </w:rPr>
        <w:t xml:space="preserve">spadali do OS 4 (pacienti, ktorí potrebujú vysokoprietokový kyslík alebo neinvazívnu ventiláciu), 29 ml/h u pacientov, ktorí pri zaradení do </w:t>
      </w:r>
      <w:del w:id="750" w:author="Author" w:date="2025-07-18T23:18:00Z">
        <w:r>
          <w:rPr>
            <w:iCs/>
          </w:rPr>
          <w:delText xml:space="preserve">štúdie </w:delText>
        </w:r>
      </w:del>
      <w:ins w:id="751" w:author="Author" w:date="2025-07-21T09:50:00Z">
        <w:r>
          <w:t>klinického</w:t>
        </w:r>
        <w:r>
          <w:rPr>
            <w:iCs/>
          </w:rPr>
          <w:t xml:space="preserve"> </w:t>
        </w:r>
      </w:ins>
      <w:ins w:id="752" w:author="Author" w:date="2025-07-18T23:18:00Z">
        <w:r>
          <w:rPr>
            <w:iCs/>
          </w:rPr>
          <w:t xml:space="preserve">skúšania </w:t>
        </w:r>
      </w:ins>
      <w:r>
        <w:rPr>
          <w:iCs/>
        </w:rPr>
        <w:t xml:space="preserve">spadali do OS 5 (pacienti, ktorí potrebujú mechanickú ventiláciu) a 35,4 ml/h u pacientov, ktorí pri zaradení do </w:t>
      </w:r>
      <w:del w:id="753" w:author="Author" w:date="2025-07-18T23:08:00Z">
        <w:r>
          <w:rPr>
            <w:iCs/>
          </w:rPr>
          <w:delText xml:space="preserve">štúdie </w:delText>
        </w:r>
      </w:del>
      <w:ins w:id="754" w:author="Author" w:date="2025-07-21T09:51:00Z">
        <w:r>
          <w:t>klinického</w:t>
        </w:r>
        <w:r>
          <w:rPr>
            <w:iCs/>
          </w:rPr>
          <w:t xml:space="preserve"> </w:t>
        </w:r>
      </w:ins>
      <w:ins w:id="755" w:author="Author" w:date="2025-07-18T23:08:00Z">
        <w:r>
          <w:rPr>
            <w:iCs/>
          </w:rPr>
          <w:t xml:space="preserve">skúšania </w:t>
        </w:r>
      </w:ins>
      <w:r>
        <w:rPr>
          <w:iCs/>
        </w:rPr>
        <w:t xml:space="preserve">spadali do OS 6 (pacienti, ktorí potrebujú ECMO [extracorporeal membrane oxygenation – mimotelovú membránovú oxygenáciu] alebo mechanickú ventiláciu a podporu funkcií ďalších orgánov). </w:t>
      </w:r>
      <w:bookmarkEnd w:id="743"/>
      <w:r>
        <w:rPr>
          <w:iCs/>
        </w:rPr>
        <w:t>Nelineárny klírens závislý od koncentrácie zohráva hlavnú úlohu pri nízkych koncentráciách tocilizumabu. Keď je cesta nelineárneho klírensu nasýtená, pri vyšších koncentráciách tocilizumabu je klírens určovaný hlavne lineárnym klírensom.</w:t>
      </w:r>
    </w:p>
    <w:p w14:paraId="792842FD" w14:textId="77777777" w:rsidR="009700E5" w:rsidRDefault="009700E5">
      <w:pPr>
        <w:numPr>
          <w:ilvl w:val="12"/>
          <w:numId w:val="0"/>
        </w:numPr>
        <w:rPr>
          <w:iCs/>
        </w:rPr>
      </w:pPr>
    </w:p>
    <w:p w14:paraId="189EEADC" w14:textId="77777777" w:rsidR="009700E5" w:rsidRDefault="002C033C">
      <w:pPr>
        <w:numPr>
          <w:ilvl w:val="12"/>
          <w:numId w:val="0"/>
        </w:numPr>
        <w:ind w:right="-2"/>
        <w:rPr>
          <w:iCs/>
        </w:rPr>
      </w:pPr>
      <w:r>
        <w:rPr>
          <w:iCs/>
        </w:rPr>
        <w:t>U pacientov s RA bol t</w:t>
      </w:r>
      <w:r>
        <w:rPr>
          <w:iCs/>
          <w:vertAlign w:val="subscript"/>
        </w:rPr>
        <w:t>1/2</w:t>
      </w:r>
      <w:r>
        <w:rPr>
          <w:iCs/>
        </w:rPr>
        <w:t xml:space="preserve"> tocilizumabu závislý od koncentrácie. V rovnovážnom stave sa po dávke 8 mg/kg podávanej raz za 4 týždne efektívny t</w:t>
      </w:r>
      <w:r>
        <w:rPr>
          <w:iCs/>
          <w:vertAlign w:val="subscript"/>
        </w:rPr>
        <w:t>1/2</w:t>
      </w:r>
      <w:r>
        <w:rPr>
          <w:iCs/>
        </w:rPr>
        <w:t xml:space="preserve"> znižoval so znižujúcimi sa koncentráciami v rámci dávkovacieho intervalu od 18 dní do 6 dní.</w:t>
      </w:r>
    </w:p>
    <w:p w14:paraId="23A4B2A5" w14:textId="77777777" w:rsidR="009700E5" w:rsidRDefault="009700E5">
      <w:pPr>
        <w:outlineLvl w:val="0"/>
      </w:pPr>
      <w:bookmarkStart w:id="756" w:name="_Hlk88033415"/>
    </w:p>
    <w:p w14:paraId="00662AAE" w14:textId="77777777" w:rsidR="009700E5" w:rsidRDefault="002C033C">
      <w:pPr>
        <w:outlineLvl w:val="0"/>
      </w:pPr>
      <w:r>
        <w:t>U pacientov s COVID</w:t>
      </w:r>
      <w:r>
        <w:noBreakHyphen/>
        <w:t>19 boli koncentrácie v sére pod hranicou kvantifikovateľnosti po priemerne 35 dňoch po podaní jednej intravenóznej infúzie tocilizumabu v dávke 8 mg/kg.</w:t>
      </w:r>
    </w:p>
    <w:bookmarkEnd w:id="756"/>
    <w:p w14:paraId="6A7FF44E" w14:textId="77777777" w:rsidR="009700E5" w:rsidRDefault="009700E5">
      <w:pPr>
        <w:outlineLvl w:val="0"/>
      </w:pPr>
    </w:p>
    <w:p w14:paraId="49CC3CCA" w14:textId="77777777" w:rsidR="009700E5" w:rsidRDefault="002C033C">
      <w:pPr>
        <w:keepNext/>
        <w:keepLines/>
        <w:outlineLvl w:val="0"/>
        <w:rPr>
          <w:u w:val="single"/>
        </w:rPr>
      </w:pPr>
      <w:r>
        <w:rPr>
          <w:u w:val="single"/>
        </w:rPr>
        <w:t>Linearita</w:t>
      </w:r>
    </w:p>
    <w:p w14:paraId="3B44DB30" w14:textId="77777777" w:rsidR="009700E5" w:rsidRDefault="002C033C">
      <w:pPr>
        <w:keepNext/>
        <w:keepLines/>
        <w:outlineLvl w:val="0"/>
        <w:rPr>
          <w:iCs/>
        </w:rPr>
      </w:pPr>
      <w:r>
        <w:rPr>
          <w:iCs/>
        </w:rPr>
        <w:t>Farmakokinetické parametre tocilizumabu sa postupom času nezmenili. Pri dávkach 4 a 8 mg/kg podávaných raz za 4 týždne sa pozorovalo vyššie ako dávke úmerné zvýšenie hodnoty AUC a C</w:t>
      </w:r>
      <w:r>
        <w:rPr>
          <w:iCs/>
          <w:vertAlign w:val="subscript"/>
        </w:rPr>
        <w:t>min</w:t>
      </w:r>
      <w:r>
        <w:rPr>
          <w:iCs/>
        </w:rPr>
        <w:t>. Hodnota C</w:t>
      </w:r>
      <w:r>
        <w:rPr>
          <w:iCs/>
          <w:vertAlign w:val="subscript"/>
        </w:rPr>
        <w:t>max</w:t>
      </w:r>
      <w:r>
        <w:rPr>
          <w:iCs/>
        </w:rPr>
        <w:t xml:space="preserve"> sa zvyšovala úmerne dávke. V rovnovážnom stave bola pri dávke 8 mg/kg predpokladaná hodnota AUC 3,2</w:t>
      </w:r>
      <w:r>
        <w:rPr>
          <w:iCs/>
        </w:rPr>
        <w:noBreakHyphen/>
        <w:t>násobne a hodnota C</w:t>
      </w:r>
      <w:r>
        <w:rPr>
          <w:iCs/>
          <w:vertAlign w:val="subscript"/>
        </w:rPr>
        <w:t>min</w:t>
      </w:r>
      <w:r>
        <w:rPr>
          <w:iCs/>
        </w:rPr>
        <w:t xml:space="preserve"> 30</w:t>
      </w:r>
      <w:r>
        <w:rPr>
          <w:iCs/>
        </w:rPr>
        <w:noBreakHyphen/>
        <w:t>násobne vyššia než pri dávke 4 mg/kg.</w:t>
      </w:r>
    </w:p>
    <w:p w14:paraId="5B99970E" w14:textId="77777777" w:rsidR="009700E5" w:rsidRDefault="009700E5">
      <w:pPr>
        <w:outlineLvl w:val="0"/>
      </w:pPr>
    </w:p>
    <w:p w14:paraId="2E44CD07" w14:textId="77777777" w:rsidR="009700E5" w:rsidRDefault="002C033C">
      <w:pPr>
        <w:outlineLvl w:val="0"/>
        <w:rPr>
          <w:iCs/>
          <w:u w:val="single"/>
        </w:rPr>
      </w:pPr>
      <w:r>
        <w:rPr>
          <w:iCs/>
          <w:u w:val="single"/>
        </w:rPr>
        <w:t>Osobitné skupiny pacientov</w:t>
      </w:r>
    </w:p>
    <w:p w14:paraId="207A5053" w14:textId="77777777" w:rsidR="009700E5" w:rsidRDefault="002C033C">
      <w:pPr>
        <w:numPr>
          <w:ilvl w:val="12"/>
          <w:numId w:val="0"/>
        </w:numPr>
        <w:ind w:right="-2"/>
        <w:rPr>
          <w:bCs/>
          <w:i/>
          <w:iCs/>
        </w:rPr>
      </w:pPr>
      <w:r>
        <w:rPr>
          <w:bCs/>
          <w:i/>
          <w:iCs/>
        </w:rPr>
        <w:t>Porucha funkcie obličiek</w:t>
      </w:r>
    </w:p>
    <w:p w14:paraId="0F683E45" w14:textId="77777777" w:rsidR="009700E5" w:rsidRDefault="002C033C">
      <w:pPr>
        <w:numPr>
          <w:ilvl w:val="12"/>
          <w:numId w:val="0"/>
        </w:numPr>
        <w:ind w:right="-2"/>
        <w:rPr>
          <w:iCs/>
        </w:rPr>
      </w:pPr>
      <w:del w:id="757" w:author="Author" w:date="2025-07-18T23:10:00Z">
        <w:r>
          <w:rPr>
            <w:iCs/>
          </w:rPr>
          <w:delText xml:space="preserve">Štúdia </w:delText>
        </w:r>
      </w:del>
      <w:ins w:id="758" w:author="Author" w:date="2025-07-21T09:51:00Z">
        <w:r>
          <w:rPr>
            <w:iCs/>
          </w:rPr>
          <w:t>Klinické s</w:t>
        </w:r>
      </w:ins>
      <w:ins w:id="759" w:author="Author" w:date="2025-07-18T23:10:00Z">
        <w:del w:id="760" w:author="Author" w:date="2025-07-21T09:51:00Z">
          <w:r>
            <w:rPr>
              <w:iCs/>
            </w:rPr>
            <w:delText>S</w:delText>
          </w:r>
        </w:del>
        <w:r>
          <w:rPr>
            <w:iCs/>
          </w:rPr>
          <w:t xml:space="preserve">kúšanie </w:t>
        </w:r>
      </w:ins>
      <w:r>
        <w:rPr>
          <w:iCs/>
        </w:rPr>
        <w:t>vplyvu poruchy funkcie obličiek na farmakokinetiku tocilizumabu sa neuskutočnila. Väčšina pacientov zaradených do populačnej farmakokinetickej analýzy mala normálnu funkciu obličiek alebo miernu poruchu funkcie obličiek. Mierna porucha funkcie obličiek (klírens kreatinínu podľa Cockcrofta</w:t>
      </w:r>
      <w:r>
        <w:rPr>
          <w:iCs/>
        </w:rPr>
        <w:noBreakHyphen/>
        <w:t xml:space="preserve">Gaulta </w:t>
      </w:r>
      <w:r>
        <w:rPr>
          <w:rFonts w:eastAsia="MS Mincho"/>
          <w:szCs w:val="22"/>
        </w:rPr>
        <w:sym w:font="Symbol" w:char="F03C"/>
      </w:r>
      <w:r>
        <w:rPr>
          <w:iCs/>
        </w:rPr>
        <w:t xml:space="preserve"> 80 ml/min a </w:t>
      </w:r>
      <w:r>
        <w:sym w:font="Symbol" w:char="F0B3"/>
      </w:r>
      <w:r>
        <w:rPr>
          <w:iCs/>
        </w:rPr>
        <w:t> 50 ml/min) nemala vplyv na farmakokinetiku tocilizumabu.</w:t>
      </w:r>
    </w:p>
    <w:p w14:paraId="2D29A6CC" w14:textId="77777777" w:rsidR="009700E5" w:rsidRDefault="009700E5">
      <w:pPr>
        <w:outlineLvl w:val="0"/>
      </w:pPr>
    </w:p>
    <w:p w14:paraId="31F0AFC2" w14:textId="77777777" w:rsidR="009700E5" w:rsidRDefault="002C033C">
      <w:pPr>
        <w:keepNext/>
        <w:keepLines/>
        <w:outlineLvl w:val="0"/>
        <w:rPr>
          <w:bCs/>
          <w:i/>
          <w:iCs/>
        </w:rPr>
        <w:pPrChange w:id="761" w:author="TCS" w:date="2025-12-18T23:24:00Z">
          <w:pPr>
            <w:outlineLvl w:val="0"/>
          </w:pPr>
        </w:pPrChange>
      </w:pPr>
      <w:r>
        <w:rPr>
          <w:bCs/>
          <w:i/>
          <w:iCs/>
        </w:rPr>
        <w:lastRenderedPageBreak/>
        <w:t>Porucha funkcie pečene</w:t>
      </w:r>
    </w:p>
    <w:p w14:paraId="79938289" w14:textId="77777777" w:rsidR="009700E5" w:rsidRDefault="002C033C">
      <w:pPr>
        <w:keepNext/>
        <w:keepLines/>
        <w:outlineLvl w:val="0"/>
        <w:rPr>
          <w:iCs/>
        </w:rPr>
        <w:pPrChange w:id="762" w:author="TCS" w:date="2025-12-18T23:24:00Z">
          <w:pPr>
            <w:outlineLvl w:val="0"/>
          </w:pPr>
        </w:pPrChange>
      </w:pPr>
      <w:del w:id="763" w:author="Author" w:date="2025-07-18T23:11:00Z">
        <w:r>
          <w:rPr>
            <w:iCs/>
          </w:rPr>
          <w:delText xml:space="preserve">Štúdia </w:delText>
        </w:r>
      </w:del>
      <w:ins w:id="764" w:author="Author" w:date="2025-07-21T09:51:00Z">
        <w:r>
          <w:rPr>
            <w:iCs/>
          </w:rPr>
          <w:t>Klinické s</w:t>
        </w:r>
      </w:ins>
      <w:ins w:id="765" w:author="Author" w:date="2025-07-18T23:11:00Z">
        <w:del w:id="766" w:author="Author" w:date="2025-07-21T09:51:00Z">
          <w:r>
            <w:rPr>
              <w:iCs/>
            </w:rPr>
            <w:delText>S</w:delText>
          </w:r>
        </w:del>
        <w:r>
          <w:rPr>
            <w:iCs/>
          </w:rPr>
          <w:t xml:space="preserve">kúšanie </w:t>
        </w:r>
      </w:ins>
      <w:r>
        <w:rPr>
          <w:iCs/>
        </w:rPr>
        <w:t>vplyvu poruchy funkcie pečene na farmakokinetiku tocilizumabu sa neuskutočnila.</w:t>
      </w:r>
    </w:p>
    <w:p w14:paraId="2B03B28A" w14:textId="77777777" w:rsidR="009700E5" w:rsidRDefault="009700E5">
      <w:pPr>
        <w:outlineLvl w:val="0"/>
      </w:pPr>
    </w:p>
    <w:p w14:paraId="47E519D8" w14:textId="77777777" w:rsidR="009700E5" w:rsidRDefault="002C033C">
      <w:pPr>
        <w:outlineLvl w:val="0"/>
        <w:rPr>
          <w:bCs/>
          <w:i/>
          <w:iCs/>
        </w:rPr>
      </w:pPr>
      <w:r>
        <w:rPr>
          <w:bCs/>
          <w:i/>
          <w:iCs/>
        </w:rPr>
        <w:t>Vek, pohlavie a etnická príslušnosť</w:t>
      </w:r>
    </w:p>
    <w:p w14:paraId="3B1D58C6" w14:textId="77777777" w:rsidR="009700E5" w:rsidRDefault="002C033C">
      <w:pPr>
        <w:outlineLvl w:val="0"/>
        <w:rPr>
          <w:iCs/>
        </w:rPr>
      </w:pPr>
      <w:r>
        <w:rPr>
          <w:iCs/>
        </w:rPr>
        <w:t>Populačné farmakokinetické analýzy u dospelých pacientov s RA a s COVID</w:t>
      </w:r>
      <w:r>
        <w:rPr>
          <w:iCs/>
        </w:rPr>
        <w:noBreakHyphen/>
        <w:t>19 preukázali, že vek, pohlavie a </w:t>
      </w:r>
      <w:r>
        <w:rPr>
          <w:bCs/>
        </w:rPr>
        <w:t>etnická príslušnosť</w:t>
      </w:r>
      <w:r>
        <w:rPr>
          <w:iCs/>
        </w:rPr>
        <w:t xml:space="preserve"> nemajú vplyv na farmakokinetiku tocilizumabu.</w:t>
      </w:r>
    </w:p>
    <w:p w14:paraId="6FE36D95" w14:textId="77777777" w:rsidR="009700E5" w:rsidRDefault="009700E5">
      <w:pPr>
        <w:numPr>
          <w:ilvl w:val="12"/>
          <w:numId w:val="0"/>
        </w:numPr>
        <w:ind w:right="-2"/>
        <w:rPr>
          <w:iCs/>
        </w:rPr>
      </w:pPr>
    </w:p>
    <w:p w14:paraId="02EFDC2D" w14:textId="77777777" w:rsidR="009700E5" w:rsidRDefault="002C033C">
      <w:pPr>
        <w:numPr>
          <w:ilvl w:val="12"/>
          <w:numId w:val="0"/>
        </w:numPr>
        <w:ind w:right="-2"/>
        <w:rPr>
          <w:iCs/>
        </w:rPr>
      </w:pPr>
      <w:r>
        <w:rPr>
          <w:iCs/>
        </w:rPr>
        <w:t>Výsledky populačnej farmakokinetickej analýzy týkajúce sa pacientov s COVID</w:t>
      </w:r>
      <w:r>
        <w:rPr>
          <w:iCs/>
        </w:rPr>
        <w:noBreakHyphen/>
        <w:t>19 potvrdili, že telesná hmotnosť a závažnosť ochorenia sú kovariantmi, ktoré majú zreteľný vplyv na lineárny klírens tocilizumabu.</w:t>
      </w:r>
    </w:p>
    <w:p w14:paraId="46DE6551" w14:textId="77777777" w:rsidR="009700E5" w:rsidRDefault="009700E5">
      <w:pPr>
        <w:numPr>
          <w:ilvl w:val="12"/>
          <w:numId w:val="0"/>
        </w:numPr>
        <w:ind w:right="-2"/>
        <w:rPr>
          <w:iCs/>
        </w:rPr>
      </w:pPr>
    </w:p>
    <w:p w14:paraId="5CE1AC64" w14:textId="77777777" w:rsidR="009700E5" w:rsidRDefault="002C033C">
      <w:pPr>
        <w:keepNext/>
        <w:keepLines/>
        <w:numPr>
          <w:ilvl w:val="12"/>
          <w:numId w:val="0"/>
        </w:numPr>
        <w:rPr>
          <w:iCs/>
        </w:rPr>
      </w:pPr>
      <w:bookmarkStart w:id="767" w:name="_Hlk523985538"/>
      <w:r>
        <w:rPr>
          <w:i/>
        </w:rPr>
        <w:t>Pacienti so sJIA</w:t>
      </w:r>
    </w:p>
    <w:p w14:paraId="589F729C" w14:textId="77777777" w:rsidR="009700E5" w:rsidRDefault="002C033C">
      <w:pPr>
        <w:keepNext/>
        <w:keepLines/>
        <w:numPr>
          <w:ilvl w:val="12"/>
          <w:numId w:val="0"/>
        </w:numPr>
        <w:rPr>
          <w:iCs/>
        </w:rPr>
      </w:pPr>
      <w:r>
        <w:rPr>
          <w:iCs/>
        </w:rPr>
        <w:t>Farmakokinetika tocilizumabu bola stanovená pomocou populačnej farmakokinetickej analýzy databázy 140 pacientov so sJIA liečených dávkou 8 mg/kg intravenózne raz za 2 týždne (Q2W) (pacienti s telesnou hmotnosťou ≥ 30 kg), 12 mg/kg intravenózne raz za 2 týždne (pacienti s telesnou hmotnosťou </w:t>
      </w:r>
      <w:r>
        <w:rPr>
          <w:rFonts w:eastAsia="MS Mincho"/>
          <w:szCs w:val="22"/>
        </w:rPr>
        <w:sym w:font="Symbol" w:char="F03C"/>
      </w:r>
      <w:r>
        <w:rPr>
          <w:iCs/>
        </w:rPr>
        <w:t> 30 kg), 162 mg subkutánne raz za týždeň (pacienti s telesnou hmotnosťou ≥ 30 kg), 162 mg subkutánne každých 10 dní alebo raz za 2 týždne (pacienti s telesnou hmotnosťou nižšou ako 30 kg).</w:t>
      </w:r>
    </w:p>
    <w:p w14:paraId="77FCB54B" w14:textId="77777777" w:rsidR="009700E5" w:rsidRDefault="009700E5">
      <w:pPr>
        <w:numPr>
          <w:ilvl w:val="12"/>
          <w:numId w:val="0"/>
        </w:numPr>
        <w:ind w:right="-2"/>
        <w:rPr>
          <w:iCs/>
        </w:rPr>
      </w:pPr>
    </w:p>
    <w:p w14:paraId="34C3EA4B" w14:textId="77777777" w:rsidR="009700E5" w:rsidRDefault="002C033C">
      <w:pPr>
        <w:keepNext/>
        <w:keepLines/>
        <w:numPr>
          <w:ilvl w:val="12"/>
          <w:numId w:val="0"/>
        </w:numPr>
        <w:ind w:right="-2"/>
        <w:rPr>
          <w:bCs/>
          <w:i/>
          <w:szCs w:val="22"/>
        </w:rPr>
      </w:pPr>
      <w:r>
        <w:rPr>
          <w:bCs/>
          <w:i/>
          <w:szCs w:val="22"/>
        </w:rPr>
        <w:t>Tabuľka 11. Predpokladaný priemer</w:t>
      </w:r>
      <w:ins w:id="768" w:author="Author" w:date="2025-07-21T09:51:00Z">
        <w:r>
          <w:rPr>
            <w:bCs/>
            <w:i/>
            <w:szCs w:val="22"/>
          </w:rPr>
          <w:t> </w:t>
        </w:r>
      </w:ins>
      <w:del w:id="769" w:author="Author" w:date="2025-07-21T09:51:00Z">
        <w:r>
          <w:rPr>
            <w:bCs/>
            <w:i/>
            <w:szCs w:val="22"/>
          </w:rPr>
          <w:delText xml:space="preserve"> </w:delText>
        </w:r>
      </w:del>
      <w:r>
        <w:rPr>
          <w:bCs/>
          <w:i/>
          <w:szCs w:val="22"/>
        </w:rPr>
        <w:t>±</w:t>
      </w:r>
      <w:ins w:id="770" w:author="Author" w:date="2025-07-21T09:51:00Z">
        <w:r>
          <w:rPr>
            <w:bCs/>
            <w:i/>
            <w:szCs w:val="22"/>
          </w:rPr>
          <w:t> </w:t>
        </w:r>
      </w:ins>
      <w:del w:id="771" w:author="Author" w:date="2025-07-21T09:51:00Z">
        <w:r>
          <w:rPr>
            <w:bCs/>
            <w:i/>
            <w:szCs w:val="22"/>
          </w:rPr>
          <w:delText xml:space="preserve"> </w:delText>
        </w:r>
      </w:del>
      <w:r>
        <w:rPr>
          <w:bCs/>
          <w:i/>
          <w:szCs w:val="22"/>
        </w:rPr>
        <w:t>SD FK (farmakokinetických) parametrov v rovnovážnom stave po intravenóznom podávaní u pacientov so sJIA</w:t>
      </w:r>
    </w:p>
    <w:p w14:paraId="5B001663" w14:textId="77777777" w:rsidR="009700E5" w:rsidRDefault="009700E5">
      <w:pPr>
        <w:keepNext/>
        <w:keepLines/>
        <w:numPr>
          <w:ilvl w:val="12"/>
          <w:numId w:val="0"/>
        </w:numPr>
        <w:ind w:right="-2"/>
        <w:rPr>
          <w:bCs/>
          <w:i/>
          <w:szCs w:val="22"/>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9700E5" w14:paraId="64BD35B4" w14:textId="77777777">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2D67B752" w14:textId="77777777" w:rsidR="009700E5" w:rsidRDefault="002C033C">
            <w:pPr>
              <w:pStyle w:val="TextTi9"/>
              <w:keepNext/>
              <w:keepLines/>
              <w:spacing w:after="120"/>
              <w:rPr>
                <w:rFonts w:ascii="Times New Roman" w:hAnsi="Times New Roman"/>
                <w:sz w:val="20"/>
                <w:szCs w:val="20"/>
              </w:rPr>
            </w:pPr>
            <w:r>
              <w:rPr>
                <w:rFonts w:ascii="Times New Roman" w:hAnsi="Times New Roman"/>
                <w:b/>
                <w:sz w:val="20"/>
                <w:szCs w:val="20"/>
              </w:rPr>
              <w:t>FK parameter tocilizumabu</w:t>
            </w:r>
          </w:p>
        </w:tc>
        <w:tc>
          <w:tcPr>
            <w:tcW w:w="2977" w:type="dxa"/>
            <w:tcBorders>
              <w:top w:val="single" w:sz="4" w:space="0" w:color="auto"/>
              <w:left w:val="single" w:sz="4" w:space="0" w:color="auto"/>
              <w:bottom w:val="single" w:sz="4" w:space="0" w:color="auto"/>
              <w:right w:val="single" w:sz="4" w:space="0" w:color="auto"/>
            </w:tcBorders>
            <w:hideMark/>
          </w:tcPr>
          <w:p w14:paraId="7EF09914" w14:textId="77777777" w:rsidR="009700E5" w:rsidRDefault="002C033C">
            <w:pPr>
              <w:pStyle w:val="TextTi9"/>
              <w:keepNext/>
              <w:keepLines/>
              <w:spacing w:after="120"/>
              <w:jc w:val="center"/>
              <w:rPr>
                <w:rFonts w:ascii="Times New Roman" w:hAnsi="Times New Roman"/>
                <w:b/>
                <w:sz w:val="20"/>
                <w:szCs w:val="20"/>
              </w:rPr>
            </w:pPr>
            <w:r>
              <w:rPr>
                <w:rFonts w:ascii="Times New Roman" w:hAnsi="Times New Roman"/>
                <w:b/>
                <w:sz w:val="20"/>
                <w:szCs w:val="20"/>
              </w:rPr>
              <w:t>8 mg/kg Q2W</w:t>
            </w:r>
          </w:p>
          <w:p w14:paraId="6F2DA1BA" w14:textId="77777777" w:rsidR="009700E5" w:rsidRDefault="002C033C">
            <w:pPr>
              <w:pStyle w:val="TextTi9"/>
              <w:keepNext/>
              <w:keepLines/>
              <w:spacing w:after="120"/>
              <w:jc w:val="center"/>
              <w:rPr>
                <w:rFonts w:ascii="Times New Roman" w:hAnsi="Times New Roman"/>
                <w:b/>
                <w:sz w:val="20"/>
                <w:szCs w:val="20"/>
              </w:rPr>
            </w:pPr>
            <w:r>
              <w:rPr>
                <w:rFonts w:ascii="Times New Roman" w:hAnsi="Times New Roman"/>
                <w:b/>
                <w:sz w:val="20"/>
                <w:szCs w:val="20"/>
              </w:rPr>
              <w:t>≥ 30 kg</w:t>
            </w:r>
          </w:p>
        </w:tc>
        <w:tc>
          <w:tcPr>
            <w:tcW w:w="2977" w:type="dxa"/>
            <w:tcBorders>
              <w:top w:val="single" w:sz="4" w:space="0" w:color="auto"/>
              <w:left w:val="single" w:sz="4" w:space="0" w:color="auto"/>
              <w:bottom w:val="single" w:sz="4" w:space="0" w:color="auto"/>
              <w:right w:val="single" w:sz="4" w:space="0" w:color="auto"/>
            </w:tcBorders>
            <w:hideMark/>
          </w:tcPr>
          <w:p w14:paraId="44A25A60" w14:textId="77777777" w:rsidR="009700E5" w:rsidRDefault="002C033C">
            <w:pPr>
              <w:pStyle w:val="TextTi9"/>
              <w:keepNext/>
              <w:keepLines/>
              <w:spacing w:after="120"/>
              <w:jc w:val="center"/>
              <w:rPr>
                <w:rFonts w:ascii="Times New Roman" w:hAnsi="Times New Roman"/>
                <w:b/>
                <w:sz w:val="20"/>
                <w:szCs w:val="20"/>
              </w:rPr>
            </w:pPr>
            <w:r>
              <w:rPr>
                <w:rFonts w:ascii="Times New Roman" w:hAnsi="Times New Roman"/>
                <w:b/>
                <w:sz w:val="20"/>
                <w:szCs w:val="20"/>
              </w:rPr>
              <w:t>12 mg/kg Q2W</w:t>
            </w:r>
          </w:p>
          <w:p w14:paraId="2371EDD1" w14:textId="77777777" w:rsidR="009700E5" w:rsidRDefault="002C033C">
            <w:pPr>
              <w:pStyle w:val="TextTi9"/>
              <w:keepNext/>
              <w:keepLines/>
              <w:spacing w:after="120"/>
              <w:jc w:val="center"/>
              <w:rPr>
                <w:rFonts w:ascii="Times New Roman" w:hAnsi="Times New Roman"/>
                <w:b/>
                <w:sz w:val="20"/>
                <w:szCs w:val="20"/>
              </w:rPr>
            </w:pPr>
            <w:r>
              <w:rPr>
                <w:rFonts w:ascii="Times New Roman" w:hAnsi="Times New Roman"/>
                <w:b/>
                <w:sz w:val="20"/>
                <w:szCs w:val="20"/>
              </w:rPr>
              <w:t>menej ako 30 kg</w:t>
            </w:r>
          </w:p>
        </w:tc>
      </w:tr>
      <w:tr w:rsidR="009700E5" w14:paraId="2BBB358C" w14:textId="77777777">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49C21EDF" w14:textId="77777777" w:rsidR="009700E5" w:rsidRDefault="002C033C">
            <w:pPr>
              <w:pStyle w:val="TextTi9"/>
              <w:keepNext/>
              <w:keepLines/>
              <w:spacing w:after="120"/>
              <w:rPr>
                <w:rFonts w:ascii="Times New Roman" w:hAnsi="Times New Roman"/>
                <w:sz w:val="20"/>
                <w:szCs w:val="20"/>
              </w:rPr>
            </w:pPr>
            <w:r>
              <w:rPr>
                <w:rFonts w:ascii="Times New Roman" w:hAnsi="Times New Roman"/>
                <w:sz w:val="20"/>
                <w:szCs w:val="20"/>
              </w:rPr>
              <w:t>C</w:t>
            </w:r>
            <w:r>
              <w:rPr>
                <w:rFonts w:ascii="Times New Roman" w:hAnsi="Times New Roman"/>
                <w:sz w:val="20"/>
                <w:szCs w:val="20"/>
                <w:vertAlign w:val="subscript"/>
              </w:rPr>
              <w:t>max</w:t>
            </w:r>
            <w:r>
              <w:rPr>
                <w:rFonts w:ascii="Times New Roman" w:hAnsi="Times New Roman"/>
                <w:sz w:val="20"/>
                <w:szCs w:val="20"/>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37271ABE" w14:textId="77777777" w:rsidR="009700E5" w:rsidRDefault="002C033C">
            <w:pPr>
              <w:pStyle w:val="TextTi9"/>
              <w:keepNext/>
              <w:keepLines/>
              <w:spacing w:after="120"/>
              <w:jc w:val="center"/>
              <w:rPr>
                <w:rFonts w:ascii="Times New Roman" w:hAnsi="Times New Roman"/>
                <w:sz w:val="20"/>
                <w:szCs w:val="20"/>
              </w:rPr>
            </w:pPr>
            <w:r>
              <w:rPr>
                <w:rFonts w:ascii="Times New Roman" w:eastAsia="SimSun" w:hAnsi="Times New Roman"/>
                <w:sz w:val="20"/>
                <w:szCs w:val="20"/>
              </w:rPr>
              <w:t>256 </w:t>
            </w:r>
            <w:r>
              <w:rPr>
                <w:rFonts w:ascii="Times New Roman" w:hAnsi="Times New Roman"/>
                <w:sz w:val="20"/>
                <w:szCs w:val="20"/>
              </w:rPr>
              <w:t>±</w:t>
            </w:r>
            <w:r>
              <w:rPr>
                <w:rFonts w:ascii="Times New Roman" w:eastAsia="SimSun" w:hAnsi="Times New Roman"/>
                <w:sz w:val="20"/>
                <w:szCs w:val="20"/>
              </w:rPr>
              <w:t> 60,8</w:t>
            </w:r>
          </w:p>
        </w:tc>
        <w:tc>
          <w:tcPr>
            <w:tcW w:w="2977" w:type="dxa"/>
            <w:tcBorders>
              <w:top w:val="single" w:sz="4" w:space="0" w:color="auto"/>
              <w:left w:val="single" w:sz="4" w:space="0" w:color="auto"/>
              <w:bottom w:val="single" w:sz="4" w:space="0" w:color="auto"/>
              <w:right w:val="single" w:sz="4" w:space="0" w:color="auto"/>
            </w:tcBorders>
            <w:hideMark/>
          </w:tcPr>
          <w:p w14:paraId="7239BAAB" w14:textId="77777777" w:rsidR="009700E5" w:rsidRDefault="002C033C">
            <w:pPr>
              <w:pStyle w:val="TextTi9"/>
              <w:keepNext/>
              <w:keepLines/>
              <w:spacing w:after="120"/>
              <w:jc w:val="center"/>
              <w:rPr>
                <w:rFonts w:ascii="Times New Roman" w:eastAsia="SimSun" w:hAnsi="Times New Roman"/>
                <w:sz w:val="20"/>
                <w:szCs w:val="20"/>
              </w:rPr>
            </w:pPr>
            <w:r>
              <w:rPr>
                <w:rFonts w:ascii="Times New Roman" w:hAnsi="Times New Roman"/>
                <w:sz w:val="20"/>
                <w:szCs w:val="20"/>
              </w:rPr>
              <w:t>274 ± 63,8</w:t>
            </w:r>
          </w:p>
        </w:tc>
      </w:tr>
      <w:tr w:rsidR="009700E5" w14:paraId="04E496BC" w14:textId="77777777">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4802066A" w14:textId="77777777" w:rsidR="009700E5" w:rsidRDefault="002C033C">
            <w:pPr>
              <w:pStyle w:val="TextTi9"/>
              <w:keepNext/>
              <w:keepLines/>
              <w:spacing w:after="120"/>
              <w:rPr>
                <w:rFonts w:ascii="Times New Roman" w:hAnsi="Times New Roman"/>
                <w:sz w:val="20"/>
                <w:szCs w:val="20"/>
              </w:rPr>
            </w:pPr>
            <w:r>
              <w:rPr>
                <w:rFonts w:ascii="Times New Roman" w:hAnsi="Times New Roman"/>
                <w:sz w:val="20"/>
                <w:szCs w:val="20"/>
              </w:rPr>
              <w:t>C</w:t>
            </w:r>
            <w:r>
              <w:rPr>
                <w:rFonts w:ascii="Times New Roman" w:hAnsi="Times New Roman"/>
                <w:sz w:val="20"/>
                <w:szCs w:val="20"/>
                <w:vertAlign w:val="subscript"/>
              </w:rPr>
              <w:t>trough</w:t>
            </w:r>
            <w:r>
              <w:rPr>
                <w:rFonts w:ascii="Times New Roman" w:hAnsi="Times New Roman"/>
                <w:sz w:val="20"/>
                <w:szCs w:val="20"/>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10BCE016" w14:textId="77777777" w:rsidR="009700E5" w:rsidRDefault="002C033C">
            <w:pPr>
              <w:pStyle w:val="TextTi9"/>
              <w:keepNext/>
              <w:keepLines/>
              <w:spacing w:after="120"/>
              <w:jc w:val="center"/>
              <w:rPr>
                <w:rFonts w:ascii="Times New Roman" w:hAnsi="Times New Roman"/>
                <w:sz w:val="20"/>
                <w:szCs w:val="20"/>
              </w:rPr>
            </w:pPr>
            <w:r>
              <w:rPr>
                <w:rFonts w:ascii="Times New Roman" w:eastAsia="SimSun" w:hAnsi="Times New Roman"/>
                <w:sz w:val="20"/>
                <w:szCs w:val="20"/>
              </w:rPr>
              <w:t>69,7 </w:t>
            </w:r>
            <w:r>
              <w:rPr>
                <w:rFonts w:ascii="Times New Roman" w:hAnsi="Times New Roman"/>
                <w:sz w:val="20"/>
                <w:szCs w:val="20"/>
              </w:rPr>
              <w:t>±</w:t>
            </w:r>
            <w:r>
              <w:rPr>
                <w:rFonts w:ascii="Times New Roman" w:eastAsia="SimSun" w:hAnsi="Times New Roman"/>
                <w:sz w:val="20"/>
                <w:szCs w:val="20"/>
              </w:rPr>
              <w:t> 29,1</w:t>
            </w:r>
          </w:p>
        </w:tc>
        <w:tc>
          <w:tcPr>
            <w:tcW w:w="2977" w:type="dxa"/>
            <w:tcBorders>
              <w:top w:val="single" w:sz="4" w:space="0" w:color="auto"/>
              <w:left w:val="single" w:sz="4" w:space="0" w:color="auto"/>
              <w:bottom w:val="single" w:sz="4" w:space="0" w:color="auto"/>
              <w:right w:val="single" w:sz="4" w:space="0" w:color="auto"/>
            </w:tcBorders>
            <w:hideMark/>
          </w:tcPr>
          <w:p w14:paraId="38ED5BB9" w14:textId="77777777" w:rsidR="009700E5" w:rsidRDefault="002C033C">
            <w:pPr>
              <w:pStyle w:val="TextTi9"/>
              <w:keepNext/>
              <w:keepLines/>
              <w:spacing w:after="120"/>
              <w:jc w:val="center"/>
              <w:rPr>
                <w:rFonts w:ascii="Times New Roman" w:hAnsi="Times New Roman"/>
                <w:sz w:val="20"/>
                <w:szCs w:val="20"/>
              </w:rPr>
            </w:pPr>
            <w:r>
              <w:rPr>
                <w:rFonts w:ascii="Times New Roman" w:hAnsi="Times New Roman"/>
                <w:sz w:val="20"/>
                <w:szCs w:val="20"/>
              </w:rPr>
              <w:t>68,4 ± 30,0</w:t>
            </w:r>
          </w:p>
        </w:tc>
      </w:tr>
      <w:tr w:rsidR="009700E5" w14:paraId="1AD065C7" w14:textId="77777777">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50776B8F" w14:textId="77777777" w:rsidR="009700E5" w:rsidRDefault="002C033C">
            <w:pPr>
              <w:pStyle w:val="TextTi9"/>
              <w:keepNext/>
              <w:keepLines/>
              <w:spacing w:after="120"/>
              <w:rPr>
                <w:rFonts w:ascii="Times New Roman" w:hAnsi="Times New Roman"/>
                <w:sz w:val="20"/>
                <w:szCs w:val="20"/>
              </w:rPr>
            </w:pPr>
            <w:r>
              <w:rPr>
                <w:rFonts w:ascii="Times New Roman" w:hAnsi="Times New Roman"/>
                <w:sz w:val="20"/>
                <w:szCs w:val="20"/>
              </w:rPr>
              <w:t>C</w:t>
            </w:r>
            <w:r>
              <w:rPr>
                <w:rFonts w:ascii="Times New Roman" w:hAnsi="Times New Roman"/>
                <w:sz w:val="20"/>
                <w:szCs w:val="20"/>
                <w:vertAlign w:val="subscript"/>
              </w:rPr>
              <w:t>mean</w:t>
            </w:r>
            <w:r>
              <w:rPr>
                <w:rFonts w:ascii="Times New Roman" w:hAnsi="Times New Roman"/>
                <w:sz w:val="20"/>
                <w:szCs w:val="20"/>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10662ECF" w14:textId="77777777" w:rsidR="009700E5" w:rsidRDefault="002C033C">
            <w:pPr>
              <w:pStyle w:val="TextTi9"/>
              <w:keepNext/>
              <w:keepLines/>
              <w:spacing w:after="120"/>
              <w:jc w:val="center"/>
              <w:rPr>
                <w:rFonts w:ascii="Times New Roman" w:hAnsi="Times New Roman"/>
                <w:sz w:val="20"/>
                <w:szCs w:val="20"/>
              </w:rPr>
            </w:pPr>
            <w:r>
              <w:rPr>
                <w:rFonts w:ascii="Times New Roman" w:hAnsi="Times New Roman"/>
                <w:sz w:val="20"/>
                <w:szCs w:val="20"/>
              </w:rPr>
              <w:t>119 ± 36,0</w:t>
            </w:r>
          </w:p>
        </w:tc>
        <w:tc>
          <w:tcPr>
            <w:tcW w:w="2977" w:type="dxa"/>
            <w:tcBorders>
              <w:top w:val="single" w:sz="4" w:space="0" w:color="auto"/>
              <w:left w:val="single" w:sz="4" w:space="0" w:color="auto"/>
              <w:bottom w:val="single" w:sz="4" w:space="0" w:color="auto"/>
              <w:right w:val="single" w:sz="4" w:space="0" w:color="auto"/>
            </w:tcBorders>
            <w:hideMark/>
          </w:tcPr>
          <w:p w14:paraId="3B1E7738" w14:textId="77777777" w:rsidR="009700E5" w:rsidRDefault="002C033C">
            <w:pPr>
              <w:pStyle w:val="TextTi9"/>
              <w:keepNext/>
              <w:keepLines/>
              <w:spacing w:after="120"/>
              <w:jc w:val="center"/>
              <w:rPr>
                <w:rFonts w:ascii="Times New Roman" w:hAnsi="Times New Roman"/>
                <w:sz w:val="20"/>
                <w:szCs w:val="20"/>
              </w:rPr>
            </w:pPr>
            <w:r>
              <w:rPr>
                <w:rFonts w:ascii="Times New Roman" w:hAnsi="Times New Roman"/>
                <w:sz w:val="20"/>
                <w:szCs w:val="20"/>
              </w:rPr>
              <w:t>123 ± 36,0</w:t>
            </w:r>
          </w:p>
        </w:tc>
      </w:tr>
      <w:tr w:rsidR="009700E5" w14:paraId="55EF427F" w14:textId="77777777">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47DD533E" w14:textId="77777777" w:rsidR="009700E5" w:rsidRDefault="002C033C">
            <w:pPr>
              <w:pStyle w:val="TextTi9"/>
              <w:keepNext/>
              <w:keepLines/>
              <w:spacing w:after="120"/>
              <w:rPr>
                <w:rFonts w:ascii="Times New Roman" w:hAnsi="Times New Roman"/>
                <w:sz w:val="20"/>
                <w:szCs w:val="20"/>
              </w:rPr>
            </w:pPr>
            <w:r>
              <w:rPr>
                <w:rFonts w:ascii="Times New Roman" w:hAnsi="Times New Roman"/>
                <w:sz w:val="20"/>
                <w:szCs w:val="20"/>
              </w:rPr>
              <w:t>Kumulácia z hľadiska C</w:t>
            </w:r>
            <w:r>
              <w:rPr>
                <w:rFonts w:ascii="Times New Roman" w:hAnsi="Times New Roman"/>
                <w:sz w:val="20"/>
                <w:szCs w:val="20"/>
                <w:vertAlign w:val="subscript"/>
              </w:rPr>
              <w:t>max</w:t>
            </w:r>
          </w:p>
        </w:tc>
        <w:tc>
          <w:tcPr>
            <w:tcW w:w="2977" w:type="dxa"/>
            <w:tcBorders>
              <w:top w:val="single" w:sz="4" w:space="0" w:color="auto"/>
              <w:left w:val="single" w:sz="4" w:space="0" w:color="auto"/>
              <w:bottom w:val="single" w:sz="4" w:space="0" w:color="auto"/>
              <w:right w:val="single" w:sz="4" w:space="0" w:color="auto"/>
            </w:tcBorders>
          </w:tcPr>
          <w:p w14:paraId="10CF4419" w14:textId="77777777" w:rsidR="009700E5" w:rsidRDefault="002C033C">
            <w:pPr>
              <w:pStyle w:val="TextTi9"/>
              <w:keepNext/>
              <w:keepLines/>
              <w:spacing w:after="120"/>
              <w:jc w:val="center"/>
              <w:rPr>
                <w:rFonts w:ascii="Times New Roman" w:hAnsi="Times New Roman"/>
                <w:sz w:val="20"/>
                <w:szCs w:val="20"/>
              </w:rPr>
            </w:pPr>
            <w:r>
              <w:rPr>
                <w:rFonts w:ascii="Times New Roman" w:hAnsi="Times New Roman"/>
                <w:sz w:val="20"/>
                <w:szCs w:val="20"/>
              </w:rPr>
              <w:t>1,42</w:t>
            </w:r>
          </w:p>
        </w:tc>
        <w:tc>
          <w:tcPr>
            <w:tcW w:w="2977" w:type="dxa"/>
            <w:tcBorders>
              <w:top w:val="single" w:sz="4" w:space="0" w:color="auto"/>
              <w:left w:val="single" w:sz="4" w:space="0" w:color="auto"/>
              <w:bottom w:val="single" w:sz="4" w:space="0" w:color="auto"/>
              <w:right w:val="single" w:sz="4" w:space="0" w:color="auto"/>
            </w:tcBorders>
          </w:tcPr>
          <w:p w14:paraId="7A742D00" w14:textId="77777777" w:rsidR="009700E5" w:rsidRDefault="002C033C">
            <w:pPr>
              <w:pStyle w:val="TextTi9"/>
              <w:keepNext/>
              <w:keepLines/>
              <w:spacing w:after="120"/>
              <w:jc w:val="center"/>
              <w:rPr>
                <w:rFonts w:ascii="Times New Roman" w:hAnsi="Times New Roman"/>
                <w:sz w:val="20"/>
                <w:szCs w:val="20"/>
              </w:rPr>
            </w:pPr>
            <w:r>
              <w:rPr>
                <w:rFonts w:ascii="Times New Roman" w:hAnsi="Times New Roman"/>
                <w:sz w:val="20"/>
                <w:szCs w:val="20"/>
              </w:rPr>
              <w:t>1,37</w:t>
            </w:r>
          </w:p>
        </w:tc>
      </w:tr>
      <w:tr w:rsidR="009700E5" w14:paraId="5DC12558" w14:textId="77777777">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56D6F8BF" w14:textId="77777777" w:rsidR="009700E5" w:rsidRDefault="002C033C">
            <w:pPr>
              <w:pStyle w:val="TextTi9"/>
              <w:keepNext/>
              <w:keepLines/>
              <w:spacing w:after="120"/>
              <w:rPr>
                <w:rFonts w:ascii="Times New Roman" w:hAnsi="Times New Roman"/>
                <w:sz w:val="20"/>
                <w:szCs w:val="20"/>
              </w:rPr>
            </w:pPr>
            <w:r>
              <w:rPr>
                <w:rFonts w:ascii="Times New Roman" w:hAnsi="Times New Roman"/>
                <w:sz w:val="20"/>
                <w:szCs w:val="20"/>
              </w:rPr>
              <w:t>Kumulácia z hľadiska C</w:t>
            </w:r>
            <w:r>
              <w:rPr>
                <w:rFonts w:ascii="Times New Roman" w:hAnsi="Times New Roman"/>
                <w:sz w:val="20"/>
                <w:szCs w:val="20"/>
                <w:vertAlign w:val="subscript"/>
              </w:rPr>
              <w:t>trough</w:t>
            </w:r>
          </w:p>
        </w:tc>
        <w:tc>
          <w:tcPr>
            <w:tcW w:w="2977" w:type="dxa"/>
            <w:tcBorders>
              <w:top w:val="single" w:sz="4" w:space="0" w:color="auto"/>
              <w:left w:val="single" w:sz="4" w:space="0" w:color="auto"/>
              <w:bottom w:val="single" w:sz="4" w:space="0" w:color="auto"/>
              <w:right w:val="single" w:sz="4" w:space="0" w:color="auto"/>
            </w:tcBorders>
          </w:tcPr>
          <w:p w14:paraId="1011A5D6" w14:textId="77777777" w:rsidR="009700E5" w:rsidRDefault="002C033C">
            <w:pPr>
              <w:pStyle w:val="TextTi9"/>
              <w:keepNext/>
              <w:keepLines/>
              <w:spacing w:after="120"/>
              <w:jc w:val="center"/>
              <w:rPr>
                <w:rFonts w:ascii="Times New Roman" w:hAnsi="Times New Roman"/>
                <w:sz w:val="20"/>
                <w:szCs w:val="20"/>
              </w:rPr>
            </w:pPr>
            <w:r>
              <w:rPr>
                <w:rFonts w:ascii="Times New Roman" w:hAnsi="Times New Roman"/>
                <w:sz w:val="20"/>
                <w:szCs w:val="20"/>
              </w:rPr>
              <w:t>3,20</w:t>
            </w:r>
          </w:p>
        </w:tc>
        <w:tc>
          <w:tcPr>
            <w:tcW w:w="2977" w:type="dxa"/>
            <w:tcBorders>
              <w:top w:val="single" w:sz="4" w:space="0" w:color="auto"/>
              <w:left w:val="single" w:sz="4" w:space="0" w:color="auto"/>
              <w:bottom w:val="single" w:sz="4" w:space="0" w:color="auto"/>
              <w:right w:val="single" w:sz="4" w:space="0" w:color="auto"/>
            </w:tcBorders>
          </w:tcPr>
          <w:p w14:paraId="1013AC2E" w14:textId="77777777" w:rsidR="009700E5" w:rsidRDefault="002C033C">
            <w:pPr>
              <w:pStyle w:val="TextTi9"/>
              <w:keepNext/>
              <w:keepLines/>
              <w:spacing w:after="120"/>
              <w:jc w:val="center"/>
              <w:rPr>
                <w:rFonts w:ascii="Times New Roman" w:hAnsi="Times New Roman"/>
                <w:sz w:val="20"/>
                <w:szCs w:val="20"/>
              </w:rPr>
            </w:pPr>
            <w:r>
              <w:rPr>
                <w:rFonts w:ascii="Times New Roman" w:hAnsi="Times New Roman"/>
                <w:sz w:val="20"/>
                <w:szCs w:val="20"/>
              </w:rPr>
              <w:t>3,41</w:t>
            </w:r>
          </w:p>
        </w:tc>
      </w:tr>
      <w:tr w:rsidR="009700E5" w14:paraId="65F5C162" w14:textId="77777777">
        <w:trPr>
          <w:cantSplit/>
          <w:trHeight w:val="331"/>
        </w:trPr>
        <w:tc>
          <w:tcPr>
            <w:tcW w:w="2835" w:type="dxa"/>
            <w:tcBorders>
              <w:top w:val="single" w:sz="4" w:space="0" w:color="auto"/>
              <w:left w:val="single" w:sz="4" w:space="0" w:color="auto"/>
              <w:bottom w:val="single" w:sz="4" w:space="0" w:color="auto"/>
              <w:right w:val="single" w:sz="4" w:space="0" w:color="auto"/>
            </w:tcBorders>
          </w:tcPr>
          <w:p w14:paraId="55C2897E" w14:textId="77777777" w:rsidR="009700E5" w:rsidRDefault="002C033C">
            <w:pPr>
              <w:pStyle w:val="TextTi9"/>
              <w:spacing w:after="120"/>
              <w:rPr>
                <w:rFonts w:ascii="Times New Roman" w:hAnsi="Times New Roman"/>
                <w:sz w:val="20"/>
                <w:szCs w:val="20"/>
              </w:rPr>
            </w:pPr>
            <w:r>
              <w:rPr>
                <w:rFonts w:ascii="Times New Roman" w:hAnsi="Times New Roman"/>
                <w:sz w:val="20"/>
                <w:szCs w:val="20"/>
              </w:rPr>
              <w:t>Kumulácia z hľadiska a C</w:t>
            </w:r>
            <w:r>
              <w:rPr>
                <w:rFonts w:ascii="Times New Roman" w:hAnsi="Times New Roman"/>
                <w:sz w:val="20"/>
                <w:szCs w:val="20"/>
                <w:vertAlign w:val="subscript"/>
              </w:rPr>
              <w:t>mean</w:t>
            </w:r>
            <w:r>
              <w:rPr>
                <w:rFonts w:ascii="Times New Roman" w:hAnsi="Times New Roman"/>
                <w:sz w:val="20"/>
                <w:szCs w:val="20"/>
              </w:rPr>
              <w:t xml:space="preserve"> alebo AUC</w:t>
            </w:r>
            <w:r>
              <w:rPr>
                <w:rFonts w:ascii="Times New Roman" w:hAnsi="Times New Roman"/>
                <w:sz w:val="20"/>
                <w:szCs w:val="20"/>
                <w:vertAlign w:val="subscript"/>
              </w:rPr>
              <w:t>τ</w:t>
            </w:r>
            <w:r>
              <w:rPr>
                <w:rFonts w:ascii="Times New Roman" w:hAnsi="Times New Roman"/>
                <w:sz w:val="20"/>
                <w:szCs w:val="20"/>
              </w:rPr>
              <w:t>*</w:t>
            </w:r>
          </w:p>
        </w:tc>
        <w:tc>
          <w:tcPr>
            <w:tcW w:w="2977" w:type="dxa"/>
            <w:tcBorders>
              <w:top w:val="single" w:sz="4" w:space="0" w:color="auto"/>
              <w:left w:val="single" w:sz="4" w:space="0" w:color="auto"/>
              <w:bottom w:val="single" w:sz="4" w:space="0" w:color="auto"/>
              <w:right w:val="single" w:sz="4" w:space="0" w:color="auto"/>
            </w:tcBorders>
          </w:tcPr>
          <w:p w14:paraId="23218F86" w14:textId="77777777" w:rsidR="009700E5" w:rsidRDefault="002C033C">
            <w:pPr>
              <w:pStyle w:val="TextTi9"/>
              <w:spacing w:after="120"/>
              <w:jc w:val="center"/>
              <w:rPr>
                <w:rFonts w:ascii="Times New Roman" w:hAnsi="Times New Roman"/>
                <w:sz w:val="20"/>
                <w:szCs w:val="20"/>
              </w:rPr>
            </w:pPr>
            <w:r>
              <w:rPr>
                <w:rFonts w:ascii="Times New Roman" w:hAnsi="Times New Roman"/>
                <w:sz w:val="20"/>
                <w:szCs w:val="20"/>
              </w:rPr>
              <w:t>2,01</w:t>
            </w:r>
          </w:p>
        </w:tc>
        <w:tc>
          <w:tcPr>
            <w:tcW w:w="2977" w:type="dxa"/>
            <w:tcBorders>
              <w:top w:val="single" w:sz="4" w:space="0" w:color="auto"/>
              <w:left w:val="single" w:sz="4" w:space="0" w:color="auto"/>
              <w:bottom w:val="single" w:sz="4" w:space="0" w:color="auto"/>
              <w:right w:val="single" w:sz="4" w:space="0" w:color="auto"/>
            </w:tcBorders>
          </w:tcPr>
          <w:p w14:paraId="598BDEF8" w14:textId="77777777" w:rsidR="009700E5" w:rsidRDefault="002C033C">
            <w:pPr>
              <w:pStyle w:val="TextTi9"/>
              <w:spacing w:after="120"/>
              <w:jc w:val="center"/>
              <w:rPr>
                <w:rFonts w:ascii="Times New Roman" w:hAnsi="Times New Roman"/>
                <w:sz w:val="20"/>
                <w:szCs w:val="20"/>
              </w:rPr>
            </w:pPr>
            <w:r>
              <w:rPr>
                <w:rFonts w:ascii="Times New Roman" w:hAnsi="Times New Roman"/>
                <w:sz w:val="20"/>
                <w:szCs w:val="20"/>
              </w:rPr>
              <w:t>1,95</w:t>
            </w:r>
          </w:p>
        </w:tc>
      </w:tr>
    </w:tbl>
    <w:p w14:paraId="2008BF05" w14:textId="77777777" w:rsidR="009700E5" w:rsidRDefault="002C033C">
      <w:pPr>
        <w:jc w:val="both"/>
        <w:rPr>
          <w:sz w:val="18"/>
          <w:szCs w:val="18"/>
          <w:lang w:eastAsia="en-US"/>
        </w:rPr>
      </w:pPr>
      <w:r>
        <w:rPr>
          <w:sz w:val="18"/>
          <w:szCs w:val="18"/>
          <w:lang w:eastAsia="en-US"/>
        </w:rPr>
        <w:t>*τ</w:t>
      </w:r>
      <w:ins w:id="772" w:author="Author" w:date="2025-07-21T09:51:00Z">
        <w:r>
          <w:rPr>
            <w:sz w:val="18"/>
            <w:szCs w:val="18"/>
            <w:lang w:eastAsia="en-US"/>
          </w:rPr>
          <w:t> </w:t>
        </w:r>
      </w:ins>
      <w:del w:id="773" w:author="Author" w:date="2025-07-21T09:51:00Z">
        <w:r>
          <w:rPr>
            <w:sz w:val="18"/>
            <w:szCs w:val="18"/>
            <w:lang w:eastAsia="en-US"/>
          </w:rPr>
          <w:delText xml:space="preserve"> </w:delText>
        </w:r>
      </w:del>
      <w:r>
        <w:rPr>
          <w:sz w:val="18"/>
          <w:szCs w:val="18"/>
          <w:lang w:eastAsia="en-US"/>
        </w:rPr>
        <w:t>=</w:t>
      </w:r>
      <w:ins w:id="774" w:author="Author" w:date="2025-07-21T09:51:00Z">
        <w:r>
          <w:rPr>
            <w:sz w:val="18"/>
            <w:szCs w:val="18"/>
            <w:lang w:eastAsia="en-US"/>
          </w:rPr>
          <w:t> </w:t>
        </w:r>
      </w:ins>
      <w:del w:id="775" w:author="Author" w:date="2025-07-21T09:51:00Z">
        <w:r>
          <w:rPr>
            <w:sz w:val="18"/>
            <w:szCs w:val="18"/>
            <w:lang w:eastAsia="en-US"/>
          </w:rPr>
          <w:delText xml:space="preserve"> </w:delText>
        </w:r>
      </w:del>
      <w:r>
        <w:rPr>
          <w:sz w:val="18"/>
          <w:szCs w:val="18"/>
          <w:lang w:eastAsia="en-US"/>
        </w:rPr>
        <w:t>2 týždne pri režimoch s intravenóznou dávkou</w:t>
      </w:r>
    </w:p>
    <w:p w14:paraId="0A94E44F" w14:textId="77777777" w:rsidR="009700E5" w:rsidRDefault="009700E5">
      <w:pPr>
        <w:numPr>
          <w:ilvl w:val="12"/>
          <w:numId w:val="0"/>
        </w:numPr>
        <w:ind w:right="-2"/>
        <w:rPr>
          <w:szCs w:val="22"/>
        </w:rPr>
      </w:pPr>
    </w:p>
    <w:p w14:paraId="0D0754BD" w14:textId="77777777" w:rsidR="009700E5" w:rsidRDefault="002C033C">
      <w:pPr>
        <w:numPr>
          <w:ilvl w:val="12"/>
          <w:numId w:val="0"/>
        </w:numPr>
        <w:ind w:right="-2"/>
      </w:pPr>
      <w:r>
        <w:rPr>
          <w:szCs w:val="22"/>
        </w:rPr>
        <w:t xml:space="preserve">Po intravenóznom podávaní sa približne 90 % rovnovážneho stavu dosiahlo do 8. týždňa pri režime s dávkou 12 mg/kg Q2W </w:t>
      </w:r>
      <w:r>
        <w:rPr>
          <w:iCs/>
          <w:szCs w:val="22"/>
        </w:rPr>
        <w:t>(telesná hmotnosť </w:t>
      </w:r>
      <w:r>
        <w:rPr>
          <w:rFonts w:eastAsia="MS Mincho"/>
          <w:szCs w:val="22"/>
        </w:rPr>
        <w:sym w:font="Symbol" w:char="F03C"/>
      </w:r>
      <w:r>
        <w:rPr>
          <w:iCs/>
          <w:szCs w:val="22"/>
        </w:rPr>
        <w:t xml:space="preserve"> 30 kg) </w:t>
      </w:r>
      <w:r>
        <w:rPr>
          <w:szCs w:val="22"/>
        </w:rPr>
        <w:t xml:space="preserve">aj pri režime s dávkou 8 mg/kg Q2W </w:t>
      </w:r>
      <w:r>
        <w:rPr>
          <w:iCs/>
          <w:szCs w:val="22"/>
        </w:rPr>
        <w:t>(telesná hmotnosť ≥ 30 kg)</w:t>
      </w:r>
      <w:r>
        <w:rPr>
          <w:szCs w:val="22"/>
        </w:rPr>
        <w:t>.</w:t>
      </w:r>
    </w:p>
    <w:p w14:paraId="6D4A8650" w14:textId="77777777" w:rsidR="009700E5" w:rsidRDefault="009700E5">
      <w:pPr>
        <w:numPr>
          <w:ilvl w:val="12"/>
          <w:numId w:val="0"/>
        </w:numPr>
        <w:ind w:right="-2"/>
        <w:rPr>
          <w:iCs/>
        </w:rPr>
      </w:pPr>
    </w:p>
    <w:p w14:paraId="5F0F98FB" w14:textId="77777777" w:rsidR="009700E5" w:rsidRDefault="002C033C">
      <w:pPr>
        <w:numPr>
          <w:ilvl w:val="12"/>
          <w:numId w:val="0"/>
        </w:numPr>
        <w:ind w:right="-2"/>
        <w:rPr>
          <w:szCs w:val="22"/>
        </w:rPr>
      </w:pPr>
      <w:r>
        <w:rPr>
          <w:szCs w:val="22"/>
        </w:rPr>
        <w:t>U pacientov so sJIA bol centrálny distribučný objem 1,87 l a periférny distribučný objem 2,14 l, čo viedlo k distribučnému objemu v rovnovážnom stave 4,01 l. Odhadovaný lineárny klírens ako parameter populačnej farmakokinetickej analýzy bol 5,7 ml/h.</w:t>
      </w:r>
    </w:p>
    <w:p w14:paraId="746CC101" w14:textId="77777777" w:rsidR="009700E5" w:rsidRDefault="009700E5">
      <w:pPr>
        <w:numPr>
          <w:ilvl w:val="12"/>
          <w:numId w:val="0"/>
        </w:numPr>
        <w:ind w:right="-2"/>
        <w:rPr>
          <w:szCs w:val="22"/>
        </w:rPr>
      </w:pPr>
    </w:p>
    <w:p w14:paraId="0B352BD1" w14:textId="77777777" w:rsidR="009700E5" w:rsidRDefault="002C033C">
      <w:pPr>
        <w:numPr>
          <w:ilvl w:val="12"/>
          <w:numId w:val="0"/>
        </w:numPr>
        <w:ind w:right="-2"/>
        <w:rPr>
          <w:iCs/>
        </w:rPr>
      </w:pPr>
      <w:r>
        <w:rPr>
          <w:iCs/>
        </w:rPr>
        <w:t xml:space="preserve">Biologický polčas tocilizumabu u pacientov so sJIA je v 12. týždni až 16 dní pre obe hmotnostné kategórie (8 mg/kg pre telesnú hmotnosť ≥ 30 kg alebo 12 mg/kg pre telesnú hmotnosť </w:t>
      </w:r>
      <w:r>
        <w:rPr>
          <w:rFonts w:eastAsia="MS Mincho"/>
          <w:szCs w:val="22"/>
        </w:rPr>
        <w:sym w:font="Symbol" w:char="F03C"/>
      </w:r>
      <w:r>
        <w:rPr>
          <w:iCs/>
        </w:rPr>
        <w:t> 30 kg).</w:t>
      </w:r>
    </w:p>
    <w:p w14:paraId="11DEAC7F" w14:textId="77777777" w:rsidR="009700E5" w:rsidRDefault="009700E5">
      <w:pPr>
        <w:numPr>
          <w:ilvl w:val="12"/>
          <w:numId w:val="0"/>
        </w:numPr>
        <w:ind w:right="-2"/>
        <w:rPr>
          <w:iCs/>
        </w:rPr>
      </w:pPr>
    </w:p>
    <w:p w14:paraId="268C4720" w14:textId="77777777" w:rsidR="009700E5" w:rsidRDefault="002C033C">
      <w:pPr>
        <w:numPr>
          <w:ilvl w:val="12"/>
          <w:numId w:val="0"/>
        </w:numPr>
        <w:ind w:right="-2"/>
        <w:rPr>
          <w:iCs/>
        </w:rPr>
      </w:pPr>
      <w:r>
        <w:rPr>
          <w:i/>
        </w:rPr>
        <w:t>Pacienti s pJIA:</w:t>
      </w:r>
    </w:p>
    <w:p w14:paraId="6E9158EF" w14:textId="77777777" w:rsidR="009700E5" w:rsidRDefault="002C033C">
      <w:pPr>
        <w:numPr>
          <w:ilvl w:val="12"/>
          <w:numId w:val="0"/>
        </w:numPr>
        <w:ind w:right="-2"/>
        <w:rPr>
          <w:iCs/>
          <w:szCs w:val="22"/>
        </w:rPr>
      </w:pPr>
      <w:r>
        <w:rPr>
          <w:iCs/>
        </w:rPr>
        <w:t>Farmakokinetika tocilizumabu u pacientov s pJIA bola charakterizovaná pomocou populačnej farmakokinetickej analýzy zahŕňajúcej 237 pacientov, ktorí boli liečení dávkou 8 mg/kg intravenózne raz za 4 týždne (pacienti s telesnou hmotnosťou ≥ 30 kg), 10 mg/kg intravenózne raz za 4 týždne (Q4W) (pacienti s telesnou hmotnosťou nižšou ako 30 kg), 162 mg subkutánne raz za 2 týždne (pacienti s telesnou hmotnosťou ≥ 30 kg) alebo 162 mg subkutánne raz za 3 týždne (pacienti s telesnou hmotnosťou nižšou ako 30 kg).</w:t>
      </w:r>
    </w:p>
    <w:p w14:paraId="590DBF82" w14:textId="77777777" w:rsidR="009700E5" w:rsidRDefault="009700E5">
      <w:pPr>
        <w:numPr>
          <w:ilvl w:val="12"/>
          <w:numId w:val="0"/>
        </w:numPr>
        <w:ind w:right="-2"/>
        <w:rPr>
          <w:iCs/>
        </w:rPr>
      </w:pPr>
    </w:p>
    <w:p w14:paraId="7F78D3A3" w14:textId="77777777" w:rsidR="009700E5" w:rsidRDefault="002C033C">
      <w:pPr>
        <w:keepNext/>
        <w:keepLines/>
        <w:numPr>
          <w:ilvl w:val="12"/>
          <w:numId w:val="0"/>
        </w:numPr>
        <w:ind w:right="-2"/>
        <w:rPr>
          <w:bCs/>
          <w:i/>
          <w:szCs w:val="22"/>
        </w:rPr>
      </w:pPr>
      <w:r>
        <w:rPr>
          <w:bCs/>
          <w:i/>
          <w:szCs w:val="22"/>
        </w:rPr>
        <w:lastRenderedPageBreak/>
        <w:t>Tabuľka 12. Predpokladaný priemer ± SD FK parametrov v rovnovážnom stave po intravenóznom podávaní u pacientov s pJIA</w:t>
      </w:r>
    </w:p>
    <w:p w14:paraId="595C0641" w14:textId="77777777" w:rsidR="009700E5" w:rsidRDefault="009700E5">
      <w:pPr>
        <w:keepNext/>
        <w:keepLines/>
        <w:numPr>
          <w:ilvl w:val="12"/>
          <w:numId w:val="0"/>
        </w:numPr>
        <w:ind w:right="-2"/>
        <w:rPr>
          <w:bCs/>
          <w:i/>
          <w:szCs w:val="22"/>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9700E5" w14:paraId="48799F51" w14:textId="77777777">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3A68D723" w14:textId="77777777" w:rsidR="009700E5" w:rsidRDefault="002C033C">
            <w:pPr>
              <w:pStyle w:val="TextTi9"/>
              <w:keepNext/>
              <w:spacing w:after="120"/>
              <w:rPr>
                <w:rFonts w:ascii="Times New Roman" w:hAnsi="Times New Roman"/>
                <w:sz w:val="20"/>
                <w:szCs w:val="20"/>
              </w:rPr>
            </w:pPr>
            <w:r>
              <w:rPr>
                <w:rFonts w:ascii="Times New Roman" w:hAnsi="Times New Roman"/>
                <w:b/>
                <w:sz w:val="20"/>
                <w:szCs w:val="20"/>
              </w:rPr>
              <w:t>FK parameter tocilizumabu</w:t>
            </w:r>
          </w:p>
        </w:tc>
        <w:tc>
          <w:tcPr>
            <w:tcW w:w="2977" w:type="dxa"/>
            <w:tcBorders>
              <w:top w:val="single" w:sz="4" w:space="0" w:color="auto"/>
              <w:left w:val="single" w:sz="4" w:space="0" w:color="auto"/>
              <w:bottom w:val="single" w:sz="4" w:space="0" w:color="auto"/>
              <w:right w:val="single" w:sz="4" w:space="0" w:color="auto"/>
            </w:tcBorders>
            <w:hideMark/>
          </w:tcPr>
          <w:p w14:paraId="6312264A" w14:textId="77777777" w:rsidR="009700E5" w:rsidRDefault="002C033C">
            <w:pPr>
              <w:pStyle w:val="TextTi9"/>
              <w:keepNext/>
              <w:spacing w:after="120"/>
              <w:jc w:val="center"/>
              <w:rPr>
                <w:rFonts w:ascii="Times New Roman" w:hAnsi="Times New Roman"/>
                <w:b/>
                <w:sz w:val="20"/>
                <w:szCs w:val="20"/>
              </w:rPr>
            </w:pPr>
            <w:r>
              <w:rPr>
                <w:rFonts w:ascii="Times New Roman" w:hAnsi="Times New Roman"/>
                <w:b/>
                <w:sz w:val="20"/>
                <w:szCs w:val="20"/>
              </w:rPr>
              <w:t>8 mg/kg Q4W</w:t>
            </w:r>
          </w:p>
          <w:p w14:paraId="4A53D726" w14:textId="77777777" w:rsidR="009700E5" w:rsidRDefault="002C033C">
            <w:pPr>
              <w:pStyle w:val="TextTi9"/>
              <w:keepNext/>
              <w:spacing w:after="120"/>
              <w:jc w:val="center"/>
              <w:rPr>
                <w:rFonts w:ascii="Times New Roman" w:hAnsi="Times New Roman"/>
                <w:b/>
                <w:sz w:val="20"/>
                <w:szCs w:val="20"/>
              </w:rPr>
            </w:pPr>
            <w:r>
              <w:rPr>
                <w:rFonts w:ascii="Times New Roman" w:hAnsi="Times New Roman"/>
                <w:b/>
                <w:sz w:val="20"/>
                <w:szCs w:val="20"/>
              </w:rPr>
              <w:t>≥ 30 kg</w:t>
            </w:r>
          </w:p>
        </w:tc>
        <w:tc>
          <w:tcPr>
            <w:tcW w:w="2977" w:type="dxa"/>
            <w:tcBorders>
              <w:top w:val="single" w:sz="4" w:space="0" w:color="auto"/>
              <w:left w:val="single" w:sz="4" w:space="0" w:color="auto"/>
              <w:bottom w:val="single" w:sz="4" w:space="0" w:color="auto"/>
              <w:right w:val="single" w:sz="4" w:space="0" w:color="auto"/>
            </w:tcBorders>
            <w:hideMark/>
          </w:tcPr>
          <w:p w14:paraId="0D71A6B9" w14:textId="77777777" w:rsidR="009700E5" w:rsidRDefault="002C033C">
            <w:pPr>
              <w:pStyle w:val="TextTi9"/>
              <w:keepNext/>
              <w:spacing w:after="120"/>
              <w:jc w:val="center"/>
              <w:rPr>
                <w:rFonts w:ascii="Times New Roman" w:hAnsi="Times New Roman"/>
                <w:b/>
                <w:sz w:val="20"/>
                <w:szCs w:val="20"/>
              </w:rPr>
            </w:pPr>
            <w:r>
              <w:rPr>
                <w:rFonts w:ascii="Times New Roman" w:hAnsi="Times New Roman"/>
                <w:b/>
                <w:sz w:val="20"/>
                <w:szCs w:val="20"/>
              </w:rPr>
              <w:t>10 mg/kg Q4W</w:t>
            </w:r>
          </w:p>
          <w:p w14:paraId="5C15B97C" w14:textId="77777777" w:rsidR="009700E5" w:rsidRDefault="002C033C">
            <w:pPr>
              <w:pStyle w:val="TextTi9"/>
              <w:keepNext/>
              <w:spacing w:after="120"/>
              <w:jc w:val="center"/>
              <w:rPr>
                <w:rFonts w:ascii="Times New Roman" w:hAnsi="Times New Roman"/>
                <w:b/>
                <w:sz w:val="20"/>
                <w:szCs w:val="20"/>
              </w:rPr>
            </w:pPr>
            <w:r>
              <w:rPr>
                <w:rFonts w:ascii="Times New Roman" w:hAnsi="Times New Roman"/>
                <w:b/>
                <w:sz w:val="20"/>
                <w:szCs w:val="20"/>
              </w:rPr>
              <w:t>menej ako 30 kg</w:t>
            </w:r>
          </w:p>
        </w:tc>
      </w:tr>
      <w:tr w:rsidR="009700E5" w14:paraId="5E201E96" w14:textId="77777777">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7CE1B506" w14:textId="77777777" w:rsidR="009700E5" w:rsidRDefault="002C033C">
            <w:pPr>
              <w:pStyle w:val="TextTi9"/>
              <w:keepNext/>
              <w:spacing w:after="120"/>
              <w:rPr>
                <w:rFonts w:ascii="Times New Roman" w:hAnsi="Times New Roman"/>
                <w:sz w:val="20"/>
                <w:szCs w:val="20"/>
              </w:rPr>
            </w:pPr>
            <w:r>
              <w:rPr>
                <w:rFonts w:ascii="Times New Roman" w:hAnsi="Times New Roman"/>
                <w:sz w:val="20"/>
                <w:szCs w:val="20"/>
              </w:rPr>
              <w:t>C</w:t>
            </w:r>
            <w:r>
              <w:rPr>
                <w:rFonts w:ascii="Times New Roman" w:hAnsi="Times New Roman"/>
                <w:sz w:val="20"/>
                <w:szCs w:val="20"/>
                <w:vertAlign w:val="subscript"/>
              </w:rPr>
              <w:t>max</w:t>
            </w:r>
            <w:r>
              <w:rPr>
                <w:rFonts w:ascii="Times New Roman" w:hAnsi="Times New Roman"/>
                <w:sz w:val="20"/>
                <w:szCs w:val="20"/>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79EA95C5" w14:textId="77777777" w:rsidR="009700E5" w:rsidRDefault="002C033C">
            <w:pPr>
              <w:pStyle w:val="TextTi9"/>
              <w:keepNext/>
              <w:spacing w:after="120"/>
              <w:jc w:val="center"/>
              <w:rPr>
                <w:rFonts w:ascii="Times New Roman" w:eastAsia="SimSun" w:hAnsi="Times New Roman"/>
                <w:sz w:val="20"/>
                <w:szCs w:val="20"/>
              </w:rPr>
            </w:pPr>
            <w:r>
              <w:rPr>
                <w:rFonts w:ascii="Times New Roman" w:eastAsia="SimSun" w:hAnsi="Times New Roman"/>
                <w:sz w:val="20"/>
                <w:szCs w:val="20"/>
              </w:rPr>
              <w:t>183 ± 42,3</w:t>
            </w:r>
          </w:p>
        </w:tc>
        <w:tc>
          <w:tcPr>
            <w:tcW w:w="2977" w:type="dxa"/>
            <w:tcBorders>
              <w:top w:val="single" w:sz="4" w:space="0" w:color="auto"/>
              <w:left w:val="single" w:sz="4" w:space="0" w:color="auto"/>
              <w:bottom w:val="single" w:sz="4" w:space="0" w:color="auto"/>
              <w:right w:val="single" w:sz="4" w:space="0" w:color="auto"/>
            </w:tcBorders>
            <w:hideMark/>
          </w:tcPr>
          <w:p w14:paraId="3780AAAA" w14:textId="77777777" w:rsidR="009700E5" w:rsidRDefault="002C033C">
            <w:pPr>
              <w:pStyle w:val="TextTi9"/>
              <w:keepNext/>
              <w:spacing w:after="120"/>
              <w:jc w:val="center"/>
              <w:rPr>
                <w:rFonts w:ascii="Times New Roman" w:eastAsia="SimSun" w:hAnsi="Times New Roman"/>
                <w:sz w:val="20"/>
                <w:szCs w:val="20"/>
              </w:rPr>
            </w:pPr>
            <w:r>
              <w:rPr>
                <w:rFonts w:ascii="Times New Roman" w:eastAsia="SimSun" w:hAnsi="Times New Roman"/>
                <w:sz w:val="20"/>
                <w:szCs w:val="20"/>
              </w:rPr>
              <w:t>168 </w:t>
            </w:r>
            <w:r>
              <w:rPr>
                <w:rFonts w:ascii="Times New Roman" w:hAnsi="Times New Roman"/>
                <w:sz w:val="20"/>
                <w:szCs w:val="20"/>
              </w:rPr>
              <w:t>±</w:t>
            </w:r>
            <w:r>
              <w:rPr>
                <w:rFonts w:ascii="Times New Roman" w:eastAsia="SimSun" w:hAnsi="Times New Roman"/>
                <w:sz w:val="20"/>
                <w:szCs w:val="20"/>
              </w:rPr>
              <w:t> 24,8</w:t>
            </w:r>
          </w:p>
        </w:tc>
      </w:tr>
      <w:tr w:rsidR="009700E5" w14:paraId="543B73E3" w14:textId="77777777">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114250BD" w14:textId="77777777" w:rsidR="009700E5" w:rsidRDefault="002C033C">
            <w:pPr>
              <w:pStyle w:val="TextTi9"/>
              <w:keepNext/>
              <w:spacing w:after="120"/>
              <w:rPr>
                <w:rFonts w:ascii="Times New Roman" w:hAnsi="Times New Roman"/>
                <w:sz w:val="20"/>
                <w:szCs w:val="20"/>
              </w:rPr>
            </w:pPr>
            <w:r>
              <w:rPr>
                <w:rFonts w:ascii="Times New Roman" w:hAnsi="Times New Roman"/>
                <w:sz w:val="20"/>
                <w:szCs w:val="20"/>
              </w:rPr>
              <w:t>C</w:t>
            </w:r>
            <w:r>
              <w:rPr>
                <w:rFonts w:ascii="Times New Roman" w:hAnsi="Times New Roman"/>
                <w:sz w:val="20"/>
                <w:szCs w:val="20"/>
                <w:vertAlign w:val="subscript"/>
              </w:rPr>
              <w:t>trough</w:t>
            </w:r>
            <w:r>
              <w:rPr>
                <w:rFonts w:ascii="Times New Roman" w:hAnsi="Times New Roman"/>
                <w:sz w:val="20"/>
                <w:szCs w:val="20"/>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382019E2" w14:textId="77777777" w:rsidR="009700E5" w:rsidRDefault="002C033C">
            <w:pPr>
              <w:pStyle w:val="TextTi9"/>
              <w:keepNext/>
              <w:spacing w:after="120"/>
              <w:jc w:val="center"/>
              <w:rPr>
                <w:rFonts w:ascii="Times New Roman" w:eastAsia="SimSun" w:hAnsi="Times New Roman"/>
                <w:sz w:val="20"/>
                <w:szCs w:val="20"/>
              </w:rPr>
            </w:pPr>
            <w:r>
              <w:rPr>
                <w:rFonts w:ascii="Times New Roman" w:eastAsia="SimSun" w:hAnsi="Times New Roman"/>
                <w:sz w:val="20"/>
                <w:szCs w:val="20"/>
              </w:rPr>
              <w:t>6,55 ± 7,93</w:t>
            </w:r>
          </w:p>
        </w:tc>
        <w:tc>
          <w:tcPr>
            <w:tcW w:w="2977" w:type="dxa"/>
            <w:tcBorders>
              <w:top w:val="single" w:sz="4" w:space="0" w:color="auto"/>
              <w:left w:val="single" w:sz="4" w:space="0" w:color="auto"/>
              <w:bottom w:val="single" w:sz="4" w:space="0" w:color="auto"/>
              <w:right w:val="single" w:sz="4" w:space="0" w:color="auto"/>
            </w:tcBorders>
            <w:hideMark/>
          </w:tcPr>
          <w:p w14:paraId="428DC7EC" w14:textId="77777777" w:rsidR="009700E5" w:rsidRDefault="002C033C">
            <w:pPr>
              <w:pStyle w:val="TextTi9"/>
              <w:keepNext/>
              <w:spacing w:after="120"/>
              <w:jc w:val="center"/>
              <w:rPr>
                <w:rFonts w:ascii="Times New Roman" w:eastAsia="SimSun" w:hAnsi="Times New Roman"/>
                <w:sz w:val="20"/>
                <w:szCs w:val="20"/>
              </w:rPr>
            </w:pPr>
            <w:r>
              <w:rPr>
                <w:rFonts w:ascii="Times New Roman" w:eastAsia="SimSun" w:hAnsi="Times New Roman"/>
                <w:sz w:val="20"/>
                <w:szCs w:val="20"/>
              </w:rPr>
              <w:t>1,47 </w:t>
            </w:r>
            <w:r>
              <w:rPr>
                <w:rFonts w:ascii="Times New Roman" w:hAnsi="Times New Roman"/>
                <w:sz w:val="20"/>
                <w:szCs w:val="20"/>
              </w:rPr>
              <w:t>±</w:t>
            </w:r>
            <w:r>
              <w:rPr>
                <w:rFonts w:ascii="Times New Roman" w:eastAsia="SimSun" w:hAnsi="Times New Roman"/>
                <w:sz w:val="20"/>
                <w:szCs w:val="20"/>
              </w:rPr>
              <w:t> 2,44</w:t>
            </w:r>
          </w:p>
        </w:tc>
      </w:tr>
      <w:tr w:rsidR="009700E5" w14:paraId="272E2963" w14:textId="77777777">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07D9AC6D" w14:textId="77777777" w:rsidR="009700E5" w:rsidRDefault="002C033C">
            <w:pPr>
              <w:pStyle w:val="TextTi9"/>
              <w:keepNext/>
              <w:spacing w:after="120"/>
              <w:rPr>
                <w:rFonts w:ascii="Times New Roman" w:hAnsi="Times New Roman"/>
                <w:sz w:val="20"/>
                <w:szCs w:val="20"/>
              </w:rPr>
            </w:pPr>
            <w:r>
              <w:rPr>
                <w:rFonts w:ascii="Times New Roman" w:hAnsi="Times New Roman"/>
                <w:sz w:val="20"/>
                <w:szCs w:val="20"/>
              </w:rPr>
              <w:t>C</w:t>
            </w:r>
            <w:r>
              <w:rPr>
                <w:rFonts w:ascii="Times New Roman" w:hAnsi="Times New Roman"/>
                <w:sz w:val="20"/>
                <w:szCs w:val="20"/>
                <w:vertAlign w:val="subscript"/>
              </w:rPr>
              <w:t>mean</w:t>
            </w:r>
            <w:r>
              <w:rPr>
                <w:rFonts w:ascii="Times New Roman" w:hAnsi="Times New Roman"/>
                <w:sz w:val="20"/>
                <w:szCs w:val="20"/>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44B886B9" w14:textId="77777777" w:rsidR="009700E5" w:rsidRDefault="002C033C">
            <w:pPr>
              <w:pStyle w:val="TextTi9"/>
              <w:keepNext/>
              <w:spacing w:after="120"/>
              <w:jc w:val="center"/>
              <w:rPr>
                <w:rFonts w:ascii="Times New Roman" w:eastAsia="SimSun" w:hAnsi="Times New Roman"/>
                <w:sz w:val="20"/>
                <w:szCs w:val="20"/>
              </w:rPr>
            </w:pPr>
            <w:r>
              <w:rPr>
                <w:rFonts w:ascii="Times New Roman" w:eastAsia="SimSun" w:hAnsi="Times New Roman"/>
                <w:sz w:val="20"/>
                <w:szCs w:val="20"/>
              </w:rPr>
              <w:t>42,2 ± 13,4</w:t>
            </w:r>
          </w:p>
        </w:tc>
        <w:tc>
          <w:tcPr>
            <w:tcW w:w="2977" w:type="dxa"/>
            <w:tcBorders>
              <w:top w:val="single" w:sz="4" w:space="0" w:color="auto"/>
              <w:left w:val="single" w:sz="4" w:space="0" w:color="auto"/>
              <w:bottom w:val="single" w:sz="4" w:space="0" w:color="auto"/>
              <w:right w:val="single" w:sz="4" w:space="0" w:color="auto"/>
            </w:tcBorders>
            <w:hideMark/>
          </w:tcPr>
          <w:p w14:paraId="761538BA" w14:textId="77777777" w:rsidR="009700E5" w:rsidRDefault="002C033C">
            <w:pPr>
              <w:pStyle w:val="TextTi9"/>
              <w:keepNext/>
              <w:spacing w:after="120"/>
              <w:jc w:val="center"/>
              <w:rPr>
                <w:rFonts w:ascii="Times New Roman" w:eastAsia="SimSun" w:hAnsi="Times New Roman"/>
                <w:sz w:val="20"/>
                <w:szCs w:val="20"/>
              </w:rPr>
            </w:pPr>
            <w:r>
              <w:rPr>
                <w:rFonts w:ascii="Times New Roman" w:eastAsia="SimSun" w:hAnsi="Times New Roman"/>
                <w:sz w:val="20"/>
                <w:szCs w:val="20"/>
              </w:rPr>
              <w:t>31,6 </w:t>
            </w:r>
            <w:r>
              <w:rPr>
                <w:rFonts w:ascii="Times New Roman" w:hAnsi="Times New Roman"/>
                <w:sz w:val="20"/>
                <w:szCs w:val="20"/>
              </w:rPr>
              <w:t>±</w:t>
            </w:r>
            <w:r>
              <w:rPr>
                <w:rFonts w:ascii="Times New Roman" w:eastAsia="SimSun" w:hAnsi="Times New Roman"/>
                <w:sz w:val="20"/>
                <w:szCs w:val="20"/>
              </w:rPr>
              <w:t> 7,84</w:t>
            </w:r>
          </w:p>
        </w:tc>
      </w:tr>
      <w:tr w:rsidR="009700E5" w14:paraId="2BEB4AC7" w14:textId="77777777">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30F69182" w14:textId="77777777" w:rsidR="009700E5" w:rsidRDefault="002C033C">
            <w:pPr>
              <w:pStyle w:val="TextTi9"/>
              <w:keepNext/>
              <w:spacing w:after="120"/>
              <w:rPr>
                <w:rFonts w:ascii="Times New Roman" w:hAnsi="Times New Roman"/>
                <w:sz w:val="20"/>
                <w:szCs w:val="20"/>
              </w:rPr>
            </w:pPr>
            <w:r>
              <w:rPr>
                <w:rFonts w:ascii="Times New Roman" w:hAnsi="Times New Roman"/>
                <w:sz w:val="20"/>
                <w:szCs w:val="20"/>
              </w:rPr>
              <w:t>Kumulácia z hľadiska C</w:t>
            </w:r>
            <w:r>
              <w:rPr>
                <w:rFonts w:ascii="Times New Roman" w:hAnsi="Times New Roman"/>
                <w:sz w:val="20"/>
                <w:szCs w:val="20"/>
                <w:vertAlign w:val="subscript"/>
              </w:rPr>
              <w:t>max</w:t>
            </w:r>
          </w:p>
        </w:tc>
        <w:tc>
          <w:tcPr>
            <w:tcW w:w="2977" w:type="dxa"/>
            <w:tcBorders>
              <w:top w:val="single" w:sz="4" w:space="0" w:color="auto"/>
              <w:left w:val="single" w:sz="4" w:space="0" w:color="auto"/>
              <w:bottom w:val="single" w:sz="4" w:space="0" w:color="auto"/>
              <w:right w:val="single" w:sz="4" w:space="0" w:color="auto"/>
            </w:tcBorders>
          </w:tcPr>
          <w:p w14:paraId="7E38FA32" w14:textId="77777777" w:rsidR="009700E5" w:rsidRDefault="002C033C">
            <w:pPr>
              <w:pStyle w:val="TextTi9"/>
              <w:keepNext/>
              <w:spacing w:after="120"/>
              <w:jc w:val="center"/>
              <w:rPr>
                <w:rFonts w:ascii="Times New Roman" w:eastAsia="SimSun" w:hAnsi="Times New Roman"/>
                <w:sz w:val="20"/>
                <w:szCs w:val="20"/>
              </w:rPr>
            </w:pPr>
            <w:r>
              <w:rPr>
                <w:rFonts w:ascii="Times New Roman" w:eastAsia="SimSun" w:hAnsi="Times New Roman"/>
                <w:sz w:val="20"/>
                <w:szCs w:val="20"/>
              </w:rPr>
              <w:t>1,04</w:t>
            </w:r>
          </w:p>
        </w:tc>
        <w:tc>
          <w:tcPr>
            <w:tcW w:w="2977" w:type="dxa"/>
            <w:tcBorders>
              <w:top w:val="single" w:sz="4" w:space="0" w:color="auto"/>
              <w:left w:val="single" w:sz="4" w:space="0" w:color="auto"/>
              <w:bottom w:val="single" w:sz="4" w:space="0" w:color="auto"/>
              <w:right w:val="single" w:sz="4" w:space="0" w:color="auto"/>
            </w:tcBorders>
          </w:tcPr>
          <w:p w14:paraId="6AE3456D" w14:textId="77777777" w:rsidR="009700E5" w:rsidRDefault="002C033C">
            <w:pPr>
              <w:pStyle w:val="TextTi9"/>
              <w:keepNext/>
              <w:spacing w:after="120"/>
              <w:jc w:val="center"/>
              <w:rPr>
                <w:rFonts w:ascii="Times New Roman" w:eastAsia="SimSun" w:hAnsi="Times New Roman"/>
                <w:sz w:val="20"/>
                <w:szCs w:val="20"/>
              </w:rPr>
            </w:pPr>
            <w:r>
              <w:rPr>
                <w:rFonts w:ascii="Times New Roman" w:eastAsia="SimSun" w:hAnsi="Times New Roman"/>
                <w:sz w:val="20"/>
                <w:szCs w:val="20"/>
              </w:rPr>
              <w:t>1,01</w:t>
            </w:r>
          </w:p>
        </w:tc>
      </w:tr>
      <w:tr w:rsidR="009700E5" w14:paraId="7E516342" w14:textId="77777777">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7CA08895" w14:textId="77777777" w:rsidR="009700E5" w:rsidRDefault="002C033C">
            <w:pPr>
              <w:pStyle w:val="TextTi9"/>
              <w:keepNext/>
              <w:spacing w:after="120"/>
              <w:rPr>
                <w:rFonts w:ascii="Times New Roman" w:hAnsi="Times New Roman"/>
                <w:sz w:val="20"/>
                <w:szCs w:val="20"/>
              </w:rPr>
            </w:pPr>
            <w:r>
              <w:rPr>
                <w:rFonts w:ascii="Times New Roman" w:hAnsi="Times New Roman"/>
                <w:sz w:val="20"/>
                <w:szCs w:val="20"/>
              </w:rPr>
              <w:t>Kumulácia z hľadiska C</w:t>
            </w:r>
            <w:r>
              <w:rPr>
                <w:rFonts w:ascii="Times New Roman" w:hAnsi="Times New Roman"/>
                <w:sz w:val="20"/>
                <w:szCs w:val="20"/>
                <w:vertAlign w:val="subscript"/>
              </w:rPr>
              <w:t>trough</w:t>
            </w:r>
          </w:p>
        </w:tc>
        <w:tc>
          <w:tcPr>
            <w:tcW w:w="2977" w:type="dxa"/>
            <w:tcBorders>
              <w:top w:val="single" w:sz="4" w:space="0" w:color="auto"/>
              <w:left w:val="single" w:sz="4" w:space="0" w:color="auto"/>
              <w:bottom w:val="single" w:sz="4" w:space="0" w:color="auto"/>
              <w:right w:val="single" w:sz="4" w:space="0" w:color="auto"/>
            </w:tcBorders>
          </w:tcPr>
          <w:p w14:paraId="35A4C998" w14:textId="77777777" w:rsidR="009700E5" w:rsidRDefault="002C033C">
            <w:pPr>
              <w:pStyle w:val="TextTi9"/>
              <w:keepNext/>
              <w:spacing w:after="120"/>
              <w:jc w:val="center"/>
              <w:rPr>
                <w:rFonts w:ascii="Times New Roman" w:eastAsia="SimSun" w:hAnsi="Times New Roman"/>
                <w:sz w:val="20"/>
                <w:szCs w:val="20"/>
              </w:rPr>
            </w:pPr>
            <w:r>
              <w:rPr>
                <w:rFonts w:ascii="Times New Roman" w:eastAsia="SimSun" w:hAnsi="Times New Roman"/>
                <w:sz w:val="20"/>
                <w:szCs w:val="20"/>
              </w:rPr>
              <w:t>2,22</w:t>
            </w:r>
          </w:p>
        </w:tc>
        <w:tc>
          <w:tcPr>
            <w:tcW w:w="2977" w:type="dxa"/>
            <w:tcBorders>
              <w:top w:val="single" w:sz="4" w:space="0" w:color="auto"/>
              <w:left w:val="single" w:sz="4" w:space="0" w:color="auto"/>
              <w:bottom w:val="single" w:sz="4" w:space="0" w:color="auto"/>
              <w:right w:val="single" w:sz="4" w:space="0" w:color="auto"/>
            </w:tcBorders>
          </w:tcPr>
          <w:p w14:paraId="0DD6A3AA" w14:textId="77777777" w:rsidR="009700E5" w:rsidRDefault="002C033C">
            <w:pPr>
              <w:pStyle w:val="TextTi9"/>
              <w:keepNext/>
              <w:spacing w:after="120"/>
              <w:jc w:val="center"/>
              <w:rPr>
                <w:rFonts w:ascii="Times New Roman" w:eastAsia="SimSun" w:hAnsi="Times New Roman"/>
                <w:sz w:val="20"/>
                <w:szCs w:val="20"/>
              </w:rPr>
            </w:pPr>
            <w:r>
              <w:rPr>
                <w:rFonts w:ascii="Times New Roman" w:eastAsia="SimSun" w:hAnsi="Times New Roman"/>
                <w:sz w:val="20"/>
                <w:szCs w:val="20"/>
              </w:rPr>
              <w:t>1,43</w:t>
            </w:r>
          </w:p>
        </w:tc>
      </w:tr>
      <w:tr w:rsidR="009700E5" w14:paraId="5DB6C1C6" w14:textId="77777777">
        <w:trPr>
          <w:cantSplit/>
          <w:trHeight w:val="331"/>
        </w:trPr>
        <w:tc>
          <w:tcPr>
            <w:tcW w:w="2835" w:type="dxa"/>
            <w:tcBorders>
              <w:top w:val="single" w:sz="4" w:space="0" w:color="auto"/>
              <w:left w:val="single" w:sz="4" w:space="0" w:color="auto"/>
              <w:bottom w:val="single" w:sz="4" w:space="0" w:color="auto"/>
              <w:right w:val="single" w:sz="4" w:space="0" w:color="auto"/>
            </w:tcBorders>
          </w:tcPr>
          <w:p w14:paraId="1359C527" w14:textId="77777777" w:rsidR="009700E5" w:rsidRDefault="002C033C">
            <w:pPr>
              <w:pStyle w:val="TextTi9"/>
              <w:keepNext/>
              <w:spacing w:after="120"/>
              <w:rPr>
                <w:rFonts w:ascii="Times New Roman" w:hAnsi="Times New Roman"/>
                <w:sz w:val="20"/>
                <w:szCs w:val="20"/>
              </w:rPr>
            </w:pPr>
            <w:r>
              <w:rPr>
                <w:rFonts w:ascii="Times New Roman" w:hAnsi="Times New Roman"/>
                <w:sz w:val="20"/>
                <w:szCs w:val="20"/>
              </w:rPr>
              <w:t>Kumulácia z hľadiska C</w:t>
            </w:r>
            <w:r>
              <w:rPr>
                <w:rFonts w:ascii="Times New Roman" w:hAnsi="Times New Roman"/>
                <w:sz w:val="20"/>
                <w:szCs w:val="20"/>
                <w:vertAlign w:val="subscript"/>
              </w:rPr>
              <w:t>mean</w:t>
            </w:r>
            <w:r>
              <w:rPr>
                <w:rFonts w:ascii="Times New Roman" w:hAnsi="Times New Roman"/>
                <w:sz w:val="20"/>
                <w:szCs w:val="20"/>
              </w:rPr>
              <w:t xml:space="preserve"> alebo AUC</w:t>
            </w:r>
            <w:r>
              <w:rPr>
                <w:rFonts w:ascii="Times New Roman" w:hAnsi="Times New Roman"/>
                <w:sz w:val="20"/>
                <w:szCs w:val="20"/>
                <w:vertAlign w:val="subscript"/>
              </w:rPr>
              <w:t>τ</w:t>
            </w:r>
            <w:r>
              <w:rPr>
                <w:rFonts w:ascii="Times New Roman" w:hAnsi="Times New Roman"/>
                <w:sz w:val="20"/>
                <w:szCs w:val="20"/>
              </w:rPr>
              <w:t>*</w:t>
            </w:r>
          </w:p>
        </w:tc>
        <w:tc>
          <w:tcPr>
            <w:tcW w:w="2977" w:type="dxa"/>
            <w:tcBorders>
              <w:top w:val="single" w:sz="4" w:space="0" w:color="auto"/>
              <w:left w:val="single" w:sz="4" w:space="0" w:color="auto"/>
              <w:bottom w:val="single" w:sz="4" w:space="0" w:color="auto"/>
              <w:right w:val="single" w:sz="4" w:space="0" w:color="auto"/>
            </w:tcBorders>
          </w:tcPr>
          <w:p w14:paraId="75ED2B7A" w14:textId="77777777" w:rsidR="009700E5" w:rsidRDefault="002C033C">
            <w:pPr>
              <w:pStyle w:val="TextTi9"/>
              <w:keepNext/>
              <w:spacing w:after="120"/>
              <w:jc w:val="center"/>
              <w:rPr>
                <w:rFonts w:ascii="Times New Roman" w:eastAsia="SimSun" w:hAnsi="Times New Roman"/>
                <w:sz w:val="20"/>
                <w:szCs w:val="20"/>
              </w:rPr>
            </w:pPr>
            <w:r>
              <w:rPr>
                <w:rFonts w:ascii="Times New Roman" w:eastAsia="SimSun" w:hAnsi="Times New Roman"/>
                <w:sz w:val="20"/>
                <w:szCs w:val="20"/>
              </w:rPr>
              <w:t>1,16</w:t>
            </w:r>
          </w:p>
        </w:tc>
        <w:tc>
          <w:tcPr>
            <w:tcW w:w="2977" w:type="dxa"/>
            <w:tcBorders>
              <w:top w:val="single" w:sz="4" w:space="0" w:color="auto"/>
              <w:left w:val="single" w:sz="4" w:space="0" w:color="auto"/>
              <w:bottom w:val="single" w:sz="4" w:space="0" w:color="auto"/>
              <w:right w:val="single" w:sz="4" w:space="0" w:color="auto"/>
            </w:tcBorders>
          </w:tcPr>
          <w:p w14:paraId="26A9DE02" w14:textId="77777777" w:rsidR="009700E5" w:rsidRDefault="002C033C">
            <w:pPr>
              <w:pStyle w:val="TextTi9"/>
              <w:keepNext/>
              <w:spacing w:after="120"/>
              <w:jc w:val="center"/>
              <w:rPr>
                <w:rFonts w:ascii="Times New Roman" w:eastAsia="SimSun" w:hAnsi="Times New Roman"/>
                <w:sz w:val="20"/>
                <w:szCs w:val="20"/>
              </w:rPr>
            </w:pPr>
            <w:r>
              <w:rPr>
                <w:rFonts w:ascii="Times New Roman" w:eastAsia="SimSun" w:hAnsi="Times New Roman"/>
                <w:sz w:val="20"/>
                <w:szCs w:val="20"/>
              </w:rPr>
              <w:t>1,05</w:t>
            </w:r>
          </w:p>
        </w:tc>
      </w:tr>
    </w:tbl>
    <w:p w14:paraId="4734BAF8" w14:textId="77777777" w:rsidR="009700E5" w:rsidRDefault="002C033C">
      <w:pPr>
        <w:rPr>
          <w:szCs w:val="22"/>
        </w:rPr>
      </w:pPr>
      <w:r>
        <w:rPr>
          <w:sz w:val="18"/>
          <w:szCs w:val="18"/>
          <w:lang w:eastAsia="en-US"/>
        </w:rPr>
        <w:t>*τ</w:t>
      </w:r>
      <w:ins w:id="776" w:author="Author" w:date="2025-07-21T09:52:00Z">
        <w:r>
          <w:rPr>
            <w:sz w:val="18"/>
            <w:szCs w:val="18"/>
            <w:lang w:eastAsia="en-US"/>
          </w:rPr>
          <w:t> </w:t>
        </w:r>
      </w:ins>
      <w:del w:id="777" w:author="Author" w:date="2025-07-21T09:52:00Z">
        <w:r>
          <w:rPr>
            <w:sz w:val="18"/>
            <w:szCs w:val="18"/>
            <w:lang w:eastAsia="en-US"/>
          </w:rPr>
          <w:delText xml:space="preserve"> </w:delText>
        </w:r>
      </w:del>
      <w:r>
        <w:rPr>
          <w:sz w:val="18"/>
          <w:szCs w:val="18"/>
          <w:lang w:eastAsia="en-US"/>
        </w:rPr>
        <w:t>=</w:t>
      </w:r>
      <w:ins w:id="778" w:author="Author" w:date="2025-07-21T09:52:00Z">
        <w:r>
          <w:rPr>
            <w:sz w:val="18"/>
            <w:szCs w:val="18"/>
            <w:lang w:eastAsia="en-US"/>
          </w:rPr>
          <w:t> </w:t>
        </w:r>
      </w:ins>
      <w:del w:id="779" w:author="Author" w:date="2025-07-21T09:52:00Z">
        <w:r>
          <w:rPr>
            <w:sz w:val="18"/>
            <w:szCs w:val="18"/>
            <w:lang w:eastAsia="en-US"/>
          </w:rPr>
          <w:delText xml:space="preserve"> </w:delText>
        </w:r>
      </w:del>
      <w:r>
        <w:rPr>
          <w:sz w:val="18"/>
          <w:szCs w:val="18"/>
          <w:lang w:eastAsia="en-US"/>
        </w:rPr>
        <w:t>4 týždne pri režime s intravenóznou dávkou</w:t>
      </w:r>
    </w:p>
    <w:p w14:paraId="4CF5A777" w14:textId="77777777" w:rsidR="009700E5" w:rsidRDefault="009700E5">
      <w:pPr>
        <w:rPr>
          <w:szCs w:val="22"/>
        </w:rPr>
      </w:pPr>
    </w:p>
    <w:p w14:paraId="0726653D" w14:textId="77777777" w:rsidR="009700E5" w:rsidRDefault="002C033C">
      <w:pPr>
        <w:rPr>
          <w:lang w:eastAsia="de-DE"/>
        </w:rPr>
      </w:pPr>
      <w:r>
        <w:rPr>
          <w:szCs w:val="22"/>
        </w:rPr>
        <w:t xml:space="preserve">Po intravenóznom podávaní sa približne 90 % rovnovážneho stavu dosiahlo do 12. týždňa pri dávke 10 mg/kg </w:t>
      </w:r>
      <w:r>
        <w:rPr>
          <w:iCs/>
          <w:szCs w:val="22"/>
        </w:rPr>
        <w:t>(telesná hmotnosť </w:t>
      </w:r>
      <w:r>
        <w:rPr>
          <w:rFonts w:eastAsia="MS Mincho"/>
          <w:szCs w:val="22"/>
        </w:rPr>
        <w:sym w:font="Symbol" w:char="F03C"/>
      </w:r>
      <w:r>
        <w:rPr>
          <w:iCs/>
          <w:szCs w:val="22"/>
        </w:rPr>
        <w:t> 30 kg) a do 16. týždňa pri dávke 8 mg/kg (telesná hmotnosť ≥ 30 kg).</w:t>
      </w:r>
    </w:p>
    <w:bookmarkEnd w:id="767"/>
    <w:p w14:paraId="670682F0" w14:textId="77777777" w:rsidR="009700E5" w:rsidRDefault="009700E5">
      <w:pPr>
        <w:numPr>
          <w:ilvl w:val="12"/>
          <w:numId w:val="0"/>
        </w:numPr>
        <w:ind w:right="-2"/>
        <w:rPr>
          <w:iCs/>
        </w:rPr>
      </w:pPr>
    </w:p>
    <w:p w14:paraId="7FDA30B6" w14:textId="77777777" w:rsidR="009700E5" w:rsidRDefault="002C033C">
      <w:pPr>
        <w:numPr>
          <w:ilvl w:val="12"/>
          <w:numId w:val="0"/>
        </w:numPr>
        <w:ind w:right="-2"/>
        <w:rPr>
          <w:iCs/>
        </w:rPr>
      </w:pPr>
      <w:r>
        <w:rPr>
          <w:iCs/>
        </w:rPr>
        <w:t>Biologický polčas tocilizumabu u pacientov s pJIA je 16 dní pre obe hmotnostné kategórie (8 mg/kg pre telesnú hmotnosť ≥ 30 kg alebo 10 mg/kg pre telesnú hmotnosť </w:t>
      </w:r>
      <w:r>
        <w:rPr>
          <w:rFonts w:eastAsia="MS Mincho"/>
          <w:szCs w:val="22"/>
        </w:rPr>
        <w:sym w:font="Symbol" w:char="F03C"/>
      </w:r>
      <w:r>
        <w:rPr>
          <w:iCs/>
        </w:rPr>
        <w:t> 30 kg) počas dávkového intervalu v rovnovážnom stave.</w:t>
      </w:r>
    </w:p>
    <w:p w14:paraId="708BBC29" w14:textId="77777777" w:rsidR="009700E5" w:rsidRDefault="009700E5">
      <w:pPr>
        <w:numPr>
          <w:ilvl w:val="12"/>
          <w:numId w:val="0"/>
        </w:numPr>
        <w:ind w:right="-2"/>
        <w:rPr>
          <w:iCs/>
        </w:rPr>
      </w:pPr>
    </w:p>
    <w:p w14:paraId="3BBE6F73" w14:textId="77777777" w:rsidR="009700E5" w:rsidRDefault="002C033C">
      <w:pPr>
        <w:outlineLvl w:val="0"/>
      </w:pPr>
      <w:r>
        <w:rPr>
          <w:b/>
        </w:rPr>
        <w:t>5.3</w:t>
      </w:r>
      <w:r>
        <w:rPr>
          <w:b/>
        </w:rPr>
        <w:tab/>
      </w:r>
      <w:r>
        <w:rPr>
          <w:b/>
          <w:szCs w:val="22"/>
        </w:rPr>
        <w:t>Predklinické údaje o bezpečnosti</w:t>
      </w:r>
    </w:p>
    <w:p w14:paraId="13C660AD" w14:textId="77777777" w:rsidR="009700E5" w:rsidRDefault="009700E5"/>
    <w:p w14:paraId="3C7794C8" w14:textId="77777777" w:rsidR="009700E5" w:rsidRDefault="002C033C">
      <w:pPr>
        <w:rPr>
          <w:bCs/>
        </w:rPr>
      </w:pPr>
      <w:r>
        <w:rPr>
          <w:szCs w:val="22"/>
        </w:rPr>
        <w:t>Predklinické údaje získané na základe obvyklých farmakologických</w:t>
      </w:r>
      <w:del w:id="780" w:author="Author" w:date="2025-07-18T23:11:00Z">
        <w:r>
          <w:rPr>
            <w:szCs w:val="22"/>
          </w:rPr>
          <w:delText xml:space="preserve"> štúdií</w:delText>
        </w:r>
      </w:del>
      <w:ins w:id="781" w:author="Author" w:date="2025-07-18T23:11:00Z">
        <w:r>
          <w:rPr>
            <w:szCs w:val="22"/>
          </w:rPr>
          <w:t xml:space="preserve"> </w:t>
        </w:r>
      </w:ins>
      <w:ins w:id="782" w:author="Author" w:date="2025-07-21T09:52:00Z">
        <w:r>
          <w:rPr>
            <w:szCs w:val="22"/>
          </w:rPr>
          <w:t xml:space="preserve">klinických </w:t>
        </w:r>
      </w:ins>
      <w:ins w:id="783" w:author="Author" w:date="2025-07-18T23:11:00Z">
        <w:r>
          <w:rPr>
            <w:szCs w:val="22"/>
          </w:rPr>
          <w:t>skúšaní</w:t>
        </w:r>
      </w:ins>
      <w:r>
        <w:rPr>
          <w:szCs w:val="22"/>
        </w:rPr>
        <w:t xml:space="preserve"> bezpečnosti, toxicity po opakovanom podávaní a genotoxicity neodhalili žiadne osobitné riziko pre ľudí</w:t>
      </w:r>
      <w:r>
        <w:t>.</w:t>
      </w:r>
    </w:p>
    <w:p w14:paraId="52937E84" w14:textId="77777777" w:rsidR="009700E5" w:rsidRDefault="009700E5">
      <w:pPr>
        <w:rPr>
          <w:bCs/>
        </w:rPr>
      </w:pPr>
    </w:p>
    <w:p w14:paraId="7F698130" w14:textId="77777777" w:rsidR="009700E5" w:rsidRDefault="002C033C">
      <w:pPr>
        <w:rPr>
          <w:bCs/>
        </w:rPr>
      </w:pPr>
      <w:del w:id="784" w:author="Author" w:date="2025-07-20T00:33:00Z">
        <w:r>
          <w:rPr>
            <w:bCs/>
          </w:rPr>
          <w:delText xml:space="preserve">Štúdie </w:delText>
        </w:r>
      </w:del>
      <w:ins w:id="785" w:author="Author" w:date="2025-07-21T09:52:00Z">
        <w:r>
          <w:rPr>
            <w:bCs/>
          </w:rPr>
          <w:t>Klinické s</w:t>
        </w:r>
      </w:ins>
      <w:ins w:id="786" w:author="Author" w:date="2025-07-20T00:33:00Z">
        <w:del w:id="787" w:author="Author" w:date="2025-07-21T09:52:00Z">
          <w:r>
            <w:rPr>
              <w:bCs/>
            </w:rPr>
            <w:delText>S</w:delText>
          </w:r>
        </w:del>
        <w:r>
          <w:rPr>
            <w:bCs/>
          </w:rPr>
          <w:t xml:space="preserve">kúšania </w:t>
        </w:r>
      </w:ins>
      <w:r>
        <w:rPr>
          <w:bCs/>
        </w:rPr>
        <w:t>karcinogenity sa neuskutočnili pretože IG1 monoklonálne protilátky sa nepovažujú za látky s vlastným karcinogénnym potenciálom.</w:t>
      </w:r>
    </w:p>
    <w:p w14:paraId="0D8E1C94" w14:textId="77777777" w:rsidR="009700E5" w:rsidRDefault="009700E5"/>
    <w:p w14:paraId="1FEB2346" w14:textId="77777777" w:rsidR="009700E5" w:rsidRDefault="002C033C">
      <w:r>
        <w:t>Dostupné predklinické údaje preukázali vplyv IL</w:t>
      </w:r>
      <w:r>
        <w:noBreakHyphen/>
        <w:t>6 na progresiu zhubných nádorov a na rezistenciu rôznych typov nádorov na apoptózu. Tieto údaje nepoukazujú na významné riziko pre vznik a progresiu rakoviny počas liečby tocilizumabom. Okrem toho sa v 6</w:t>
      </w:r>
      <w:r>
        <w:noBreakHyphen/>
        <w:t xml:space="preserve">mesačných </w:t>
      </w:r>
      <w:del w:id="788" w:author="Author" w:date="2025-07-20T00:34:00Z">
        <w:r>
          <w:delText xml:space="preserve">štúdiách </w:delText>
        </w:r>
      </w:del>
      <w:ins w:id="789" w:author="Author" w:date="2025-07-21T09:52:00Z">
        <w:r>
          <w:t xml:space="preserve">klinických </w:t>
        </w:r>
      </w:ins>
      <w:ins w:id="790" w:author="Author" w:date="2025-07-20T00:34:00Z">
        <w:r>
          <w:t xml:space="preserve">skúšaniach </w:t>
        </w:r>
      </w:ins>
      <w:r>
        <w:t>chronickej toxicity na opiciach rodu Cynomolgus, ani u myší s deficitom IL</w:t>
      </w:r>
      <w:r>
        <w:noBreakHyphen/>
        <w:t>6 proliferatívne lézie nepozorovali.</w:t>
      </w:r>
    </w:p>
    <w:p w14:paraId="1AB4EF2D" w14:textId="77777777" w:rsidR="009700E5" w:rsidRDefault="009700E5"/>
    <w:p w14:paraId="2A485469" w14:textId="77777777" w:rsidR="009700E5" w:rsidRDefault="002C033C">
      <w:r>
        <w:t>Dostupné predklinické údaje nepotvrdili, že liečba tocilizumabom má vplyv na fertilitu. V</w:t>
      </w:r>
      <w:del w:id="791" w:author="Author" w:date="2025-07-21T09:52:00Z">
        <w:r>
          <w:delText> </w:delText>
        </w:r>
      </w:del>
      <w:ins w:id="792" w:author="Author" w:date="2025-07-21T09:52:00Z">
        <w:r>
          <w:t xml:space="preserve"> klinickom </w:t>
        </w:r>
      </w:ins>
      <w:del w:id="793" w:author="Author" w:date="2025-07-20T00:34:00Z">
        <w:r>
          <w:delText xml:space="preserve">štúdii </w:delText>
        </w:r>
      </w:del>
      <w:ins w:id="794" w:author="Author" w:date="2025-07-20T00:34:00Z">
        <w:r>
          <w:t xml:space="preserve">skúšaní </w:t>
        </w:r>
      </w:ins>
      <w:r>
        <w:t>chronickej toxicity na opiciach rodu Cynomolgus sa nepozorovali účinky na endokrinne aktívne orgány a na orgány reprodukčného systému a u myší s deficitom IL</w:t>
      </w:r>
      <w:r>
        <w:noBreakHyphen/>
        <w:t>6 nedošlo k poškodeniu reprodukčnej výkonnosti. Zistilo sa, že tocilizumab podávaný opiciam rodu Cynomolgus počas skorej fázy gestácie nemal priamy ani nepriamy škodlivý vplyv na graviditu alebo embryofetálny vývoj. Pozorovalo sa však mierne zvýšenie potratov/embryofetálnej úmrtnosti pri vysokej systémovej expozícii (</w:t>
      </w:r>
      <w:r>
        <w:rPr>
          <w:rFonts w:eastAsia="MS Mincho"/>
          <w:szCs w:val="22"/>
        </w:rPr>
        <w:sym w:font="Symbol" w:char="F03E"/>
      </w:r>
      <w:r>
        <w:t> 100</w:t>
      </w:r>
      <w:r>
        <w:noBreakHyphen/>
        <w:t>násobok expozície dosiahnutej u ľudí) v skupine liečenej vysokou dávkou 50 mg/kg/deň oproti skupine liečenej placebom a inými nízkymi dávkami. Hoci IL</w:t>
      </w:r>
      <w:r>
        <w:noBreakHyphen/>
        <w:t>6 zrejme nie je rozhodujúcim cytokínom pre rast plodu alebo imunologickú kontrolu rozhrania materských a fetálnych tkanív, súvislosť tohto zistenia s tocilizumabom nie je možné vylúčiť.</w:t>
      </w:r>
    </w:p>
    <w:p w14:paraId="33DB096D" w14:textId="77777777" w:rsidR="009700E5" w:rsidRDefault="009700E5"/>
    <w:p w14:paraId="750566CC" w14:textId="77777777" w:rsidR="009700E5" w:rsidRDefault="002C033C">
      <w:r>
        <w:t>Liečba myšacím analógom na juvenilných myšiach nevykazovala toxicitu. Konkrétne, nebolo prítomné žiadne narušenie rastu kostí, imunitných funkcií a sexuálneho dozrievania</w:t>
      </w:r>
    </w:p>
    <w:p w14:paraId="6B4595E5" w14:textId="77777777" w:rsidR="009700E5" w:rsidRDefault="009700E5"/>
    <w:p w14:paraId="679460B5" w14:textId="77777777" w:rsidR="009700E5" w:rsidRDefault="009700E5"/>
    <w:p w14:paraId="424EFCF6" w14:textId="77777777" w:rsidR="009700E5" w:rsidRDefault="002C033C">
      <w:pPr>
        <w:keepNext/>
        <w:keepLines/>
        <w:rPr>
          <w:b/>
        </w:rPr>
      </w:pPr>
      <w:r>
        <w:rPr>
          <w:b/>
        </w:rPr>
        <w:lastRenderedPageBreak/>
        <w:t>6.</w:t>
      </w:r>
      <w:r>
        <w:rPr>
          <w:b/>
        </w:rPr>
        <w:tab/>
      </w:r>
      <w:r>
        <w:rPr>
          <w:b/>
          <w:szCs w:val="22"/>
        </w:rPr>
        <w:t>FARMACEUTICKÉ INFORMÁCIE</w:t>
      </w:r>
    </w:p>
    <w:p w14:paraId="6B4B30D9" w14:textId="77777777" w:rsidR="009700E5" w:rsidRDefault="009700E5">
      <w:pPr>
        <w:keepNext/>
        <w:keepLines/>
      </w:pPr>
    </w:p>
    <w:p w14:paraId="3E9DD99C" w14:textId="77777777" w:rsidR="009700E5" w:rsidRDefault="002C033C">
      <w:pPr>
        <w:keepNext/>
        <w:keepLines/>
        <w:outlineLvl w:val="0"/>
        <w:rPr>
          <w:b/>
        </w:rPr>
      </w:pPr>
      <w:r>
        <w:rPr>
          <w:b/>
        </w:rPr>
        <w:t>6.1</w:t>
      </w:r>
      <w:r>
        <w:rPr>
          <w:b/>
        </w:rPr>
        <w:tab/>
      </w:r>
      <w:r>
        <w:rPr>
          <w:b/>
          <w:szCs w:val="22"/>
        </w:rPr>
        <w:t>Zoznam pomocných látok</w:t>
      </w:r>
    </w:p>
    <w:p w14:paraId="48B21B59" w14:textId="77777777" w:rsidR="009700E5" w:rsidRDefault="009700E5">
      <w:pPr>
        <w:keepNext/>
        <w:keepLines/>
        <w:outlineLvl w:val="0"/>
        <w:rPr>
          <w:b/>
        </w:rPr>
      </w:pPr>
    </w:p>
    <w:p w14:paraId="73D011D3" w14:textId="77777777" w:rsidR="009700E5" w:rsidRDefault="002C033C">
      <w:pPr>
        <w:keepNext/>
        <w:keepLines/>
        <w:outlineLvl w:val="0"/>
        <w:rPr>
          <w:bCs/>
        </w:rPr>
      </w:pPr>
      <w:r>
        <w:rPr>
          <w:bCs/>
        </w:rPr>
        <w:t>Sacharóza</w:t>
      </w:r>
    </w:p>
    <w:p w14:paraId="1048CC75" w14:textId="77777777" w:rsidR="009700E5" w:rsidRDefault="002C033C">
      <w:pPr>
        <w:keepNext/>
        <w:keepLines/>
        <w:outlineLvl w:val="0"/>
        <w:rPr>
          <w:bCs/>
        </w:rPr>
      </w:pPr>
      <w:r>
        <w:rPr>
          <w:bCs/>
        </w:rPr>
        <w:t>Polysorbát 80 (E 433)</w:t>
      </w:r>
    </w:p>
    <w:p w14:paraId="53D86145" w14:textId="77777777" w:rsidR="009700E5" w:rsidRDefault="002C033C">
      <w:pPr>
        <w:keepNext/>
        <w:keepLines/>
        <w:outlineLvl w:val="0"/>
        <w:rPr>
          <w:bCs/>
        </w:rPr>
      </w:pPr>
      <w:r>
        <w:rPr>
          <w:bCs/>
        </w:rPr>
        <w:t>Dodekahydrát hydrogenfosforečnanu sodného (na úpravu pH)</w:t>
      </w:r>
    </w:p>
    <w:p w14:paraId="2F1879D2" w14:textId="77777777" w:rsidR="009700E5" w:rsidRDefault="002C033C">
      <w:pPr>
        <w:keepNext/>
        <w:keepLines/>
        <w:outlineLvl w:val="0"/>
        <w:rPr>
          <w:bCs/>
        </w:rPr>
      </w:pPr>
      <w:r>
        <w:rPr>
          <w:bCs/>
        </w:rPr>
        <w:t>Dihydrát dihydrogenfosforečnanu sodného (na úpravu pH)</w:t>
      </w:r>
    </w:p>
    <w:p w14:paraId="59063A64" w14:textId="77777777" w:rsidR="009700E5" w:rsidRDefault="002C033C">
      <w:pPr>
        <w:outlineLvl w:val="0"/>
        <w:rPr>
          <w:bCs/>
        </w:rPr>
      </w:pPr>
      <w:r>
        <w:rPr>
          <w:bCs/>
        </w:rPr>
        <w:t>Voda na injekcie</w:t>
      </w:r>
    </w:p>
    <w:p w14:paraId="5EFAE4A5" w14:textId="77777777" w:rsidR="009700E5" w:rsidRDefault="009700E5">
      <w:pPr>
        <w:rPr>
          <w:iCs/>
        </w:rPr>
      </w:pPr>
    </w:p>
    <w:p w14:paraId="5A22715F" w14:textId="77777777" w:rsidR="009700E5" w:rsidRDefault="002C033C">
      <w:pPr>
        <w:keepNext/>
        <w:keepLines/>
        <w:outlineLvl w:val="0"/>
      </w:pPr>
      <w:r>
        <w:rPr>
          <w:b/>
        </w:rPr>
        <w:t>6.2</w:t>
      </w:r>
      <w:r>
        <w:rPr>
          <w:b/>
        </w:rPr>
        <w:tab/>
      </w:r>
      <w:r>
        <w:rPr>
          <w:b/>
          <w:szCs w:val="22"/>
        </w:rPr>
        <w:t>Inkompatibility</w:t>
      </w:r>
    </w:p>
    <w:p w14:paraId="766424C5" w14:textId="77777777" w:rsidR="009700E5" w:rsidRDefault="009700E5"/>
    <w:p w14:paraId="7AE3A2E8" w14:textId="77777777" w:rsidR="009700E5" w:rsidRDefault="002C033C">
      <w:pPr>
        <w:rPr>
          <w:b/>
        </w:rPr>
      </w:pPr>
      <w:r>
        <w:rPr>
          <w:szCs w:val="22"/>
        </w:rPr>
        <w:t>Tento liek sa nesmie miešať s inými liekmi okrem tých, ktoré sú uvedené v časti </w:t>
      </w:r>
      <w:r>
        <w:t>6.6.</w:t>
      </w:r>
    </w:p>
    <w:p w14:paraId="09ED9C8A" w14:textId="77777777" w:rsidR="009700E5" w:rsidRDefault="009700E5">
      <w:pPr>
        <w:outlineLvl w:val="0"/>
      </w:pPr>
    </w:p>
    <w:p w14:paraId="7B9B1027" w14:textId="77777777" w:rsidR="009700E5" w:rsidRDefault="002C033C">
      <w:pPr>
        <w:keepNext/>
        <w:keepLines/>
        <w:outlineLvl w:val="0"/>
      </w:pPr>
      <w:r>
        <w:rPr>
          <w:b/>
        </w:rPr>
        <w:t>6.3</w:t>
      </w:r>
      <w:r>
        <w:rPr>
          <w:b/>
        </w:rPr>
        <w:tab/>
      </w:r>
      <w:r>
        <w:rPr>
          <w:b/>
          <w:szCs w:val="22"/>
        </w:rPr>
        <w:t>Čas použiteľnosti</w:t>
      </w:r>
    </w:p>
    <w:p w14:paraId="06C7A6F3" w14:textId="77777777" w:rsidR="009700E5" w:rsidRDefault="009700E5">
      <w:pPr>
        <w:keepNext/>
        <w:keepLines/>
      </w:pPr>
    </w:p>
    <w:p w14:paraId="345C78A4" w14:textId="77777777" w:rsidR="009700E5" w:rsidRDefault="002C033C">
      <w:pPr>
        <w:keepNext/>
        <w:keepLines/>
        <w:rPr>
          <w:i/>
          <w:iCs/>
        </w:rPr>
      </w:pPr>
      <w:r>
        <w:rPr>
          <w:u w:val="single"/>
        </w:rPr>
        <w:t>Neotvorená injekčná liekovka</w:t>
      </w:r>
    </w:p>
    <w:p w14:paraId="5A8D068A" w14:textId="77777777" w:rsidR="009700E5" w:rsidRDefault="002C033C">
      <w:pPr>
        <w:keepNext/>
        <w:keepLines/>
      </w:pPr>
      <w:r>
        <w:t>3 roky</w:t>
      </w:r>
    </w:p>
    <w:p w14:paraId="6F40C99A" w14:textId="77777777" w:rsidR="009700E5" w:rsidRDefault="009700E5">
      <w:pPr>
        <w:keepNext/>
        <w:keepLines/>
      </w:pPr>
    </w:p>
    <w:p w14:paraId="2383013F" w14:textId="77777777" w:rsidR="009700E5" w:rsidRDefault="002C033C">
      <w:pPr>
        <w:rPr>
          <w:i/>
          <w:iCs/>
        </w:rPr>
      </w:pPr>
      <w:r>
        <w:rPr>
          <w:u w:val="single"/>
        </w:rPr>
        <w:t>Zriedený liek</w:t>
      </w:r>
    </w:p>
    <w:p w14:paraId="73D3A1BB" w14:textId="77777777" w:rsidR="009700E5" w:rsidRDefault="002C033C">
      <w:r>
        <w:t>Po zriedení je pripravený infúzny roztok fyzikálne a chemicky stabilný v injekčnom roztoku chloridu sodného s koncentráciou 9 mg/ml (0,9 %). Ten môže byť uchovávaný 24 hodín pri teplote 30 °C a až 2 týždne</w:t>
      </w:r>
      <w:r>
        <w:rPr>
          <w:szCs w:val="22"/>
        </w:rPr>
        <w:t xml:space="preserve"> v chladničke pri teplote 2</w:t>
      </w:r>
      <w:r>
        <w:t>°</w:t>
      </w:r>
      <w:r>
        <w:rPr>
          <w:szCs w:val="22"/>
        </w:rPr>
        <w:t>C </w:t>
      </w:r>
      <w:r>
        <w:rPr>
          <w:szCs w:val="22"/>
        </w:rPr>
        <w:noBreakHyphen/>
        <w:t> 8 </w:t>
      </w:r>
      <w:r>
        <w:t>°</w:t>
      </w:r>
      <w:r>
        <w:rPr>
          <w:szCs w:val="22"/>
        </w:rPr>
        <w:t>C.</w:t>
      </w:r>
    </w:p>
    <w:p w14:paraId="18F06697" w14:textId="77777777" w:rsidR="009700E5" w:rsidRDefault="009700E5"/>
    <w:p w14:paraId="599C78CF" w14:textId="77777777" w:rsidR="009700E5" w:rsidRDefault="002C033C">
      <w:r>
        <w:t xml:space="preserve">Z mikrobiologického hľadiska sa musí pripravený infúzny roztok použiť ihneď. Ak sa nepoužije ihneď, za čas a podmienky uchovávania pred použitím je zodpovedný používateľ a za normálnych podmienok </w:t>
      </w:r>
      <w:r>
        <w:rPr>
          <w:szCs w:val="22"/>
        </w:rPr>
        <w:t>by nemali presiahnuť 24 hodín pri teplote 2</w:t>
      </w:r>
      <w:r>
        <w:t>°</w:t>
      </w:r>
      <w:r>
        <w:rPr>
          <w:szCs w:val="22"/>
        </w:rPr>
        <w:t>C </w:t>
      </w:r>
      <w:r>
        <w:rPr>
          <w:szCs w:val="22"/>
        </w:rPr>
        <w:noBreakHyphen/>
        <w:t> 8 </w:t>
      </w:r>
      <w:r>
        <w:t>°</w:t>
      </w:r>
      <w:r>
        <w:rPr>
          <w:szCs w:val="22"/>
        </w:rPr>
        <w:t>C, pokiaľ sa riedenie neudialo v kontrolovaných a overených aseptických podmienkach</w:t>
      </w:r>
      <w:r>
        <w:t>.</w:t>
      </w:r>
    </w:p>
    <w:p w14:paraId="62D381C0" w14:textId="77777777" w:rsidR="009700E5" w:rsidRDefault="009700E5">
      <w:pPr>
        <w:outlineLvl w:val="0"/>
      </w:pPr>
    </w:p>
    <w:p w14:paraId="672599CF" w14:textId="77777777" w:rsidR="009700E5" w:rsidRDefault="002C033C">
      <w:pPr>
        <w:outlineLvl w:val="0"/>
        <w:rPr>
          <w:b/>
        </w:rPr>
      </w:pPr>
      <w:r>
        <w:rPr>
          <w:b/>
        </w:rPr>
        <w:t>6.4</w:t>
      </w:r>
      <w:r>
        <w:rPr>
          <w:b/>
        </w:rPr>
        <w:tab/>
      </w:r>
      <w:r>
        <w:rPr>
          <w:b/>
          <w:szCs w:val="22"/>
        </w:rPr>
        <w:t>Špeciálne upozornenia na uchovávanie</w:t>
      </w:r>
    </w:p>
    <w:p w14:paraId="288A8C18" w14:textId="77777777" w:rsidR="009700E5" w:rsidRDefault="009700E5">
      <w:pPr>
        <w:outlineLvl w:val="0"/>
      </w:pPr>
    </w:p>
    <w:p w14:paraId="662D2BCA" w14:textId="77777777" w:rsidR="009700E5" w:rsidRDefault="002C033C">
      <w:r>
        <w:t>Injekčnú liekovku (injekčné liekovky) uchovávajte v chladničke (2 °C </w:t>
      </w:r>
      <w:r>
        <w:noBreakHyphen/>
        <w:t> 8 °C). Neuchovávajte v mrazničke.</w:t>
      </w:r>
    </w:p>
    <w:p w14:paraId="6DF5D1A0" w14:textId="77777777" w:rsidR="009700E5" w:rsidRDefault="009700E5"/>
    <w:p w14:paraId="0A77E0E3" w14:textId="77777777" w:rsidR="009700E5" w:rsidRDefault="002C033C">
      <w:r>
        <w:t>Injekčné liekovky uchovávajte v škatuli na ochranu pred svetlom.</w:t>
      </w:r>
    </w:p>
    <w:p w14:paraId="33FB1E63" w14:textId="77777777" w:rsidR="009700E5" w:rsidRDefault="009700E5">
      <w:pPr>
        <w:outlineLvl w:val="0"/>
      </w:pPr>
    </w:p>
    <w:p w14:paraId="43C97F1A" w14:textId="77777777" w:rsidR="009700E5" w:rsidRDefault="002C033C">
      <w:pPr>
        <w:outlineLvl w:val="0"/>
      </w:pPr>
      <w:r>
        <w:t>Podmienky na uchovávanie po riedení lieku, pozri časť 6.3.</w:t>
      </w:r>
    </w:p>
    <w:p w14:paraId="241DD8B2" w14:textId="77777777" w:rsidR="009700E5" w:rsidRDefault="009700E5"/>
    <w:p w14:paraId="280EECBF" w14:textId="77777777" w:rsidR="009700E5" w:rsidRDefault="002C033C">
      <w:pPr>
        <w:keepNext/>
        <w:keepLines/>
        <w:outlineLvl w:val="0"/>
        <w:rPr>
          <w:b/>
        </w:rPr>
      </w:pPr>
      <w:r>
        <w:rPr>
          <w:b/>
        </w:rPr>
        <w:t>6.5</w:t>
      </w:r>
      <w:r>
        <w:rPr>
          <w:b/>
        </w:rPr>
        <w:tab/>
      </w:r>
      <w:r>
        <w:rPr>
          <w:b/>
          <w:szCs w:val="22"/>
        </w:rPr>
        <w:t>Druh obalu a obsah balenia</w:t>
      </w:r>
    </w:p>
    <w:p w14:paraId="5F9D2B2F" w14:textId="77777777" w:rsidR="009700E5" w:rsidRDefault="009700E5">
      <w:pPr>
        <w:keepNext/>
        <w:keepLines/>
      </w:pPr>
    </w:p>
    <w:p w14:paraId="2B8E9513" w14:textId="77777777" w:rsidR="009700E5" w:rsidRDefault="002C033C">
      <w:pPr>
        <w:keepNext/>
        <w:keepLines/>
      </w:pPr>
      <w:r>
        <w:t xml:space="preserve">RoActemra sa dodáva v injekčnej liekovke (sklo typu I) s uzáverom (butylkaučuk) s obsahom </w:t>
      </w:r>
      <w:r>
        <w:rPr>
          <w:iCs/>
        </w:rPr>
        <w:t>4 ml, 10 ml alebo 20 ml koncentrátu. Veľkosti balenia po 1 a 4 injekčných liekovkách.</w:t>
      </w:r>
    </w:p>
    <w:p w14:paraId="17F9BC11" w14:textId="77777777" w:rsidR="009700E5" w:rsidRDefault="009700E5">
      <w:pPr>
        <w:keepNext/>
        <w:keepLines/>
      </w:pPr>
    </w:p>
    <w:p w14:paraId="62B09A8F" w14:textId="77777777" w:rsidR="009700E5" w:rsidRDefault="002C033C">
      <w:r>
        <w:rPr>
          <w:szCs w:val="22"/>
        </w:rPr>
        <w:t>Na trh nemusia byť uvedené všetky veľkosti balenia.</w:t>
      </w:r>
    </w:p>
    <w:p w14:paraId="2C265D9B" w14:textId="77777777" w:rsidR="009700E5" w:rsidRDefault="009700E5"/>
    <w:p w14:paraId="56E1CE3C" w14:textId="77777777" w:rsidR="009700E5" w:rsidRDefault="002C033C">
      <w:pPr>
        <w:outlineLvl w:val="0"/>
      </w:pPr>
      <w:r>
        <w:rPr>
          <w:b/>
        </w:rPr>
        <w:t>6.6</w:t>
      </w:r>
      <w:r>
        <w:rPr>
          <w:b/>
        </w:rPr>
        <w:tab/>
      </w:r>
      <w:r>
        <w:rPr>
          <w:b/>
          <w:bCs/>
        </w:rPr>
        <w:t>Špeciálne opatrenia na likvidáciu a iné zaobchádzanie s liekom</w:t>
      </w:r>
    </w:p>
    <w:p w14:paraId="2FB1C637" w14:textId="77777777" w:rsidR="009700E5" w:rsidRDefault="009700E5"/>
    <w:p w14:paraId="520DED78" w14:textId="77777777" w:rsidR="009700E5" w:rsidRDefault="002C033C">
      <w:r>
        <w:rPr>
          <w:u w:val="single"/>
        </w:rPr>
        <w:t>Návod na riedenie pred podaním</w:t>
      </w:r>
    </w:p>
    <w:p w14:paraId="7B5BE4FD" w14:textId="77777777" w:rsidR="009700E5" w:rsidRDefault="002C033C">
      <w:r>
        <w:t>Parenterálne lieky sa musia pred podaním vizuálne skontrolovať na prítomnosť cudzorodých častíc alebo zmenu sfarbenia. Riediť sa môžu iba roztoky, ktoré sú číre až opaleskujúce, bezfarebné až svetložlté a bez viditeľných častíc. Na prípravu lieku použite sterilnú ihlu a injekčnú striekačku.</w:t>
      </w:r>
    </w:p>
    <w:p w14:paraId="0F6CBA4B" w14:textId="77777777" w:rsidR="009700E5" w:rsidRDefault="009700E5"/>
    <w:p w14:paraId="593396CD" w14:textId="77777777" w:rsidR="009700E5" w:rsidRDefault="002C033C">
      <w:pPr>
        <w:keepNext/>
        <w:keepLines/>
        <w:rPr>
          <w:i/>
          <w:iCs/>
        </w:rPr>
      </w:pPr>
      <w:r>
        <w:rPr>
          <w:i/>
          <w:iCs/>
        </w:rPr>
        <w:lastRenderedPageBreak/>
        <w:t>Dospelí pacienti s RA, CRS (≥ 30 kg) a s COVID</w:t>
      </w:r>
      <w:r>
        <w:rPr>
          <w:i/>
          <w:iCs/>
        </w:rPr>
        <w:noBreakHyphen/>
        <w:t>19</w:t>
      </w:r>
    </w:p>
    <w:p w14:paraId="2B2D2239" w14:textId="77777777" w:rsidR="009700E5" w:rsidRDefault="002C033C">
      <w:pPr>
        <w:keepNext/>
        <w:keepLines/>
      </w:pPr>
      <w:r>
        <w:t>Za aseptických podmienok odoberte zo 100 ml infúzneho vaku objem sterilného, nepyrogénneho, 0,9 % injekčného roztoku chloridu sodného (9 mg/ml), ktorý sa rovná objemu koncentrátu potrebného na dávku pre pacienta. Potrebné množstvo koncentrátu (0,4 ml/kg) sa má odobrať z injekčnej liekovky a preniesť do 100 ml infúzneho vaku. Konečný objem má byť 100 ml. Roztok premiešajte tak, že infúzny vak jemne prevrátite, aby sa predišlo speneniu.</w:t>
      </w:r>
    </w:p>
    <w:p w14:paraId="7D869FD2" w14:textId="77777777" w:rsidR="009700E5" w:rsidRDefault="009700E5"/>
    <w:p w14:paraId="30AE478E" w14:textId="77777777" w:rsidR="009700E5" w:rsidRDefault="002C033C">
      <w:pPr>
        <w:keepNext/>
        <w:keepLines/>
        <w:rPr>
          <w:i/>
          <w:iCs/>
        </w:rPr>
      </w:pPr>
      <w:r>
        <w:rPr>
          <w:i/>
          <w:iCs/>
        </w:rPr>
        <w:t>Pediatrická populácia</w:t>
      </w:r>
    </w:p>
    <w:p w14:paraId="28FBEDA0" w14:textId="77777777" w:rsidR="009700E5" w:rsidRDefault="002C033C">
      <w:pPr>
        <w:rPr>
          <w:i/>
          <w:iCs/>
        </w:rPr>
      </w:pPr>
      <w:r>
        <w:rPr>
          <w:i/>
          <w:iCs/>
          <w:u w:val="single"/>
        </w:rPr>
        <w:t>Pacienti so sJIA, PJIA a CRS ≥ 30 kg</w:t>
      </w:r>
    </w:p>
    <w:p w14:paraId="63D7E133" w14:textId="77777777" w:rsidR="009700E5" w:rsidRDefault="002C033C">
      <w:r>
        <w:t xml:space="preserve">Za aseptických podmienok odoberte zo 100 ml infúzneho vaku objem sterilného, nepyrogénneho 0,9 % injekčného roztoku chloridu sodného (9 mg/ml), ktorý sa rovná objemu koncentrátu potrebného na dávku pre pacienta. Potrebné množstvo koncentrátu </w:t>
      </w:r>
      <w:r>
        <w:rPr>
          <w:b/>
        </w:rPr>
        <w:t>(0,4 ml/kg)</w:t>
      </w:r>
      <w:r>
        <w:t xml:space="preserve"> sa má odobrať z injekčnej liekovky a preniesť do 100 ml infúzneho vaku. Konečný objem má byť 100 ml. Roztok premiešajte tak, že infúzny vak jemne prevrátite, aby sa predišlo speneniu.</w:t>
      </w:r>
    </w:p>
    <w:p w14:paraId="6BE745B4" w14:textId="77777777" w:rsidR="009700E5" w:rsidRDefault="009700E5"/>
    <w:p w14:paraId="226A04FA" w14:textId="77777777" w:rsidR="009700E5" w:rsidRDefault="002C033C">
      <w:pPr>
        <w:keepNext/>
        <w:keepLines/>
        <w:rPr>
          <w:i/>
          <w:iCs/>
          <w:u w:val="single"/>
        </w:rPr>
      </w:pPr>
      <w:r>
        <w:rPr>
          <w:i/>
          <w:iCs/>
          <w:u w:val="single"/>
        </w:rPr>
        <w:t xml:space="preserve">Pacienti so sJIA a CRS </w:t>
      </w:r>
      <w:r>
        <w:rPr>
          <w:rFonts w:eastAsia="MS Mincho"/>
          <w:szCs w:val="22"/>
          <w:u w:val="single"/>
        </w:rPr>
        <w:sym w:font="Symbol" w:char="F03C"/>
      </w:r>
      <w:r>
        <w:rPr>
          <w:i/>
          <w:iCs/>
          <w:u w:val="single"/>
        </w:rPr>
        <w:t> 30 kg</w:t>
      </w:r>
    </w:p>
    <w:p w14:paraId="584DA497" w14:textId="77777777" w:rsidR="009700E5" w:rsidRDefault="002C033C">
      <w:pPr>
        <w:keepNext/>
        <w:keepLines/>
      </w:pPr>
      <w:r>
        <w:t xml:space="preserve">Za aseptických podmienok odoberte z 50 ml infúzneho vaku objem sterilného, nepyrogénneho, 0,9 % injekčného roztoku chloridu sodného (9 mg/ml), ktorý sa rovná objemu koncentrátu potrebného na dávku pre pacienta. Potrebné množstvo koncentrátu </w:t>
      </w:r>
      <w:r>
        <w:rPr>
          <w:b/>
        </w:rPr>
        <w:t>(0,6 ml/kg)</w:t>
      </w:r>
      <w:r>
        <w:t xml:space="preserve"> sa má odobrať z injekčnej liekovky a preniesť do 50 ml infúzneho vaku. Konečný objem má byť 50 ml. Roztok premiešajte tak, že infúzny vak jemne prevrátite, aby sa predišlo speneniu.</w:t>
      </w:r>
    </w:p>
    <w:p w14:paraId="35B0106B" w14:textId="77777777" w:rsidR="009700E5" w:rsidRDefault="009700E5"/>
    <w:p w14:paraId="3E72B15D" w14:textId="77777777" w:rsidR="009700E5" w:rsidRDefault="002C033C">
      <w:pPr>
        <w:rPr>
          <w:i/>
          <w:iCs/>
          <w:u w:val="single"/>
        </w:rPr>
      </w:pPr>
      <w:r>
        <w:rPr>
          <w:i/>
          <w:iCs/>
          <w:u w:val="single"/>
        </w:rPr>
        <w:t xml:space="preserve">Pacienti s pJIA </w:t>
      </w:r>
      <w:r>
        <w:rPr>
          <w:rFonts w:eastAsia="MS Mincho"/>
          <w:szCs w:val="22"/>
          <w:u w:val="single"/>
        </w:rPr>
        <w:sym w:font="Symbol" w:char="F03C"/>
      </w:r>
      <w:r>
        <w:rPr>
          <w:i/>
          <w:iCs/>
          <w:u w:val="single"/>
        </w:rPr>
        <w:t> 30 kg</w:t>
      </w:r>
    </w:p>
    <w:p w14:paraId="510B041E" w14:textId="77777777" w:rsidR="009700E5" w:rsidRDefault="002C033C">
      <w:r>
        <w:t>Za aseptických podmienok odoberte z 50 ml infúzneho vaku objem sterilného, nepyrogénneho, 0,9 % injekčného roztoku chloridu sodného (9 mg/ml), ktorý sa rovná objemu koncentrátu potrebného na dávku pre pacienta. Potrebné množstvo koncentrátu (</w:t>
      </w:r>
      <w:r>
        <w:rPr>
          <w:b/>
        </w:rPr>
        <w:t>0,5 ml/kg</w:t>
      </w:r>
      <w:r>
        <w:t>) sa má odobrať z injekčnej liekovky a preniesť do 50 ml infúzneho vaku. Konečný objem má byť 50 ml. Roztok premiešajte tak, že infúzny vak jemne prevrátite, aby sa predišlo speneniu.</w:t>
      </w:r>
    </w:p>
    <w:p w14:paraId="2EA9C9BE" w14:textId="77777777" w:rsidR="009700E5" w:rsidRDefault="009700E5"/>
    <w:p w14:paraId="42AD4581" w14:textId="77777777" w:rsidR="009700E5" w:rsidRDefault="002C033C">
      <w:r>
        <w:t>RoActemra zriedená 0,9 % injekčným roztokom chloridu sodného (9 mg/ml) je kompatibilná s infúznymi vakmi zloženými z polyvinylchloridu (PVC), polyetylénu (PE), polypropylénu (PP).</w:t>
      </w:r>
    </w:p>
    <w:p w14:paraId="0C504AA5" w14:textId="77777777" w:rsidR="009700E5" w:rsidRDefault="009700E5"/>
    <w:p w14:paraId="7F4C5B2D" w14:textId="77777777" w:rsidR="009700E5" w:rsidRDefault="002C033C">
      <w:r>
        <w:t>RoActemra je určená iba na jednorazové použitie.</w:t>
      </w:r>
    </w:p>
    <w:p w14:paraId="2F52D93D" w14:textId="77777777" w:rsidR="009700E5" w:rsidRDefault="009700E5"/>
    <w:p w14:paraId="1864D7CC" w14:textId="77777777" w:rsidR="009700E5" w:rsidRDefault="002C033C">
      <w:r>
        <w:rPr>
          <w:szCs w:val="22"/>
        </w:rPr>
        <w:t>Všetok nepoužitý liek alebo odpad vzniknutý z lieku sa má zlikvidovať v súlade s národnými požiadavkami.</w:t>
      </w:r>
    </w:p>
    <w:p w14:paraId="6FB77064" w14:textId="77777777" w:rsidR="009700E5" w:rsidRDefault="009700E5"/>
    <w:p w14:paraId="6B5FB0E0" w14:textId="77777777" w:rsidR="009700E5" w:rsidRDefault="009700E5"/>
    <w:p w14:paraId="511167A7" w14:textId="77777777" w:rsidR="009700E5" w:rsidRDefault="002C033C">
      <w:pPr>
        <w:keepNext/>
        <w:keepLines/>
      </w:pPr>
      <w:r>
        <w:rPr>
          <w:b/>
        </w:rPr>
        <w:t>7.</w:t>
      </w:r>
      <w:r>
        <w:rPr>
          <w:b/>
        </w:rPr>
        <w:tab/>
      </w:r>
      <w:r>
        <w:rPr>
          <w:b/>
          <w:szCs w:val="22"/>
        </w:rPr>
        <w:t>DRŽITEĽ ROZHODNUTIA O REGISTRÁCII</w:t>
      </w:r>
    </w:p>
    <w:p w14:paraId="23C24943" w14:textId="77777777" w:rsidR="009700E5" w:rsidRDefault="009700E5">
      <w:pPr>
        <w:keepNext/>
        <w:keepLines/>
      </w:pPr>
    </w:p>
    <w:p w14:paraId="6F814FC7" w14:textId="77777777" w:rsidR="009700E5" w:rsidRDefault="002C033C">
      <w:r>
        <w:t xml:space="preserve">Roche Registration GmbH </w:t>
      </w:r>
    </w:p>
    <w:p w14:paraId="4EDE6739" w14:textId="77777777" w:rsidR="009700E5" w:rsidRDefault="002C033C">
      <w:r>
        <w:t>Emil-Barell-Strasse 1</w:t>
      </w:r>
    </w:p>
    <w:p w14:paraId="452ADF22" w14:textId="77777777" w:rsidR="009700E5" w:rsidRDefault="002C033C">
      <w:r>
        <w:t>79639 Grenzach-Wyhlen</w:t>
      </w:r>
    </w:p>
    <w:p w14:paraId="18BEE4A2" w14:textId="77777777" w:rsidR="009700E5" w:rsidRDefault="002C033C">
      <w:r>
        <w:t>Nemecko</w:t>
      </w:r>
    </w:p>
    <w:p w14:paraId="6E55E70D" w14:textId="77777777" w:rsidR="009700E5" w:rsidRDefault="009700E5"/>
    <w:p w14:paraId="708DD382" w14:textId="77777777" w:rsidR="009700E5" w:rsidRDefault="009700E5"/>
    <w:p w14:paraId="0BF810C0" w14:textId="77777777" w:rsidR="009700E5" w:rsidRDefault="002C033C">
      <w:pPr>
        <w:keepNext/>
        <w:keepLines/>
        <w:rPr>
          <w:b/>
        </w:rPr>
      </w:pPr>
      <w:r>
        <w:rPr>
          <w:b/>
        </w:rPr>
        <w:t>8.</w:t>
      </w:r>
      <w:r>
        <w:rPr>
          <w:b/>
        </w:rPr>
        <w:tab/>
      </w:r>
      <w:r>
        <w:rPr>
          <w:b/>
          <w:szCs w:val="22"/>
        </w:rPr>
        <w:t>REGISTRAČNÉ ČÍSLA</w:t>
      </w:r>
    </w:p>
    <w:p w14:paraId="46A7463B" w14:textId="77777777" w:rsidR="009700E5" w:rsidRDefault="009700E5">
      <w:pPr>
        <w:keepNext/>
        <w:keepLines/>
      </w:pPr>
    </w:p>
    <w:p w14:paraId="1A3E0CEB" w14:textId="77777777" w:rsidR="009700E5" w:rsidRDefault="002C033C">
      <w:pPr>
        <w:keepNext/>
        <w:keepLines/>
      </w:pPr>
      <w:r>
        <w:t>EU/1/08/492/001</w:t>
      </w:r>
    </w:p>
    <w:p w14:paraId="598251C9" w14:textId="77777777" w:rsidR="009700E5" w:rsidRDefault="002C033C">
      <w:pPr>
        <w:keepNext/>
        <w:keepLines/>
      </w:pPr>
      <w:r>
        <w:t>EU/1/08/492/002</w:t>
      </w:r>
    </w:p>
    <w:p w14:paraId="7788719F" w14:textId="77777777" w:rsidR="009700E5" w:rsidRDefault="002C033C">
      <w:pPr>
        <w:keepNext/>
        <w:keepLines/>
      </w:pPr>
      <w:r>
        <w:t>EU/1/08/492/003</w:t>
      </w:r>
    </w:p>
    <w:p w14:paraId="487BC64A" w14:textId="77777777" w:rsidR="009700E5" w:rsidRDefault="002C033C">
      <w:r>
        <w:t>EU/1/08/492/004</w:t>
      </w:r>
    </w:p>
    <w:p w14:paraId="4F72E384" w14:textId="77777777" w:rsidR="009700E5" w:rsidRDefault="002C033C">
      <w:r>
        <w:t>EU/1/08/492/005</w:t>
      </w:r>
    </w:p>
    <w:p w14:paraId="058F289B" w14:textId="77777777" w:rsidR="009700E5" w:rsidRDefault="002C033C">
      <w:r>
        <w:t>EU/1/08/492/006</w:t>
      </w:r>
    </w:p>
    <w:p w14:paraId="60157A21" w14:textId="77777777" w:rsidR="009700E5" w:rsidRDefault="009700E5"/>
    <w:p w14:paraId="32FB2A31" w14:textId="77777777" w:rsidR="009700E5" w:rsidRDefault="009700E5"/>
    <w:p w14:paraId="688E6A59" w14:textId="77777777" w:rsidR="009700E5" w:rsidRDefault="002C033C">
      <w:pPr>
        <w:keepNext/>
        <w:keepLines/>
      </w:pPr>
      <w:r>
        <w:rPr>
          <w:b/>
        </w:rPr>
        <w:lastRenderedPageBreak/>
        <w:t>9.</w:t>
      </w:r>
      <w:r>
        <w:rPr>
          <w:b/>
        </w:rPr>
        <w:tab/>
      </w:r>
      <w:r>
        <w:rPr>
          <w:b/>
          <w:szCs w:val="22"/>
        </w:rPr>
        <w:t>DÁTUM PRVEJ REGISTRÁCIE/PREDĹŽENIA REGISTRÁCIE</w:t>
      </w:r>
    </w:p>
    <w:p w14:paraId="3A92BC49" w14:textId="77777777" w:rsidR="009700E5" w:rsidRDefault="009700E5">
      <w:pPr>
        <w:keepNext/>
        <w:keepLines/>
      </w:pPr>
    </w:p>
    <w:p w14:paraId="2A4E2233" w14:textId="77777777" w:rsidR="009700E5" w:rsidRDefault="002C033C">
      <w:pPr>
        <w:keepNext/>
        <w:keepLines/>
      </w:pPr>
      <w:r>
        <w:rPr>
          <w:szCs w:val="22"/>
        </w:rPr>
        <w:t>Dátum prvej registrácie:</w:t>
      </w:r>
      <w:r>
        <w:t xml:space="preserve"> 16. január 2009</w:t>
      </w:r>
    </w:p>
    <w:p w14:paraId="1282C4AA" w14:textId="77777777" w:rsidR="009700E5" w:rsidRDefault="002C033C">
      <w:pPr>
        <w:keepNext/>
        <w:keepLines/>
      </w:pPr>
      <w:r>
        <w:t>Dátum posledného predĺženia registrácie: 25. september 2013</w:t>
      </w:r>
    </w:p>
    <w:p w14:paraId="3DBF61D5" w14:textId="77777777" w:rsidR="009700E5" w:rsidRDefault="009700E5">
      <w:pPr>
        <w:keepNext/>
        <w:keepLines/>
      </w:pPr>
    </w:p>
    <w:p w14:paraId="72190B6E" w14:textId="77777777" w:rsidR="009700E5" w:rsidRDefault="009700E5">
      <w:pPr>
        <w:keepNext/>
        <w:keepLines/>
      </w:pPr>
    </w:p>
    <w:p w14:paraId="45D8801C" w14:textId="77777777" w:rsidR="009700E5" w:rsidRDefault="002C033C">
      <w:pPr>
        <w:keepNext/>
        <w:keepLines/>
        <w:rPr>
          <w:b/>
        </w:rPr>
      </w:pPr>
      <w:r>
        <w:rPr>
          <w:b/>
        </w:rPr>
        <w:t>10.</w:t>
      </w:r>
      <w:r>
        <w:rPr>
          <w:b/>
        </w:rPr>
        <w:tab/>
      </w:r>
      <w:r>
        <w:rPr>
          <w:b/>
          <w:szCs w:val="22"/>
        </w:rPr>
        <w:t>DÁTUM REVÍZIE TEXTU</w:t>
      </w:r>
    </w:p>
    <w:p w14:paraId="1DB78379" w14:textId="77777777" w:rsidR="009700E5" w:rsidRDefault="009700E5">
      <w:pPr>
        <w:keepNext/>
        <w:keepLines/>
      </w:pPr>
    </w:p>
    <w:p w14:paraId="243B6F82" w14:textId="77777777" w:rsidR="009700E5" w:rsidRDefault="002C033C">
      <w:pPr>
        <w:keepNext/>
        <w:keepLines/>
      </w:pPr>
      <w:r>
        <w:rPr>
          <w:szCs w:val="22"/>
        </w:rPr>
        <w:t xml:space="preserve">Podrobné informácie o tomto lieku sú dostupné na internetovej stránke Európskej agentúry pre lieky </w:t>
      </w:r>
      <w:hyperlink r:id="rId11" w:history="1">
        <w:r>
          <w:rPr>
            <w:rStyle w:val="Hyperlink"/>
          </w:rPr>
          <w:t>https://www.ema.europa.eu</w:t>
        </w:r>
      </w:hyperlink>
      <w:r>
        <w:t>.</w:t>
      </w:r>
    </w:p>
    <w:p w14:paraId="17318AB2" w14:textId="77777777" w:rsidR="009700E5" w:rsidRDefault="002C033C">
      <w:pPr>
        <w:keepNext/>
        <w:keepLines/>
      </w:pPr>
      <w:r>
        <w:rPr>
          <w:b/>
        </w:rPr>
        <w:br w:type="page"/>
      </w:r>
      <w:r>
        <w:rPr>
          <w:b/>
        </w:rPr>
        <w:lastRenderedPageBreak/>
        <w:t>1.</w:t>
      </w:r>
      <w:r>
        <w:rPr>
          <w:b/>
        </w:rPr>
        <w:tab/>
      </w:r>
      <w:r>
        <w:rPr>
          <w:b/>
          <w:szCs w:val="22"/>
        </w:rPr>
        <w:t>NÁZOV LIEKU</w:t>
      </w:r>
    </w:p>
    <w:p w14:paraId="62A2988B" w14:textId="77777777" w:rsidR="009700E5" w:rsidRDefault="009700E5">
      <w:pPr>
        <w:rPr>
          <w:iCs/>
        </w:rPr>
      </w:pPr>
    </w:p>
    <w:p w14:paraId="12C2EA16" w14:textId="77777777" w:rsidR="009700E5" w:rsidRDefault="002C033C">
      <w:pPr>
        <w:rPr>
          <w:iCs/>
        </w:rPr>
      </w:pPr>
      <w:r>
        <w:rPr>
          <w:iCs/>
        </w:rPr>
        <w:t>RoActemra 162 mg injekčný roztok v naplnenej injekčnej striekačke</w:t>
      </w:r>
    </w:p>
    <w:p w14:paraId="5A9AFC72" w14:textId="77777777" w:rsidR="009700E5" w:rsidRDefault="009700E5">
      <w:pPr>
        <w:autoSpaceDE w:val="0"/>
        <w:autoSpaceDN w:val="0"/>
        <w:adjustRightInd w:val="0"/>
        <w:rPr>
          <w:szCs w:val="22"/>
        </w:rPr>
      </w:pPr>
    </w:p>
    <w:p w14:paraId="06D392EF" w14:textId="77777777" w:rsidR="009700E5" w:rsidRDefault="009700E5">
      <w:pPr>
        <w:widowControl w:val="0"/>
        <w:rPr>
          <w:bCs/>
        </w:rPr>
      </w:pPr>
    </w:p>
    <w:p w14:paraId="7DB8956A" w14:textId="77777777" w:rsidR="009700E5" w:rsidRDefault="002C033C">
      <w:pPr>
        <w:widowControl w:val="0"/>
      </w:pPr>
      <w:r>
        <w:rPr>
          <w:b/>
        </w:rPr>
        <w:t>2.</w:t>
      </w:r>
      <w:r>
        <w:rPr>
          <w:b/>
        </w:rPr>
        <w:tab/>
      </w:r>
      <w:r>
        <w:rPr>
          <w:b/>
          <w:szCs w:val="22"/>
        </w:rPr>
        <w:t>KVALITATÍVNE A KVANTITATÍVNE ZLOŽENIE</w:t>
      </w:r>
    </w:p>
    <w:p w14:paraId="2D49055C" w14:textId="77777777" w:rsidR="009700E5" w:rsidRDefault="009700E5"/>
    <w:p w14:paraId="655F6C04" w14:textId="77777777" w:rsidR="009700E5" w:rsidRDefault="002C033C">
      <w:r>
        <w:t>Každá naplnená injekčná striekačka obsahuje 162 mg tocilizumabu v 0,9 ml.</w:t>
      </w:r>
    </w:p>
    <w:p w14:paraId="18BFCE3E" w14:textId="77777777" w:rsidR="009700E5" w:rsidRDefault="009700E5">
      <w:pPr>
        <w:autoSpaceDE w:val="0"/>
        <w:autoSpaceDN w:val="0"/>
        <w:adjustRightInd w:val="0"/>
      </w:pPr>
    </w:p>
    <w:p w14:paraId="1157CC82" w14:textId="77777777" w:rsidR="009700E5" w:rsidRDefault="002C033C">
      <w:pPr>
        <w:autoSpaceDE w:val="0"/>
        <w:autoSpaceDN w:val="0"/>
        <w:adjustRightInd w:val="0"/>
      </w:pPr>
      <w:r>
        <w:t>Tocilizumab je rekombinantná humanizovaná antihumánna monoklonálna protilátka podtriedy imunoglobulínu G1 (IgG1).</w:t>
      </w:r>
    </w:p>
    <w:p w14:paraId="704D629A" w14:textId="77777777" w:rsidR="009700E5" w:rsidRDefault="009700E5"/>
    <w:p w14:paraId="63CCA3CE" w14:textId="77777777" w:rsidR="009700E5" w:rsidRDefault="002C033C">
      <w:pPr>
        <w:rPr>
          <w:u w:val="single"/>
        </w:rPr>
      </w:pPr>
      <w:r>
        <w:rPr>
          <w:u w:val="single"/>
        </w:rPr>
        <w:t>Pomocná látka so známym účinkom</w:t>
      </w:r>
    </w:p>
    <w:p w14:paraId="3CB50B66" w14:textId="77777777" w:rsidR="009700E5" w:rsidRDefault="002C033C">
      <w:r>
        <w:t>Každá 162 mg/0,9 ml injekčná striekačka obsahuje 0,18 mg (0,2 mg/ml) polysorbátu 80.</w:t>
      </w:r>
    </w:p>
    <w:p w14:paraId="088321AC" w14:textId="77777777" w:rsidR="009700E5" w:rsidRDefault="009700E5"/>
    <w:p w14:paraId="29AF8041" w14:textId="77777777" w:rsidR="009700E5" w:rsidRDefault="002C033C">
      <w:r>
        <w:rPr>
          <w:szCs w:val="22"/>
        </w:rPr>
        <w:t>Úplný zoznam pomocných látok, pozri časť </w:t>
      </w:r>
      <w:r>
        <w:t>6.1.</w:t>
      </w:r>
    </w:p>
    <w:p w14:paraId="4CD7FD01" w14:textId="77777777" w:rsidR="009700E5" w:rsidRDefault="009700E5"/>
    <w:p w14:paraId="1511DC78" w14:textId="77777777" w:rsidR="009700E5" w:rsidRDefault="009700E5"/>
    <w:p w14:paraId="6943978C" w14:textId="77777777" w:rsidR="009700E5" w:rsidRDefault="002C033C">
      <w:pPr>
        <w:rPr>
          <w:caps/>
        </w:rPr>
      </w:pPr>
      <w:r>
        <w:rPr>
          <w:b/>
        </w:rPr>
        <w:t>3.</w:t>
      </w:r>
      <w:r>
        <w:rPr>
          <w:b/>
        </w:rPr>
        <w:tab/>
      </w:r>
      <w:r>
        <w:rPr>
          <w:b/>
          <w:szCs w:val="22"/>
        </w:rPr>
        <w:t>LIEKOVÁ FORMA</w:t>
      </w:r>
    </w:p>
    <w:p w14:paraId="6119B94A" w14:textId="77777777" w:rsidR="009700E5" w:rsidRDefault="009700E5"/>
    <w:p w14:paraId="32E62726" w14:textId="77777777" w:rsidR="009700E5" w:rsidRDefault="002C033C">
      <w:r>
        <w:t>Injekčný roztok (injekcia).</w:t>
      </w:r>
    </w:p>
    <w:p w14:paraId="4278996C" w14:textId="77777777" w:rsidR="009700E5" w:rsidRDefault="009700E5"/>
    <w:p w14:paraId="27A29C0D" w14:textId="77777777" w:rsidR="009700E5" w:rsidRDefault="002C033C">
      <w:r>
        <w:t>Bezfarebný až svetložltkastý roztok s pH 5,5 </w:t>
      </w:r>
      <w:r>
        <w:noBreakHyphen/>
        <w:t> 6,5 a osmolalitou 200 </w:t>
      </w:r>
      <w:r>
        <w:noBreakHyphen/>
        <w:t> 372 mOsm/kg.</w:t>
      </w:r>
    </w:p>
    <w:p w14:paraId="24497411" w14:textId="77777777" w:rsidR="009700E5" w:rsidRDefault="009700E5">
      <w:pPr>
        <w:rPr>
          <w:szCs w:val="22"/>
        </w:rPr>
      </w:pPr>
    </w:p>
    <w:p w14:paraId="30F685BF" w14:textId="77777777" w:rsidR="009700E5" w:rsidRDefault="009700E5"/>
    <w:p w14:paraId="7C75B47E" w14:textId="77777777" w:rsidR="009700E5" w:rsidRDefault="002C033C">
      <w:pPr>
        <w:rPr>
          <w:caps/>
        </w:rPr>
      </w:pPr>
      <w:r>
        <w:rPr>
          <w:b/>
          <w:caps/>
        </w:rPr>
        <w:t>4.</w:t>
      </w:r>
      <w:r>
        <w:rPr>
          <w:b/>
          <w:caps/>
        </w:rPr>
        <w:tab/>
      </w:r>
      <w:r>
        <w:rPr>
          <w:b/>
          <w:caps/>
          <w:szCs w:val="22"/>
        </w:rPr>
        <w:t>KLINICKÉ ÚDAJE</w:t>
      </w:r>
    </w:p>
    <w:p w14:paraId="4A9A4A3F" w14:textId="77777777" w:rsidR="009700E5" w:rsidRDefault="009700E5"/>
    <w:p w14:paraId="1C1F3220" w14:textId="77777777" w:rsidR="009700E5" w:rsidRDefault="002C033C">
      <w:pPr>
        <w:outlineLvl w:val="0"/>
      </w:pPr>
      <w:r>
        <w:rPr>
          <w:b/>
        </w:rPr>
        <w:t>4.1</w:t>
      </w:r>
      <w:r>
        <w:rPr>
          <w:b/>
        </w:rPr>
        <w:tab/>
      </w:r>
      <w:r>
        <w:rPr>
          <w:b/>
          <w:szCs w:val="22"/>
        </w:rPr>
        <w:t>Terapeutické indikácie</w:t>
      </w:r>
    </w:p>
    <w:p w14:paraId="73D2A3EE" w14:textId="77777777" w:rsidR="009700E5" w:rsidRDefault="009700E5"/>
    <w:p w14:paraId="72E7C50A" w14:textId="77777777" w:rsidR="009700E5" w:rsidRDefault="002C033C">
      <w:r>
        <w:rPr>
          <w:u w:val="single"/>
        </w:rPr>
        <w:t>Reumatoidná artritída (RA)</w:t>
      </w:r>
    </w:p>
    <w:p w14:paraId="407EF9E8" w14:textId="77777777" w:rsidR="009700E5" w:rsidRDefault="002C033C">
      <w:r>
        <w:t>RoActemra v kombinácii s metotrexátom (MTX) je indikovaná na</w:t>
      </w:r>
    </w:p>
    <w:p w14:paraId="62461B10" w14:textId="77777777" w:rsidR="009700E5" w:rsidRDefault="002C033C">
      <w:pPr>
        <w:ind w:left="567" w:hanging="425"/>
        <w:pPrChange w:id="795" w:author="Author" w:date="2025-07-18T23:22:00Z">
          <w:pPr>
            <w:ind w:left="567" w:hanging="567"/>
          </w:pPr>
        </w:pPrChange>
      </w:pPr>
      <w:r>
        <w:rPr>
          <w:szCs w:val="22"/>
        </w:rPr>
        <w:sym w:font="Symbol" w:char="F0B7"/>
      </w:r>
      <w:r>
        <w:tab/>
        <w:t>liečbu ťažkej, aktívnej a progresívnej RA u dospelých, ktorí neboli doteraz liečení MTX.</w:t>
      </w:r>
    </w:p>
    <w:p w14:paraId="3689103A" w14:textId="77777777" w:rsidR="009700E5" w:rsidRDefault="002C033C">
      <w:pPr>
        <w:ind w:left="567" w:hanging="425"/>
        <w:pPrChange w:id="796" w:author="Author" w:date="2025-07-18T23:22:00Z">
          <w:pPr>
            <w:ind w:left="567" w:hanging="567"/>
          </w:pPr>
        </w:pPrChange>
      </w:pPr>
      <w:r>
        <w:rPr>
          <w:szCs w:val="22"/>
        </w:rPr>
        <w:sym w:font="Symbol" w:char="F0B7"/>
      </w:r>
      <w:r>
        <w:tab/>
        <w:t>liečbu stredne ťažkej až ťažkej aktívnej RA u dospelých pacientov, ktorí na predchádzajúcu liečbu jedným alebo viacerými antireumatikami modifikujúcimi priebeh choroby (DMARD), alebo inhibítormi tumor nekrotizujúceho faktora (TNF) buď neodpovedali dostatočne, alebo ju netolerovali.</w:t>
      </w:r>
    </w:p>
    <w:p w14:paraId="43404BA0" w14:textId="77777777" w:rsidR="009700E5" w:rsidRDefault="009700E5"/>
    <w:p w14:paraId="14A208B4" w14:textId="77777777" w:rsidR="009700E5" w:rsidRDefault="002C033C">
      <w:r>
        <w:t>U týchto pacientov sa RoActemra môže podávať v monoterapii v prípade intolerancie MTX, alebo keď je pokračujúca liečba MTX nevhodná.</w:t>
      </w:r>
    </w:p>
    <w:p w14:paraId="2734911F" w14:textId="77777777" w:rsidR="009700E5" w:rsidRDefault="009700E5"/>
    <w:p w14:paraId="26B020CA" w14:textId="77777777" w:rsidR="009700E5" w:rsidRDefault="002C033C">
      <w:r>
        <w:t>Dokázalo sa, že RoActemra spomaľuje progresiu poškodenia kĺbov meranú RTG vyšetrením a zlepšuje fyzické funkcie, keď sa podáva v kombinácii s metotrexátom.</w:t>
      </w:r>
    </w:p>
    <w:p w14:paraId="4DE6A6A5" w14:textId="77777777" w:rsidR="009700E5" w:rsidRDefault="009700E5"/>
    <w:p w14:paraId="2493E9CD" w14:textId="77777777" w:rsidR="009700E5" w:rsidRDefault="002C033C">
      <w:pPr>
        <w:rPr>
          <w:u w:val="single"/>
        </w:rPr>
      </w:pPr>
      <w:r>
        <w:rPr>
          <w:u w:val="single"/>
        </w:rPr>
        <w:t>Systémová juvenilná idiopatická artritída (sJIA)</w:t>
      </w:r>
    </w:p>
    <w:p w14:paraId="597D197D" w14:textId="77777777" w:rsidR="009700E5" w:rsidRDefault="002C033C">
      <w:bookmarkStart w:id="797" w:name="_Hlk523985638"/>
      <w:r>
        <w:t>RoActemra je indikovaná na liečbu aktívnej sJIA u pacientov vo veku 1 rok a starších, ktorí nedostatočne odpovedali na predošlú liečbu nesteroidovými antiflogistikami (NSAID) a systémovými kortikosteroidmi. RoActemra sa môže podávať v monoterapii (v prípade intolerancie MTX, alebo keď nie je liečba MTX vhodná) alebo v kombinácii s MTX.</w:t>
      </w:r>
    </w:p>
    <w:bookmarkEnd w:id="797"/>
    <w:p w14:paraId="2F47BD35" w14:textId="77777777" w:rsidR="009700E5" w:rsidRDefault="009700E5"/>
    <w:p w14:paraId="6E326A33" w14:textId="77777777" w:rsidR="009700E5" w:rsidRDefault="002C033C">
      <w:pPr>
        <w:rPr>
          <w:u w:val="single"/>
        </w:rPr>
      </w:pPr>
      <w:r>
        <w:rPr>
          <w:u w:val="single"/>
        </w:rPr>
        <w:t>Polyartikulárna juvenilná idiopatická artritída</w:t>
      </w:r>
      <w:r>
        <w:rPr>
          <w:rFonts w:eastAsia="PMingLiU"/>
          <w:bCs/>
          <w:iCs/>
          <w:color w:val="000000"/>
          <w:szCs w:val="22"/>
          <w:u w:val="single"/>
        </w:rPr>
        <w:t xml:space="preserve"> (pJIA)</w:t>
      </w:r>
    </w:p>
    <w:p w14:paraId="1F211F77" w14:textId="77777777" w:rsidR="009700E5" w:rsidRDefault="002C033C">
      <w:r>
        <w:t xml:space="preserve">RoActemra v kombinácii s MTX je indikovaná na liečbu </w:t>
      </w:r>
      <w:r>
        <w:rPr>
          <w:rFonts w:eastAsia="PMingLiU"/>
          <w:bCs/>
          <w:iCs/>
          <w:color w:val="000000"/>
          <w:szCs w:val="22"/>
        </w:rPr>
        <w:t>pJIA (s pozitívnym alebo negatívnym reumatoidným faktorom a pretrvávajúcou oligoatritídou)</w:t>
      </w:r>
      <w:r>
        <w:t xml:space="preserve"> u pacientov vo veku 2 rokov a starších, ktorí nedostatočne odpovedali na predošlú liečbu MTX. RoActemra sa môže podávať v monoterapii v prípade intolerancie MTX, alebo keď je pokračujúca liečba MTX nevhodná.</w:t>
      </w:r>
    </w:p>
    <w:p w14:paraId="54C0D24D" w14:textId="77777777" w:rsidR="009700E5" w:rsidRDefault="009700E5"/>
    <w:p w14:paraId="0450A50D" w14:textId="77777777" w:rsidR="009700E5" w:rsidRDefault="002C033C">
      <w:pPr>
        <w:rPr>
          <w:u w:val="single"/>
        </w:rPr>
      </w:pPr>
      <w:r>
        <w:rPr>
          <w:u w:val="single"/>
        </w:rPr>
        <w:t>Obrovskobunková arteritída (OBA)</w:t>
      </w:r>
    </w:p>
    <w:p w14:paraId="24D8855E" w14:textId="77777777" w:rsidR="009700E5" w:rsidRDefault="002C033C">
      <w:r>
        <w:t>RoActemra je indikovaná na liečbu OBA u dospelých pacientov.</w:t>
      </w:r>
    </w:p>
    <w:p w14:paraId="21812FFB" w14:textId="77777777" w:rsidR="009700E5" w:rsidRDefault="009700E5"/>
    <w:p w14:paraId="741A78F0" w14:textId="77777777" w:rsidR="009700E5" w:rsidRDefault="002C033C">
      <w:pPr>
        <w:keepNext/>
        <w:keepLines/>
        <w:outlineLvl w:val="0"/>
        <w:rPr>
          <w:b/>
        </w:rPr>
      </w:pPr>
      <w:r>
        <w:rPr>
          <w:b/>
        </w:rPr>
        <w:t>4.2</w:t>
      </w:r>
      <w:r>
        <w:rPr>
          <w:b/>
        </w:rPr>
        <w:tab/>
      </w:r>
      <w:r>
        <w:rPr>
          <w:b/>
          <w:szCs w:val="22"/>
        </w:rPr>
        <w:t>Dávkovanie a spôsob podávania</w:t>
      </w:r>
    </w:p>
    <w:p w14:paraId="369E7757" w14:textId="77777777" w:rsidR="009700E5" w:rsidRDefault="009700E5">
      <w:pPr>
        <w:keepNext/>
        <w:keepLines/>
        <w:rPr>
          <w:b/>
        </w:rPr>
      </w:pPr>
    </w:p>
    <w:p w14:paraId="78550AA9" w14:textId="77777777" w:rsidR="009700E5" w:rsidRDefault="002C033C">
      <w:pPr>
        <w:keepNext/>
        <w:keepLines/>
        <w:rPr>
          <w:szCs w:val="22"/>
        </w:rPr>
      </w:pPr>
      <w:bookmarkStart w:id="798" w:name="_Hlk498323675"/>
      <w:r>
        <w:t xml:space="preserve">Subkutánna forma tocilizumabu sa podáva </w:t>
      </w:r>
      <w:r>
        <w:rPr>
          <w:szCs w:val="22"/>
        </w:rPr>
        <w:t>naplnenou injekčnou striekačkou na jednorazové použitie vybavenej bezpečnostným krytom ihly (pre</w:t>
      </w:r>
      <w:r>
        <w:rPr>
          <w:szCs w:val="22"/>
        </w:rPr>
        <w:noBreakHyphen/>
        <w:t>filled syringe (PFS) + needle safety device (NSD))</w:t>
      </w:r>
      <w:bookmarkEnd w:id="798"/>
      <w:r>
        <w:rPr>
          <w:szCs w:val="22"/>
        </w:rPr>
        <w:t>.</w:t>
      </w:r>
    </w:p>
    <w:p w14:paraId="7186EF3A" w14:textId="77777777" w:rsidR="009700E5" w:rsidRDefault="002C033C">
      <w:pPr>
        <w:autoSpaceDE w:val="0"/>
        <w:autoSpaceDN w:val="0"/>
        <w:adjustRightInd w:val="0"/>
        <w:rPr>
          <w:szCs w:val="22"/>
        </w:rPr>
      </w:pPr>
      <w:r>
        <w:t xml:space="preserve">Liečbu majú začať zdravotnícki pracovníci, ktorí majú skúsenosti s diagnostikou a liečbou RA, sJIA, pJIA a/alebo OBA. </w:t>
      </w:r>
      <w:bookmarkStart w:id="799" w:name="_Hlk498323692"/>
      <w:r>
        <w:rPr>
          <w:szCs w:val="22"/>
        </w:rPr>
        <w:t xml:space="preserve">Prvá injekcia sa musí podať pod dohľadom kvalifikovaného zdravotníckeho pracovníka. Pacient </w:t>
      </w:r>
      <w:r>
        <w:rPr>
          <w:rFonts w:eastAsia="SimSun"/>
          <w:szCs w:val="22"/>
          <w:lang w:eastAsia="zh-CN"/>
        </w:rPr>
        <w:t xml:space="preserve">alebo rodič/opatrovateľ </w:t>
      </w:r>
      <w:r>
        <w:rPr>
          <w:szCs w:val="22"/>
        </w:rPr>
        <w:t xml:space="preserve">môže </w:t>
      </w:r>
      <w:del w:id="800" w:author="Author" w:date="2025-07-18T23:22:00Z">
        <w:r>
          <w:rPr>
            <w:szCs w:val="22"/>
          </w:rPr>
          <w:delText xml:space="preserve">sám </w:delText>
        </w:r>
      </w:del>
      <w:r>
        <w:rPr>
          <w:szCs w:val="22"/>
        </w:rPr>
        <w:t>injekčne podávať tento liek</w:t>
      </w:r>
      <w:r>
        <w:rPr>
          <w:rFonts w:eastAsia="SimSun"/>
          <w:szCs w:val="22"/>
          <w:lang w:eastAsia="zh-CN"/>
        </w:rPr>
        <w:t xml:space="preserve"> </w:t>
      </w:r>
      <w:r>
        <w:rPr>
          <w:szCs w:val="22"/>
        </w:rPr>
        <w:t xml:space="preserve">len vtedy, keď lekár rozhodne, že je to vhodné a keď pacient </w:t>
      </w:r>
      <w:r>
        <w:rPr>
          <w:rFonts w:eastAsia="SimSun"/>
          <w:szCs w:val="22"/>
          <w:lang w:eastAsia="zh-CN"/>
        </w:rPr>
        <w:t xml:space="preserve">alebo rodič/opatrovateľ </w:t>
      </w:r>
      <w:r>
        <w:rPr>
          <w:szCs w:val="22"/>
        </w:rPr>
        <w:t>súhlasí s lekárskymi prehliadkami vykonávanými podľa potreby a bol zaškolený v správnej injekčnej technike</w:t>
      </w:r>
      <w:bookmarkEnd w:id="799"/>
      <w:r>
        <w:rPr>
          <w:szCs w:val="22"/>
        </w:rPr>
        <w:t>.</w:t>
      </w:r>
    </w:p>
    <w:p w14:paraId="60946B65" w14:textId="77777777" w:rsidR="009700E5" w:rsidRDefault="009700E5">
      <w:pPr>
        <w:autoSpaceDE w:val="0"/>
        <w:autoSpaceDN w:val="0"/>
        <w:adjustRightInd w:val="0"/>
        <w:rPr>
          <w:szCs w:val="22"/>
        </w:rPr>
      </w:pPr>
    </w:p>
    <w:p w14:paraId="38E8EE1D" w14:textId="77777777" w:rsidR="009700E5" w:rsidRDefault="002C033C">
      <w:pPr>
        <w:autoSpaceDE w:val="0"/>
        <w:autoSpaceDN w:val="0"/>
        <w:adjustRightInd w:val="0"/>
        <w:rPr>
          <w:szCs w:val="22"/>
        </w:rPr>
      </w:pPr>
      <w:bookmarkStart w:id="801" w:name="_Hlk498323738"/>
      <w:r>
        <w:rPr>
          <w:szCs w:val="22"/>
        </w:rPr>
        <w:t>Pacienti, ktorí prechádzajú z </w:t>
      </w:r>
      <w:bookmarkStart w:id="802" w:name="_Hlk498323765"/>
      <w:r>
        <w:rPr>
          <w:szCs w:val="22"/>
        </w:rPr>
        <w:t xml:space="preserve">liečby intravenózne podávaným tocilizumabom </w:t>
      </w:r>
      <w:bookmarkEnd w:id="802"/>
      <w:r>
        <w:rPr>
          <w:szCs w:val="22"/>
        </w:rPr>
        <w:t>na subkutánne podávanie, si majú prvú subkutánnu dávku podať v čase ďalšej plánovanej intravenóznej dávky pod dohľadom kvalifikovaného zdravotníckeho pracovníka</w:t>
      </w:r>
      <w:bookmarkEnd w:id="801"/>
      <w:r>
        <w:rPr>
          <w:szCs w:val="22"/>
        </w:rPr>
        <w:t>.</w:t>
      </w:r>
    </w:p>
    <w:p w14:paraId="5B03A201" w14:textId="77777777" w:rsidR="009700E5" w:rsidRDefault="009700E5">
      <w:pPr>
        <w:autoSpaceDE w:val="0"/>
        <w:autoSpaceDN w:val="0"/>
        <w:adjustRightInd w:val="0"/>
      </w:pPr>
    </w:p>
    <w:p w14:paraId="356AE78A" w14:textId="77777777" w:rsidR="009700E5" w:rsidRDefault="002C033C">
      <w:pPr>
        <w:autoSpaceDE w:val="0"/>
        <w:autoSpaceDN w:val="0"/>
        <w:adjustRightInd w:val="0"/>
        <w:rPr>
          <w:rFonts w:eastAsia="SimSun"/>
          <w:szCs w:val="22"/>
          <w:lang w:eastAsia="zh-CN"/>
        </w:rPr>
      </w:pPr>
      <w:r>
        <w:t>Všetkým pacientom, ktorí sú liečení RoActemrou</w:t>
      </w:r>
      <w:r>
        <w:rPr>
          <w:rFonts w:eastAsia="SimSun"/>
          <w:szCs w:val="22"/>
          <w:lang w:eastAsia="zh-CN"/>
        </w:rPr>
        <w:t xml:space="preserve">, sa musí poskytnúť karta pacienta. </w:t>
      </w:r>
    </w:p>
    <w:p w14:paraId="6141778A" w14:textId="77777777" w:rsidR="009700E5" w:rsidRDefault="009700E5">
      <w:pPr>
        <w:autoSpaceDE w:val="0"/>
        <w:autoSpaceDN w:val="0"/>
        <w:adjustRightInd w:val="0"/>
        <w:rPr>
          <w:rFonts w:eastAsia="SimSun"/>
          <w:szCs w:val="22"/>
          <w:lang w:eastAsia="zh-CN"/>
        </w:rPr>
      </w:pPr>
    </w:p>
    <w:p w14:paraId="2793E43E" w14:textId="77777777" w:rsidR="009700E5" w:rsidRDefault="002C033C">
      <w:pPr>
        <w:autoSpaceDE w:val="0"/>
        <w:autoSpaceDN w:val="0"/>
        <w:adjustRightInd w:val="0"/>
      </w:pPr>
      <w:r>
        <w:rPr>
          <w:rFonts w:eastAsia="SimSun"/>
          <w:szCs w:val="22"/>
          <w:lang w:eastAsia="zh-CN"/>
        </w:rPr>
        <w:t xml:space="preserve">Je potrebné zhodnotiť vhodnosť pacienta alebo </w:t>
      </w:r>
      <w:ins w:id="803" w:author="Author" w:date="2025-07-21T09:53:00Z">
        <w:r>
          <w:rPr>
            <w:rFonts w:eastAsia="SimSun"/>
            <w:szCs w:val="22"/>
            <w:lang w:eastAsia="zh-CN"/>
          </w:rPr>
          <w:t xml:space="preserve">jeho </w:t>
        </w:r>
      </w:ins>
      <w:r>
        <w:rPr>
          <w:rFonts w:eastAsia="SimSun"/>
          <w:szCs w:val="22"/>
          <w:lang w:eastAsia="zh-CN"/>
        </w:rPr>
        <w:t xml:space="preserve">rodiča/opatrovateľa na subkutánne podávanie lieku v domácom prostredí a pacienti alebo rodič/opatrovateľ </w:t>
      </w:r>
      <w:del w:id="804" w:author="Author" w:date="2025-07-18T23:22:00Z">
        <w:r>
          <w:rPr>
            <w:rFonts w:eastAsia="SimSun"/>
            <w:szCs w:val="22"/>
            <w:lang w:eastAsia="zh-CN"/>
          </w:rPr>
          <w:delText xml:space="preserve">musia </w:delText>
        </w:r>
      </w:del>
      <w:ins w:id="805" w:author="Author" w:date="2025-07-18T23:22:00Z">
        <w:r>
          <w:rPr>
            <w:rFonts w:eastAsia="SimSun"/>
            <w:szCs w:val="22"/>
            <w:lang w:eastAsia="zh-CN"/>
          </w:rPr>
          <w:t xml:space="preserve">majú </w:t>
        </w:r>
      </w:ins>
      <w:r>
        <w:rPr>
          <w:rFonts w:eastAsia="SimSun"/>
          <w:szCs w:val="22"/>
          <w:lang w:eastAsia="zh-CN"/>
        </w:rPr>
        <w:t>byť poučení pred podaním ďalšej dávky, že ak sa objavia príznaky alergickej reakcie, musia o tom informovať zdravotníckeho pracovníka. Pacienti musia vyhľadať okamžitú lekársku pomoc, ak sa budú vyvíjať príznaky závažných alergických reakcií (pozri časť 4.4).</w:t>
      </w:r>
    </w:p>
    <w:p w14:paraId="6FA7E2B5" w14:textId="77777777" w:rsidR="009700E5" w:rsidRDefault="009700E5"/>
    <w:p w14:paraId="16B11ED6" w14:textId="77777777" w:rsidR="009700E5" w:rsidRDefault="002C033C">
      <w:pPr>
        <w:keepNext/>
        <w:keepLines/>
        <w:rPr>
          <w:u w:val="single"/>
        </w:rPr>
      </w:pPr>
      <w:r>
        <w:rPr>
          <w:u w:val="single"/>
        </w:rPr>
        <w:t>Dávkovanie</w:t>
      </w:r>
    </w:p>
    <w:p w14:paraId="23F8AC92" w14:textId="77777777" w:rsidR="009700E5" w:rsidRDefault="002C033C">
      <w:pPr>
        <w:keepNext/>
        <w:keepLines/>
        <w:rPr>
          <w:i/>
          <w:iCs/>
        </w:rPr>
      </w:pPr>
      <w:ins w:id="806" w:author="Author" w:date="2025-07-18T23:23:00Z">
        <w:r>
          <w:rPr>
            <w:i/>
            <w:iCs/>
          </w:rPr>
          <w:t>Pacienti s</w:t>
        </w:r>
      </w:ins>
      <w:ins w:id="807" w:author="Author" w:date="2025-07-21T09:54:00Z">
        <w:r>
          <w:rPr>
            <w:i/>
            <w:iCs/>
          </w:rPr>
          <w:t> </w:t>
        </w:r>
      </w:ins>
      <w:ins w:id="808" w:author="Author" w:date="2025-07-18T23:23:00Z">
        <w:del w:id="809" w:author="Author" w:date="2025-07-21T09:54:00Z">
          <w:r>
            <w:rPr>
              <w:i/>
              <w:iCs/>
            </w:rPr>
            <w:delText xml:space="preserve"> </w:delText>
          </w:r>
        </w:del>
      </w:ins>
      <w:r>
        <w:rPr>
          <w:i/>
          <w:iCs/>
        </w:rPr>
        <w:t>RA</w:t>
      </w:r>
    </w:p>
    <w:p w14:paraId="160112B1" w14:textId="77777777" w:rsidR="009700E5" w:rsidRDefault="002C033C">
      <w:pPr>
        <w:keepNext/>
        <w:keepLines/>
        <w:autoSpaceDE w:val="0"/>
        <w:autoSpaceDN w:val="0"/>
        <w:adjustRightInd w:val="0"/>
        <w:rPr>
          <w:rFonts w:eastAsia="SimSun"/>
          <w:sz w:val="20"/>
          <w:lang w:eastAsia="zh-CN"/>
        </w:rPr>
      </w:pPr>
      <w:r>
        <w:t>Odporúčané dávkovanie je 162 mg raz za týždeň subkutánne.</w:t>
      </w:r>
    </w:p>
    <w:p w14:paraId="4236C5E0" w14:textId="77777777" w:rsidR="009700E5" w:rsidRDefault="009700E5">
      <w:pPr>
        <w:keepNext/>
        <w:keepLines/>
        <w:rPr>
          <w:rFonts w:eastAsia="SimSun"/>
          <w:szCs w:val="22"/>
          <w:lang w:eastAsia="zh-CN"/>
        </w:rPr>
      </w:pPr>
    </w:p>
    <w:p w14:paraId="4A51F758" w14:textId="77777777" w:rsidR="009700E5" w:rsidRDefault="002C033C">
      <w:pPr>
        <w:keepNext/>
        <w:keepLines/>
        <w:rPr>
          <w:rFonts w:eastAsia="SimSun"/>
          <w:szCs w:val="22"/>
          <w:lang w:eastAsia="zh-CN"/>
        </w:rPr>
      </w:pPr>
      <w:r>
        <w:rPr>
          <w:rFonts w:eastAsia="SimSun"/>
          <w:szCs w:val="22"/>
          <w:lang w:eastAsia="zh-CN"/>
        </w:rPr>
        <w:t>K dispozícii sú obmedzené informácie týkajúce sa prestavenia pacientov z intravenóznej formy tocilizumabu na subkutánnu formu tocilizumabu vo fixnej dávke. Je potrebné dodržiavať interval podávania raz za týždeň.</w:t>
      </w:r>
    </w:p>
    <w:p w14:paraId="458AC40F" w14:textId="77777777" w:rsidR="009700E5" w:rsidRDefault="009700E5">
      <w:pPr>
        <w:rPr>
          <w:rFonts w:eastAsia="SimSun"/>
          <w:szCs w:val="22"/>
          <w:lang w:eastAsia="zh-CN"/>
        </w:rPr>
      </w:pPr>
    </w:p>
    <w:p w14:paraId="77904C29" w14:textId="77777777" w:rsidR="009700E5" w:rsidRDefault="002C033C">
      <w:pPr>
        <w:keepNext/>
        <w:keepLines/>
        <w:rPr>
          <w:rFonts w:eastAsia="SimSun"/>
          <w:szCs w:val="22"/>
          <w:lang w:eastAsia="zh-CN"/>
        </w:rPr>
      </w:pPr>
      <w:r>
        <w:rPr>
          <w:rFonts w:eastAsia="SimSun"/>
          <w:szCs w:val="22"/>
          <w:lang w:eastAsia="zh-CN"/>
        </w:rPr>
        <w:t>Pacienti, ktorí prechádzajú z intravenóznej na subkutánnu formu, si majú podať svoju prvú subkutánnu dávku namiesto ďalšej plánovanej intravenóznej dávky pod dohľadom kvalifikovaného zdravotníckeho pracovníka.</w:t>
      </w:r>
    </w:p>
    <w:p w14:paraId="75C6C37E" w14:textId="77777777" w:rsidR="009700E5" w:rsidRDefault="009700E5">
      <w:pPr>
        <w:rPr>
          <w:rFonts w:eastAsia="SimSun"/>
          <w:szCs w:val="22"/>
          <w:lang w:eastAsia="zh-CN"/>
        </w:rPr>
      </w:pPr>
    </w:p>
    <w:p w14:paraId="6546A9B0" w14:textId="77777777" w:rsidR="009700E5" w:rsidRDefault="002C033C">
      <w:pPr>
        <w:keepNext/>
        <w:keepLines/>
        <w:rPr>
          <w:rFonts w:eastAsia="SimSun"/>
          <w:i/>
          <w:iCs/>
          <w:szCs w:val="22"/>
          <w:lang w:eastAsia="zh-CN"/>
        </w:rPr>
      </w:pPr>
      <w:ins w:id="810" w:author="Author" w:date="2025-07-18T23:23:00Z">
        <w:r>
          <w:rPr>
            <w:rFonts w:eastAsia="SimSun"/>
            <w:i/>
            <w:iCs/>
            <w:szCs w:val="22"/>
            <w:lang w:eastAsia="zh-CN"/>
          </w:rPr>
          <w:t>Pacienti s</w:t>
        </w:r>
      </w:ins>
      <w:ins w:id="811" w:author="Author" w:date="2025-07-21T09:54:00Z">
        <w:r>
          <w:rPr>
            <w:rFonts w:eastAsia="SimSun"/>
            <w:i/>
            <w:iCs/>
            <w:szCs w:val="22"/>
            <w:lang w:eastAsia="zh-CN"/>
          </w:rPr>
          <w:t> </w:t>
        </w:r>
      </w:ins>
      <w:ins w:id="812" w:author="Author" w:date="2025-07-18T23:23:00Z">
        <w:del w:id="813" w:author="Author" w:date="2025-07-21T09:54:00Z">
          <w:r>
            <w:rPr>
              <w:rFonts w:eastAsia="SimSun"/>
              <w:i/>
              <w:iCs/>
              <w:szCs w:val="22"/>
              <w:lang w:eastAsia="zh-CN"/>
            </w:rPr>
            <w:delText xml:space="preserve"> </w:delText>
          </w:r>
        </w:del>
      </w:ins>
      <w:r>
        <w:rPr>
          <w:rFonts w:eastAsia="SimSun"/>
          <w:i/>
          <w:iCs/>
          <w:szCs w:val="22"/>
          <w:lang w:eastAsia="zh-CN"/>
        </w:rPr>
        <w:t>OBA</w:t>
      </w:r>
    </w:p>
    <w:p w14:paraId="62E8BAF3" w14:textId="77777777" w:rsidR="009700E5" w:rsidRDefault="002C033C">
      <w:pPr>
        <w:keepNext/>
        <w:keepLines/>
        <w:rPr>
          <w:rFonts w:eastAsia="SimSun"/>
          <w:szCs w:val="22"/>
          <w:lang w:eastAsia="zh-CN"/>
        </w:rPr>
      </w:pPr>
      <w:r>
        <w:rPr>
          <w:rFonts w:eastAsia="SimSun"/>
          <w:szCs w:val="22"/>
          <w:lang w:eastAsia="zh-CN"/>
        </w:rPr>
        <w:t>Odporúčané dávkovanie je 162 mg raz za týždeň subkutánne v kombinácii s postupným znižovaním dávky glukokortikoidov. Po ukončení podávania glukokortikoidov sa môže tento liek podávať samostatne.</w:t>
      </w:r>
    </w:p>
    <w:p w14:paraId="1558D957" w14:textId="77777777" w:rsidR="009700E5" w:rsidRDefault="002C033C">
      <w:pPr>
        <w:keepNext/>
        <w:keepLines/>
        <w:rPr>
          <w:rFonts w:eastAsia="SimSun"/>
          <w:szCs w:val="22"/>
          <w:lang w:eastAsia="zh-CN"/>
        </w:rPr>
      </w:pPr>
      <w:r>
        <w:rPr>
          <w:rFonts w:eastAsia="SimSun"/>
          <w:szCs w:val="22"/>
          <w:lang w:eastAsia="zh-CN"/>
        </w:rPr>
        <w:t>Tocilizumab v monoterapii sa nemá podávať na liečbu akútnych relapsov (pozri časť 4.4).</w:t>
      </w:r>
    </w:p>
    <w:p w14:paraId="0C96A903" w14:textId="77777777" w:rsidR="009700E5" w:rsidRDefault="009700E5">
      <w:pPr>
        <w:rPr>
          <w:rFonts w:eastAsia="SimSun"/>
          <w:szCs w:val="22"/>
          <w:lang w:eastAsia="zh-CN"/>
        </w:rPr>
      </w:pPr>
    </w:p>
    <w:p w14:paraId="0ADE99BB" w14:textId="77777777" w:rsidR="009700E5" w:rsidRDefault="002C033C">
      <w:r>
        <w:t>Vzhľadom na chronický charakter OBA sa musí liečba dlhšia ako 52 týždňov usmerňovať podľa prejavov (aktivity) ochorenia, zváženia lekára a voľby pacienta.</w:t>
      </w:r>
    </w:p>
    <w:p w14:paraId="18BC52E8" w14:textId="77777777" w:rsidR="009700E5" w:rsidRDefault="009700E5"/>
    <w:p w14:paraId="0BC55C0F" w14:textId="77777777" w:rsidR="009700E5" w:rsidRDefault="002C033C">
      <w:pPr>
        <w:keepNext/>
        <w:keepLines/>
        <w:rPr>
          <w:i/>
          <w:iCs/>
        </w:rPr>
      </w:pPr>
      <w:r>
        <w:rPr>
          <w:i/>
          <w:iCs/>
        </w:rPr>
        <w:lastRenderedPageBreak/>
        <w:t>Pacienti s RA a OBA</w:t>
      </w:r>
    </w:p>
    <w:p w14:paraId="2D6973C2" w14:textId="77777777" w:rsidR="009700E5" w:rsidRDefault="002C033C">
      <w:pPr>
        <w:keepNext/>
        <w:keepLines/>
        <w:rPr>
          <w:i/>
          <w:iCs/>
        </w:rPr>
      </w:pPr>
      <w:bookmarkStart w:id="814" w:name="_Hlk523985992"/>
      <w:r>
        <w:rPr>
          <w:i/>
          <w:iCs/>
          <w:u w:val="single"/>
        </w:rPr>
        <w:t>Úpravy dávky kvôli laboratórnym odchýlkam (pozri časť 4.4).</w:t>
      </w:r>
    </w:p>
    <w:bookmarkEnd w:id="814"/>
    <w:p w14:paraId="418A97D1" w14:textId="77777777" w:rsidR="009700E5" w:rsidRDefault="009700E5">
      <w:pPr>
        <w:keepNext/>
      </w:pPr>
    </w:p>
    <w:p w14:paraId="7CEF0B8F" w14:textId="77777777" w:rsidR="009700E5" w:rsidRDefault="002C033C">
      <w:pPr>
        <w:keepNext/>
        <w:ind w:left="567" w:hanging="425"/>
        <w:pPrChange w:id="815" w:author="Author" w:date="2025-07-18T23:23:00Z">
          <w:pPr>
            <w:keepNext/>
            <w:ind w:left="567" w:hanging="567"/>
          </w:pPr>
        </w:pPrChange>
      </w:pPr>
      <w:r>
        <w:rPr>
          <w:szCs w:val="22"/>
        </w:rPr>
        <w:sym w:font="Symbol" w:char="F0B7"/>
      </w:r>
      <w:r>
        <w:tab/>
        <w:t>Odchýlky hodnôt pečeňových enzýmov</w:t>
      </w:r>
    </w:p>
    <w:p w14:paraId="799B5698" w14:textId="77777777" w:rsidR="009700E5" w:rsidRDefault="009700E5">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4"/>
        <w:gridCol w:w="6977"/>
      </w:tblGrid>
      <w:tr w:rsidR="009700E5" w14:paraId="7B44ECC3" w14:textId="77777777">
        <w:tc>
          <w:tcPr>
            <w:tcW w:w="2093" w:type="dxa"/>
          </w:tcPr>
          <w:p w14:paraId="575609EA" w14:textId="77777777" w:rsidR="009700E5" w:rsidRDefault="002C033C">
            <w:pPr>
              <w:keepNext/>
              <w:jc w:val="center"/>
            </w:pPr>
            <w:r>
              <w:t>Laboratórna hodnota</w:t>
            </w:r>
          </w:p>
          <w:p w14:paraId="1AC74A39" w14:textId="77777777" w:rsidR="009700E5" w:rsidRDefault="009700E5">
            <w:pPr>
              <w:keepNext/>
              <w:jc w:val="center"/>
            </w:pPr>
          </w:p>
        </w:tc>
        <w:tc>
          <w:tcPr>
            <w:tcW w:w="7118" w:type="dxa"/>
          </w:tcPr>
          <w:p w14:paraId="6A773BFB" w14:textId="77777777" w:rsidR="009700E5" w:rsidRDefault="002C033C">
            <w:pPr>
              <w:keepNext/>
              <w:jc w:val="center"/>
            </w:pPr>
            <w:r>
              <w:t>Opatrenie</w:t>
            </w:r>
          </w:p>
        </w:tc>
      </w:tr>
      <w:tr w:rsidR="009700E5" w14:paraId="302A9E35" w14:textId="77777777">
        <w:tc>
          <w:tcPr>
            <w:tcW w:w="2093" w:type="dxa"/>
          </w:tcPr>
          <w:p w14:paraId="1E3BFA37" w14:textId="77777777" w:rsidR="009700E5" w:rsidRDefault="002C033C">
            <w:pPr>
              <w:keepNext/>
            </w:pPr>
            <w:r>
              <w:rPr>
                <w:rFonts w:eastAsia="MS Mincho"/>
                <w:szCs w:val="22"/>
              </w:rPr>
              <w:sym w:font="Symbol" w:char="F03E"/>
            </w:r>
            <w:r>
              <w:t> 1</w:t>
            </w:r>
            <w:r>
              <w:noBreakHyphen/>
              <w:t> až 3</w:t>
            </w:r>
            <w:r>
              <w:noBreakHyphen/>
              <w:t>násobok hornej hranice referenčného rozpätia (ULN)</w:t>
            </w:r>
          </w:p>
          <w:p w14:paraId="7DFACFBE" w14:textId="77777777" w:rsidR="009700E5" w:rsidRDefault="009700E5">
            <w:pPr>
              <w:keepNext/>
            </w:pPr>
          </w:p>
        </w:tc>
        <w:tc>
          <w:tcPr>
            <w:tcW w:w="7118" w:type="dxa"/>
          </w:tcPr>
          <w:p w14:paraId="1A009BF8" w14:textId="77777777" w:rsidR="009700E5" w:rsidRDefault="002C033C">
            <w:pPr>
              <w:keepNext/>
            </w:pPr>
            <w:r>
              <w:t>Úprava dávky súbežne podávaných DMARD (RA) alebo imunomodulačných látok (OBA), ak je to vhodné.</w:t>
            </w:r>
          </w:p>
          <w:p w14:paraId="246C3AF5" w14:textId="77777777" w:rsidR="009700E5" w:rsidRDefault="009700E5">
            <w:pPr>
              <w:keepNext/>
            </w:pPr>
          </w:p>
          <w:p w14:paraId="671E95E1" w14:textId="77777777" w:rsidR="009700E5" w:rsidRDefault="002C033C">
            <w:pPr>
              <w:keepNext/>
            </w:pPr>
            <w:r>
              <w:t>Pri pretrvávajúcich vzostupoch v tomto rozpätí znížte frekvenciu podávania tocilizumabu na injekciu podanú každý druhý týždeň alebo prerušte liečbu, kým nedôjde k normalizácii hodnôt alanínaminotransferázy (ALT) alebo aspartátaminotransferázy (AST).</w:t>
            </w:r>
          </w:p>
          <w:p w14:paraId="1B68C084" w14:textId="77777777" w:rsidR="009700E5" w:rsidRDefault="009700E5">
            <w:pPr>
              <w:keepNext/>
            </w:pPr>
          </w:p>
          <w:p w14:paraId="1CAE5163" w14:textId="77777777" w:rsidR="009700E5" w:rsidRDefault="002C033C">
            <w:pPr>
              <w:keepNext/>
            </w:pPr>
            <w:r>
              <w:t>Liečbu znovu začnite injekciou podanou každý týždeň alebo každý druhý týždeň, ak je to klinicky vhodné.</w:t>
            </w:r>
          </w:p>
          <w:p w14:paraId="6674F6BD" w14:textId="77777777" w:rsidR="009700E5" w:rsidRDefault="009700E5">
            <w:pPr>
              <w:keepNext/>
            </w:pPr>
          </w:p>
        </w:tc>
      </w:tr>
      <w:tr w:rsidR="009700E5" w14:paraId="4B48908D" w14:textId="77777777">
        <w:tc>
          <w:tcPr>
            <w:tcW w:w="2093" w:type="dxa"/>
          </w:tcPr>
          <w:p w14:paraId="6E042028" w14:textId="77777777" w:rsidR="009700E5" w:rsidRDefault="002C033C">
            <w:pPr>
              <w:keepNext/>
            </w:pPr>
            <w:r>
              <w:rPr>
                <w:rFonts w:eastAsia="MS Mincho"/>
                <w:szCs w:val="22"/>
              </w:rPr>
              <w:sym w:font="Symbol" w:char="F03E"/>
            </w:r>
            <w:r>
              <w:t> 3</w:t>
            </w:r>
            <w:r>
              <w:noBreakHyphen/>
              <w:t> až 5</w:t>
            </w:r>
            <w:r>
              <w:noBreakHyphen/>
              <w:t>násobok ULN</w:t>
            </w:r>
          </w:p>
          <w:p w14:paraId="2F52949F" w14:textId="77777777" w:rsidR="009700E5" w:rsidRDefault="009700E5">
            <w:pPr>
              <w:keepNext/>
            </w:pPr>
          </w:p>
        </w:tc>
        <w:tc>
          <w:tcPr>
            <w:tcW w:w="7118" w:type="dxa"/>
          </w:tcPr>
          <w:p w14:paraId="0E1C556E" w14:textId="77777777" w:rsidR="009700E5" w:rsidRDefault="002C033C">
            <w:pPr>
              <w:keepNext/>
            </w:pPr>
            <w:r>
              <w:t xml:space="preserve">Prerušte liečbu, pokým nebude hodnota </w:t>
            </w:r>
            <w:r>
              <w:rPr>
                <w:rFonts w:eastAsia="MS Mincho"/>
                <w:szCs w:val="22"/>
              </w:rPr>
              <w:sym w:font="Symbol" w:char="F03C"/>
            </w:r>
            <w:r>
              <w:t> 3</w:t>
            </w:r>
            <w:r>
              <w:noBreakHyphen/>
              <w:t>násobok ULN</w:t>
            </w:r>
            <w:r>
              <w:rPr>
                <w:szCs w:val="22"/>
              </w:rPr>
              <w:t xml:space="preserve"> a postupujte podľa vyššie uvedených odporúčaní pre </w:t>
            </w:r>
            <w:r>
              <w:rPr>
                <w:rFonts w:eastAsia="MS Mincho"/>
                <w:szCs w:val="22"/>
              </w:rPr>
              <w:sym w:font="Symbol" w:char="F03E"/>
            </w:r>
            <w:r>
              <w:t> 1</w:t>
            </w:r>
            <w:r>
              <w:noBreakHyphen/>
              <w:t> až 3</w:t>
            </w:r>
            <w:r>
              <w:noBreakHyphen/>
              <w:t>násobok</w:t>
            </w:r>
            <w:r>
              <w:rPr>
                <w:szCs w:val="22"/>
              </w:rPr>
              <w:t xml:space="preserve"> ULN.</w:t>
            </w:r>
          </w:p>
          <w:p w14:paraId="7006233E" w14:textId="77777777" w:rsidR="009700E5" w:rsidRDefault="009700E5">
            <w:pPr>
              <w:keepNext/>
            </w:pPr>
          </w:p>
          <w:p w14:paraId="3682E9E6" w14:textId="77777777" w:rsidR="009700E5" w:rsidRDefault="002C033C">
            <w:pPr>
              <w:keepNext/>
            </w:pPr>
            <w:r>
              <w:t>Pri pretrvávajúcich vzostupoch </w:t>
            </w:r>
            <w:r>
              <w:rPr>
                <w:rFonts w:eastAsia="MS Mincho"/>
                <w:szCs w:val="22"/>
              </w:rPr>
              <w:sym w:font="Symbol" w:char="F03E"/>
            </w:r>
            <w:r>
              <w:t> 3</w:t>
            </w:r>
            <w:r>
              <w:noBreakHyphen/>
              <w:t>násobok ULN (potvrdených opakovaným vyšetrením, pozri časť 4.4) ukončite liečbu.</w:t>
            </w:r>
          </w:p>
          <w:p w14:paraId="5753F771" w14:textId="77777777" w:rsidR="009700E5" w:rsidRDefault="009700E5">
            <w:pPr>
              <w:keepNext/>
            </w:pPr>
          </w:p>
        </w:tc>
      </w:tr>
      <w:tr w:rsidR="009700E5" w14:paraId="7246E532" w14:textId="77777777">
        <w:tc>
          <w:tcPr>
            <w:tcW w:w="2093" w:type="dxa"/>
          </w:tcPr>
          <w:p w14:paraId="39DE5DA5" w14:textId="77777777" w:rsidR="009700E5" w:rsidRDefault="002C033C">
            <w:pPr>
              <w:keepNext/>
            </w:pPr>
            <w:r>
              <w:rPr>
                <w:rFonts w:eastAsia="MS Mincho"/>
                <w:szCs w:val="22"/>
              </w:rPr>
              <w:sym w:font="Symbol" w:char="F03E"/>
            </w:r>
            <w:r>
              <w:t> 5</w:t>
            </w:r>
            <w:r>
              <w:noBreakHyphen/>
              <w:t>násobok ULN</w:t>
            </w:r>
          </w:p>
          <w:p w14:paraId="22BB566A" w14:textId="77777777" w:rsidR="009700E5" w:rsidRDefault="009700E5">
            <w:pPr>
              <w:keepNext/>
            </w:pPr>
          </w:p>
        </w:tc>
        <w:tc>
          <w:tcPr>
            <w:tcW w:w="7118" w:type="dxa"/>
          </w:tcPr>
          <w:p w14:paraId="07EEE153" w14:textId="77777777" w:rsidR="009700E5" w:rsidRDefault="002C033C">
            <w:pPr>
              <w:keepNext/>
            </w:pPr>
            <w:r>
              <w:t>Ukončite liečbu.</w:t>
            </w:r>
          </w:p>
        </w:tc>
      </w:tr>
    </w:tbl>
    <w:p w14:paraId="24D3AA46" w14:textId="77777777" w:rsidR="009700E5" w:rsidRDefault="009700E5"/>
    <w:p w14:paraId="673803B0" w14:textId="77777777" w:rsidR="009700E5" w:rsidRDefault="002C033C">
      <w:pPr>
        <w:keepNext/>
        <w:ind w:left="567" w:hanging="425"/>
        <w:pPrChange w:id="816" w:author="Author" w:date="2025-07-18T23:24:00Z">
          <w:pPr>
            <w:keepNext/>
            <w:ind w:left="567" w:hanging="567"/>
          </w:pPr>
        </w:pPrChange>
      </w:pPr>
      <w:r>
        <w:rPr>
          <w:szCs w:val="22"/>
        </w:rPr>
        <w:sym w:font="Symbol" w:char="F0B7"/>
      </w:r>
      <w:r>
        <w:tab/>
        <w:t>Nízky absolútny počet neutrofilov (ANC, absolute neutrophil count)</w:t>
      </w:r>
    </w:p>
    <w:p w14:paraId="6AF262FB" w14:textId="77777777" w:rsidR="009700E5" w:rsidRDefault="009700E5">
      <w:pPr>
        <w:keepNext/>
        <w:rPr>
          <w:szCs w:val="22"/>
        </w:rPr>
      </w:pPr>
    </w:p>
    <w:p w14:paraId="6FCC3489" w14:textId="77777777" w:rsidR="009700E5" w:rsidRDefault="002C033C">
      <w:pPr>
        <w:keepNext/>
      </w:pPr>
      <w:r>
        <w:rPr>
          <w:szCs w:val="22"/>
        </w:rPr>
        <w:t xml:space="preserve">U pacientov, ktorí neboli doteraz liečení </w:t>
      </w:r>
      <w:r>
        <w:t>tocilizumabom</w:t>
      </w:r>
      <w:r>
        <w:rPr>
          <w:szCs w:val="22"/>
        </w:rPr>
        <w:t xml:space="preserve"> a majú </w:t>
      </w:r>
      <w:r>
        <w:rPr>
          <w:rFonts w:eastAsia="SimSun"/>
          <w:color w:val="000000"/>
          <w:szCs w:val="22"/>
          <w:lang w:eastAsia="zh-CN"/>
        </w:rPr>
        <w:t>ANC nižší ako 2 </w:t>
      </w:r>
      <w:r>
        <w:rPr>
          <w:rFonts w:eastAsia="MS Mincho"/>
          <w:szCs w:val="22"/>
        </w:rPr>
        <w:t>×</w:t>
      </w:r>
      <w:r>
        <w:rPr>
          <w:rFonts w:eastAsia="SimSun"/>
          <w:color w:val="000000"/>
          <w:szCs w:val="22"/>
          <w:lang w:eastAsia="zh-CN"/>
        </w:rPr>
        <w:t> 10</w:t>
      </w:r>
      <w:r>
        <w:rPr>
          <w:rFonts w:eastAsia="SimSun"/>
          <w:color w:val="000000"/>
          <w:szCs w:val="22"/>
          <w:vertAlign w:val="superscript"/>
          <w:lang w:eastAsia="zh-CN"/>
        </w:rPr>
        <w:t>9</w:t>
      </w:r>
      <w:r>
        <w:rPr>
          <w:rFonts w:eastAsia="SimSun"/>
          <w:color w:val="000000"/>
          <w:szCs w:val="22"/>
          <w:lang w:eastAsia="zh-CN"/>
        </w:rPr>
        <w:t xml:space="preserve">/l, </w:t>
      </w:r>
      <w:r>
        <w:rPr>
          <w:szCs w:val="22"/>
        </w:rPr>
        <w:t>sa neodporúča začať liečbu.</w:t>
      </w:r>
    </w:p>
    <w:p w14:paraId="080867A1" w14:textId="77777777" w:rsidR="009700E5" w:rsidRDefault="009700E5">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0"/>
        <w:gridCol w:w="6981"/>
      </w:tblGrid>
      <w:tr w:rsidR="009700E5" w14:paraId="692128C8" w14:textId="77777777">
        <w:tc>
          <w:tcPr>
            <w:tcW w:w="2093" w:type="dxa"/>
          </w:tcPr>
          <w:p w14:paraId="457C48B4" w14:textId="77777777" w:rsidR="009700E5" w:rsidRDefault="002C033C">
            <w:pPr>
              <w:keepNext/>
              <w:jc w:val="center"/>
            </w:pPr>
            <w:r>
              <w:t>Laboratórna hodnota (bunky </w:t>
            </w:r>
            <w:r>
              <w:rPr>
                <w:rFonts w:eastAsia="MS Mincho"/>
                <w:szCs w:val="22"/>
              </w:rPr>
              <w:t>×</w:t>
            </w:r>
            <w:r>
              <w:t> 10</w:t>
            </w:r>
            <w:r>
              <w:rPr>
                <w:vertAlign w:val="superscript"/>
              </w:rPr>
              <w:t>9</w:t>
            </w:r>
            <w:r>
              <w:t>/l)</w:t>
            </w:r>
          </w:p>
          <w:p w14:paraId="4BFE0A97" w14:textId="77777777" w:rsidR="009700E5" w:rsidRDefault="009700E5">
            <w:pPr>
              <w:keepNext/>
              <w:jc w:val="center"/>
            </w:pPr>
          </w:p>
        </w:tc>
        <w:tc>
          <w:tcPr>
            <w:tcW w:w="7118" w:type="dxa"/>
          </w:tcPr>
          <w:p w14:paraId="6BE91D97" w14:textId="77777777" w:rsidR="009700E5" w:rsidRDefault="002C033C">
            <w:pPr>
              <w:keepNext/>
              <w:jc w:val="center"/>
            </w:pPr>
            <w:r>
              <w:t>Opatrenie</w:t>
            </w:r>
          </w:p>
        </w:tc>
      </w:tr>
      <w:tr w:rsidR="009700E5" w14:paraId="139E0114" w14:textId="77777777">
        <w:tc>
          <w:tcPr>
            <w:tcW w:w="2093" w:type="dxa"/>
          </w:tcPr>
          <w:p w14:paraId="38267578" w14:textId="77777777" w:rsidR="009700E5" w:rsidRDefault="002C033C">
            <w:pPr>
              <w:keepNext/>
            </w:pPr>
            <w:r>
              <w:t>ANC </w:t>
            </w:r>
            <w:r>
              <w:rPr>
                <w:rFonts w:eastAsia="MS Mincho"/>
                <w:szCs w:val="22"/>
              </w:rPr>
              <w:sym w:font="Symbol" w:char="F03E"/>
            </w:r>
            <w:r>
              <w:t> 1</w:t>
            </w:r>
          </w:p>
          <w:p w14:paraId="36755D41" w14:textId="77777777" w:rsidR="009700E5" w:rsidRDefault="009700E5">
            <w:pPr>
              <w:keepNext/>
            </w:pPr>
          </w:p>
        </w:tc>
        <w:tc>
          <w:tcPr>
            <w:tcW w:w="7118" w:type="dxa"/>
          </w:tcPr>
          <w:p w14:paraId="4F87463A" w14:textId="77777777" w:rsidR="009700E5" w:rsidRDefault="002C033C">
            <w:pPr>
              <w:keepNext/>
            </w:pPr>
            <w:r>
              <w:t>Udržiavajte dávku.</w:t>
            </w:r>
          </w:p>
        </w:tc>
      </w:tr>
      <w:tr w:rsidR="009700E5" w14:paraId="70E50001" w14:textId="77777777">
        <w:tc>
          <w:tcPr>
            <w:tcW w:w="2093" w:type="dxa"/>
          </w:tcPr>
          <w:p w14:paraId="2F9C2639" w14:textId="77777777" w:rsidR="009700E5" w:rsidRDefault="002C033C">
            <w:pPr>
              <w:keepNext/>
            </w:pPr>
            <w:r>
              <w:t>ANC 0,5 až 1</w:t>
            </w:r>
          </w:p>
          <w:p w14:paraId="147316E7" w14:textId="77777777" w:rsidR="009700E5" w:rsidRDefault="009700E5">
            <w:pPr>
              <w:keepNext/>
            </w:pPr>
          </w:p>
        </w:tc>
        <w:tc>
          <w:tcPr>
            <w:tcW w:w="7118" w:type="dxa"/>
          </w:tcPr>
          <w:p w14:paraId="1E424641" w14:textId="77777777" w:rsidR="009700E5" w:rsidRDefault="002C033C">
            <w:pPr>
              <w:keepNext/>
            </w:pPr>
            <w:r>
              <w:t>Prerušte podávanie tocilizumabu.</w:t>
            </w:r>
          </w:p>
          <w:p w14:paraId="6F8DF723" w14:textId="77777777" w:rsidR="009700E5" w:rsidRDefault="009700E5">
            <w:pPr>
              <w:keepNext/>
            </w:pPr>
          </w:p>
          <w:p w14:paraId="344EFD84" w14:textId="77777777" w:rsidR="009700E5" w:rsidRDefault="002C033C">
            <w:pPr>
              <w:keepNext/>
            </w:pPr>
            <w:r>
              <w:t>Keď sa ANC zvýši na </w:t>
            </w:r>
            <w:r>
              <w:rPr>
                <w:rFonts w:eastAsia="MS Mincho"/>
                <w:szCs w:val="22"/>
              </w:rPr>
              <w:sym w:font="Symbol" w:char="F03E"/>
            </w:r>
            <w:r>
              <w:t> 1 </w:t>
            </w:r>
            <w:r>
              <w:rPr>
                <w:rFonts w:eastAsia="MS Mincho"/>
                <w:szCs w:val="22"/>
              </w:rPr>
              <w:t>×</w:t>
            </w:r>
            <w:r>
              <w:t> 10</w:t>
            </w:r>
            <w:r>
              <w:rPr>
                <w:vertAlign w:val="superscript"/>
              </w:rPr>
              <w:t>9</w:t>
            </w:r>
            <w:r>
              <w:t>/l, liečbu znovu začnite injekciou podanou každý druhý týždeň a zvýšte frekvenciu podávania na injekciu podanú každý týždeň, ak je to klinicky vhodné.</w:t>
            </w:r>
          </w:p>
          <w:p w14:paraId="556077E9" w14:textId="77777777" w:rsidR="009700E5" w:rsidRDefault="009700E5">
            <w:pPr>
              <w:keepNext/>
            </w:pPr>
          </w:p>
        </w:tc>
      </w:tr>
      <w:tr w:rsidR="009700E5" w14:paraId="58401468" w14:textId="77777777">
        <w:tc>
          <w:tcPr>
            <w:tcW w:w="2093" w:type="dxa"/>
          </w:tcPr>
          <w:p w14:paraId="1C3E28D1" w14:textId="77777777" w:rsidR="009700E5" w:rsidRDefault="002C033C">
            <w:pPr>
              <w:keepNext/>
            </w:pPr>
            <w:r>
              <w:t>ANC </w:t>
            </w:r>
            <w:r>
              <w:rPr>
                <w:rFonts w:eastAsia="MS Mincho"/>
                <w:szCs w:val="22"/>
              </w:rPr>
              <w:sym w:font="Symbol" w:char="F03C"/>
            </w:r>
            <w:r>
              <w:t> 0,5</w:t>
            </w:r>
          </w:p>
          <w:p w14:paraId="17B0968C" w14:textId="77777777" w:rsidR="009700E5" w:rsidRDefault="009700E5">
            <w:pPr>
              <w:keepNext/>
            </w:pPr>
          </w:p>
        </w:tc>
        <w:tc>
          <w:tcPr>
            <w:tcW w:w="7118" w:type="dxa"/>
          </w:tcPr>
          <w:p w14:paraId="6C8C2A4F" w14:textId="77777777" w:rsidR="009700E5" w:rsidRDefault="002C033C">
            <w:pPr>
              <w:keepNext/>
            </w:pPr>
            <w:r>
              <w:t>Ukončite liečbu.</w:t>
            </w:r>
          </w:p>
        </w:tc>
      </w:tr>
    </w:tbl>
    <w:p w14:paraId="2D5BAF6D" w14:textId="77777777" w:rsidR="009700E5" w:rsidRDefault="009700E5">
      <w:pPr>
        <w:widowControl w:val="0"/>
      </w:pPr>
    </w:p>
    <w:p w14:paraId="3165B3AD" w14:textId="77777777" w:rsidR="009700E5" w:rsidRDefault="002C033C">
      <w:pPr>
        <w:keepNext/>
        <w:keepLines/>
        <w:ind w:left="567" w:hanging="425"/>
        <w:pPrChange w:id="817" w:author="Author" w:date="2025-07-18T23:24:00Z">
          <w:pPr>
            <w:keepNext/>
            <w:keepLines/>
            <w:ind w:left="567" w:hanging="567"/>
          </w:pPr>
        </w:pPrChange>
      </w:pPr>
      <w:r>
        <w:rPr>
          <w:szCs w:val="22"/>
        </w:rPr>
        <w:lastRenderedPageBreak/>
        <w:sym w:font="Symbol" w:char="F0B7"/>
      </w:r>
      <w:r>
        <w:tab/>
        <w:t>Nízky počet trombocytov</w:t>
      </w:r>
    </w:p>
    <w:p w14:paraId="25AACDD7" w14:textId="77777777" w:rsidR="009700E5" w:rsidRDefault="009700E5">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3"/>
        <w:gridCol w:w="6978"/>
      </w:tblGrid>
      <w:tr w:rsidR="009700E5" w14:paraId="34C9BA20" w14:textId="77777777">
        <w:tc>
          <w:tcPr>
            <w:tcW w:w="2093" w:type="dxa"/>
          </w:tcPr>
          <w:p w14:paraId="24A76A5A" w14:textId="77777777" w:rsidR="009700E5" w:rsidRDefault="002C033C">
            <w:pPr>
              <w:keepNext/>
              <w:jc w:val="center"/>
            </w:pPr>
            <w:r>
              <w:t>Laboratórna hodnota (bunky </w:t>
            </w:r>
            <w:r>
              <w:rPr>
                <w:rFonts w:eastAsia="MS Mincho"/>
                <w:szCs w:val="22"/>
              </w:rPr>
              <w:t>× </w:t>
            </w:r>
            <w:r>
              <w:t>10</w:t>
            </w:r>
            <w:r>
              <w:rPr>
                <w:vertAlign w:val="superscript"/>
              </w:rPr>
              <w:t>3</w:t>
            </w:r>
            <w:r>
              <w:t>/</w:t>
            </w:r>
            <w:r>
              <w:rPr>
                <w:rFonts w:eastAsia="MS Mincho"/>
                <w:szCs w:val="22"/>
              </w:rPr>
              <w:t>μ</w:t>
            </w:r>
            <w:r>
              <w:t>l)</w:t>
            </w:r>
          </w:p>
          <w:p w14:paraId="45A7CFD8" w14:textId="77777777" w:rsidR="009700E5" w:rsidRDefault="009700E5">
            <w:pPr>
              <w:keepNext/>
              <w:jc w:val="center"/>
            </w:pPr>
          </w:p>
        </w:tc>
        <w:tc>
          <w:tcPr>
            <w:tcW w:w="7118" w:type="dxa"/>
          </w:tcPr>
          <w:p w14:paraId="51DD6071" w14:textId="77777777" w:rsidR="009700E5" w:rsidRDefault="002C033C">
            <w:pPr>
              <w:keepNext/>
              <w:jc w:val="center"/>
            </w:pPr>
            <w:r>
              <w:t>Opatrenie</w:t>
            </w:r>
          </w:p>
        </w:tc>
      </w:tr>
      <w:tr w:rsidR="009700E5" w14:paraId="4FAEC06C" w14:textId="77777777">
        <w:tc>
          <w:tcPr>
            <w:tcW w:w="2093" w:type="dxa"/>
          </w:tcPr>
          <w:p w14:paraId="39F626C1" w14:textId="77777777" w:rsidR="009700E5" w:rsidRDefault="002C033C">
            <w:pPr>
              <w:keepNext/>
            </w:pPr>
            <w:r>
              <w:t>50 až 100</w:t>
            </w:r>
          </w:p>
          <w:p w14:paraId="33399EBE" w14:textId="77777777" w:rsidR="009700E5" w:rsidRDefault="009700E5">
            <w:pPr>
              <w:keepNext/>
            </w:pPr>
          </w:p>
        </w:tc>
        <w:tc>
          <w:tcPr>
            <w:tcW w:w="7118" w:type="dxa"/>
          </w:tcPr>
          <w:p w14:paraId="448BB6B1" w14:textId="77777777" w:rsidR="009700E5" w:rsidRDefault="002C033C">
            <w:pPr>
              <w:keepNext/>
            </w:pPr>
            <w:r>
              <w:t>Prerušte podávanie tocilizumabu.</w:t>
            </w:r>
          </w:p>
          <w:p w14:paraId="3EEC6BB5" w14:textId="77777777" w:rsidR="009700E5" w:rsidRDefault="009700E5">
            <w:pPr>
              <w:keepNext/>
            </w:pPr>
          </w:p>
          <w:p w14:paraId="0EECDC91" w14:textId="77777777" w:rsidR="009700E5" w:rsidRDefault="002C033C">
            <w:pPr>
              <w:keepNext/>
            </w:pPr>
            <w:r>
              <w:t xml:space="preserve">Keď bude počet trombocytov </w:t>
            </w:r>
            <w:r>
              <w:rPr>
                <w:rFonts w:eastAsia="MS Mincho"/>
                <w:szCs w:val="22"/>
              </w:rPr>
              <w:sym w:font="Symbol" w:char="F03E"/>
            </w:r>
            <w:r>
              <w:t> 100 </w:t>
            </w:r>
            <w:r>
              <w:rPr>
                <w:rFonts w:eastAsia="MS Mincho"/>
                <w:szCs w:val="22"/>
              </w:rPr>
              <w:t>×</w:t>
            </w:r>
            <w:r>
              <w:t> 10</w:t>
            </w:r>
            <w:r>
              <w:rPr>
                <w:vertAlign w:val="superscript"/>
              </w:rPr>
              <w:t>3</w:t>
            </w:r>
            <w:r>
              <w:t>/</w:t>
            </w:r>
            <w:r>
              <w:rPr>
                <w:rFonts w:eastAsia="MS Mincho"/>
                <w:szCs w:val="22"/>
              </w:rPr>
              <w:t>μ</w:t>
            </w:r>
            <w:r>
              <w:t>l, liečbu znovu začnite injekciou podanou každý druhý týždeň a zvýšte frekvenciu podávania na injekciu podanú na každý týždeň, ak je to klinicky vhodné.</w:t>
            </w:r>
          </w:p>
          <w:p w14:paraId="2FD66A0A" w14:textId="77777777" w:rsidR="009700E5" w:rsidRDefault="009700E5">
            <w:pPr>
              <w:keepNext/>
            </w:pPr>
          </w:p>
        </w:tc>
      </w:tr>
      <w:tr w:rsidR="009700E5" w14:paraId="33337747" w14:textId="77777777">
        <w:tc>
          <w:tcPr>
            <w:tcW w:w="2093" w:type="dxa"/>
          </w:tcPr>
          <w:p w14:paraId="7E18D150" w14:textId="77777777" w:rsidR="009700E5" w:rsidRDefault="002C033C">
            <w:pPr>
              <w:keepNext/>
            </w:pPr>
            <w:r>
              <w:rPr>
                <w:rFonts w:eastAsia="MS Mincho"/>
                <w:szCs w:val="22"/>
              </w:rPr>
              <w:sym w:font="Symbol" w:char="F03C"/>
            </w:r>
            <w:r>
              <w:t> 50</w:t>
            </w:r>
          </w:p>
          <w:p w14:paraId="1922E15A" w14:textId="77777777" w:rsidR="009700E5" w:rsidRDefault="009700E5">
            <w:pPr>
              <w:keepNext/>
            </w:pPr>
          </w:p>
        </w:tc>
        <w:tc>
          <w:tcPr>
            <w:tcW w:w="7118" w:type="dxa"/>
          </w:tcPr>
          <w:p w14:paraId="6A2BF3C3" w14:textId="77777777" w:rsidR="009700E5" w:rsidRDefault="002C033C">
            <w:pPr>
              <w:keepNext/>
            </w:pPr>
            <w:r>
              <w:t>Ukončite liečbu.</w:t>
            </w:r>
          </w:p>
        </w:tc>
      </w:tr>
    </w:tbl>
    <w:p w14:paraId="5873A6CC" w14:textId="77777777" w:rsidR="009700E5" w:rsidRDefault="009700E5"/>
    <w:p w14:paraId="67D2CF4D" w14:textId="77777777" w:rsidR="009700E5" w:rsidRPr="009700E5" w:rsidRDefault="002C033C">
      <w:pPr>
        <w:rPr>
          <w:i/>
          <w:iCs/>
          <w:rPrChange w:id="818" w:author="Author" w:date="2025-08-22T15:12:00Z">
            <w:rPr/>
          </w:rPrChange>
        </w:rPr>
      </w:pPr>
      <w:ins w:id="819" w:author="Author" w:date="2025-07-18T23:24:00Z">
        <w:r>
          <w:rPr>
            <w:i/>
            <w:iCs/>
            <w:rPrChange w:id="820" w:author="Author" w:date="2025-08-22T15:12:00Z">
              <w:rPr/>
            </w:rPrChange>
          </w:rPr>
          <w:t>Pacienti s</w:t>
        </w:r>
      </w:ins>
      <w:ins w:id="821" w:author="Author" w:date="2025-07-21T09:54:00Z">
        <w:r>
          <w:rPr>
            <w:i/>
            <w:iCs/>
          </w:rPr>
          <w:t> </w:t>
        </w:r>
      </w:ins>
      <w:ins w:id="822" w:author="Author" w:date="2025-07-18T23:24:00Z">
        <w:del w:id="823" w:author="Author" w:date="2025-07-21T09:54:00Z">
          <w:r>
            <w:rPr>
              <w:i/>
              <w:iCs/>
              <w:rPrChange w:id="824" w:author="Author" w:date="2025-08-22T15:12:00Z">
                <w:rPr/>
              </w:rPrChange>
            </w:rPr>
            <w:delText xml:space="preserve"> </w:delText>
          </w:r>
        </w:del>
      </w:ins>
      <w:r>
        <w:rPr>
          <w:i/>
          <w:iCs/>
          <w:rPrChange w:id="825" w:author="Author" w:date="2025-08-22T15:12:00Z">
            <w:rPr/>
          </w:rPrChange>
        </w:rPr>
        <w:t>RA a OBA</w:t>
      </w:r>
    </w:p>
    <w:p w14:paraId="1D67AC18" w14:textId="77777777" w:rsidR="009700E5" w:rsidRDefault="002C033C">
      <w:pPr>
        <w:rPr>
          <w:i/>
          <w:iCs/>
          <w:u w:val="single"/>
        </w:rPr>
      </w:pPr>
      <w:r>
        <w:rPr>
          <w:i/>
          <w:iCs/>
          <w:u w:val="single"/>
        </w:rPr>
        <w:t>Vynechaná dávka</w:t>
      </w:r>
    </w:p>
    <w:p w14:paraId="2D41D682" w14:textId="77777777" w:rsidR="009700E5" w:rsidRDefault="002C033C">
      <w:r>
        <w:t>Ak pacient vynechá subkutánnu injekciu tocilizumabu, ktorú si podáva raz za týždeň, do 7 dní od plánovanej dávky, treba ho poučiť, aby si vynechanú dávku podal v deň, v ktorý je plánovaná ďalšia dávka. Ak pacient vynechá subkutánnu injekciu tocilizumabu, ktorú si podáva každý druhý týždeň, do 7 dní od plánovanej dávky, treba ho poučiť, aby si vynechanú dávku podal ihneď a ďalšiu dávku v deň, v ktorý je plánovaná ďalšia dávka.</w:t>
      </w:r>
    </w:p>
    <w:p w14:paraId="51CEFF22" w14:textId="77777777" w:rsidR="009700E5" w:rsidRDefault="009700E5">
      <w:pPr>
        <w:rPr>
          <w:bCs/>
          <w:iCs/>
          <w:u w:val="single"/>
        </w:rPr>
      </w:pPr>
    </w:p>
    <w:p w14:paraId="0D1EA740" w14:textId="77777777" w:rsidR="009700E5" w:rsidRDefault="002C033C">
      <w:pPr>
        <w:rPr>
          <w:bCs/>
          <w:iCs/>
          <w:u w:val="single"/>
        </w:rPr>
      </w:pPr>
      <w:r>
        <w:rPr>
          <w:bCs/>
          <w:iCs/>
          <w:u w:val="single"/>
        </w:rPr>
        <w:t>Osobitné skupiny pacientov</w:t>
      </w:r>
    </w:p>
    <w:p w14:paraId="6C030B4D" w14:textId="77777777" w:rsidR="009700E5" w:rsidRDefault="002C033C">
      <w:pPr>
        <w:rPr>
          <w:i/>
        </w:rPr>
      </w:pPr>
      <w:r>
        <w:rPr>
          <w:i/>
        </w:rPr>
        <w:t>Starší pacienti</w:t>
      </w:r>
    </w:p>
    <w:p w14:paraId="4BD58CFF" w14:textId="77777777" w:rsidR="009700E5" w:rsidRDefault="002C033C">
      <w:r>
        <w:t xml:space="preserve">U pacientov vo veku </w:t>
      </w:r>
      <w:r>
        <w:rPr>
          <w:rFonts w:eastAsia="MS Mincho"/>
          <w:szCs w:val="22"/>
        </w:rPr>
        <w:sym w:font="Symbol" w:char="F03E"/>
      </w:r>
      <w:r>
        <w:t> 65 rokov nie je potrebná úprava dávky.</w:t>
      </w:r>
    </w:p>
    <w:p w14:paraId="5A8EEE93" w14:textId="77777777" w:rsidR="009700E5" w:rsidRDefault="009700E5"/>
    <w:p w14:paraId="3863525F" w14:textId="77777777" w:rsidR="009700E5" w:rsidRDefault="002C033C">
      <w:pPr>
        <w:rPr>
          <w:i/>
        </w:rPr>
      </w:pPr>
      <w:r>
        <w:rPr>
          <w:i/>
        </w:rPr>
        <w:t>Porucha funkcie obličiek</w:t>
      </w:r>
    </w:p>
    <w:p w14:paraId="555BDF9A" w14:textId="77777777" w:rsidR="009700E5" w:rsidRDefault="002C033C">
      <w:r>
        <w:t>U pacientov s miernou alebo stredne ťažkou poruchou funkcie obličiek nie je potrebná úprava dávky. U pacientov s ťažkou poruchou funkcie obličiek sa tocilizumab neskúmal (pozri časť 5.2). U týchto pacientov sa musí starostlivo monitorovať funkcia obličiek.</w:t>
      </w:r>
    </w:p>
    <w:p w14:paraId="409DEFA9" w14:textId="77777777" w:rsidR="009700E5" w:rsidRDefault="009700E5"/>
    <w:p w14:paraId="060002A3" w14:textId="77777777" w:rsidR="009700E5" w:rsidRDefault="002C033C">
      <w:pPr>
        <w:rPr>
          <w:i/>
        </w:rPr>
      </w:pPr>
      <w:r>
        <w:rPr>
          <w:i/>
        </w:rPr>
        <w:t>Porucha funkcie pečene</w:t>
      </w:r>
    </w:p>
    <w:p w14:paraId="4971CB54" w14:textId="77777777" w:rsidR="009700E5" w:rsidRDefault="002C033C">
      <w:r>
        <w:t>U pacientov s poruchou funkcie pečene sa tocilizumab neskúmal. Preto nie je možné poskytnúť odporúčania na úpravu dávkovania.</w:t>
      </w:r>
    </w:p>
    <w:p w14:paraId="2D92447C" w14:textId="77777777" w:rsidR="009700E5" w:rsidRDefault="009700E5">
      <w:pPr>
        <w:rPr>
          <w:rFonts w:eastAsia="SimSun"/>
          <w:szCs w:val="22"/>
          <w:lang w:eastAsia="zh-CN"/>
        </w:rPr>
      </w:pPr>
    </w:p>
    <w:p w14:paraId="5F5A2342" w14:textId="77777777" w:rsidR="009700E5" w:rsidRDefault="002C033C">
      <w:pPr>
        <w:rPr>
          <w:rFonts w:eastAsia="SimSun"/>
          <w:i/>
          <w:szCs w:val="22"/>
          <w:lang w:eastAsia="zh-CN"/>
        </w:rPr>
      </w:pPr>
      <w:r>
        <w:rPr>
          <w:rFonts w:eastAsia="SimSun"/>
          <w:i/>
          <w:szCs w:val="22"/>
          <w:lang w:eastAsia="zh-CN"/>
        </w:rPr>
        <w:t>Pediatrická populácia</w:t>
      </w:r>
    </w:p>
    <w:p w14:paraId="20078F7E" w14:textId="77777777" w:rsidR="009700E5" w:rsidRDefault="002C033C">
      <w:pPr>
        <w:rPr>
          <w:rFonts w:eastAsia="SimSun"/>
          <w:szCs w:val="22"/>
          <w:lang w:eastAsia="zh-CN"/>
        </w:rPr>
      </w:pPr>
      <w:r>
        <w:rPr>
          <w:rFonts w:eastAsia="SimSun"/>
          <w:szCs w:val="22"/>
          <w:lang w:eastAsia="zh-CN"/>
        </w:rPr>
        <w:t xml:space="preserve">Bezpečnosť a účinnosť subkutánnej formy </w:t>
      </w:r>
      <w:r>
        <w:t>tocilizumabu</w:t>
      </w:r>
      <w:r>
        <w:rPr>
          <w:rFonts w:eastAsia="SimSun"/>
          <w:szCs w:val="22"/>
          <w:lang w:eastAsia="zh-CN"/>
        </w:rPr>
        <w:t xml:space="preserve"> u detí od narodenia do menej ako 1 roka neboli stanovené. K dispozícii nie sú žiadne údaje.</w:t>
      </w:r>
    </w:p>
    <w:p w14:paraId="5D18998E" w14:textId="77777777" w:rsidR="009700E5" w:rsidRDefault="009700E5">
      <w:pPr>
        <w:rPr>
          <w:rFonts w:eastAsia="SimSun"/>
          <w:szCs w:val="22"/>
          <w:lang w:eastAsia="zh-CN"/>
        </w:rPr>
      </w:pPr>
    </w:p>
    <w:p w14:paraId="13C7D30D" w14:textId="77777777" w:rsidR="009700E5" w:rsidRDefault="002C033C">
      <w:bookmarkStart w:id="826" w:name="_Hlk523985909"/>
      <w:r>
        <w:t>Zmena dávky má byť založená iba na konzistentnej zmene telesnej hmotnosti pacienta v čase. Tocilizumab sa môže používať v monoterapii alebo v kombinácii s MTX.</w:t>
      </w:r>
    </w:p>
    <w:p w14:paraId="73F853DD" w14:textId="77777777" w:rsidR="009700E5" w:rsidRDefault="009700E5"/>
    <w:p w14:paraId="18B643B1" w14:textId="77777777" w:rsidR="009700E5" w:rsidRDefault="002C033C">
      <w:pPr>
        <w:rPr>
          <w:i/>
          <w:u w:val="single"/>
        </w:rPr>
      </w:pPr>
      <w:r>
        <w:rPr>
          <w:i/>
          <w:u w:val="single"/>
        </w:rPr>
        <w:t>Pacienti so sJIA</w:t>
      </w:r>
    </w:p>
    <w:p w14:paraId="234FA143" w14:textId="77777777" w:rsidR="009700E5" w:rsidRDefault="002C033C">
      <w:r>
        <w:t>Odporúčané dávkovanie pre pacientov starších ako 1 rok je 162 mg subkutánne raz za týždeň u pacientov s telesnou hmotnosťou vyššou alebo rovnou 30 kg alebo 162 mg subkutánne raz za 2 týždne u pacientov s telesnou hmotnosťou nižšou ako 30 kg.</w:t>
      </w:r>
    </w:p>
    <w:p w14:paraId="40EA5783" w14:textId="77777777" w:rsidR="009700E5" w:rsidRDefault="002C033C">
      <w:pPr>
        <w:rPr>
          <w:rFonts w:eastAsia="SimSun"/>
          <w:szCs w:val="22"/>
          <w:lang w:eastAsia="zh-CN"/>
        </w:rPr>
      </w:pPr>
      <w:r>
        <w:t>Pri podávaní tocilizumabu subkutánne musia mať pacienti minimálnu telesnú hmotnosť 10 kg.</w:t>
      </w:r>
    </w:p>
    <w:bookmarkEnd w:id="826"/>
    <w:p w14:paraId="792C2410" w14:textId="77777777" w:rsidR="009700E5" w:rsidRDefault="009700E5">
      <w:pPr>
        <w:rPr>
          <w:rFonts w:eastAsia="SimSun"/>
          <w:szCs w:val="22"/>
          <w:lang w:eastAsia="zh-CN"/>
        </w:rPr>
      </w:pPr>
    </w:p>
    <w:p w14:paraId="2D707419" w14:textId="77777777" w:rsidR="009700E5" w:rsidRDefault="002C033C">
      <w:pPr>
        <w:rPr>
          <w:i/>
          <w:iCs/>
          <w:u w:val="single"/>
        </w:rPr>
      </w:pPr>
      <w:r>
        <w:rPr>
          <w:i/>
          <w:iCs/>
          <w:u w:val="single"/>
        </w:rPr>
        <w:t>Pacienti s pJIA</w:t>
      </w:r>
    </w:p>
    <w:p w14:paraId="4E22A757" w14:textId="77777777" w:rsidR="009700E5" w:rsidRDefault="002C033C">
      <w:r>
        <w:t>Odporúčané dávkovanie pre pacientov starších ako 2 roky je 162 mg subkutánne raz za 2 týždne u pacientov s telesnou hmotnosťou vyššou alebo rovnou 30 kg alebo 162 mg subkutánne raz za 3 týždne u pacientov s telesnou hmotnosťou nižšou ako 30 kg.</w:t>
      </w:r>
    </w:p>
    <w:p w14:paraId="227AA0A7" w14:textId="77777777" w:rsidR="009700E5" w:rsidRDefault="009700E5"/>
    <w:p w14:paraId="5571FDA9" w14:textId="77777777" w:rsidR="009700E5" w:rsidRDefault="002C033C">
      <w:pPr>
        <w:keepNext/>
        <w:keepLines/>
      </w:pPr>
      <w:r>
        <w:rPr>
          <w:i/>
          <w:iCs/>
          <w:u w:val="single"/>
        </w:rPr>
        <w:lastRenderedPageBreak/>
        <w:t>Pacienti so sJIA a pJIA</w:t>
      </w:r>
    </w:p>
    <w:p w14:paraId="111D11D1" w14:textId="77777777" w:rsidR="009700E5" w:rsidRDefault="002C033C">
      <w:pPr>
        <w:keepNext/>
        <w:keepLines/>
      </w:pPr>
      <w:r>
        <w:t>Úpravy dávky kvôli laboratórnym odchýlkam</w:t>
      </w:r>
    </w:p>
    <w:p w14:paraId="2341351A" w14:textId="77777777" w:rsidR="009700E5" w:rsidRDefault="002C033C">
      <w:pPr>
        <w:keepNext/>
        <w:keepLines/>
      </w:pPr>
      <w:r>
        <w:rPr>
          <w:szCs w:val="22"/>
        </w:rPr>
        <w:t>Ak je to vhodné, dávka súbežne podávaného MTX a/alebo iných liekov sa má upraviť alebo podávanie sa má zastaviť a dávkovanie tocilizumabu sa má prerušiť až do zhodnotenia klinického stavu. Pretože je veľa pridružených chorobných stavov pri sJIA alebo pJIA, ktoré môžu ovplyvniť laboratórne hodnoty, rozhodnutie o ukončení používania tocilizumabu pre laboratórne odchýlky má byť založené na lekárskom zhodnotení každého individuálneho pacienta.</w:t>
      </w:r>
    </w:p>
    <w:p w14:paraId="179EE670" w14:textId="77777777" w:rsidR="009700E5" w:rsidRDefault="009700E5">
      <w:pPr>
        <w:rPr>
          <w:rFonts w:eastAsia="SimSun"/>
          <w:szCs w:val="22"/>
          <w:lang w:eastAsia="zh-CN"/>
        </w:rPr>
      </w:pPr>
    </w:p>
    <w:p w14:paraId="45FB0ECF" w14:textId="77777777" w:rsidR="009700E5" w:rsidRDefault="002C033C">
      <w:pPr>
        <w:keepNext/>
        <w:keepLines/>
        <w:ind w:left="567" w:hanging="425"/>
        <w:rPr>
          <w:szCs w:val="22"/>
        </w:rPr>
        <w:pPrChange w:id="827" w:author="Author" w:date="2025-07-18T23:25:00Z">
          <w:pPr>
            <w:keepNext/>
            <w:keepLines/>
            <w:ind w:left="567" w:hanging="567"/>
          </w:pPr>
        </w:pPrChange>
      </w:pPr>
      <w:r>
        <w:rPr>
          <w:szCs w:val="22"/>
        </w:rPr>
        <w:sym w:font="Symbol" w:char="F0B7"/>
      </w:r>
      <w:r>
        <w:tab/>
      </w:r>
      <w:r>
        <w:rPr>
          <w:szCs w:val="22"/>
        </w:rPr>
        <w:t>Odchýlky hodnôt pečeňových enzýmov</w:t>
      </w:r>
    </w:p>
    <w:p w14:paraId="4B73F6E9" w14:textId="77777777" w:rsidR="009700E5" w:rsidRDefault="009700E5">
      <w:pPr>
        <w:keepNext/>
        <w:keepLines/>
        <w:rPr>
          <w:szCs w:val="22"/>
        </w:rPr>
      </w:pPr>
    </w:p>
    <w:tbl>
      <w:tblPr>
        <w:tblW w:w="92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2"/>
        <w:gridCol w:w="7121"/>
      </w:tblGrid>
      <w:tr w:rsidR="009700E5" w14:paraId="2892A9DE" w14:textId="77777777">
        <w:tc>
          <w:tcPr>
            <w:tcW w:w="2092" w:type="dxa"/>
          </w:tcPr>
          <w:p w14:paraId="3AD42F12" w14:textId="77777777" w:rsidR="009700E5" w:rsidRDefault="002C033C">
            <w:pPr>
              <w:keepNext/>
              <w:keepLines/>
              <w:jc w:val="center"/>
              <w:rPr>
                <w:rFonts w:eastAsia="MS Mincho"/>
                <w:bCs/>
                <w:szCs w:val="22"/>
              </w:rPr>
            </w:pPr>
            <w:r>
              <w:rPr>
                <w:bCs/>
                <w:szCs w:val="22"/>
              </w:rPr>
              <w:t>Laboratórna hodnota</w:t>
            </w:r>
          </w:p>
        </w:tc>
        <w:tc>
          <w:tcPr>
            <w:tcW w:w="7121" w:type="dxa"/>
          </w:tcPr>
          <w:p w14:paraId="791EAAFD" w14:textId="77777777" w:rsidR="009700E5" w:rsidRPr="009700E5" w:rsidRDefault="002C033C">
            <w:pPr>
              <w:pStyle w:val="TextTi12"/>
              <w:keepNext/>
              <w:keepLines/>
              <w:spacing w:after="0"/>
              <w:jc w:val="center"/>
              <w:rPr>
                <w:rFonts w:eastAsia="MS Mincho"/>
                <w:bCs/>
                <w:sz w:val="22"/>
                <w:szCs w:val="22"/>
                <w:rPrChange w:id="828" w:author="Author" w:date="2025-08-22T15:12:00Z">
                  <w:rPr>
                    <w:rFonts w:eastAsia="MS Mincho"/>
                    <w:bCs/>
                    <w:noProof w:val="0"/>
                    <w:sz w:val="22"/>
                    <w:szCs w:val="22"/>
                  </w:rPr>
                </w:rPrChange>
              </w:rPr>
            </w:pPr>
            <w:r>
              <w:rPr>
                <w:bCs/>
                <w:sz w:val="22"/>
                <w:szCs w:val="22"/>
                <w:rPrChange w:id="829" w:author="Author" w:date="2025-08-22T15:12:00Z">
                  <w:rPr>
                    <w:bCs/>
                    <w:noProof w:val="0"/>
                    <w:sz w:val="22"/>
                    <w:szCs w:val="22"/>
                  </w:rPr>
                </w:rPrChange>
              </w:rPr>
              <w:t>Opatrenie</w:t>
            </w:r>
          </w:p>
        </w:tc>
      </w:tr>
      <w:tr w:rsidR="009700E5" w14:paraId="06E5982F" w14:textId="77777777">
        <w:tc>
          <w:tcPr>
            <w:tcW w:w="2092" w:type="dxa"/>
          </w:tcPr>
          <w:p w14:paraId="1D8B6A2A" w14:textId="77777777" w:rsidR="009700E5" w:rsidRPr="009700E5" w:rsidRDefault="002C033C">
            <w:pPr>
              <w:pStyle w:val="TextTi12"/>
              <w:keepNext/>
              <w:keepLines/>
              <w:spacing w:after="0"/>
              <w:jc w:val="left"/>
              <w:rPr>
                <w:rFonts w:eastAsia="MS Mincho"/>
                <w:sz w:val="22"/>
                <w:szCs w:val="22"/>
                <w:rPrChange w:id="830" w:author="Author" w:date="2025-08-22T15:12:00Z">
                  <w:rPr>
                    <w:rFonts w:eastAsia="MS Mincho"/>
                    <w:noProof w:val="0"/>
                    <w:sz w:val="22"/>
                    <w:szCs w:val="22"/>
                  </w:rPr>
                </w:rPrChange>
              </w:rPr>
            </w:pPr>
            <w:r>
              <w:rPr>
                <w:rFonts w:eastAsia="MS Mincho"/>
                <w:sz w:val="22"/>
                <w:szCs w:val="22"/>
              </w:rPr>
              <w:sym w:font="Symbol" w:char="F03E"/>
            </w:r>
            <w:r>
              <w:rPr>
                <w:sz w:val="22"/>
                <w:szCs w:val="22"/>
                <w:rPrChange w:id="831" w:author="Author" w:date="2025-08-22T15:12:00Z">
                  <w:rPr>
                    <w:noProof w:val="0"/>
                    <w:sz w:val="22"/>
                    <w:szCs w:val="22"/>
                  </w:rPr>
                </w:rPrChange>
              </w:rPr>
              <w:t> 1</w:t>
            </w:r>
            <w:r>
              <w:rPr>
                <w:sz w:val="22"/>
                <w:szCs w:val="22"/>
                <w:rPrChange w:id="832" w:author="Author" w:date="2025-08-22T15:12:00Z">
                  <w:rPr>
                    <w:noProof w:val="0"/>
                    <w:sz w:val="22"/>
                    <w:szCs w:val="22"/>
                  </w:rPr>
                </w:rPrChange>
              </w:rPr>
              <w:noBreakHyphen/>
              <w:t> až 3</w:t>
            </w:r>
            <w:r>
              <w:rPr>
                <w:sz w:val="22"/>
                <w:szCs w:val="22"/>
                <w:rPrChange w:id="833" w:author="Author" w:date="2025-08-22T15:12:00Z">
                  <w:rPr>
                    <w:noProof w:val="0"/>
                    <w:sz w:val="22"/>
                    <w:szCs w:val="22"/>
                  </w:rPr>
                </w:rPrChange>
              </w:rPr>
              <w:noBreakHyphen/>
              <w:t>násobok ULN</w:t>
            </w:r>
          </w:p>
        </w:tc>
        <w:tc>
          <w:tcPr>
            <w:tcW w:w="7121" w:type="dxa"/>
          </w:tcPr>
          <w:p w14:paraId="08748FCC" w14:textId="77777777" w:rsidR="009700E5" w:rsidRDefault="002C033C">
            <w:pPr>
              <w:keepNext/>
              <w:keepLines/>
              <w:rPr>
                <w:szCs w:val="22"/>
              </w:rPr>
            </w:pPr>
            <w:r>
              <w:rPr>
                <w:szCs w:val="22"/>
              </w:rPr>
              <w:t>Úprava dávky súbežne podávaného MTX, ak je to vhodné.</w:t>
            </w:r>
          </w:p>
          <w:p w14:paraId="7ABD43F9" w14:textId="77777777" w:rsidR="009700E5" w:rsidRPr="009700E5" w:rsidRDefault="009700E5">
            <w:pPr>
              <w:pStyle w:val="TextTi12"/>
              <w:keepNext/>
              <w:keepLines/>
              <w:spacing w:after="0"/>
              <w:jc w:val="left"/>
              <w:rPr>
                <w:sz w:val="22"/>
                <w:szCs w:val="22"/>
                <w:rPrChange w:id="834" w:author="Author" w:date="2025-08-22T15:12:00Z">
                  <w:rPr>
                    <w:noProof w:val="0"/>
                    <w:sz w:val="22"/>
                    <w:szCs w:val="22"/>
                  </w:rPr>
                </w:rPrChange>
              </w:rPr>
            </w:pPr>
          </w:p>
          <w:p w14:paraId="49E59082" w14:textId="77777777" w:rsidR="009700E5" w:rsidRPr="009700E5" w:rsidRDefault="002C033C">
            <w:pPr>
              <w:pStyle w:val="TextTi12"/>
              <w:keepNext/>
              <w:keepLines/>
              <w:spacing w:after="0"/>
              <w:jc w:val="left"/>
              <w:rPr>
                <w:rFonts w:eastAsia="MS Mincho"/>
                <w:sz w:val="22"/>
                <w:szCs w:val="22"/>
                <w:rPrChange w:id="835" w:author="Author" w:date="2025-08-22T15:12:00Z">
                  <w:rPr>
                    <w:rFonts w:eastAsia="MS Mincho"/>
                    <w:noProof w:val="0"/>
                    <w:sz w:val="22"/>
                    <w:szCs w:val="22"/>
                  </w:rPr>
                </w:rPrChange>
              </w:rPr>
            </w:pPr>
            <w:r>
              <w:rPr>
                <w:sz w:val="22"/>
                <w:szCs w:val="22"/>
                <w:rPrChange w:id="836" w:author="Author" w:date="2025-08-22T15:12:00Z">
                  <w:rPr>
                    <w:noProof w:val="0"/>
                    <w:sz w:val="22"/>
                    <w:szCs w:val="22"/>
                  </w:rPr>
                </w:rPrChange>
              </w:rPr>
              <w:t>Pri pretrvávajúcich vzostupoch v tomto rozpätí prerušte podávanie tocilizumabu, kým nedôjde k normalizácii hodnôt ALT alebo AST.</w:t>
            </w:r>
          </w:p>
        </w:tc>
      </w:tr>
      <w:tr w:rsidR="009700E5" w14:paraId="0A41DC7E" w14:textId="77777777">
        <w:tc>
          <w:tcPr>
            <w:tcW w:w="2092" w:type="dxa"/>
          </w:tcPr>
          <w:p w14:paraId="310BE518" w14:textId="77777777" w:rsidR="009700E5" w:rsidRPr="009700E5" w:rsidRDefault="002C033C">
            <w:pPr>
              <w:pStyle w:val="TextTi12"/>
              <w:keepNext/>
              <w:keepLines/>
              <w:spacing w:after="0"/>
              <w:jc w:val="left"/>
              <w:rPr>
                <w:rFonts w:eastAsia="MS Mincho"/>
                <w:sz w:val="22"/>
                <w:szCs w:val="22"/>
                <w:rPrChange w:id="837" w:author="Author" w:date="2025-08-22T15:12:00Z">
                  <w:rPr>
                    <w:rFonts w:eastAsia="MS Mincho"/>
                    <w:noProof w:val="0"/>
                    <w:sz w:val="22"/>
                    <w:szCs w:val="22"/>
                  </w:rPr>
                </w:rPrChange>
              </w:rPr>
            </w:pPr>
            <w:r>
              <w:rPr>
                <w:rFonts w:eastAsia="MS Mincho"/>
                <w:sz w:val="22"/>
                <w:szCs w:val="22"/>
              </w:rPr>
              <w:sym w:font="Symbol" w:char="F03E"/>
            </w:r>
            <w:r>
              <w:rPr>
                <w:sz w:val="22"/>
                <w:szCs w:val="22"/>
                <w:rPrChange w:id="838" w:author="Author" w:date="2025-08-22T15:12:00Z">
                  <w:rPr>
                    <w:noProof w:val="0"/>
                    <w:sz w:val="22"/>
                    <w:szCs w:val="22"/>
                  </w:rPr>
                </w:rPrChange>
              </w:rPr>
              <w:t> 3</w:t>
            </w:r>
            <w:r>
              <w:rPr>
                <w:sz w:val="22"/>
                <w:szCs w:val="22"/>
                <w:rPrChange w:id="839" w:author="Author" w:date="2025-08-22T15:12:00Z">
                  <w:rPr>
                    <w:noProof w:val="0"/>
                    <w:sz w:val="22"/>
                    <w:szCs w:val="22"/>
                  </w:rPr>
                </w:rPrChange>
              </w:rPr>
              <w:noBreakHyphen/>
              <w:t> až 5</w:t>
            </w:r>
            <w:r>
              <w:rPr>
                <w:sz w:val="22"/>
                <w:szCs w:val="22"/>
                <w:rPrChange w:id="840" w:author="Author" w:date="2025-08-22T15:12:00Z">
                  <w:rPr>
                    <w:noProof w:val="0"/>
                    <w:sz w:val="22"/>
                    <w:szCs w:val="22"/>
                  </w:rPr>
                </w:rPrChange>
              </w:rPr>
              <w:noBreakHyphen/>
              <w:t>násobok ULN</w:t>
            </w:r>
          </w:p>
        </w:tc>
        <w:tc>
          <w:tcPr>
            <w:tcW w:w="7121" w:type="dxa"/>
          </w:tcPr>
          <w:p w14:paraId="30608F07" w14:textId="77777777" w:rsidR="009700E5" w:rsidRDefault="002C033C">
            <w:pPr>
              <w:keepNext/>
              <w:keepLines/>
              <w:rPr>
                <w:szCs w:val="22"/>
              </w:rPr>
            </w:pPr>
            <w:r>
              <w:rPr>
                <w:szCs w:val="22"/>
              </w:rPr>
              <w:t>Upravte dávku súbežne podávaného MTX, ak je to vhodné.</w:t>
            </w:r>
          </w:p>
          <w:p w14:paraId="035BDA0F" w14:textId="77777777" w:rsidR="009700E5" w:rsidRPr="009700E5" w:rsidRDefault="009700E5">
            <w:pPr>
              <w:pStyle w:val="TextTi12"/>
              <w:keepNext/>
              <w:keepLines/>
              <w:spacing w:after="0"/>
              <w:jc w:val="left"/>
              <w:rPr>
                <w:sz w:val="22"/>
                <w:szCs w:val="22"/>
                <w:rPrChange w:id="841" w:author="Author" w:date="2025-08-22T15:12:00Z">
                  <w:rPr>
                    <w:noProof w:val="0"/>
                    <w:sz w:val="22"/>
                    <w:szCs w:val="22"/>
                  </w:rPr>
                </w:rPrChange>
              </w:rPr>
            </w:pPr>
          </w:p>
          <w:p w14:paraId="75C9351B" w14:textId="77777777" w:rsidR="009700E5" w:rsidRPr="009700E5" w:rsidRDefault="002C033C">
            <w:pPr>
              <w:pStyle w:val="TextTi12"/>
              <w:keepNext/>
              <w:keepLines/>
              <w:spacing w:after="0"/>
              <w:jc w:val="left"/>
              <w:rPr>
                <w:sz w:val="22"/>
                <w:szCs w:val="22"/>
                <w:rPrChange w:id="842" w:author="Author" w:date="2025-08-22T15:12:00Z">
                  <w:rPr>
                    <w:noProof w:val="0"/>
                    <w:sz w:val="22"/>
                    <w:szCs w:val="22"/>
                  </w:rPr>
                </w:rPrChange>
              </w:rPr>
            </w:pPr>
            <w:r>
              <w:rPr>
                <w:sz w:val="22"/>
                <w:szCs w:val="22"/>
                <w:rPrChange w:id="843" w:author="Author" w:date="2025-08-22T15:12:00Z">
                  <w:rPr>
                    <w:noProof w:val="0"/>
                    <w:sz w:val="22"/>
                    <w:szCs w:val="22"/>
                  </w:rPr>
                </w:rPrChange>
              </w:rPr>
              <w:t xml:space="preserve">Prerušte podávanie tocilizumabu, pokým nebude hodnota </w:t>
            </w:r>
            <w:r>
              <w:rPr>
                <w:rFonts w:eastAsia="MS Mincho"/>
                <w:szCs w:val="22"/>
              </w:rPr>
              <w:sym w:font="Symbol" w:char="F03C"/>
            </w:r>
            <w:r>
              <w:rPr>
                <w:sz w:val="22"/>
                <w:szCs w:val="22"/>
                <w:rPrChange w:id="844" w:author="Author" w:date="2025-08-22T15:12:00Z">
                  <w:rPr>
                    <w:noProof w:val="0"/>
                    <w:sz w:val="22"/>
                    <w:szCs w:val="22"/>
                  </w:rPr>
                </w:rPrChange>
              </w:rPr>
              <w:t> 3</w:t>
            </w:r>
            <w:r>
              <w:rPr>
                <w:sz w:val="22"/>
                <w:szCs w:val="22"/>
                <w:rPrChange w:id="845" w:author="Author" w:date="2025-08-22T15:12:00Z">
                  <w:rPr>
                    <w:noProof w:val="0"/>
                    <w:sz w:val="22"/>
                    <w:szCs w:val="22"/>
                  </w:rPr>
                </w:rPrChange>
              </w:rPr>
              <w:noBreakHyphen/>
              <w:t xml:space="preserve">násobok ULN a postupujte podľa vyššie uvedených odporúčaní pre </w:t>
            </w:r>
            <w:r>
              <w:rPr>
                <w:rFonts w:eastAsia="MS Mincho"/>
                <w:sz w:val="22"/>
                <w:szCs w:val="22"/>
              </w:rPr>
              <w:sym w:font="Symbol" w:char="F03E"/>
            </w:r>
            <w:r>
              <w:rPr>
                <w:sz w:val="22"/>
                <w:szCs w:val="22"/>
                <w:rPrChange w:id="846" w:author="Author" w:date="2025-08-22T15:12:00Z">
                  <w:rPr>
                    <w:noProof w:val="0"/>
                    <w:sz w:val="22"/>
                    <w:szCs w:val="22"/>
                  </w:rPr>
                </w:rPrChange>
              </w:rPr>
              <w:t> 1</w:t>
            </w:r>
            <w:r>
              <w:rPr>
                <w:sz w:val="22"/>
                <w:szCs w:val="22"/>
                <w:rPrChange w:id="847" w:author="Author" w:date="2025-08-22T15:12:00Z">
                  <w:rPr>
                    <w:noProof w:val="0"/>
                    <w:sz w:val="22"/>
                    <w:szCs w:val="22"/>
                  </w:rPr>
                </w:rPrChange>
              </w:rPr>
              <w:noBreakHyphen/>
              <w:t> až 3</w:t>
            </w:r>
            <w:r>
              <w:rPr>
                <w:sz w:val="22"/>
                <w:szCs w:val="22"/>
                <w:rPrChange w:id="848" w:author="Author" w:date="2025-08-22T15:12:00Z">
                  <w:rPr>
                    <w:noProof w:val="0"/>
                    <w:sz w:val="22"/>
                    <w:szCs w:val="22"/>
                  </w:rPr>
                </w:rPrChange>
              </w:rPr>
              <w:noBreakHyphen/>
              <w:t>násobok ULN.</w:t>
            </w:r>
          </w:p>
          <w:p w14:paraId="43074DD6" w14:textId="77777777" w:rsidR="009700E5" w:rsidRPr="009700E5" w:rsidRDefault="009700E5">
            <w:pPr>
              <w:pStyle w:val="TextTi12"/>
              <w:keepNext/>
              <w:keepLines/>
              <w:spacing w:after="0"/>
              <w:jc w:val="left"/>
              <w:rPr>
                <w:rFonts w:eastAsia="MS Mincho"/>
                <w:sz w:val="22"/>
                <w:szCs w:val="22"/>
                <w:rPrChange w:id="849" w:author="Author" w:date="2025-08-22T15:12:00Z">
                  <w:rPr>
                    <w:rFonts w:eastAsia="MS Mincho"/>
                    <w:noProof w:val="0"/>
                    <w:sz w:val="22"/>
                    <w:szCs w:val="22"/>
                  </w:rPr>
                </w:rPrChange>
              </w:rPr>
            </w:pPr>
          </w:p>
        </w:tc>
      </w:tr>
      <w:tr w:rsidR="009700E5" w14:paraId="46A3711C" w14:textId="77777777">
        <w:tc>
          <w:tcPr>
            <w:tcW w:w="2092" w:type="dxa"/>
          </w:tcPr>
          <w:p w14:paraId="1BB487C5" w14:textId="77777777" w:rsidR="009700E5" w:rsidRPr="009700E5" w:rsidRDefault="002C033C">
            <w:pPr>
              <w:pStyle w:val="TextTi12"/>
              <w:keepNext/>
              <w:keepLines/>
              <w:spacing w:after="0"/>
              <w:jc w:val="left"/>
              <w:rPr>
                <w:rFonts w:eastAsia="MS Mincho"/>
                <w:sz w:val="22"/>
                <w:szCs w:val="22"/>
                <w:rPrChange w:id="850" w:author="Author" w:date="2025-08-22T15:12:00Z">
                  <w:rPr>
                    <w:rFonts w:eastAsia="MS Mincho"/>
                    <w:noProof w:val="0"/>
                    <w:sz w:val="22"/>
                    <w:szCs w:val="22"/>
                  </w:rPr>
                </w:rPrChange>
              </w:rPr>
            </w:pPr>
            <w:r>
              <w:rPr>
                <w:rFonts w:eastAsia="MS Mincho"/>
                <w:sz w:val="22"/>
                <w:szCs w:val="22"/>
              </w:rPr>
              <w:sym w:font="Symbol" w:char="F03E"/>
            </w:r>
            <w:r>
              <w:rPr>
                <w:sz w:val="22"/>
                <w:szCs w:val="22"/>
                <w:rPrChange w:id="851" w:author="Author" w:date="2025-08-22T15:12:00Z">
                  <w:rPr>
                    <w:noProof w:val="0"/>
                    <w:sz w:val="22"/>
                    <w:szCs w:val="22"/>
                  </w:rPr>
                </w:rPrChange>
              </w:rPr>
              <w:t> 5</w:t>
            </w:r>
            <w:r>
              <w:rPr>
                <w:sz w:val="22"/>
                <w:szCs w:val="22"/>
                <w:rPrChange w:id="852" w:author="Author" w:date="2025-08-22T15:12:00Z">
                  <w:rPr>
                    <w:noProof w:val="0"/>
                    <w:sz w:val="22"/>
                    <w:szCs w:val="22"/>
                  </w:rPr>
                </w:rPrChange>
              </w:rPr>
              <w:noBreakHyphen/>
              <w:t>násobok ULN</w:t>
            </w:r>
          </w:p>
        </w:tc>
        <w:tc>
          <w:tcPr>
            <w:tcW w:w="7121" w:type="dxa"/>
          </w:tcPr>
          <w:p w14:paraId="77C95AAB" w14:textId="77777777" w:rsidR="009700E5" w:rsidRPr="009700E5" w:rsidRDefault="002C033C">
            <w:pPr>
              <w:pStyle w:val="TextTi12"/>
              <w:keepNext/>
              <w:keepLines/>
              <w:spacing w:after="0"/>
              <w:jc w:val="left"/>
              <w:rPr>
                <w:sz w:val="22"/>
                <w:szCs w:val="22"/>
                <w:rPrChange w:id="853" w:author="Author" w:date="2025-08-22T15:12:00Z">
                  <w:rPr>
                    <w:noProof w:val="0"/>
                    <w:sz w:val="22"/>
                    <w:szCs w:val="22"/>
                  </w:rPr>
                </w:rPrChange>
              </w:rPr>
            </w:pPr>
            <w:r>
              <w:rPr>
                <w:sz w:val="22"/>
                <w:szCs w:val="22"/>
                <w:rPrChange w:id="854" w:author="Author" w:date="2025-08-22T15:12:00Z">
                  <w:rPr>
                    <w:noProof w:val="0"/>
                    <w:sz w:val="22"/>
                    <w:szCs w:val="22"/>
                  </w:rPr>
                </w:rPrChange>
              </w:rPr>
              <w:t>Ukončite liečbu tocilizumabom.</w:t>
            </w:r>
          </w:p>
          <w:p w14:paraId="02A8449E" w14:textId="77777777" w:rsidR="009700E5" w:rsidRPr="009700E5" w:rsidRDefault="009700E5">
            <w:pPr>
              <w:pStyle w:val="TextTi12"/>
              <w:keepNext/>
              <w:keepLines/>
              <w:spacing w:after="0"/>
              <w:jc w:val="left"/>
              <w:rPr>
                <w:sz w:val="22"/>
                <w:szCs w:val="22"/>
                <w:rPrChange w:id="855" w:author="Author" w:date="2025-08-22T15:12:00Z">
                  <w:rPr>
                    <w:noProof w:val="0"/>
                    <w:sz w:val="22"/>
                    <w:szCs w:val="22"/>
                  </w:rPr>
                </w:rPrChange>
              </w:rPr>
            </w:pPr>
          </w:p>
          <w:p w14:paraId="0C5D037F" w14:textId="77777777" w:rsidR="009700E5" w:rsidRPr="009700E5" w:rsidRDefault="002C033C">
            <w:pPr>
              <w:pStyle w:val="TextTi12"/>
              <w:keepNext/>
              <w:keepLines/>
              <w:spacing w:after="0"/>
              <w:jc w:val="left"/>
              <w:rPr>
                <w:sz w:val="22"/>
                <w:szCs w:val="22"/>
                <w:rPrChange w:id="856" w:author="Author" w:date="2025-08-22T15:12:00Z">
                  <w:rPr>
                    <w:noProof w:val="0"/>
                    <w:sz w:val="22"/>
                    <w:szCs w:val="22"/>
                  </w:rPr>
                </w:rPrChange>
              </w:rPr>
            </w:pPr>
            <w:r>
              <w:rPr>
                <w:sz w:val="22"/>
                <w:szCs w:val="22"/>
                <w:rPrChange w:id="857" w:author="Author" w:date="2025-08-22T15:12:00Z">
                  <w:rPr>
                    <w:noProof w:val="0"/>
                    <w:sz w:val="22"/>
                    <w:szCs w:val="22"/>
                  </w:rPr>
                </w:rPrChange>
              </w:rPr>
              <w:t>Rozhodnutie o ukončení liečby u pacientov so sJIA alebo pJIA pre laboratórne odchýlky musí byť založené na lekárskom zhodnotení každého individuálneho pacienta.</w:t>
            </w:r>
          </w:p>
          <w:p w14:paraId="675BC50D" w14:textId="77777777" w:rsidR="009700E5" w:rsidRPr="009700E5" w:rsidRDefault="009700E5">
            <w:pPr>
              <w:pStyle w:val="TextTi12"/>
              <w:keepNext/>
              <w:keepLines/>
              <w:spacing w:after="0"/>
              <w:jc w:val="left"/>
              <w:rPr>
                <w:rFonts w:eastAsia="MS Mincho"/>
                <w:sz w:val="22"/>
                <w:szCs w:val="22"/>
                <w:rPrChange w:id="858" w:author="Author" w:date="2025-08-22T15:12:00Z">
                  <w:rPr>
                    <w:rFonts w:eastAsia="MS Mincho"/>
                    <w:noProof w:val="0"/>
                    <w:sz w:val="22"/>
                    <w:szCs w:val="22"/>
                  </w:rPr>
                </w:rPrChange>
              </w:rPr>
            </w:pPr>
          </w:p>
        </w:tc>
      </w:tr>
    </w:tbl>
    <w:p w14:paraId="07371139" w14:textId="77777777" w:rsidR="009700E5" w:rsidRDefault="009700E5">
      <w:pPr>
        <w:rPr>
          <w:szCs w:val="22"/>
        </w:rPr>
      </w:pPr>
    </w:p>
    <w:p w14:paraId="669C6736" w14:textId="77777777" w:rsidR="009700E5" w:rsidRDefault="002C033C">
      <w:pPr>
        <w:keepNext/>
        <w:keepLines/>
        <w:ind w:left="567" w:hanging="425"/>
        <w:pPrChange w:id="859" w:author="Author" w:date="2025-07-18T23:25:00Z">
          <w:pPr>
            <w:keepNext/>
            <w:keepLines/>
            <w:ind w:left="567" w:hanging="567"/>
          </w:pPr>
        </w:pPrChange>
      </w:pPr>
      <w:r>
        <w:rPr>
          <w:szCs w:val="22"/>
        </w:rPr>
        <w:sym w:font="Symbol" w:char="F0B7"/>
      </w:r>
      <w:r>
        <w:tab/>
        <w:t>Nízky absolútny počet neutrofilov (ANC)</w:t>
      </w:r>
    </w:p>
    <w:p w14:paraId="1930629A" w14:textId="77777777" w:rsidR="009700E5" w:rsidRDefault="009700E5">
      <w:pPr>
        <w:keepNext/>
        <w:keepLines/>
        <w:ind w:left="480"/>
      </w:pPr>
    </w:p>
    <w:tbl>
      <w:tblPr>
        <w:tblW w:w="92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2"/>
        <w:gridCol w:w="7121"/>
      </w:tblGrid>
      <w:tr w:rsidR="009700E5" w14:paraId="5B3B2296" w14:textId="77777777">
        <w:tc>
          <w:tcPr>
            <w:tcW w:w="2092" w:type="dxa"/>
          </w:tcPr>
          <w:p w14:paraId="70437B92" w14:textId="77777777" w:rsidR="009700E5" w:rsidRDefault="002C033C">
            <w:pPr>
              <w:keepNext/>
              <w:keepLines/>
              <w:jc w:val="center"/>
              <w:rPr>
                <w:bCs/>
                <w:szCs w:val="22"/>
              </w:rPr>
            </w:pPr>
            <w:r>
              <w:rPr>
                <w:bCs/>
                <w:szCs w:val="22"/>
              </w:rPr>
              <w:t>Laboratórna hodnota (bunky </w:t>
            </w:r>
            <w:r>
              <w:rPr>
                <w:rFonts w:eastAsia="MS Mincho"/>
                <w:bCs/>
                <w:szCs w:val="22"/>
              </w:rPr>
              <w:t>×</w:t>
            </w:r>
            <w:r>
              <w:rPr>
                <w:bCs/>
                <w:szCs w:val="22"/>
              </w:rPr>
              <w:t> 10</w:t>
            </w:r>
            <w:r>
              <w:rPr>
                <w:bCs/>
                <w:szCs w:val="22"/>
                <w:vertAlign w:val="superscript"/>
              </w:rPr>
              <w:t>9</w:t>
            </w:r>
            <w:r>
              <w:rPr>
                <w:bCs/>
                <w:szCs w:val="22"/>
              </w:rPr>
              <w:t>/l)</w:t>
            </w:r>
          </w:p>
        </w:tc>
        <w:tc>
          <w:tcPr>
            <w:tcW w:w="7121" w:type="dxa"/>
          </w:tcPr>
          <w:p w14:paraId="67E870C5" w14:textId="77777777" w:rsidR="009700E5" w:rsidRPr="009700E5" w:rsidRDefault="002C033C">
            <w:pPr>
              <w:pStyle w:val="TextTi12"/>
              <w:keepNext/>
              <w:keepLines/>
              <w:jc w:val="center"/>
              <w:rPr>
                <w:bCs/>
                <w:sz w:val="22"/>
                <w:szCs w:val="22"/>
                <w:rPrChange w:id="860" w:author="Author" w:date="2025-08-22T15:12:00Z">
                  <w:rPr>
                    <w:bCs/>
                    <w:noProof w:val="0"/>
                    <w:sz w:val="22"/>
                    <w:szCs w:val="22"/>
                  </w:rPr>
                </w:rPrChange>
              </w:rPr>
            </w:pPr>
            <w:r>
              <w:rPr>
                <w:bCs/>
                <w:sz w:val="22"/>
                <w:szCs w:val="22"/>
                <w:rPrChange w:id="861" w:author="Author" w:date="2025-08-22T15:12:00Z">
                  <w:rPr>
                    <w:bCs/>
                    <w:noProof w:val="0"/>
                    <w:sz w:val="22"/>
                    <w:szCs w:val="22"/>
                  </w:rPr>
                </w:rPrChange>
              </w:rPr>
              <w:t>Opatrenie</w:t>
            </w:r>
          </w:p>
        </w:tc>
      </w:tr>
      <w:tr w:rsidR="009700E5" w14:paraId="2165FC8B" w14:textId="77777777">
        <w:tc>
          <w:tcPr>
            <w:tcW w:w="2092" w:type="dxa"/>
          </w:tcPr>
          <w:p w14:paraId="06AAB959" w14:textId="77777777" w:rsidR="009700E5" w:rsidRPr="009700E5" w:rsidRDefault="002C033C">
            <w:pPr>
              <w:pStyle w:val="TextTi12"/>
              <w:jc w:val="left"/>
              <w:rPr>
                <w:sz w:val="22"/>
                <w:szCs w:val="22"/>
                <w:rPrChange w:id="862" w:author="Author" w:date="2025-08-22T15:12:00Z">
                  <w:rPr>
                    <w:noProof w:val="0"/>
                    <w:sz w:val="22"/>
                    <w:szCs w:val="22"/>
                  </w:rPr>
                </w:rPrChange>
              </w:rPr>
            </w:pPr>
            <w:r>
              <w:rPr>
                <w:sz w:val="22"/>
                <w:szCs w:val="22"/>
                <w:rPrChange w:id="863" w:author="Author" w:date="2025-08-22T15:12:00Z">
                  <w:rPr>
                    <w:noProof w:val="0"/>
                    <w:sz w:val="22"/>
                    <w:szCs w:val="22"/>
                  </w:rPr>
                </w:rPrChange>
              </w:rPr>
              <w:t>ANC </w:t>
            </w:r>
            <w:r>
              <w:rPr>
                <w:rFonts w:eastAsia="MS Mincho"/>
                <w:sz w:val="22"/>
                <w:szCs w:val="22"/>
              </w:rPr>
              <w:sym w:font="Symbol" w:char="F03E"/>
            </w:r>
            <w:r>
              <w:rPr>
                <w:sz w:val="22"/>
                <w:szCs w:val="22"/>
                <w:rPrChange w:id="864" w:author="Author" w:date="2025-08-22T15:12:00Z">
                  <w:rPr>
                    <w:noProof w:val="0"/>
                    <w:sz w:val="22"/>
                    <w:szCs w:val="22"/>
                  </w:rPr>
                </w:rPrChange>
              </w:rPr>
              <w:t> 1</w:t>
            </w:r>
          </w:p>
        </w:tc>
        <w:tc>
          <w:tcPr>
            <w:tcW w:w="7121" w:type="dxa"/>
          </w:tcPr>
          <w:p w14:paraId="5E95518A" w14:textId="77777777" w:rsidR="009700E5" w:rsidRPr="009700E5" w:rsidRDefault="002C033C">
            <w:pPr>
              <w:pStyle w:val="TextTi12"/>
              <w:spacing w:after="0"/>
              <w:rPr>
                <w:sz w:val="22"/>
                <w:szCs w:val="22"/>
                <w:rPrChange w:id="865" w:author="Author" w:date="2025-08-22T15:12:00Z">
                  <w:rPr>
                    <w:noProof w:val="0"/>
                    <w:sz w:val="22"/>
                    <w:szCs w:val="22"/>
                  </w:rPr>
                </w:rPrChange>
              </w:rPr>
            </w:pPr>
            <w:r>
              <w:rPr>
                <w:sz w:val="22"/>
                <w:szCs w:val="22"/>
                <w:rPrChange w:id="866" w:author="Author" w:date="2025-08-22T15:12:00Z">
                  <w:rPr>
                    <w:noProof w:val="0"/>
                    <w:sz w:val="22"/>
                    <w:szCs w:val="22"/>
                  </w:rPr>
                </w:rPrChange>
              </w:rPr>
              <w:t>Udržiavajte dávku.</w:t>
            </w:r>
          </w:p>
        </w:tc>
      </w:tr>
      <w:tr w:rsidR="009700E5" w14:paraId="733FE0F1" w14:textId="77777777">
        <w:tc>
          <w:tcPr>
            <w:tcW w:w="2092" w:type="dxa"/>
          </w:tcPr>
          <w:p w14:paraId="60961911" w14:textId="77777777" w:rsidR="009700E5" w:rsidRPr="009700E5" w:rsidRDefault="002C033C">
            <w:pPr>
              <w:pStyle w:val="TextTi12"/>
              <w:jc w:val="left"/>
              <w:rPr>
                <w:sz w:val="22"/>
                <w:szCs w:val="22"/>
                <w:rPrChange w:id="867" w:author="Author" w:date="2025-08-22T15:12:00Z">
                  <w:rPr>
                    <w:noProof w:val="0"/>
                    <w:sz w:val="22"/>
                    <w:szCs w:val="22"/>
                  </w:rPr>
                </w:rPrChange>
              </w:rPr>
            </w:pPr>
            <w:r>
              <w:rPr>
                <w:sz w:val="22"/>
                <w:szCs w:val="22"/>
                <w:rPrChange w:id="868" w:author="Author" w:date="2025-08-22T15:12:00Z">
                  <w:rPr>
                    <w:noProof w:val="0"/>
                    <w:sz w:val="22"/>
                    <w:szCs w:val="22"/>
                  </w:rPr>
                </w:rPrChange>
              </w:rPr>
              <w:t>ANC 0,5 až 1</w:t>
            </w:r>
          </w:p>
        </w:tc>
        <w:tc>
          <w:tcPr>
            <w:tcW w:w="7121" w:type="dxa"/>
          </w:tcPr>
          <w:p w14:paraId="794C8055" w14:textId="77777777" w:rsidR="009700E5" w:rsidRDefault="002C033C">
            <w:pPr>
              <w:rPr>
                <w:szCs w:val="22"/>
              </w:rPr>
            </w:pPr>
            <w:r>
              <w:rPr>
                <w:szCs w:val="22"/>
              </w:rPr>
              <w:t>Prerušte podávanie tocilizumabu.</w:t>
            </w:r>
          </w:p>
          <w:p w14:paraId="06E430F2" w14:textId="77777777" w:rsidR="009700E5" w:rsidRDefault="009700E5">
            <w:pPr>
              <w:rPr>
                <w:szCs w:val="22"/>
              </w:rPr>
            </w:pPr>
          </w:p>
          <w:p w14:paraId="7B367553" w14:textId="77777777" w:rsidR="009700E5" w:rsidRPr="009700E5" w:rsidRDefault="002C033C">
            <w:pPr>
              <w:pStyle w:val="TextTi12"/>
              <w:spacing w:after="0"/>
              <w:jc w:val="left"/>
              <w:rPr>
                <w:sz w:val="22"/>
                <w:szCs w:val="22"/>
                <w:rPrChange w:id="869" w:author="Author" w:date="2025-08-22T15:12:00Z">
                  <w:rPr>
                    <w:noProof w:val="0"/>
                    <w:sz w:val="22"/>
                    <w:szCs w:val="22"/>
                  </w:rPr>
                </w:rPrChange>
              </w:rPr>
            </w:pPr>
            <w:r>
              <w:rPr>
                <w:sz w:val="22"/>
                <w:szCs w:val="22"/>
                <w:rPrChange w:id="870" w:author="Author" w:date="2025-08-22T15:12:00Z">
                  <w:rPr>
                    <w:noProof w:val="0"/>
                    <w:sz w:val="22"/>
                    <w:szCs w:val="22"/>
                  </w:rPr>
                </w:rPrChange>
              </w:rPr>
              <w:t xml:space="preserve">Keď sa ANC zvýši na </w:t>
            </w:r>
            <w:r>
              <w:rPr>
                <w:rFonts w:eastAsia="MS Mincho"/>
                <w:sz w:val="22"/>
                <w:szCs w:val="22"/>
              </w:rPr>
              <w:sym w:font="Symbol" w:char="F03E"/>
            </w:r>
            <w:r>
              <w:rPr>
                <w:sz w:val="22"/>
                <w:szCs w:val="22"/>
                <w:rPrChange w:id="871" w:author="Author" w:date="2025-08-22T15:12:00Z">
                  <w:rPr>
                    <w:noProof w:val="0"/>
                    <w:sz w:val="22"/>
                    <w:szCs w:val="22"/>
                  </w:rPr>
                </w:rPrChange>
              </w:rPr>
              <w:t> 1 </w:t>
            </w:r>
            <w:r>
              <w:rPr>
                <w:rFonts w:eastAsia="MS Mincho"/>
                <w:sz w:val="22"/>
                <w:szCs w:val="22"/>
              </w:rPr>
              <w:t>×</w:t>
            </w:r>
            <w:r>
              <w:rPr>
                <w:sz w:val="22"/>
                <w:szCs w:val="22"/>
                <w:rPrChange w:id="872" w:author="Author" w:date="2025-08-22T15:12:00Z">
                  <w:rPr>
                    <w:noProof w:val="0"/>
                    <w:sz w:val="22"/>
                    <w:szCs w:val="22"/>
                  </w:rPr>
                </w:rPrChange>
              </w:rPr>
              <w:t> 10</w:t>
            </w:r>
            <w:r>
              <w:rPr>
                <w:sz w:val="22"/>
                <w:szCs w:val="22"/>
                <w:vertAlign w:val="superscript"/>
                <w:rPrChange w:id="873" w:author="Author" w:date="2025-08-22T15:12:00Z">
                  <w:rPr>
                    <w:noProof w:val="0"/>
                    <w:sz w:val="22"/>
                    <w:szCs w:val="22"/>
                    <w:vertAlign w:val="superscript"/>
                  </w:rPr>
                </w:rPrChange>
              </w:rPr>
              <w:t>9</w:t>
            </w:r>
            <w:r>
              <w:rPr>
                <w:sz w:val="22"/>
                <w:szCs w:val="22"/>
                <w:rPrChange w:id="874" w:author="Author" w:date="2025-08-22T15:12:00Z">
                  <w:rPr>
                    <w:noProof w:val="0"/>
                    <w:sz w:val="22"/>
                    <w:szCs w:val="22"/>
                  </w:rPr>
                </w:rPrChange>
              </w:rPr>
              <w:t>/l, liečbu znovu začnite.</w:t>
            </w:r>
          </w:p>
        </w:tc>
      </w:tr>
      <w:tr w:rsidR="009700E5" w14:paraId="089F4FE2" w14:textId="77777777">
        <w:tc>
          <w:tcPr>
            <w:tcW w:w="2092" w:type="dxa"/>
          </w:tcPr>
          <w:p w14:paraId="74A57E0D" w14:textId="77777777" w:rsidR="009700E5" w:rsidRPr="009700E5" w:rsidRDefault="002C033C">
            <w:pPr>
              <w:pStyle w:val="TextTi12"/>
              <w:jc w:val="left"/>
              <w:rPr>
                <w:sz w:val="22"/>
                <w:szCs w:val="22"/>
                <w:rPrChange w:id="875" w:author="Author" w:date="2025-08-22T15:12:00Z">
                  <w:rPr>
                    <w:noProof w:val="0"/>
                    <w:sz w:val="22"/>
                    <w:szCs w:val="22"/>
                  </w:rPr>
                </w:rPrChange>
              </w:rPr>
            </w:pPr>
            <w:r>
              <w:rPr>
                <w:sz w:val="22"/>
                <w:szCs w:val="22"/>
                <w:rPrChange w:id="876" w:author="Author" w:date="2025-08-22T15:12:00Z">
                  <w:rPr>
                    <w:noProof w:val="0"/>
                    <w:sz w:val="22"/>
                    <w:szCs w:val="22"/>
                  </w:rPr>
                </w:rPrChange>
              </w:rPr>
              <w:t>ANC </w:t>
            </w:r>
            <w:r>
              <w:rPr>
                <w:rFonts w:eastAsia="MS Mincho"/>
                <w:szCs w:val="22"/>
              </w:rPr>
              <w:sym w:font="Symbol" w:char="F03C"/>
            </w:r>
            <w:r>
              <w:rPr>
                <w:sz w:val="22"/>
                <w:szCs w:val="22"/>
                <w:rPrChange w:id="877" w:author="Author" w:date="2025-08-22T15:12:00Z">
                  <w:rPr>
                    <w:noProof w:val="0"/>
                    <w:sz w:val="22"/>
                    <w:szCs w:val="22"/>
                  </w:rPr>
                </w:rPrChange>
              </w:rPr>
              <w:t> 0,5</w:t>
            </w:r>
          </w:p>
        </w:tc>
        <w:tc>
          <w:tcPr>
            <w:tcW w:w="7121" w:type="dxa"/>
          </w:tcPr>
          <w:p w14:paraId="0BE1A659" w14:textId="77777777" w:rsidR="009700E5" w:rsidRPr="009700E5" w:rsidRDefault="002C033C">
            <w:pPr>
              <w:pStyle w:val="TextTi12"/>
              <w:spacing w:after="0"/>
              <w:rPr>
                <w:sz w:val="22"/>
                <w:szCs w:val="22"/>
                <w:rPrChange w:id="878" w:author="Author" w:date="2025-08-22T15:12:00Z">
                  <w:rPr>
                    <w:noProof w:val="0"/>
                    <w:sz w:val="22"/>
                    <w:szCs w:val="22"/>
                  </w:rPr>
                </w:rPrChange>
              </w:rPr>
            </w:pPr>
            <w:r>
              <w:rPr>
                <w:sz w:val="22"/>
                <w:szCs w:val="22"/>
                <w:rPrChange w:id="879" w:author="Author" w:date="2025-08-22T15:12:00Z">
                  <w:rPr>
                    <w:noProof w:val="0"/>
                    <w:sz w:val="22"/>
                    <w:szCs w:val="22"/>
                  </w:rPr>
                </w:rPrChange>
              </w:rPr>
              <w:t>Ukončite liečbu tocilizumabom.</w:t>
            </w:r>
          </w:p>
          <w:p w14:paraId="6AB74DEA" w14:textId="77777777" w:rsidR="009700E5" w:rsidRPr="009700E5" w:rsidRDefault="009700E5">
            <w:pPr>
              <w:pStyle w:val="TextTi12"/>
              <w:spacing w:after="0"/>
              <w:rPr>
                <w:sz w:val="22"/>
                <w:szCs w:val="22"/>
                <w:rPrChange w:id="880" w:author="Author" w:date="2025-08-22T15:12:00Z">
                  <w:rPr>
                    <w:noProof w:val="0"/>
                    <w:sz w:val="22"/>
                    <w:szCs w:val="22"/>
                  </w:rPr>
                </w:rPrChange>
              </w:rPr>
            </w:pPr>
          </w:p>
          <w:p w14:paraId="153502F2" w14:textId="77777777" w:rsidR="009700E5" w:rsidRPr="009700E5" w:rsidRDefault="002C033C">
            <w:pPr>
              <w:pStyle w:val="TextTi12"/>
              <w:spacing w:after="0"/>
              <w:jc w:val="left"/>
              <w:rPr>
                <w:sz w:val="22"/>
                <w:szCs w:val="22"/>
                <w:rPrChange w:id="881" w:author="Author" w:date="2025-08-22T15:12:00Z">
                  <w:rPr>
                    <w:noProof w:val="0"/>
                    <w:sz w:val="22"/>
                    <w:szCs w:val="22"/>
                  </w:rPr>
                </w:rPrChange>
              </w:rPr>
            </w:pPr>
            <w:r>
              <w:rPr>
                <w:sz w:val="22"/>
                <w:szCs w:val="22"/>
                <w:rPrChange w:id="882" w:author="Author" w:date="2025-08-22T15:12:00Z">
                  <w:rPr>
                    <w:noProof w:val="0"/>
                    <w:sz w:val="22"/>
                    <w:szCs w:val="22"/>
                  </w:rPr>
                </w:rPrChange>
              </w:rPr>
              <w:t>Rozhodnutie o ukončení liečby</w:t>
            </w:r>
            <w:r>
              <w:rPr>
                <w:rPrChange w:id="883" w:author="Author" w:date="2025-08-22T15:12:00Z">
                  <w:rPr>
                    <w:noProof w:val="0"/>
                  </w:rPr>
                </w:rPrChange>
              </w:rPr>
              <w:t xml:space="preserve"> u pacientov so sJIA alebo </w:t>
            </w:r>
            <w:r>
              <w:rPr>
                <w:sz w:val="22"/>
                <w:szCs w:val="22"/>
                <w:rPrChange w:id="884" w:author="Author" w:date="2025-08-22T15:12:00Z">
                  <w:rPr>
                    <w:noProof w:val="0"/>
                    <w:sz w:val="22"/>
                    <w:szCs w:val="22"/>
                  </w:rPr>
                </w:rPrChange>
              </w:rPr>
              <w:t>pJIA pre laboratórne odchýlky musí byť založené na lekárskom zhodnotení každého individuálneho pacienta.</w:t>
            </w:r>
          </w:p>
          <w:p w14:paraId="2DBEB7D6" w14:textId="77777777" w:rsidR="009700E5" w:rsidRPr="009700E5" w:rsidRDefault="009700E5">
            <w:pPr>
              <w:pStyle w:val="TextTi12"/>
              <w:spacing w:after="0"/>
              <w:jc w:val="left"/>
              <w:rPr>
                <w:sz w:val="22"/>
                <w:szCs w:val="22"/>
                <w:rPrChange w:id="885" w:author="Author" w:date="2025-08-22T15:12:00Z">
                  <w:rPr>
                    <w:noProof w:val="0"/>
                    <w:sz w:val="22"/>
                    <w:szCs w:val="22"/>
                  </w:rPr>
                </w:rPrChange>
              </w:rPr>
            </w:pPr>
          </w:p>
        </w:tc>
      </w:tr>
    </w:tbl>
    <w:p w14:paraId="62C83AFC" w14:textId="77777777" w:rsidR="009700E5" w:rsidRDefault="009700E5">
      <w:pPr>
        <w:rPr>
          <w:szCs w:val="22"/>
        </w:rPr>
      </w:pPr>
    </w:p>
    <w:p w14:paraId="368BC3FE" w14:textId="77777777" w:rsidR="009700E5" w:rsidRDefault="002C033C">
      <w:pPr>
        <w:keepNext/>
        <w:keepLines/>
        <w:ind w:left="567" w:hanging="425"/>
        <w:rPr>
          <w:szCs w:val="22"/>
        </w:rPr>
        <w:pPrChange w:id="886" w:author="Author" w:date="2025-07-18T23:25:00Z">
          <w:pPr>
            <w:keepNext/>
            <w:keepLines/>
            <w:ind w:left="567" w:hanging="567"/>
          </w:pPr>
        </w:pPrChange>
      </w:pPr>
      <w:r>
        <w:rPr>
          <w:szCs w:val="22"/>
        </w:rPr>
        <w:lastRenderedPageBreak/>
        <w:sym w:font="Symbol" w:char="F0B7"/>
      </w:r>
      <w:r>
        <w:tab/>
      </w:r>
      <w:r>
        <w:rPr>
          <w:szCs w:val="22"/>
        </w:rPr>
        <w:t>Nízky počet trombocytov</w:t>
      </w:r>
    </w:p>
    <w:p w14:paraId="2AEAB713" w14:textId="77777777" w:rsidR="009700E5" w:rsidRDefault="009700E5">
      <w:pPr>
        <w:keepNext/>
        <w:keepLines/>
        <w:rPr>
          <w:szCs w:val="22"/>
        </w:rPr>
      </w:pPr>
    </w:p>
    <w:tbl>
      <w:tblPr>
        <w:tblW w:w="92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2"/>
        <w:gridCol w:w="7121"/>
      </w:tblGrid>
      <w:tr w:rsidR="009700E5" w14:paraId="6096ADFF" w14:textId="77777777">
        <w:tc>
          <w:tcPr>
            <w:tcW w:w="2092" w:type="dxa"/>
          </w:tcPr>
          <w:p w14:paraId="097E188A" w14:textId="77777777" w:rsidR="009700E5" w:rsidRDefault="002C033C">
            <w:pPr>
              <w:keepNext/>
              <w:keepLines/>
              <w:jc w:val="center"/>
              <w:rPr>
                <w:bCs/>
                <w:szCs w:val="22"/>
              </w:rPr>
            </w:pPr>
            <w:r>
              <w:rPr>
                <w:bCs/>
                <w:szCs w:val="22"/>
              </w:rPr>
              <w:t>Laboratórna hodnota (bunky </w:t>
            </w:r>
            <w:r>
              <w:rPr>
                <w:rFonts w:eastAsia="MS Mincho"/>
                <w:bCs/>
                <w:szCs w:val="22"/>
              </w:rPr>
              <w:t>×</w:t>
            </w:r>
            <w:r>
              <w:rPr>
                <w:bCs/>
                <w:szCs w:val="22"/>
              </w:rPr>
              <w:t> 10</w:t>
            </w:r>
            <w:r>
              <w:rPr>
                <w:bCs/>
                <w:szCs w:val="22"/>
                <w:vertAlign w:val="superscript"/>
              </w:rPr>
              <w:t>3</w:t>
            </w:r>
            <w:r>
              <w:rPr>
                <w:bCs/>
                <w:szCs w:val="22"/>
              </w:rPr>
              <w:t>/</w:t>
            </w:r>
            <w:r>
              <w:rPr>
                <w:bCs/>
                <w:szCs w:val="22"/>
              </w:rPr>
              <w:sym w:font="Symbol" w:char="F06D"/>
            </w:r>
            <w:r>
              <w:rPr>
                <w:bCs/>
                <w:szCs w:val="22"/>
              </w:rPr>
              <w:t>l)</w:t>
            </w:r>
          </w:p>
        </w:tc>
        <w:tc>
          <w:tcPr>
            <w:tcW w:w="7121" w:type="dxa"/>
          </w:tcPr>
          <w:p w14:paraId="4580284B" w14:textId="77777777" w:rsidR="009700E5" w:rsidRPr="009700E5" w:rsidRDefault="002C033C">
            <w:pPr>
              <w:pStyle w:val="TextTi12"/>
              <w:keepNext/>
              <w:keepLines/>
              <w:jc w:val="center"/>
              <w:rPr>
                <w:bCs/>
                <w:sz w:val="22"/>
                <w:szCs w:val="22"/>
                <w:rPrChange w:id="887" w:author="Author" w:date="2025-08-22T15:12:00Z">
                  <w:rPr>
                    <w:bCs/>
                    <w:noProof w:val="0"/>
                    <w:sz w:val="22"/>
                    <w:szCs w:val="22"/>
                  </w:rPr>
                </w:rPrChange>
              </w:rPr>
            </w:pPr>
            <w:r>
              <w:rPr>
                <w:bCs/>
                <w:sz w:val="22"/>
                <w:szCs w:val="22"/>
                <w:rPrChange w:id="888" w:author="Author" w:date="2025-08-22T15:12:00Z">
                  <w:rPr>
                    <w:bCs/>
                    <w:noProof w:val="0"/>
                    <w:sz w:val="22"/>
                    <w:szCs w:val="22"/>
                  </w:rPr>
                </w:rPrChange>
              </w:rPr>
              <w:t>Opatrenie</w:t>
            </w:r>
          </w:p>
        </w:tc>
      </w:tr>
      <w:tr w:rsidR="009700E5" w14:paraId="2BDC0308" w14:textId="77777777">
        <w:tc>
          <w:tcPr>
            <w:tcW w:w="2092" w:type="dxa"/>
          </w:tcPr>
          <w:p w14:paraId="0F9DE6EE" w14:textId="77777777" w:rsidR="009700E5" w:rsidRPr="009700E5" w:rsidRDefault="002C033C">
            <w:pPr>
              <w:pStyle w:val="TextTi12"/>
              <w:keepNext/>
              <w:keepLines/>
              <w:jc w:val="left"/>
              <w:rPr>
                <w:sz w:val="22"/>
                <w:szCs w:val="22"/>
                <w:rPrChange w:id="889" w:author="Author" w:date="2025-08-22T15:12:00Z">
                  <w:rPr>
                    <w:noProof w:val="0"/>
                    <w:sz w:val="22"/>
                    <w:szCs w:val="22"/>
                  </w:rPr>
                </w:rPrChange>
              </w:rPr>
            </w:pPr>
            <w:r>
              <w:rPr>
                <w:sz w:val="22"/>
                <w:szCs w:val="22"/>
                <w:rPrChange w:id="890" w:author="Author" w:date="2025-08-22T15:12:00Z">
                  <w:rPr>
                    <w:noProof w:val="0"/>
                    <w:sz w:val="22"/>
                    <w:szCs w:val="22"/>
                  </w:rPr>
                </w:rPrChange>
              </w:rPr>
              <w:t>50 až 100</w:t>
            </w:r>
          </w:p>
        </w:tc>
        <w:tc>
          <w:tcPr>
            <w:tcW w:w="7121" w:type="dxa"/>
          </w:tcPr>
          <w:p w14:paraId="37B10364" w14:textId="77777777" w:rsidR="009700E5" w:rsidRDefault="002C033C">
            <w:pPr>
              <w:keepNext/>
              <w:keepLines/>
              <w:rPr>
                <w:szCs w:val="22"/>
              </w:rPr>
            </w:pPr>
            <w:r>
              <w:rPr>
                <w:szCs w:val="22"/>
              </w:rPr>
              <w:t>Úprava dávky súbežne podávaného MTX, ak je to vhodné.</w:t>
            </w:r>
          </w:p>
          <w:p w14:paraId="1CDBDF62" w14:textId="77777777" w:rsidR="009700E5" w:rsidRDefault="009700E5">
            <w:pPr>
              <w:keepNext/>
              <w:keepLines/>
              <w:rPr>
                <w:szCs w:val="22"/>
              </w:rPr>
            </w:pPr>
          </w:p>
          <w:p w14:paraId="3A157417" w14:textId="77777777" w:rsidR="009700E5" w:rsidRDefault="002C033C">
            <w:pPr>
              <w:keepNext/>
              <w:keepLines/>
              <w:rPr>
                <w:szCs w:val="22"/>
              </w:rPr>
            </w:pPr>
            <w:r>
              <w:rPr>
                <w:szCs w:val="22"/>
              </w:rPr>
              <w:t>Prerušte podávanie tocilizumabu.</w:t>
            </w:r>
          </w:p>
          <w:p w14:paraId="641366C0" w14:textId="77777777" w:rsidR="009700E5" w:rsidRPr="009700E5" w:rsidRDefault="009700E5">
            <w:pPr>
              <w:pStyle w:val="TextTi12"/>
              <w:keepNext/>
              <w:keepLines/>
              <w:spacing w:after="0"/>
              <w:jc w:val="left"/>
              <w:rPr>
                <w:sz w:val="22"/>
                <w:szCs w:val="22"/>
                <w:rPrChange w:id="891" w:author="Author" w:date="2025-08-22T15:12:00Z">
                  <w:rPr>
                    <w:noProof w:val="0"/>
                    <w:sz w:val="22"/>
                    <w:szCs w:val="22"/>
                  </w:rPr>
                </w:rPrChange>
              </w:rPr>
            </w:pPr>
          </w:p>
          <w:p w14:paraId="5759D021" w14:textId="77777777" w:rsidR="009700E5" w:rsidRPr="009700E5" w:rsidRDefault="002C033C">
            <w:pPr>
              <w:pStyle w:val="TextTi12"/>
              <w:keepNext/>
              <w:keepLines/>
              <w:spacing w:after="0"/>
              <w:jc w:val="left"/>
              <w:rPr>
                <w:sz w:val="22"/>
                <w:szCs w:val="22"/>
                <w:rPrChange w:id="892" w:author="Author" w:date="2025-08-22T15:12:00Z">
                  <w:rPr>
                    <w:noProof w:val="0"/>
                    <w:sz w:val="22"/>
                    <w:szCs w:val="22"/>
                  </w:rPr>
                </w:rPrChange>
              </w:rPr>
            </w:pPr>
            <w:r>
              <w:rPr>
                <w:sz w:val="22"/>
                <w:szCs w:val="22"/>
                <w:rPrChange w:id="893" w:author="Author" w:date="2025-08-22T15:12:00Z">
                  <w:rPr>
                    <w:noProof w:val="0"/>
                    <w:sz w:val="22"/>
                    <w:szCs w:val="22"/>
                  </w:rPr>
                </w:rPrChange>
              </w:rPr>
              <w:t xml:space="preserve">Keď bude počet trombocytov </w:t>
            </w:r>
            <w:r>
              <w:rPr>
                <w:rFonts w:eastAsia="MS Mincho"/>
                <w:sz w:val="22"/>
                <w:szCs w:val="22"/>
              </w:rPr>
              <w:sym w:font="Symbol" w:char="F03E"/>
            </w:r>
            <w:r>
              <w:rPr>
                <w:sz w:val="22"/>
                <w:szCs w:val="22"/>
                <w:rPrChange w:id="894" w:author="Author" w:date="2025-08-22T15:12:00Z">
                  <w:rPr>
                    <w:noProof w:val="0"/>
                    <w:sz w:val="22"/>
                    <w:szCs w:val="22"/>
                  </w:rPr>
                </w:rPrChange>
              </w:rPr>
              <w:t> 100 </w:t>
            </w:r>
            <w:r>
              <w:rPr>
                <w:rFonts w:eastAsia="MS Mincho"/>
                <w:sz w:val="22"/>
                <w:szCs w:val="22"/>
              </w:rPr>
              <w:t>×</w:t>
            </w:r>
            <w:r>
              <w:rPr>
                <w:sz w:val="22"/>
                <w:szCs w:val="22"/>
                <w:rPrChange w:id="895" w:author="Author" w:date="2025-08-22T15:12:00Z">
                  <w:rPr>
                    <w:noProof w:val="0"/>
                    <w:sz w:val="22"/>
                    <w:szCs w:val="22"/>
                  </w:rPr>
                </w:rPrChange>
              </w:rPr>
              <w:t> 10</w:t>
            </w:r>
            <w:r>
              <w:rPr>
                <w:sz w:val="22"/>
                <w:szCs w:val="22"/>
                <w:vertAlign w:val="superscript"/>
                <w:rPrChange w:id="896" w:author="Author" w:date="2025-08-22T15:12:00Z">
                  <w:rPr>
                    <w:noProof w:val="0"/>
                    <w:sz w:val="22"/>
                    <w:szCs w:val="22"/>
                    <w:vertAlign w:val="superscript"/>
                  </w:rPr>
                </w:rPrChange>
              </w:rPr>
              <w:t>3</w:t>
            </w:r>
            <w:r>
              <w:rPr>
                <w:sz w:val="22"/>
                <w:szCs w:val="22"/>
                <w:rPrChange w:id="897" w:author="Author" w:date="2025-08-22T15:12:00Z">
                  <w:rPr>
                    <w:noProof w:val="0"/>
                    <w:sz w:val="22"/>
                    <w:szCs w:val="22"/>
                  </w:rPr>
                </w:rPrChange>
              </w:rPr>
              <w:t>/</w:t>
            </w:r>
            <w:r>
              <w:rPr>
                <w:rFonts w:eastAsia="MS Mincho"/>
                <w:sz w:val="22"/>
                <w:szCs w:val="22"/>
              </w:rPr>
              <w:sym w:font="Symbol" w:char="F06D"/>
            </w:r>
            <w:r>
              <w:rPr>
                <w:sz w:val="22"/>
                <w:szCs w:val="22"/>
                <w:rPrChange w:id="898" w:author="Author" w:date="2025-08-22T15:12:00Z">
                  <w:rPr>
                    <w:noProof w:val="0"/>
                    <w:sz w:val="22"/>
                    <w:szCs w:val="22"/>
                  </w:rPr>
                </w:rPrChange>
              </w:rPr>
              <w:t>l, liečbu znovu začnite.</w:t>
            </w:r>
          </w:p>
          <w:p w14:paraId="2B926FE9" w14:textId="77777777" w:rsidR="009700E5" w:rsidRPr="009700E5" w:rsidRDefault="009700E5">
            <w:pPr>
              <w:pStyle w:val="TextTi12"/>
              <w:keepNext/>
              <w:keepLines/>
              <w:spacing w:after="0"/>
              <w:jc w:val="left"/>
              <w:rPr>
                <w:sz w:val="22"/>
                <w:szCs w:val="22"/>
                <w:rPrChange w:id="899" w:author="Author" w:date="2025-08-22T15:12:00Z">
                  <w:rPr>
                    <w:noProof w:val="0"/>
                    <w:sz w:val="22"/>
                    <w:szCs w:val="22"/>
                  </w:rPr>
                </w:rPrChange>
              </w:rPr>
            </w:pPr>
          </w:p>
        </w:tc>
      </w:tr>
      <w:tr w:rsidR="009700E5" w14:paraId="09B12931" w14:textId="77777777">
        <w:tc>
          <w:tcPr>
            <w:tcW w:w="2092" w:type="dxa"/>
          </w:tcPr>
          <w:p w14:paraId="326D0507" w14:textId="77777777" w:rsidR="009700E5" w:rsidRPr="009700E5" w:rsidRDefault="002C033C">
            <w:pPr>
              <w:pStyle w:val="TextTi12"/>
              <w:keepNext/>
              <w:keepLines/>
              <w:jc w:val="left"/>
              <w:rPr>
                <w:sz w:val="22"/>
                <w:szCs w:val="22"/>
                <w:rPrChange w:id="900" w:author="Author" w:date="2025-08-22T15:12:00Z">
                  <w:rPr>
                    <w:noProof w:val="0"/>
                    <w:sz w:val="22"/>
                    <w:szCs w:val="22"/>
                  </w:rPr>
                </w:rPrChange>
              </w:rPr>
            </w:pPr>
            <w:r>
              <w:rPr>
                <w:rFonts w:eastAsia="MS Mincho"/>
                <w:szCs w:val="22"/>
              </w:rPr>
              <w:sym w:font="Symbol" w:char="F03C"/>
            </w:r>
            <w:r>
              <w:rPr>
                <w:sz w:val="22"/>
                <w:szCs w:val="22"/>
                <w:rPrChange w:id="901" w:author="Author" w:date="2025-08-22T15:12:00Z">
                  <w:rPr>
                    <w:noProof w:val="0"/>
                    <w:sz w:val="22"/>
                    <w:szCs w:val="22"/>
                  </w:rPr>
                </w:rPrChange>
              </w:rPr>
              <w:t> 50</w:t>
            </w:r>
          </w:p>
        </w:tc>
        <w:tc>
          <w:tcPr>
            <w:tcW w:w="7121" w:type="dxa"/>
          </w:tcPr>
          <w:p w14:paraId="1B669D16" w14:textId="77777777" w:rsidR="009700E5" w:rsidRPr="009700E5" w:rsidRDefault="002C033C">
            <w:pPr>
              <w:pStyle w:val="TextTi12"/>
              <w:keepNext/>
              <w:keepLines/>
              <w:spacing w:after="0"/>
              <w:jc w:val="left"/>
              <w:rPr>
                <w:sz w:val="22"/>
                <w:szCs w:val="22"/>
                <w:rPrChange w:id="902" w:author="Author" w:date="2025-08-22T15:12:00Z">
                  <w:rPr>
                    <w:noProof w:val="0"/>
                    <w:sz w:val="22"/>
                    <w:szCs w:val="22"/>
                  </w:rPr>
                </w:rPrChange>
              </w:rPr>
            </w:pPr>
            <w:r>
              <w:rPr>
                <w:sz w:val="22"/>
                <w:szCs w:val="22"/>
                <w:rPrChange w:id="903" w:author="Author" w:date="2025-08-22T15:12:00Z">
                  <w:rPr>
                    <w:noProof w:val="0"/>
                    <w:sz w:val="22"/>
                    <w:szCs w:val="22"/>
                  </w:rPr>
                </w:rPrChange>
              </w:rPr>
              <w:t>Ukončite liečbu tocilizumabom.</w:t>
            </w:r>
          </w:p>
          <w:p w14:paraId="4AA509AB" w14:textId="77777777" w:rsidR="009700E5" w:rsidRPr="009700E5" w:rsidRDefault="009700E5">
            <w:pPr>
              <w:pStyle w:val="TextTi12"/>
              <w:keepNext/>
              <w:keepLines/>
              <w:spacing w:after="0"/>
              <w:jc w:val="left"/>
              <w:rPr>
                <w:sz w:val="22"/>
                <w:szCs w:val="22"/>
                <w:rPrChange w:id="904" w:author="Author" w:date="2025-08-22T15:12:00Z">
                  <w:rPr>
                    <w:noProof w:val="0"/>
                    <w:sz w:val="22"/>
                    <w:szCs w:val="22"/>
                  </w:rPr>
                </w:rPrChange>
              </w:rPr>
            </w:pPr>
          </w:p>
          <w:p w14:paraId="3870B332" w14:textId="77777777" w:rsidR="009700E5" w:rsidRPr="009700E5" w:rsidRDefault="002C033C">
            <w:pPr>
              <w:pStyle w:val="TextTi12"/>
              <w:keepNext/>
              <w:keepLines/>
              <w:spacing w:after="0"/>
              <w:jc w:val="left"/>
              <w:rPr>
                <w:sz w:val="22"/>
                <w:szCs w:val="22"/>
                <w:rPrChange w:id="905" w:author="Author" w:date="2025-08-22T15:12:00Z">
                  <w:rPr>
                    <w:noProof w:val="0"/>
                    <w:sz w:val="22"/>
                    <w:szCs w:val="22"/>
                  </w:rPr>
                </w:rPrChange>
              </w:rPr>
            </w:pPr>
            <w:r>
              <w:rPr>
                <w:sz w:val="22"/>
                <w:szCs w:val="22"/>
                <w:rPrChange w:id="906" w:author="Author" w:date="2025-08-22T15:12:00Z">
                  <w:rPr>
                    <w:noProof w:val="0"/>
                    <w:sz w:val="22"/>
                    <w:szCs w:val="22"/>
                  </w:rPr>
                </w:rPrChange>
              </w:rPr>
              <w:t xml:space="preserve">Rozhodnutie o ukončení liečby </w:t>
            </w:r>
            <w:r>
              <w:rPr>
                <w:rPrChange w:id="907" w:author="Author" w:date="2025-08-22T15:12:00Z">
                  <w:rPr>
                    <w:noProof w:val="0"/>
                  </w:rPr>
                </w:rPrChange>
              </w:rPr>
              <w:t xml:space="preserve">u pacientov so sJIA alebo </w:t>
            </w:r>
            <w:r>
              <w:rPr>
                <w:sz w:val="22"/>
                <w:szCs w:val="22"/>
                <w:rPrChange w:id="908" w:author="Author" w:date="2025-08-22T15:12:00Z">
                  <w:rPr>
                    <w:noProof w:val="0"/>
                    <w:sz w:val="22"/>
                    <w:szCs w:val="22"/>
                  </w:rPr>
                </w:rPrChange>
              </w:rPr>
              <w:t>pJIA pre laboratórne odchýlky musí byť založené na lekárskom zhodnotení každého individuálneho pacienta.</w:t>
            </w:r>
          </w:p>
          <w:p w14:paraId="56976958" w14:textId="77777777" w:rsidR="009700E5" w:rsidRPr="009700E5" w:rsidRDefault="009700E5">
            <w:pPr>
              <w:pStyle w:val="TextTi12"/>
              <w:keepNext/>
              <w:keepLines/>
              <w:spacing w:after="0"/>
              <w:jc w:val="left"/>
              <w:rPr>
                <w:sz w:val="22"/>
                <w:szCs w:val="22"/>
                <w:rPrChange w:id="909" w:author="Author" w:date="2025-08-22T15:12:00Z">
                  <w:rPr>
                    <w:noProof w:val="0"/>
                    <w:sz w:val="22"/>
                    <w:szCs w:val="22"/>
                  </w:rPr>
                </w:rPrChange>
              </w:rPr>
            </w:pPr>
          </w:p>
        </w:tc>
      </w:tr>
    </w:tbl>
    <w:p w14:paraId="6C85F691" w14:textId="77777777" w:rsidR="009700E5" w:rsidRDefault="009700E5"/>
    <w:p w14:paraId="6A511A99" w14:textId="77777777" w:rsidR="009700E5" w:rsidRDefault="002C033C">
      <w:r>
        <w:t>Zníženie dávky tocilizumabu kvôli laboratórnym odchýlkam sa u pacientov so sJIA alebo pJIA neskúmalo.</w:t>
      </w:r>
    </w:p>
    <w:p w14:paraId="44765E96" w14:textId="77777777" w:rsidR="009700E5" w:rsidRDefault="009700E5"/>
    <w:p w14:paraId="0C1775C4" w14:textId="77777777" w:rsidR="009700E5" w:rsidRDefault="002C033C">
      <w:r>
        <w:t>Bezpečnosť a účinnosť subkutánnej formy tocilizumabu u detí s ochoreniami inými ako sJIA alebo pJIA neboli stanovené.</w:t>
      </w:r>
    </w:p>
    <w:p w14:paraId="7B0D8870" w14:textId="77777777" w:rsidR="009700E5" w:rsidRDefault="009700E5"/>
    <w:p w14:paraId="51381F48" w14:textId="77777777" w:rsidR="009700E5" w:rsidRDefault="002C033C">
      <w:r>
        <w:t>Dostupné údaje z intravenózneho podávania naznačujú, že klinické zlepšenie bolo pozorované do 12 týždňov od začiatku liečby tocilizumabom. Pokračovanie liečby sa musí starostlivo zvážiť u pacientov, u ktorých sa neprejavilo zlepšenie v rámci tohto časového obdobia.</w:t>
      </w:r>
    </w:p>
    <w:p w14:paraId="7114EAE4" w14:textId="77777777" w:rsidR="009700E5" w:rsidRDefault="009700E5">
      <w:pPr>
        <w:rPr>
          <w:u w:val="single"/>
        </w:rPr>
      </w:pPr>
      <w:bookmarkStart w:id="910" w:name="_Hlk498324452"/>
    </w:p>
    <w:p w14:paraId="4A840F95" w14:textId="77777777" w:rsidR="009700E5" w:rsidRDefault="002C033C">
      <w:r>
        <w:t>Vynechaná dávka</w:t>
      </w:r>
    </w:p>
    <w:p w14:paraId="4756B08E" w14:textId="77777777" w:rsidR="009700E5" w:rsidRDefault="002C033C">
      <w:bookmarkStart w:id="911" w:name="_Hlk523986064"/>
      <w:r>
        <w:t>Ak pacient so sJIA vynechá subkutánnu injekciu tocilizumabu, ktorú si podáva raz za týždeň, do 7 dní od plánovanej dávky, treba ho poučiť, aby si vynechanú dávku podal v deň, v ktorý je plánovaná ďalšia dávka. Ak pacient vynechá subkutánnu injekciu tocilizumabu, ktorú si podáva každý druhý týždeň, do 7 dní od plánovanej dávky, treba ho poučiť, aby si vynechanú dávku podal ihneď a ďalšiu dávku v deň, v ktorý je plánovaná ďalšia dávka.</w:t>
      </w:r>
    </w:p>
    <w:bookmarkEnd w:id="911"/>
    <w:p w14:paraId="63C000DD" w14:textId="77777777" w:rsidR="009700E5" w:rsidRDefault="009700E5"/>
    <w:p w14:paraId="57EE10D9" w14:textId="77777777" w:rsidR="009700E5" w:rsidRDefault="002C033C">
      <w:r>
        <w:t>Ak pacient s pJIA vynechá subkutánnu injekciu tocilizumabu do 7 dní od plánovanej dávky, vynechanú dávku si má podať hneď, ako si spomenie, a ďalšiu dávku si má podať v pôvodne plánovanom čase. Ak pacient vynechá subkutánnu injekciu tocilizumabu o viac ako 7 dní od plánovanej dávky alebo si nie je istý, kedy si má podať injekciu, má zatelefonovať svojmu lekárovi alebo lekárnikovi</w:t>
      </w:r>
      <w:bookmarkEnd w:id="910"/>
      <w:r>
        <w:t>.</w:t>
      </w:r>
    </w:p>
    <w:p w14:paraId="63094A9E" w14:textId="77777777" w:rsidR="009700E5" w:rsidRDefault="009700E5">
      <w:pPr>
        <w:rPr>
          <w:rFonts w:eastAsia="SimSun"/>
          <w:szCs w:val="22"/>
          <w:lang w:eastAsia="zh-CN"/>
        </w:rPr>
      </w:pPr>
    </w:p>
    <w:p w14:paraId="76807DEA" w14:textId="77777777" w:rsidR="009700E5" w:rsidRDefault="002C033C">
      <w:pPr>
        <w:rPr>
          <w:rFonts w:eastAsia="SimSun"/>
          <w:szCs w:val="22"/>
          <w:u w:val="single"/>
          <w:lang w:eastAsia="zh-CN"/>
        </w:rPr>
      </w:pPr>
      <w:r>
        <w:rPr>
          <w:rFonts w:eastAsia="SimSun"/>
          <w:szCs w:val="22"/>
          <w:u w:val="single"/>
          <w:lang w:eastAsia="zh-CN"/>
        </w:rPr>
        <w:t>Spôsob podávania</w:t>
      </w:r>
    </w:p>
    <w:p w14:paraId="3A6B7724" w14:textId="77777777" w:rsidR="009700E5" w:rsidRDefault="002C033C">
      <w:pPr>
        <w:rPr>
          <w:rFonts w:eastAsia="SimSun"/>
          <w:szCs w:val="22"/>
          <w:lang w:eastAsia="zh-CN"/>
        </w:rPr>
      </w:pPr>
      <w:r>
        <w:rPr>
          <w:rFonts w:eastAsia="SimSun"/>
          <w:szCs w:val="22"/>
          <w:lang w:eastAsia="zh-CN"/>
        </w:rPr>
        <w:t>Tento liek je na subkutánne použitie.</w:t>
      </w:r>
    </w:p>
    <w:p w14:paraId="47C660BE" w14:textId="77777777" w:rsidR="009700E5" w:rsidRDefault="002C033C">
      <w:pPr>
        <w:rPr>
          <w:rFonts w:eastAsia="SimSun"/>
          <w:szCs w:val="22"/>
          <w:lang w:eastAsia="zh-CN"/>
        </w:rPr>
      </w:pPr>
      <w:r>
        <w:rPr>
          <w:rFonts w:eastAsia="SimSun"/>
          <w:szCs w:val="22"/>
          <w:lang w:eastAsia="zh-CN"/>
        </w:rPr>
        <w:t>Po náležitej inštruktáži o injekčnej technike si pacienti môžu sami injekčne podávať tento liek, ak ich lekár rozhodne, že je to vhodné. Celý obsah (0,9 ml) naplnenej injekčnej striekačky sa má podať formou subkutánnej injekcie. Odporúčané miesta vpichu (brucho, stehno, horná časť ramena) sa majú striedať a injekcie sa nikdy nemajú podať do materských znamienok, jaziev alebo do miest, na ktorých je koža citlivá, podliata krvou, červená, stvrdnutá alebo porušená.</w:t>
      </w:r>
    </w:p>
    <w:p w14:paraId="207A2980" w14:textId="77777777" w:rsidR="009700E5" w:rsidRDefault="009700E5">
      <w:pPr>
        <w:rPr>
          <w:rFonts w:eastAsia="SimSun"/>
          <w:szCs w:val="22"/>
          <w:lang w:eastAsia="zh-CN"/>
        </w:rPr>
      </w:pPr>
    </w:p>
    <w:p w14:paraId="0996CA20" w14:textId="77777777" w:rsidR="009700E5" w:rsidRDefault="002C033C">
      <w:pPr>
        <w:rPr>
          <w:rFonts w:eastAsia="SimSun"/>
          <w:szCs w:val="22"/>
          <w:lang w:eastAsia="zh-CN"/>
        </w:rPr>
      </w:pPr>
      <w:r>
        <w:rPr>
          <w:rFonts w:eastAsia="SimSun"/>
          <w:szCs w:val="22"/>
          <w:lang w:eastAsia="zh-CN"/>
        </w:rPr>
        <w:t>Naplnenou injekčnou striekačkou sa nemá triasť.</w:t>
      </w:r>
    </w:p>
    <w:p w14:paraId="78D4F10F" w14:textId="77777777" w:rsidR="009700E5" w:rsidRDefault="009700E5">
      <w:pPr>
        <w:rPr>
          <w:rFonts w:eastAsia="SimSun"/>
          <w:szCs w:val="22"/>
          <w:lang w:eastAsia="zh-CN"/>
        </w:rPr>
      </w:pPr>
    </w:p>
    <w:p w14:paraId="1C30B893" w14:textId="77777777" w:rsidR="009700E5" w:rsidRDefault="002C033C">
      <w:pPr>
        <w:rPr>
          <w:iCs/>
          <w:szCs w:val="22"/>
        </w:rPr>
      </w:pPr>
      <w:r>
        <w:rPr>
          <w:rFonts w:eastAsia="SimSun"/>
          <w:szCs w:val="22"/>
          <w:lang w:eastAsia="zh-CN"/>
        </w:rPr>
        <w:t>Úplné pokyny na podanie RoActemry v naplnenej injekčnej striekačke sú poskytnuté v písomnej informácii pre používateľa, pozri časť 6.6.</w:t>
      </w:r>
    </w:p>
    <w:p w14:paraId="14259714" w14:textId="77777777" w:rsidR="009700E5" w:rsidRDefault="009700E5">
      <w:pPr>
        <w:rPr>
          <w:rFonts w:eastAsia="SimSun"/>
          <w:szCs w:val="22"/>
          <w:lang w:eastAsia="zh-CN"/>
        </w:rPr>
      </w:pPr>
    </w:p>
    <w:p w14:paraId="01218C2C" w14:textId="77777777" w:rsidR="009700E5" w:rsidRDefault="002C033C">
      <w:pPr>
        <w:keepNext/>
        <w:keepLines/>
      </w:pPr>
      <w:r>
        <w:rPr>
          <w:b/>
        </w:rPr>
        <w:lastRenderedPageBreak/>
        <w:t>4.3</w:t>
      </w:r>
      <w:r>
        <w:rPr>
          <w:b/>
        </w:rPr>
        <w:tab/>
      </w:r>
      <w:r>
        <w:rPr>
          <w:b/>
          <w:szCs w:val="22"/>
        </w:rPr>
        <w:t>Kontraindikácie</w:t>
      </w:r>
    </w:p>
    <w:p w14:paraId="7F0B2668" w14:textId="77777777" w:rsidR="009700E5" w:rsidRDefault="009700E5">
      <w:pPr>
        <w:keepNext/>
        <w:keepLines/>
      </w:pPr>
    </w:p>
    <w:p w14:paraId="69CD6D59" w14:textId="77777777" w:rsidR="009700E5" w:rsidRDefault="002C033C">
      <w:pPr>
        <w:keepNext/>
        <w:keepLines/>
      </w:pPr>
      <w:r>
        <w:t>Precitlivenosť na liečivo alebo na ktorúkoľvek z pomocných látok uvedených v časti 6.1.</w:t>
      </w:r>
    </w:p>
    <w:p w14:paraId="08E8E798" w14:textId="77777777" w:rsidR="009700E5" w:rsidRDefault="009700E5">
      <w:pPr>
        <w:keepNext/>
        <w:keepLines/>
      </w:pPr>
    </w:p>
    <w:p w14:paraId="6A097A26" w14:textId="77777777" w:rsidR="009700E5" w:rsidRDefault="002C033C">
      <w:pPr>
        <w:keepNext/>
        <w:keepLines/>
      </w:pPr>
      <w:r>
        <w:t>Aktívne, závažné infekcie (pozri časť 4.4).</w:t>
      </w:r>
    </w:p>
    <w:p w14:paraId="089FEC09" w14:textId="77777777" w:rsidR="009700E5" w:rsidRDefault="009700E5">
      <w:pPr>
        <w:outlineLvl w:val="0"/>
        <w:rPr>
          <w:bCs/>
        </w:rPr>
      </w:pPr>
    </w:p>
    <w:p w14:paraId="7A2EBBC8" w14:textId="77777777" w:rsidR="009700E5" w:rsidRDefault="002C033C">
      <w:pPr>
        <w:keepNext/>
        <w:keepLines/>
        <w:outlineLvl w:val="0"/>
        <w:rPr>
          <w:b/>
        </w:rPr>
      </w:pPr>
      <w:r>
        <w:rPr>
          <w:b/>
        </w:rPr>
        <w:t>4.4</w:t>
      </w:r>
      <w:r>
        <w:rPr>
          <w:b/>
        </w:rPr>
        <w:tab/>
      </w:r>
      <w:r>
        <w:rPr>
          <w:b/>
          <w:szCs w:val="22"/>
        </w:rPr>
        <w:t>Osobitné upozornenia a opatrenia pri používaní</w:t>
      </w:r>
    </w:p>
    <w:p w14:paraId="6DE6CF6E" w14:textId="77777777" w:rsidR="009700E5" w:rsidRDefault="009700E5">
      <w:pPr>
        <w:keepNext/>
        <w:keepLines/>
        <w:outlineLvl w:val="0"/>
      </w:pPr>
    </w:p>
    <w:p w14:paraId="4AB09ED4" w14:textId="77777777" w:rsidR="009700E5" w:rsidRDefault="002C033C">
      <w:pPr>
        <w:keepNext/>
        <w:keepLines/>
      </w:pPr>
      <w:r>
        <w:t>Subkutánna forma RoActemry nie je určená na intravenózne podávanie.</w:t>
      </w:r>
    </w:p>
    <w:p w14:paraId="74CA0C32" w14:textId="77777777" w:rsidR="009700E5" w:rsidRDefault="009700E5">
      <w:pPr>
        <w:keepNext/>
        <w:keepLines/>
      </w:pPr>
    </w:p>
    <w:p w14:paraId="0642CA8F" w14:textId="77777777" w:rsidR="009700E5" w:rsidRDefault="002C033C">
      <w:pPr>
        <w:keepNext/>
        <w:keepLines/>
      </w:pPr>
      <w:r>
        <w:t>Subkutánna forma RoActemry nie je určená deťom so sJIA s telesnou hmotnosťou nižšou ako 10 kg.</w:t>
      </w:r>
    </w:p>
    <w:p w14:paraId="4B61951C" w14:textId="77777777" w:rsidR="009700E5" w:rsidRDefault="009700E5">
      <w:pPr>
        <w:keepNext/>
        <w:keepLines/>
        <w:rPr>
          <w:i/>
        </w:rPr>
      </w:pPr>
    </w:p>
    <w:p w14:paraId="79A21FBF" w14:textId="77777777" w:rsidR="009700E5" w:rsidRDefault="002C033C">
      <w:pPr>
        <w:keepNext/>
        <w:keepLines/>
        <w:rPr>
          <w:iCs/>
          <w:u w:val="single"/>
        </w:rPr>
      </w:pPr>
      <w:r>
        <w:rPr>
          <w:iCs/>
          <w:u w:val="single"/>
        </w:rPr>
        <w:t>Sledovateľnosť</w:t>
      </w:r>
    </w:p>
    <w:p w14:paraId="5BA8D4A7" w14:textId="77777777" w:rsidR="009700E5" w:rsidRDefault="002C033C">
      <w:pPr>
        <w:keepNext/>
        <w:keepLines/>
        <w:outlineLvl w:val="0"/>
      </w:pPr>
      <w:r>
        <w:t>Aby sa zlepšila (do)sledovateľnosť biologického lieku, má sa zrozumiteľne zaznamenať názov a číslo šarže podaného lieku.</w:t>
      </w:r>
    </w:p>
    <w:p w14:paraId="76F2E4A7" w14:textId="77777777" w:rsidR="009700E5" w:rsidRDefault="009700E5">
      <w:pPr>
        <w:outlineLvl w:val="0"/>
      </w:pPr>
    </w:p>
    <w:p w14:paraId="5F3AE0A3" w14:textId="77777777" w:rsidR="009700E5" w:rsidRDefault="002C033C">
      <w:pPr>
        <w:keepNext/>
        <w:keepLines/>
        <w:outlineLvl w:val="0"/>
        <w:rPr>
          <w:u w:val="single"/>
        </w:rPr>
      </w:pPr>
      <w:r>
        <w:rPr>
          <w:u w:val="single"/>
        </w:rPr>
        <w:t>Všetky indikácie</w:t>
      </w:r>
    </w:p>
    <w:p w14:paraId="70C8C4B9" w14:textId="77777777" w:rsidR="009700E5" w:rsidRDefault="002C033C">
      <w:pPr>
        <w:keepNext/>
        <w:keepLines/>
        <w:outlineLvl w:val="0"/>
        <w:rPr>
          <w:i/>
        </w:rPr>
      </w:pPr>
      <w:r>
        <w:rPr>
          <w:i/>
        </w:rPr>
        <w:t>Infekcie</w:t>
      </w:r>
    </w:p>
    <w:p w14:paraId="612FE28B" w14:textId="77777777" w:rsidR="009700E5" w:rsidRDefault="002C033C">
      <w:pPr>
        <w:keepNext/>
        <w:keepLines/>
      </w:pPr>
      <w:r>
        <w:t>Závažné a niekedy smrteľné infekcie boli hlásené u pacientov, ktorí dostávali imunosupresívne látky vrátane tocilizumabu (pozri časť 4.8). Liečba sa nesmie začať u pacientov s aktívnymi infekciami (pozri časť 4.3). Ak u pacienta dôjde ku vzniku závažnej infekcie, podávanie tocilizumabu sa musí prerušiť, kým sa infekcia nevylieči (pozri časť 4.8). Zdravotnícki pracovníci majú postupovať opatrne, ak uvažujú o použití tohto lieku u pacientov s anamnézou opakujúcich sa alebo chronických infekcií alebo so základnými ochoreniami (napr. divertikulitída, diabetes a intersticiálna choroba pľúc), ktoré ich predisponujú ku vzniku infekcií.</w:t>
      </w:r>
    </w:p>
    <w:p w14:paraId="0512D9B9" w14:textId="77777777" w:rsidR="009700E5" w:rsidRDefault="009700E5"/>
    <w:p w14:paraId="3F373EE9" w14:textId="77777777" w:rsidR="009700E5" w:rsidRDefault="002C033C">
      <w:r>
        <w:t>Pacientov, ktorí užívajú imunosupresívne látky ako je tocilizumab, sa odporúča pozorne sledovať, aby sa včas odhalila závažná infekcia, keďže prejavy a príznaky akútneho zápalu môžu byť zmiernené, z dôvodu potlačenia reaktantov akútnej fázy. Pri vyšetrovaní pacienta na možnú infekciu sa musí vziať do úvahy vplyv tocilizumabu na C</w:t>
      </w:r>
      <w:r>
        <w:noBreakHyphen/>
        <w:t xml:space="preserve">reaktívny proteín (CRP), neutrofily a prejavy a príznaky infekcie. </w:t>
      </w:r>
      <w:bookmarkStart w:id="912" w:name="_Hlk523986206"/>
      <w:r>
        <w:t xml:space="preserve">Pacientov (týka sa to aj mladších detí so sJIA alebo pJIA, ktoré nie sú schopné popísať svoje príznaky) a rodičov/opatrovateľov pacientov so sJIA alebo pJIA treba </w:t>
      </w:r>
      <w:bookmarkEnd w:id="912"/>
      <w:r>
        <w:t>poučiť, že keď sa u nich objavia akékoľvek príznaky svedčiace o infekcii, majú sa ihneď skontaktovať so zdravotníckym pracovníkom, aby sa zaistilo rýchle vyšetrenie a náležitá liečba.</w:t>
      </w:r>
    </w:p>
    <w:p w14:paraId="45754D08" w14:textId="77777777" w:rsidR="009700E5" w:rsidRDefault="009700E5">
      <w:pPr>
        <w:rPr>
          <w:i/>
        </w:rPr>
      </w:pPr>
    </w:p>
    <w:p w14:paraId="40190452" w14:textId="77777777" w:rsidR="009700E5" w:rsidRDefault="002C033C">
      <w:pPr>
        <w:rPr>
          <w:i/>
        </w:rPr>
      </w:pPr>
      <w:r>
        <w:rPr>
          <w:i/>
        </w:rPr>
        <w:t>Tuberkulóza</w:t>
      </w:r>
    </w:p>
    <w:p w14:paraId="1AC7A485" w14:textId="77777777" w:rsidR="009700E5" w:rsidRDefault="002C033C">
      <w:r>
        <w:t>Tak ako sa odporúča pre iné typy biologickej liečby, aj pred začatím liečby tocilizumabom majú všetci pacienti podstúpiť skríningové vyšetrenie na latentnú tuberkulóznu (TB) infekciu. Pacienti s latentnou TB sa pred začatím liečby musia liečiť štandardnou antimykobakteriálnou terapiou. Lekári, ktorí predpisujú tocilizumab, majú mať na mysli riziko falošne negatívnych výsledkov tuberkulinových kožných testov a krvného testu interferón</w:t>
      </w:r>
      <w:r>
        <w:noBreakHyphen/>
        <w:t>gamma TB, zvlášť u pacientov, ktorí sú vážne chorí alebo so zníženou imunitou.</w:t>
      </w:r>
    </w:p>
    <w:p w14:paraId="77FF36EA" w14:textId="77777777" w:rsidR="009700E5" w:rsidRDefault="009700E5"/>
    <w:p w14:paraId="14EA9C7B" w14:textId="77777777" w:rsidR="009700E5" w:rsidRDefault="002C033C">
      <w:r>
        <w:t>Pacienti a rodičia/opatrovatelia pacientov so sJIA alebo pJIA majú byť upozornení, aby vyhľadali lekársku pomoc, ak sa u nich v priebehu liečby týmto liekom alebo po jej ukončení vyskytnú príznaky/symptómy (napr. pretrvávajúci kašeľ, chradnutie/úbytok telesnej hmotnosti, mierna horúčka) svedčiace o tuberkulóznej infekcii.</w:t>
      </w:r>
    </w:p>
    <w:p w14:paraId="0781DCB3" w14:textId="77777777" w:rsidR="009700E5" w:rsidRDefault="009700E5">
      <w:pPr>
        <w:rPr>
          <w:i/>
        </w:rPr>
      </w:pPr>
    </w:p>
    <w:p w14:paraId="1BFC737B" w14:textId="77777777" w:rsidR="009700E5" w:rsidRDefault="002C033C">
      <w:pPr>
        <w:keepNext/>
        <w:keepLines/>
        <w:rPr>
          <w:i/>
        </w:rPr>
      </w:pPr>
      <w:r>
        <w:rPr>
          <w:i/>
        </w:rPr>
        <w:t>Reaktivácia vírusu</w:t>
      </w:r>
    </w:p>
    <w:p w14:paraId="3EE6EEDB" w14:textId="77777777" w:rsidR="009700E5" w:rsidRDefault="002C033C">
      <w:pPr>
        <w:keepNext/>
        <w:keepLines/>
      </w:pPr>
      <w:r>
        <w:t>Reaktivácia vírusu (napr. vírusu hepatitídy B) sa zaznamenala pri biologickej liečbe RA. Z klinických skúšaní s tocilizumabom boli vylúčení pacienti, ktorí mali pozitívny skríning na hepatitídu.</w:t>
      </w:r>
    </w:p>
    <w:p w14:paraId="3C6611BD" w14:textId="77777777" w:rsidR="009700E5" w:rsidRDefault="009700E5"/>
    <w:p w14:paraId="32C352C2" w14:textId="77777777" w:rsidR="009700E5" w:rsidRDefault="002C033C">
      <w:pPr>
        <w:keepNext/>
        <w:keepLines/>
        <w:rPr>
          <w:i/>
        </w:rPr>
      </w:pPr>
      <w:r>
        <w:rPr>
          <w:i/>
        </w:rPr>
        <w:lastRenderedPageBreak/>
        <w:t>Komplikácie divertikulitídy</w:t>
      </w:r>
    </w:p>
    <w:p w14:paraId="0A4AA0D1" w14:textId="77777777" w:rsidR="009700E5" w:rsidRDefault="002C033C">
      <w:pPr>
        <w:keepNext/>
        <w:keepLines/>
      </w:pPr>
      <w:r>
        <w:t>Prípady perforácie divertikulu ako komplikácie divertikulitídy boli u pacientov liečených tocilizumabom hlásené menej často (pozri časť 4.8). Tento liek sa má u pacientov s ulceráciou čriev alebo divertikulitídou v anamnéze používať opatrne. Pacienti s príznakmi, ktoré by mohli svedčiť o komplikovanej divertikulitíde, ako sú bolesti brucha, krvácanie a/alebo nevysvetliteľná zmena vo vyprázdňovaní stolice spolu s horúčkou, sa musia promptne vyšetriť, aby sa včas rozpoznala divertikulitída, ktorá môže byť spojená s perforáciou gastrointestinálneho traktu.</w:t>
      </w:r>
    </w:p>
    <w:p w14:paraId="6C081836" w14:textId="77777777" w:rsidR="009700E5" w:rsidRDefault="009700E5"/>
    <w:p w14:paraId="0D95C8DB" w14:textId="77777777" w:rsidR="009700E5" w:rsidRDefault="002C033C">
      <w:pPr>
        <w:keepNext/>
        <w:keepLines/>
        <w:outlineLvl w:val="0"/>
        <w:rPr>
          <w:bCs/>
          <w:i/>
        </w:rPr>
      </w:pPr>
      <w:r>
        <w:rPr>
          <w:i/>
        </w:rPr>
        <w:t>Reakcie z precitlivenosti</w:t>
      </w:r>
    </w:p>
    <w:p w14:paraId="46472923" w14:textId="77777777" w:rsidR="009700E5" w:rsidRDefault="002C033C">
      <w:pPr>
        <w:keepNext/>
        <w:keepLines/>
        <w:textAlignment w:val="top"/>
        <w:rPr>
          <w:szCs w:val="22"/>
        </w:rPr>
      </w:pPr>
      <w:r>
        <w:rPr>
          <w:szCs w:val="22"/>
        </w:rPr>
        <w:t xml:space="preserve">Boli hlásené závažné reakcie z precitlivenosti, vrátane anafylaxie, súvisiace s podávaním </w:t>
      </w:r>
      <w:r>
        <w:t>tocilizumabu</w:t>
      </w:r>
      <w:r>
        <w:rPr>
          <w:szCs w:val="22"/>
        </w:rPr>
        <w:t xml:space="preserve"> (pozri časť 4.8). Takéto reakcie môžu byť závažnejšie a potenciálne smrteľné u pacientov, ktorí mali reakcie z precitlivenosti počas predchádzajúcej liečby </w:t>
      </w:r>
      <w:r>
        <w:t>tocilizumabom</w:t>
      </w:r>
      <w:r>
        <w:rPr>
          <w:szCs w:val="22"/>
        </w:rPr>
        <w:t xml:space="preserve">, aj keď dostali premedikáciu kortikosteroidmi a antihistaminikami. V prípade výskytu anafylaktickej reakcie alebo inej závažnej reakcie z precitlivenosti sa má podávanie </w:t>
      </w:r>
      <w:r>
        <w:t>tocilizumabu</w:t>
      </w:r>
      <w:r>
        <w:rPr>
          <w:szCs w:val="22"/>
        </w:rPr>
        <w:t xml:space="preserve"> okamžite ukončiť, začať náležitá liečba a liečba sa musí navždy skončiť.</w:t>
      </w:r>
    </w:p>
    <w:p w14:paraId="33020AAB" w14:textId="77777777" w:rsidR="009700E5" w:rsidRDefault="009700E5">
      <w:pPr>
        <w:outlineLvl w:val="0"/>
        <w:rPr>
          <w:i/>
        </w:rPr>
      </w:pPr>
    </w:p>
    <w:p w14:paraId="70600BA0" w14:textId="77777777" w:rsidR="009700E5" w:rsidRDefault="002C033C">
      <w:pPr>
        <w:keepNext/>
        <w:keepLines/>
        <w:outlineLvl w:val="0"/>
        <w:rPr>
          <w:i/>
        </w:rPr>
      </w:pPr>
      <w:r>
        <w:rPr>
          <w:i/>
        </w:rPr>
        <w:t>Aktívne ochorenie pečene a porucha funkcie pečene</w:t>
      </w:r>
    </w:p>
    <w:p w14:paraId="2FAADA3C" w14:textId="77777777" w:rsidR="009700E5" w:rsidRDefault="002C033C">
      <w:r>
        <w:t>Liečba tocilizumabom, najmä keď sa podáva súbežne s MTX, môže byť spojená so zvýšením pečeňových transamináz. Ak sa uvažuje o liečbe pacientov s aktívnym ochorením pečene alebo poruchou funkcie pečene, vyžaduje sa opatrnosť (pozri časti 4.2 a 4.8).</w:t>
      </w:r>
    </w:p>
    <w:p w14:paraId="4882F2DC" w14:textId="77777777" w:rsidR="009700E5" w:rsidRDefault="009700E5"/>
    <w:p w14:paraId="62ABAB33" w14:textId="77777777" w:rsidR="009700E5" w:rsidRDefault="002C033C">
      <w:pPr>
        <w:rPr>
          <w:i/>
        </w:rPr>
      </w:pPr>
      <w:r>
        <w:rPr>
          <w:i/>
        </w:rPr>
        <w:t>Hepatotoxicita</w:t>
      </w:r>
    </w:p>
    <w:p w14:paraId="6ED3B617" w14:textId="77777777" w:rsidR="009700E5" w:rsidRDefault="002C033C">
      <w:pPr>
        <w:rPr>
          <w:szCs w:val="22"/>
        </w:rPr>
      </w:pPr>
      <w:r>
        <w:t>Pri liečbe tocilizumabom sa často hlásili prechodné alebo sporadické, mierne a stredne závažné zvýšenia pečeňových transamináz (pozri časť 4.8). Vyššia frekvencia týchto zvýšení pečeňových transamináz sa pozorovala vtedy, keď sa v kombinácii s tocilizumabom užívali potenciálne hepatotoxické lieky (napr. MTX). Keď je klinicky indikované, majú sa zvážiť ďalšie vyšetrenia funkcie pečene, vrátane bilirubínu.</w:t>
      </w:r>
    </w:p>
    <w:p w14:paraId="4AFD8624" w14:textId="77777777" w:rsidR="009700E5" w:rsidRDefault="009700E5"/>
    <w:p w14:paraId="7B100198" w14:textId="77777777" w:rsidR="009700E5" w:rsidRDefault="002C033C">
      <w:r>
        <w:t>Pri tocilizumabe sa pozorovalo závažné poškodenie pečene vyvolané liekom, vrátane akútneho zlyhania pečene, hepatitídy a žltačky (pozri časť 4.8). Závažné poškodenie pečene sa vyskytlo medzi 2 týždňami a viac ako 5 rokmi po začatí liečby. Boli hlásené prípady zlyhania pečene, ktoré viedli k transplantácii pečene. Pacienti musía byť poučení, aby okamžite vyhľadali lekársku pomoc, ak sa u nich vyskytnú prejavy a príznaky poškodenia pečene.</w:t>
      </w:r>
    </w:p>
    <w:p w14:paraId="301A215A" w14:textId="77777777" w:rsidR="009700E5" w:rsidRDefault="009700E5"/>
    <w:p w14:paraId="757E3A5B" w14:textId="77777777" w:rsidR="009700E5" w:rsidRDefault="002C033C">
      <w:r>
        <w:t>Keď sa uvažuje o začatí liečby u pacientov s hodnotami ALT alebo AST zvýšenými na </w:t>
      </w:r>
      <w:r>
        <w:rPr>
          <w:rFonts w:eastAsia="MS Mincho"/>
          <w:szCs w:val="22"/>
        </w:rPr>
        <w:sym w:font="Symbol" w:char="F03E"/>
      </w:r>
      <w:r>
        <w:t> 1,5</w:t>
      </w:r>
      <w:r>
        <w:noBreakHyphen/>
        <w:t xml:space="preserve">násobok ULN, je nutná opatrnosť. U pacientov s východiskovými hodnotami ALT alebo AST </w:t>
      </w:r>
      <w:r>
        <w:rPr>
          <w:rFonts w:eastAsia="MS Mincho"/>
          <w:szCs w:val="22"/>
        </w:rPr>
        <w:sym w:font="Symbol" w:char="F03E"/>
      </w:r>
      <w:r>
        <w:t> 5</w:t>
      </w:r>
      <w:r>
        <w:noBreakHyphen/>
        <w:t>násobok ULN sa liečba neodporúča.</w:t>
      </w:r>
    </w:p>
    <w:p w14:paraId="0691ABE6" w14:textId="77777777" w:rsidR="009700E5" w:rsidRDefault="009700E5"/>
    <w:p w14:paraId="1D7C4D54" w14:textId="77777777" w:rsidR="009700E5" w:rsidRDefault="002C033C">
      <w:r>
        <w:t>U pacientov s RA, OBA, pJIA a sJIA sa ALT/AST má skontrolovať raz za 4 až 8 týždňov počas prvých 6 mesiacov liečby a následne raz za 12 týždňov. Odporúčané úpravy dávky vrátane ukončenia liečby tocilizumabom na základe hladín transamináz pozri v časti 4.2. Pri vzostupoch hodnôt ALT alebo AST na </w:t>
      </w:r>
      <w:r>
        <w:rPr>
          <w:rFonts w:eastAsia="MS Mincho"/>
          <w:szCs w:val="22"/>
        </w:rPr>
        <w:sym w:font="Symbol" w:char="F03E"/>
      </w:r>
      <w:r>
        <w:t> 3</w:t>
      </w:r>
      <w:r>
        <w:noBreakHyphen/>
        <w:t> až 5</w:t>
      </w:r>
      <w:r>
        <w:noBreakHyphen/>
        <w:t>násobok ULN sa má liečba prerušiť.</w:t>
      </w:r>
    </w:p>
    <w:p w14:paraId="44AF60E3" w14:textId="77777777" w:rsidR="009700E5" w:rsidRDefault="009700E5"/>
    <w:p w14:paraId="1724C859" w14:textId="77777777" w:rsidR="009700E5" w:rsidRDefault="002C033C">
      <w:pPr>
        <w:keepNext/>
        <w:keepLines/>
        <w:rPr>
          <w:i/>
        </w:rPr>
      </w:pPr>
      <w:r>
        <w:rPr>
          <w:i/>
        </w:rPr>
        <w:t>Hematologické odchýlky</w:t>
      </w:r>
    </w:p>
    <w:p w14:paraId="7926B6AD" w14:textId="77777777" w:rsidR="009700E5" w:rsidRDefault="002C033C">
      <w:pPr>
        <w:keepNext/>
        <w:keepLines/>
      </w:pPr>
      <w:r>
        <w:t>Po liečbe tocilizumabom v dávke 8 mg/kg v kombinácii s MTX sa vyskytoval pokles počtu neutrofilov a trombocytov (pozri časť 4.8). U pacientov, ktorí boli predtým liečení inhibítorom TNF, môže existovať zvýšené riziko neutropénie.</w:t>
      </w:r>
    </w:p>
    <w:p w14:paraId="5D3AFB77" w14:textId="77777777" w:rsidR="009700E5" w:rsidRDefault="009700E5"/>
    <w:p w14:paraId="3ACDDE5F" w14:textId="77777777" w:rsidR="009700E5" w:rsidRDefault="002C033C">
      <w:pPr>
        <w:textAlignment w:val="top"/>
        <w:rPr>
          <w:szCs w:val="22"/>
        </w:rPr>
      </w:pPr>
      <w:r>
        <w:rPr>
          <w:szCs w:val="22"/>
        </w:rPr>
        <w:t xml:space="preserve">U pacientov, ktorí neboli doteraz liečení </w:t>
      </w:r>
      <w:r>
        <w:t>tocilizumabom</w:t>
      </w:r>
      <w:r>
        <w:rPr>
          <w:szCs w:val="22"/>
        </w:rPr>
        <w:t>, sa neodporúča začať liečbu, ak je ANC</w:t>
      </w:r>
      <w:r>
        <w:rPr>
          <w:rFonts w:eastAsia="SimSun"/>
          <w:color w:val="000000"/>
          <w:szCs w:val="22"/>
          <w:lang w:eastAsia="zh-CN"/>
        </w:rPr>
        <w:t xml:space="preserve"> nižší ako 2</w:t>
      </w:r>
      <w:r>
        <w:t> </w:t>
      </w:r>
      <w:r>
        <w:rPr>
          <w:szCs w:val="22"/>
        </w:rPr>
        <w:t>×</w:t>
      </w:r>
      <w:r>
        <w:t> </w:t>
      </w:r>
      <w:r>
        <w:rPr>
          <w:rFonts w:eastAsia="SimSun"/>
          <w:color w:val="000000"/>
          <w:szCs w:val="22"/>
          <w:lang w:eastAsia="zh-CN"/>
        </w:rPr>
        <w:t>10</w:t>
      </w:r>
      <w:r>
        <w:rPr>
          <w:rFonts w:eastAsia="SimSun"/>
          <w:color w:val="000000"/>
          <w:szCs w:val="22"/>
          <w:vertAlign w:val="superscript"/>
          <w:lang w:eastAsia="zh-CN"/>
        </w:rPr>
        <w:t>9</w:t>
      </w:r>
      <w:r>
        <w:rPr>
          <w:rFonts w:eastAsia="SimSun"/>
          <w:color w:val="000000"/>
          <w:szCs w:val="22"/>
          <w:lang w:eastAsia="zh-CN"/>
        </w:rPr>
        <w:t>/l</w:t>
      </w:r>
      <w:r>
        <w:rPr>
          <w:szCs w:val="22"/>
        </w:rPr>
        <w:t>. Keď sa uvažuje o začatí liečby u pacientov s nízkym počtom trombocytov (t.j. počet trombocytov pod 100 × 10</w:t>
      </w:r>
      <w:r>
        <w:rPr>
          <w:szCs w:val="22"/>
          <w:vertAlign w:val="superscript"/>
        </w:rPr>
        <w:t>3</w:t>
      </w:r>
      <w:r>
        <w:rPr>
          <w:szCs w:val="22"/>
        </w:rPr>
        <w:t>/</w:t>
      </w:r>
      <w:r>
        <w:rPr>
          <w:rFonts w:eastAsia="MS Mincho"/>
          <w:szCs w:val="22"/>
        </w:rPr>
        <w:t>μ</w:t>
      </w:r>
      <w:r>
        <w:rPr>
          <w:szCs w:val="22"/>
        </w:rPr>
        <w:t>l), vyžaduje sa opatrnosť. U pacientov, u ktorých je ANC </w:t>
      </w:r>
      <w:r>
        <w:rPr>
          <w:rFonts w:eastAsia="MS Mincho"/>
          <w:szCs w:val="22"/>
        </w:rPr>
        <w:sym w:font="Symbol" w:char="F03C"/>
      </w:r>
      <w:r>
        <w:rPr>
          <w:szCs w:val="22"/>
        </w:rPr>
        <w:t> 0,5 × 10</w:t>
      </w:r>
      <w:r>
        <w:rPr>
          <w:szCs w:val="22"/>
          <w:vertAlign w:val="superscript"/>
        </w:rPr>
        <w:t>9</w:t>
      </w:r>
      <w:r>
        <w:rPr>
          <w:szCs w:val="22"/>
        </w:rPr>
        <w:t xml:space="preserve">/l alebo počet trombocytov je </w:t>
      </w:r>
      <w:r>
        <w:rPr>
          <w:rFonts w:eastAsia="MS Mincho"/>
          <w:szCs w:val="22"/>
        </w:rPr>
        <w:sym w:font="Symbol" w:char="F03C"/>
      </w:r>
      <w:r>
        <w:rPr>
          <w:szCs w:val="22"/>
        </w:rPr>
        <w:t> 50 × 10</w:t>
      </w:r>
      <w:r>
        <w:rPr>
          <w:szCs w:val="22"/>
          <w:vertAlign w:val="superscript"/>
        </w:rPr>
        <w:t>3</w:t>
      </w:r>
      <w:r>
        <w:rPr>
          <w:szCs w:val="22"/>
        </w:rPr>
        <w:t>/</w:t>
      </w:r>
      <w:r>
        <w:rPr>
          <w:rFonts w:eastAsia="MS Mincho"/>
          <w:szCs w:val="22"/>
        </w:rPr>
        <w:t>μ</w:t>
      </w:r>
      <w:r>
        <w:rPr>
          <w:szCs w:val="22"/>
        </w:rPr>
        <w:t>l, sa neodporúča pokračovať v liečbe.</w:t>
      </w:r>
    </w:p>
    <w:p w14:paraId="06D8A9B3" w14:textId="77777777" w:rsidR="009700E5" w:rsidRDefault="009700E5"/>
    <w:p w14:paraId="40F2DA92" w14:textId="77777777" w:rsidR="009700E5" w:rsidRDefault="002C033C">
      <w:pPr>
        <w:rPr>
          <w:iCs/>
        </w:rPr>
      </w:pPr>
      <w:r>
        <w:rPr>
          <w:iCs/>
        </w:rPr>
        <w:t>Ťažká neutropénia môže byť spojená so zvýšeným rizikom závažných infekcií, i keď doteraz nie je jasné spojenie medzi zníženým počtom neutrofilov a výskytom závažných infekcií v klinických skúšaniach s </w:t>
      </w:r>
      <w:r>
        <w:t>tocilizumabom</w:t>
      </w:r>
      <w:r>
        <w:rPr>
          <w:iCs/>
        </w:rPr>
        <w:t>.</w:t>
      </w:r>
    </w:p>
    <w:p w14:paraId="3FB7E2C3" w14:textId="77777777" w:rsidR="009700E5" w:rsidRDefault="009700E5"/>
    <w:p w14:paraId="0C8336DF" w14:textId="77777777" w:rsidR="009700E5" w:rsidRDefault="002C033C">
      <w:r>
        <w:lastRenderedPageBreak/>
        <w:t>U pacientov s RA a OBA sa má počet neutrofilov a trombocytov skontrolovať po 4 až 8 týždňoch od začatia liečby a následne v súlade so štandardnou klinickou praxou. Odporúčané úpravy dávky na základe počtu ANC a neutrofilov pozri v časti 4.2.</w:t>
      </w:r>
    </w:p>
    <w:p w14:paraId="20DCCF4C" w14:textId="77777777" w:rsidR="009700E5" w:rsidRDefault="009700E5"/>
    <w:p w14:paraId="5209589F" w14:textId="77777777" w:rsidR="009700E5" w:rsidRDefault="002C033C">
      <w:bookmarkStart w:id="913" w:name="_Hlk498324527"/>
      <w:r>
        <w:t>U pacientov so sJIA a pJIA sa má počet neutrofilov a trombocytov skontrolovať v čase podania druhej injekcie a následne v súlade so správnou klinickou praxou (pozri časť 4.2).</w:t>
      </w:r>
    </w:p>
    <w:bookmarkEnd w:id="913"/>
    <w:p w14:paraId="4B99A693" w14:textId="77777777" w:rsidR="009700E5" w:rsidRDefault="009700E5"/>
    <w:p w14:paraId="609834EF" w14:textId="77777777" w:rsidR="009700E5" w:rsidRDefault="002C033C">
      <w:pPr>
        <w:keepNext/>
        <w:keepLines/>
        <w:rPr>
          <w:i/>
        </w:rPr>
      </w:pPr>
      <w:r>
        <w:rPr>
          <w:i/>
        </w:rPr>
        <w:t>Hodnoty lipidov</w:t>
      </w:r>
    </w:p>
    <w:p w14:paraId="4A33A55E" w14:textId="77777777" w:rsidR="009700E5" w:rsidRDefault="002C033C">
      <w:pPr>
        <w:keepNext/>
        <w:keepLines/>
      </w:pPr>
      <w:r>
        <w:t>U pacientov liečených tocilizumabom sa pozorovalo zvýšenie hodnôt lipidových parametrov, vrátane hladiny celkového cholesterolu, lipoproteínov s nízkou hustotou (LDL), lipoproteínov s vysokou hustotou (HDL) a triacylglycerolov (pozri časť 4.8). U väčšiny pacientov nedošlo k zvýšeniu aterogénneho indexu a zvýšenie celkového cholesterolu odpovedalo na liečbu hypolipidemikami.</w:t>
      </w:r>
    </w:p>
    <w:p w14:paraId="3A5BDA3F" w14:textId="77777777" w:rsidR="009700E5" w:rsidRDefault="009700E5">
      <w:pPr>
        <w:widowControl w:val="0"/>
      </w:pPr>
    </w:p>
    <w:p w14:paraId="70D06738" w14:textId="77777777" w:rsidR="009700E5" w:rsidRDefault="002C033C">
      <w:pPr>
        <w:widowControl w:val="0"/>
      </w:pPr>
      <w:r>
        <w:t>U všetkých pacientov sa má hodnotenie lipidových parametrov vykonať po 4 až 8 týždňoch od začatia liečby. Pacienti sa majú liečiť v súlade s národnými klinickými odporúčaniami pre liečbu hyperlipidémií.</w:t>
      </w:r>
    </w:p>
    <w:p w14:paraId="0614C25D" w14:textId="77777777" w:rsidR="009700E5" w:rsidRDefault="009700E5">
      <w:pPr>
        <w:rPr>
          <w:rFonts w:eastAsia="SimSun"/>
          <w:szCs w:val="22"/>
          <w:lang w:eastAsia="zh-CN"/>
        </w:rPr>
      </w:pPr>
    </w:p>
    <w:p w14:paraId="6571165E" w14:textId="77777777" w:rsidR="009700E5" w:rsidRDefault="002C033C">
      <w:pPr>
        <w:keepNext/>
        <w:keepLines/>
        <w:outlineLvl w:val="0"/>
        <w:rPr>
          <w:i/>
        </w:rPr>
      </w:pPr>
      <w:r>
        <w:rPr>
          <w:i/>
        </w:rPr>
        <w:t>Neurologické poruchy</w:t>
      </w:r>
    </w:p>
    <w:p w14:paraId="3E73F0E9" w14:textId="77777777" w:rsidR="009700E5" w:rsidRDefault="002C033C">
      <w:pPr>
        <w:outlineLvl w:val="0"/>
      </w:pPr>
      <w:r>
        <w:t>Lekári majú venovať zvýšenú pozornosť príznakom, ktoré by mohli svedčiť o vzniku centrálnych demyelinizačných porúch. V súčasnosti nie je známe, či tocilizumab môže vyvolať centrálnu demyelinizáciu.</w:t>
      </w:r>
    </w:p>
    <w:p w14:paraId="00EDEF8B" w14:textId="77777777" w:rsidR="009700E5" w:rsidRDefault="009700E5">
      <w:pPr>
        <w:outlineLvl w:val="0"/>
      </w:pPr>
    </w:p>
    <w:p w14:paraId="430B5341" w14:textId="77777777" w:rsidR="009700E5" w:rsidRDefault="002C033C">
      <w:pPr>
        <w:keepNext/>
        <w:keepLines/>
        <w:outlineLvl w:val="0"/>
        <w:rPr>
          <w:i/>
        </w:rPr>
      </w:pPr>
      <w:r>
        <w:rPr>
          <w:i/>
        </w:rPr>
        <w:t>Malignita</w:t>
      </w:r>
    </w:p>
    <w:p w14:paraId="2485C174" w14:textId="77777777" w:rsidR="009700E5" w:rsidRDefault="002C033C">
      <w:pPr>
        <w:autoSpaceDE w:val="0"/>
        <w:autoSpaceDN w:val="0"/>
        <w:adjustRightInd w:val="0"/>
        <w:rPr>
          <w:rFonts w:eastAsia="SimSun"/>
          <w:szCs w:val="22"/>
          <w:lang w:eastAsia="zh-CN"/>
        </w:rPr>
      </w:pPr>
      <w:r>
        <w:rPr>
          <w:rFonts w:eastAsia="SimSun"/>
          <w:szCs w:val="22"/>
          <w:lang w:eastAsia="zh-CN"/>
        </w:rPr>
        <w:t>Riziko vzniku malignity je u pacientov s RA zvýšené. Imunomodulačné lieky môžu riziko vzniku malignity zvyšovať. Klinické údaje nie sú dostatočné na zhodnotenie rizika možného výskytu malignity po expozícii tocilizumabu. Hodnotenie dlhodobej bezpečnosti naďalej prebieha.</w:t>
      </w:r>
    </w:p>
    <w:p w14:paraId="3A5B401B" w14:textId="77777777" w:rsidR="009700E5" w:rsidRDefault="009700E5">
      <w:pPr>
        <w:outlineLvl w:val="0"/>
      </w:pPr>
    </w:p>
    <w:p w14:paraId="59B711CA" w14:textId="77777777" w:rsidR="009700E5" w:rsidRDefault="002C033C">
      <w:pPr>
        <w:keepNext/>
        <w:outlineLvl w:val="0"/>
        <w:rPr>
          <w:i/>
        </w:rPr>
      </w:pPr>
      <w:r>
        <w:rPr>
          <w:i/>
        </w:rPr>
        <w:t>Očkovania</w:t>
      </w:r>
    </w:p>
    <w:p w14:paraId="5F32653F" w14:textId="77777777" w:rsidR="009700E5" w:rsidRDefault="002C033C">
      <w:r>
        <w:t>Súbežne s týmto liekom sa nemajú podávať živé a živé oslabené očkovacie látky, keďže klinická bezpečnosť nebola stanovená. V randomizovan</w:t>
      </w:r>
      <w:ins w:id="914" w:author="Author" w:date="2025-07-18T23:11:00Z">
        <w:r>
          <w:t>om</w:t>
        </w:r>
      </w:ins>
      <w:del w:id="915" w:author="Author" w:date="2025-07-18T23:11:00Z">
        <w:r>
          <w:delText>ej</w:delText>
        </w:r>
      </w:del>
      <w:r>
        <w:t xml:space="preserve"> otvoren</w:t>
      </w:r>
      <w:del w:id="916" w:author="Author" w:date="2025-07-18T23:11:00Z">
        <w:r>
          <w:delText>ej štúdii</w:delText>
        </w:r>
      </w:del>
      <w:ins w:id="917" w:author="Author" w:date="2025-07-18T23:11:00Z">
        <w:r>
          <w:t xml:space="preserve">om </w:t>
        </w:r>
      </w:ins>
      <w:ins w:id="918" w:author="Author" w:date="2025-07-21T09:55:00Z">
        <w:r>
          <w:t xml:space="preserve">klinickom </w:t>
        </w:r>
      </w:ins>
      <w:ins w:id="919" w:author="Author" w:date="2025-07-18T23:11:00Z">
        <w:r>
          <w:t>skúšaní</w:t>
        </w:r>
      </w:ins>
      <w:r>
        <w:t>, dosahovali dospelí pacienti s RA, ktorí dostávali liečbu tocilizumabom a MTX, účinnú odpoveď na 23</w:t>
      </w:r>
      <w:r>
        <w:noBreakHyphen/>
        <w:t>valentnú pneumokokovú polysacharidovú vakcínu ako aj na vakcínu obsahujúcu tetanický toxoid, čo bolo porovnateľné s odpoveďou pozorovanou u pacientov, ktorí dostávali liečbu MTX v monoterapii. Odporúča sa, aby všetci pacienti, a obzvlášť pediatrickí alebo starší pacienti, boli podrobení aktuálne platným imunizáciám v súlade s aktuálnymi odporúčaniami imunizácie ešte pred začatím liečby. Interval medzi podaním živých očkovacích látok a začatím liečby má byť v súlade s aktuálnymi odporúčaniami imunizácie ohľadne imunosupresívnych látok.</w:t>
      </w:r>
    </w:p>
    <w:p w14:paraId="2B630D30" w14:textId="77777777" w:rsidR="009700E5" w:rsidRDefault="009700E5">
      <w:pPr>
        <w:outlineLvl w:val="0"/>
      </w:pPr>
    </w:p>
    <w:p w14:paraId="11FDA21D" w14:textId="77777777" w:rsidR="009700E5" w:rsidRDefault="002C033C">
      <w:pPr>
        <w:keepNext/>
        <w:rPr>
          <w:i/>
        </w:rPr>
      </w:pPr>
      <w:r>
        <w:rPr>
          <w:i/>
        </w:rPr>
        <w:t>Kardiovaskulárne riziko</w:t>
      </w:r>
    </w:p>
    <w:p w14:paraId="4A40E470" w14:textId="77777777" w:rsidR="009700E5" w:rsidRDefault="002C033C">
      <w:r>
        <w:t>Pacienti s RA majú zvýšené riziko kardiovaskulárnych porúch; rizikové faktory (napr. hypertenzia, hyperlipidémia) a musia sa korigovať v rámci bežnej štandardnej zdravotnej starostlivosti.</w:t>
      </w:r>
    </w:p>
    <w:p w14:paraId="3688757A" w14:textId="77777777" w:rsidR="009700E5" w:rsidRDefault="009700E5"/>
    <w:p w14:paraId="2C0FAC87" w14:textId="77777777" w:rsidR="009700E5" w:rsidRDefault="002C033C">
      <w:pPr>
        <w:rPr>
          <w:i/>
        </w:rPr>
      </w:pPr>
      <w:r>
        <w:rPr>
          <w:i/>
        </w:rPr>
        <w:t>Kombinácia s inhibítormi TNF</w:t>
      </w:r>
    </w:p>
    <w:p w14:paraId="705A7D66" w14:textId="77777777" w:rsidR="009700E5" w:rsidRDefault="002C033C">
      <w:r>
        <w:t>Nie sú skúsenosti s použitím tocilizumabu s inhibítormi TNF ani inými biologickými liekmi na liečbu pacientov s RA. Tento liek sa neodporúča používať spolu s inými biologickými liekmi.</w:t>
      </w:r>
    </w:p>
    <w:p w14:paraId="5A89A166" w14:textId="77777777" w:rsidR="009700E5" w:rsidRDefault="009700E5">
      <w:pPr>
        <w:rPr>
          <w:del w:id="920" w:author="Author" w:date="2025-07-18T23:26:00Z"/>
        </w:rPr>
      </w:pPr>
    </w:p>
    <w:p w14:paraId="6D019CE5" w14:textId="77777777" w:rsidR="009700E5" w:rsidRDefault="002C033C">
      <w:pPr>
        <w:rPr>
          <w:del w:id="921" w:author="Author" w:date="2025-07-18T23:26:00Z"/>
          <w:i/>
          <w:iCs/>
        </w:rPr>
      </w:pPr>
      <w:del w:id="922" w:author="Author" w:date="2025-07-18T23:26:00Z">
        <w:r>
          <w:rPr>
            <w:i/>
            <w:iCs/>
          </w:rPr>
          <w:delText>Polysorbát</w:delText>
        </w:r>
      </w:del>
    </w:p>
    <w:p w14:paraId="71ECEB09" w14:textId="77777777" w:rsidR="009700E5" w:rsidRDefault="002C033C">
      <w:pPr>
        <w:rPr>
          <w:del w:id="923" w:author="Author" w:date="2025-07-18T23:26:00Z"/>
        </w:rPr>
      </w:pPr>
      <w:del w:id="924" w:author="Author" w:date="2025-07-18T23:26:00Z">
        <w:r>
          <w:delText>Tento liek obsahuje 0,18 mg polysorbátu 80 v každej 162 mg/0,9 ml injekčnej striekačke, čo zodpovedá 0,2 mg/ml. Polysorbáty môžu vyvolať alergické reakcie. Do úvahy sa musia vziať známe alergie pacientov.</w:delText>
        </w:r>
      </w:del>
    </w:p>
    <w:p w14:paraId="29019D33" w14:textId="77777777" w:rsidR="009700E5" w:rsidRDefault="009700E5"/>
    <w:p w14:paraId="3DF87AC7" w14:textId="77777777" w:rsidR="009700E5" w:rsidRDefault="002C033C">
      <w:pPr>
        <w:rPr>
          <w:iCs/>
          <w:u w:val="single"/>
        </w:rPr>
      </w:pPr>
      <w:ins w:id="925" w:author="Author" w:date="2025-07-18T23:26:00Z">
        <w:r>
          <w:rPr>
            <w:iCs/>
            <w:u w:val="single"/>
          </w:rPr>
          <w:t xml:space="preserve">Pacienti </w:t>
        </w:r>
      </w:ins>
      <w:ins w:id="926" w:author="Author" w:date="2025-07-21T11:28:00Z">
        <w:r>
          <w:rPr>
            <w:iCs/>
            <w:u w:val="single"/>
          </w:rPr>
          <w:t>s </w:t>
        </w:r>
      </w:ins>
      <w:r>
        <w:rPr>
          <w:iCs/>
          <w:u w:val="single"/>
        </w:rPr>
        <w:t>OBA</w:t>
      </w:r>
    </w:p>
    <w:p w14:paraId="008B088D" w14:textId="77777777" w:rsidR="009700E5" w:rsidRDefault="002C033C">
      <w:r>
        <w:t>Tocilizumab v monoterapii sa nesmie podávať na liečbu akútnych relapsov, keďže účinnosť pre tento stav nebola stanovená. Glukokortikoidy sa majú podávať podľa zváženia lekára a praktických odporúčaní.</w:t>
      </w:r>
    </w:p>
    <w:p w14:paraId="70D3BE0B" w14:textId="77777777" w:rsidR="009700E5" w:rsidRDefault="009700E5"/>
    <w:p w14:paraId="062EAE60" w14:textId="77777777" w:rsidR="009700E5" w:rsidRDefault="002C033C">
      <w:pPr>
        <w:keepNext/>
        <w:keepLines/>
        <w:rPr>
          <w:iCs/>
          <w:u w:val="single"/>
        </w:rPr>
      </w:pPr>
      <w:bookmarkStart w:id="927" w:name="_Hlk523986309"/>
      <w:ins w:id="928" w:author="Author" w:date="2025-07-18T23:26:00Z">
        <w:r>
          <w:rPr>
            <w:iCs/>
            <w:u w:val="single"/>
          </w:rPr>
          <w:lastRenderedPageBreak/>
          <w:t xml:space="preserve">Pacienti so </w:t>
        </w:r>
      </w:ins>
      <w:r>
        <w:rPr>
          <w:iCs/>
          <w:u w:val="single"/>
        </w:rPr>
        <w:t>sJIA</w:t>
      </w:r>
    </w:p>
    <w:p w14:paraId="47E459FD" w14:textId="77777777" w:rsidR="009700E5" w:rsidRDefault="002C033C">
      <w:pPr>
        <w:keepNext/>
        <w:keepLines/>
      </w:pPr>
      <w:r>
        <w:t>Syndróm aktivácie makrofágov (MAS) je závažný život ohrozujúci stav, ktorý sa môže vyvinúť u pacientov so sJIA. V klinických skúšaniach sa tocilizumab neskúmal u pacientov počas epizódy aktívneho MAS.</w:t>
      </w:r>
    </w:p>
    <w:bookmarkEnd w:id="927"/>
    <w:p w14:paraId="1E5D12D5" w14:textId="77777777" w:rsidR="009700E5" w:rsidRDefault="009700E5">
      <w:pPr>
        <w:rPr>
          <w:ins w:id="929" w:author="Author" w:date="2025-07-18T23:26:00Z"/>
        </w:rPr>
      </w:pPr>
    </w:p>
    <w:p w14:paraId="73A839A3" w14:textId="77777777" w:rsidR="009700E5" w:rsidRDefault="002C033C">
      <w:pPr>
        <w:keepNext/>
        <w:keepLines/>
        <w:rPr>
          <w:ins w:id="930" w:author="Author" w:date="2025-07-18T23:26:00Z"/>
          <w:i/>
          <w:iCs/>
        </w:rPr>
        <w:pPrChange w:id="931" w:author="TCS" w:date="2025-12-18T23:25:00Z">
          <w:pPr/>
        </w:pPrChange>
      </w:pPr>
      <w:ins w:id="932" w:author="Author" w:date="2025-07-18T23:26:00Z">
        <w:r>
          <w:rPr>
            <w:i/>
            <w:iCs/>
          </w:rPr>
          <w:t>Polysorbát 80 (E</w:t>
        </w:r>
      </w:ins>
      <w:ins w:id="933" w:author="Author" w:date="2025-07-21T09:56:00Z">
        <w:r>
          <w:rPr>
            <w:i/>
            <w:iCs/>
          </w:rPr>
          <w:t> </w:t>
        </w:r>
      </w:ins>
      <w:ins w:id="934" w:author="Author" w:date="2025-07-18T23:26:00Z">
        <w:r>
          <w:rPr>
            <w:i/>
            <w:iCs/>
          </w:rPr>
          <w:t>433)</w:t>
        </w:r>
      </w:ins>
    </w:p>
    <w:p w14:paraId="17B80E44" w14:textId="77777777" w:rsidR="009700E5" w:rsidRDefault="002C033C">
      <w:pPr>
        <w:keepNext/>
        <w:keepLines/>
        <w:rPr>
          <w:ins w:id="935" w:author="Author" w:date="2025-07-18T23:26:00Z"/>
        </w:rPr>
        <w:pPrChange w:id="936" w:author="TCS" w:date="2025-12-18T23:25:00Z">
          <w:pPr/>
        </w:pPrChange>
      </w:pPr>
      <w:ins w:id="937" w:author="Author" w:date="2025-07-18T23:26:00Z">
        <w:r>
          <w:t>Tento liek obsahuje 0,18 mg polysorbátu 80 v každej 162 mg/0,9 ml injekčnej striekačke, čo zodpovedá 0,2 mg/ml. Polysorbáty môžu vyvolať alergické reakcie. Do úvahy sa musia vziať známe alergie pacientov.</w:t>
        </w:r>
      </w:ins>
    </w:p>
    <w:p w14:paraId="0B07F77C" w14:textId="77777777" w:rsidR="009700E5" w:rsidRDefault="009700E5"/>
    <w:p w14:paraId="4BAE0D0A" w14:textId="77777777" w:rsidR="009700E5" w:rsidRDefault="002C033C">
      <w:pPr>
        <w:keepNext/>
        <w:keepLines/>
        <w:outlineLvl w:val="0"/>
      </w:pPr>
      <w:r>
        <w:rPr>
          <w:b/>
        </w:rPr>
        <w:t>4.5</w:t>
      </w:r>
      <w:r>
        <w:rPr>
          <w:b/>
        </w:rPr>
        <w:tab/>
      </w:r>
      <w:r>
        <w:rPr>
          <w:b/>
          <w:szCs w:val="22"/>
        </w:rPr>
        <w:t>Liekové a iné interakcie</w:t>
      </w:r>
    </w:p>
    <w:p w14:paraId="6F370CED" w14:textId="77777777" w:rsidR="009700E5" w:rsidRDefault="009700E5">
      <w:pPr>
        <w:keepNext/>
        <w:keepLines/>
      </w:pPr>
    </w:p>
    <w:p w14:paraId="2DF7C733" w14:textId="77777777" w:rsidR="009700E5" w:rsidRDefault="002C033C">
      <w:pPr>
        <w:keepNext/>
        <w:keepLines/>
        <w:rPr>
          <w:szCs w:val="22"/>
        </w:rPr>
      </w:pPr>
      <w:r>
        <w:rPr>
          <w:szCs w:val="22"/>
        </w:rPr>
        <w:t xml:space="preserve">Interakčné </w:t>
      </w:r>
      <w:ins w:id="938" w:author="Author" w:date="2025-07-21T09:57:00Z">
        <w:r>
          <w:rPr>
            <w:szCs w:val="22"/>
          </w:rPr>
          <w:t>klinické skúšania</w:t>
        </w:r>
      </w:ins>
      <w:del w:id="939" w:author="Author" w:date="2025-07-21T09:56:00Z">
        <w:r>
          <w:rPr>
            <w:szCs w:val="22"/>
          </w:rPr>
          <w:delText>štúdie</w:delText>
        </w:r>
      </w:del>
      <w:r>
        <w:rPr>
          <w:szCs w:val="22"/>
        </w:rPr>
        <w:t xml:space="preserve"> sa uskutočnili iba u dospelých.</w:t>
      </w:r>
    </w:p>
    <w:p w14:paraId="15A1C6F9" w14:textId="77777777" w:rsidR="009700E5" w:rsidRDefault="009700E5">
      <w:pPr>
        <w:keepNext/>
        <w:keepLines/>
      </w:pPr>
    </w:p>
    <w:p w14:paraId="7A5AF0F5" w14:textId="77777777" w:rsidR="009700E5" w:rsidRDefault="002C033C">
      <w:pPr>
        <w:keepNext/>
        <w:keepLines/>
      </w:pPr>
      <w:r>
        <w:rPr>
          <w:rFonts w:eastAsia="SimSun"/>
          <w:lang w:eastAsia="zh-CN" w:bidi="th-TH"/>
        </w:rPr>
        <w:t xml:space="preserve">Súbežné podanie jednorazovej dávky </w:t>
      </w:r>
      <w:r>
        <w:t>tocilizumabu</w:t>
      </w:r>
      <w:r>
        <w:rPr>
          <w:rFonts w:eastAsia="SimSun"/>
          <w:lang w:eastAsia="zh-CN" w:bidi="th-TH"/>
        </w:rPr>
        <w:t xml:space="preserve"> 10 mg/kg s MTX v dávke 10 </w:t>
      </w:r>
      <w:r>
        <w:rPr>
          <w:rFonts w:eastAsia="SimSun"/>
          <w:lang w:eastAsia="zh-CN" w:bidi="th-TH"/>
        </w:rPr>
        <w:noBreakHyphen/>
        <w:t> 25 mg podávanej jedenkrát týždenne nemalo klinicky významný vplyv na expozíciu MTX.</w:t>
      </w:r>
    </w:p>
    <w:p w14:paraId="0DDAD12E" w14:textId="77777777" w:rsidR="009700E5" w:rsidRDefault="009700E5"/>
    <w:p w14:paraId="1E979406" w14:textId="77777777" w:rsidR="009700E5" w:rsidRDefault="002C033C">
      <w:r>
        <w:t>Populačné farmakokinetické analýzy nezistili žiaden vplyv MTX, NSAID alebo kortikosteroidov na klírens tocilizumabu u pacientov s RA. U pacientov s OBA nebol pozorovaný žiaden účinok kumulatívnej dávky kortikosteroidov na expozíciu tocilizumabu.</w:t>
      </w:r>
    </w:p>
    <w:p w14:paraId="38167A81" w14:textId="77777777" w:rsidR="009700E5" w:rsidRDefault="009700E5"/>
    <w:p w14:paraId="516675E9" w14:textId="77777777" w:rsidR="009700E5" w:rsidRDefault="002C033C">
      <w:r>
        <w:t>Účinkom cytokínov, ako je napr. IL</w:t>
      </w:r>
      <w:r>
        <w:noBreakHyphen/>
        <w:t>6, ktoré stimulujú chronický zápal, dochádza k potlačeniu expresie pečeňových enzýmov CYP450. Pri začatí liečby silne účinným inhibítorom cytokínov, ako je tocilizumab, preto môže dôjsť k obnoveniu expresie enzýmov CYP450.</w:t>
      </w:r>
    </w:p>
    <w:p w14:paraId="62C65DAF" w14:textId="77777777" w:rsidR="009700E5" w:rsidRDefault="009700E5"/>
    <w:p w14:paraId="6F04EDF2" w14:textId="77777777" w:rsidR="009700E5" w:rsidRDefault="002C033C">
      <w:r>
        <w:t xml:space="preserve">Skúšania </w:t>
      </w:r>
      <w:r>
        <w:rPr>
          <w:i/>
          <w:iCs/>
        </w:rPr>
        <w:t>in vitro</w:t>
      </w:r>
      <w:r>
        <w:t xml:space="preserve"> na kultivovaných ľudských hepatocytoch preukázali, že IL</w:t>
      </w:r>
      <w:r>
        <w:noBreakHyphen/>
        <w:t>6 spôsobuje zníženie expresie enzýmov CYP1A2, CYP2C9, CYP2C19 a CYP3A4. Tocilizumab normalizuje expresiu týchto enzýmov.</w:t>
      </w:r>
    </w:p>
    <w:p w14:paraId="2B2941EB" w14:textId="77777777" w:rsidR="009700E5" w:rsidRDefault="009700E5"/>
    <w:p w14:paraId="68D2A883" w14:textId="77777777" w:rsidR="009700E5" w:rsidRDefault="002C033C">
      <w:r>
        <w:t>V</w:t>
      </w:r>
      <w:ins w:id="940" w:author="Author" w:date="2025-07-21T09:57:00Z">
        <w:r>
          <w:t> </w:t>
        </w:r>
      </w:ins>
      <w:del w:id="941" w:author="Author" w:date="2025-07-21T09:57:00Z">
        <w:r>
          <w:delText xml:space="preserve"> </w:delText>
        </w:r>
      </w:del>
      <w:del w:id="942" w:author="Author" w:date="2025-07-18T23:11:00Z">
        <w:r>
          <w:delText xml:space="preserve">štúdii </w:delText>
        </w:r>
      </w:del>
      <w:ins w:id="943" w:author="Author" w:date="2025-07-21T09:57:00Z">
        <w:r>
          <w:t xml:space="preserve">klinickom </w:t>
        </w:r>
      </w:ins>
      <w:ins w:id="944" w:author="Author" w:date="2025-07-18T23:11:00Z">
        <w:r>
          <w:t xml:space="preserve">skúšaní </w:t>
        </w:r>
      </w:ins>
      <w:r>
        <w:t>s pacientmi s RA boli hladiny simvastatínu (CYP3A4) znížené o 57 % jeden týždeň po jednotlivej dávke tocilizumabu na hodnotu podobnú alebo mierne vyššiu, ako sa pozorovala u zdravých ľudí.</w:t>
      </w:r>
    </w:p>
    <w:p w14:paraId="7497A91D" w14:textId="77777777" w:rsidR="009700E5" w:rsidRDefault="009700E5">
      <w:pPr>
        <w:rPr>
          <w:rFonts w:eastAsia="SimSun"/>
          <w:lang w:eastAsia="zh-CN" w:bidi="th-TH"/>
        </w:rPr>
      </w:pPr>
    </w:p>
    <w:p w14:paraId="793FC394" w14:textId="77777777" w:rsidR="009700E5" w:rsidRDefault="002C033C">
      <w:r>
        <w:rPr>
          <w:rFonts w:eastAsia="SimSun"/>
          <w:lang w:eastAsia="zh-CN" w:bidi="th-TH"/>
        </w:rPr>
        <w:t>Pri začatí alebo ukončení liečby tocilizumabom sa musia sledovať pacienti, ktorí užívajú individuálne upravované dávky liekov metabolizovaných prostredníctvom CYP450 3A4, 1A2 alebo 2C9 (napr. metylprednizolón, dexametazón (možnosť vzniku abstinenčného syndrómu v dôsledku vysadenia perorálnych glukokortikoidov), atorvastatín, blokátory kalciového kanála, teofylín, warfarín, fenprokumón, fenytoín, cyklosporín alebo benzodiazepíny), keďže na udržanie ich terapeutického účinku môže byť potrebné zvýšenie dávok. Vzhľadom na dlhý eliminačný polčas (t</w:t>
      </w:r>
      <w:r>
        <w:rPr>
          <w:rFonts w:eastAsia="SimSun"/>
          <w:vertAlign w:val="subscript"/>
          <w:lang w:eastAsia="zh-CN" w:bidi="th-TH"/>
        </w:rPr>
        <w:t>1/2</w:t>
      </w:r>
      <w:r>
        <w:rPr>
          <w:rFonts w:eastAsia="SimSun"/>
          <w:lang w:eastAsia="zh-CN" w:bidi="th-TH"/>
        </w:rPr>
        <w:t>) môže vplyv tocilizumabu na aktivitu enzýmov CYP450 pretrvávať niekoľko týždňov po ukončení liečby.</w:t>
      </w:r>
    </w:p>
    <w:p w14:paraId="1E3F0352" w14:textId="77777777" w:rsidR="009700E5" w:rsidRDefault="009700E5">
      <w:pPr>
        <w:outlineLvl w:val="0"/>
      </w:pPr>
    </w:p>
    <w:p w14:paraId="726F32AF" w14:textId="77777777" w:rsidR="009700E5" w:rsidRDefault="002C033C">
      <w:pPr>
        <w:keepNext/>
        <w:keepLines/>
        <w:outlineLvl w:val="0"/>
        <w:rPr>
          <w:b/>
        </w:rPr>
      </w:pPr>
      <w:r>
        <w:rPr>
          <w:b/>
        </w:rPr>
        <w:t>4.6</w:t>
      </w:r>
      <w:r>
        <w:rPr>
          <w:b/>
        </w:rPr>
        <w:tab/>
        <w:t>Fertilita, g</w:t>
      </w:r>
      <w:r>
        <w:rPr>
          <w:b/>
          <w:szCs w:val="22"/>
        </w:rPr>
        <w:t>ravidita a laktácia</w:t>
      </w:r>
    </w:p>
    <w:p w14:paraId="2EF851DF" w14:textId="77777777" w:rsidR="009700E5" w:rsidRDefault="009700E5">
      <w:pPr>
        <w:keepNext/>
        <w:keepLines/>
        <w:outlineLvl w:val="0"/>
      </w:pPr>
    </w:p>
    <w:p w14:paraId="076999E1" w14:textId="77777777" w:rsidR="009700E5" w:rsidRDefault="002C033C">
      <w:pPr>
        <w:keepNext/>
        <w:keepLines/>
        <w:outlineLvl w:val="0"/>
        <w:rPr>
          <w:iCs/>
          <w:u w:val="single"/>
        </w:rPr>
      </w:pPr>
      <w:r>
        <w:rPr>
          <w:iCs/>
          <w:u w:val="single"/>
        </w:rPr>
        <w:t>Ženy vo fertilnom veku</w:t>
      </w:r>
    </w:p>
    <w:p w14:paraId="7940F340" w14:textId="77777777" w:rsidR="009700E5" w:rsidRDefault="002C033C">
      <w:pPr>
        <w:keepNext/>
        <w:keepLines/>
      </w:pPr>
      <w:r>
        <w:t>Ženy vo fertilnom veku musia používať účinnú antikoncepciu počas liečby a 3 mesiace po ukončení liečby.</w:t>
      </w:r>
    </w:p>
    <w:p w14:paraId="4BC0C606" w14:textId="77777777" w:rsidR="009700E5" w:rsidRDefault="009700E5">
      <w:pPr>
        <w:keepNext/>
        <w:keepLines/>
      </w:pPr>
    </w:p>
    <w:p w14:paraId="3D79C40C" w14:textId="77777777" w:rsidR="009700E5" w:rsidRDefault="002C033C">
      <w:pPr>
        <w:keepNext/>
        <w:keepLines/>
        <w:outlineLvl w:val="0"/>
        <w:rPr>
          <w:iCs/>
          <w:u w:val="single"/>
        </w:rPr>
      </w:pPr>
      <w:r>
        <w:rPr>
          <w:iCs/>
          <w:u w:val="single"/>
        </w:rPr>
        <w:t>Gravidita</w:t>
      </w:r>
    </w:p>
    <w:p w14:paraId="0362E178" w14:textId="77777777" w:rsidR="009700E5" w:rsidRDefault="002C033C">
      <w:pPr>
        <w:keepNext/>
        <w:keepLines/>
      </w:pPr>
      <w:r>
        <w:t xml:space="preserve">Nie sú k dispozícii dostatočné údaje o použití tocilizumabu u gravidných žien. </w:t>
      </w:r>
      <w:ins w:id="945" w:author="Author" w:date="2025-07-21T09:57:00Z">
        <w:r>
          <w:t>Klinické skúšanie</w:t>
        </w:r>
      </w:ins>
      <w:del w:id="946" w:author="Author" w:date="2025-07-21T09:57:00Z">
        <w:r>
          <w:delText>Štúdia</w:delText>
        </w:r>
      </w:del>
      <w:r>
        <w:t xml:space="preserve"> na zvieratách </w:t>
      </w:r>
      <w:del w:id="947" w:author="Author" w:date="2026-02-10T14:06:00Z">
        <w:r>
          <w:delText xml:space="preserve">preukázala </w:delText>
        </w:r>
      </w:del>
      <w:ins w:id="948" w:author="Author" w:date="2026-02-10T14:06:00Z">
        <w:r>
          <w:t xml:space="preserve">preukázalo </w:t>
        </w:r>
      </w:ins>
      <w:r>
        <w:t>zvýšené riziko spontánneho potratu/embryofetálneho úmrtia pri podávaní vysokej dávky (pozri časť 5.3). Nie je známe potenciálne riziko u ľudí.</w:t>
      </w:r>
    </w:p>
    <w:p w14:paraId="03707BA9" w14:textId="77777777" w:rsidR="009700E5" w:rsidRDefault="009700E5">
      <w:pPr>
        <w:outlineLvl w:val="0"/>
      </w:pPr>
    </w:p>
    <w:p w14:paraId="0D44A551" w14:textId="77777777" w:rsidR="009700E5" w:rsidRDefault="002C033C">
      <w:pPr>
        <w:outlineLvl w:val="0"/>
      </w:pPr>
      <w:r>
        <w:t>RoActemra sa môže používať počas gravidity iba v nevyhnutných prípadoch.</w:t>
      </w:r>
    </w:p>
    <w:p w14:paraId="1D86BA44" w14:textId="77777777" w:rsidR="009700E5" w:rsidRDefault="009700E5">
      <w:pPr>
        <w:outlineLvl w:val="0"/>
        <w:rPr>
          <w:iCs/>
        </w:rPr>
      </w:pPr>
    </w:p>
    <w:p w14:paraId="54A49220" w14:textId="77777777" w:rsidR="009700E5" w:rsidRDefault="002C033C">
      <w:pPr>
        <w:keepNext/>
        <w:rPr>
          <w:iCs/>
          <w:u w:val="single"/>
        </w:rPr>
        <w:pPrChange w:id="949" w:author="Author" w:date="2025-07-22T17:40:00Z">
          <w:pPr/>
        </w:pPrChange>
      </w:pPr>
      <w:r>
        <w:rPr>
          <w:iCs/>
          <w:u w:val="single"/>
        </w:rPr>
        <w:lastRenderedPageBreak/>
        <w:t>Dojčenie</w:t>
      </w:r>
    </w:p>
    <w:p w14:paraId="4886C425" w14:textId="77777777" w:rsidR="009700E5" w:rsidRDefault="002C033C">
      <w:r>
        <w:t>Nie je známe, či sa tocilizumab vylučuje do ľudského mlieka. Vylučovanie tocilizumabu do mlieka sa u zvierat neskúmalo. Rozhodnutie, či ukončiť dojčenie alebo ukončiť/prerušiť liečbu RoActemrou sa má urobiť po zvážení prínosu dojčenia pre dieťa a prínos liečby pre ženu.</w:t>
      </w:r>
    </w:p>
    <w:p w14:paraId="751F9635" w14:textId="77777777" w:rsidR="009700E5" w:rsidRDefault="009700E5"/>
    <w:p w14:paraId="57D25621" w14:textId="77777777" w:rsidR="009700E5" w:rsidRDefault="002C033C">
      <w:r>
        <w:rPr>
          <w:u w:val="single"/>
        </w:rPr>
        <w:t>Fertilita</w:t>
      </w:r>
    </w:p>
    <w:p w14:paraId="3B3F18F7" w14:textId="77777777" w:rsidR="009700E5" w:rsidRDefault="002C033C">
      <w:r>
        <w:t>Dostupné predklinické údaje nenaznačujú vplyv liečby tocilizumabom na fertilitu.</w:t>
      </w:r>
    </w:p>
    <w:p w14:paraId="7EAD818F" w14:textId="77777777" w:rsidR="009700E5" w:rsidRDefault="009700E5"/>
    <w:p w14:paraId="6150563D" w14:textId="77777777" w:rsidR="009700E5" w:rsidRDefault="002C033C">
      <w:pPr>
        <w:keepNext/>
        <w:outlineLvl w:val="0"/>
      </w:pPr>
      <w:r>
        <w:rPr>
          <w:b/>
        </w:rPr>
        <w:t>4.7</w:t>
      </w:r>
      <w:r>
        <w:rPr>
          <w:b/>
        </w:rPr>
        <w:tab/>
      </w:r>
      <w:r>
        <w:rPr>
          <w:b/>
          <w:szCs w:val="22"/>
        </w:rPr>
        <w:t>Ovplyvnenie schopnosti viesť vozidlá a obsluhovať stroje</w:t>
      </w:r>
    </w:p>
    <w:p w14:paraId="620955C6" w14:textId="77777777" w:rsidR="009700E5" w:rsidRDefault="009700E5">
      <w:pPr>
        <w:keepNext/>
      </w:pPr>
    </w:p>
    <w:p w14:paraId="1B2C7130" w14:textId="77777777" w:rsidR="009700E5" w:rsidRDefault="002C033C">
      <w:r>
        <w:rPr>
          <w:szCs w:val="22"/>
        </w:rPr>
        <w:t>RoActemra má malý vplyv na schopnosť viesť vozidlá a obsluhovať stroje, napr. závraty (pozri časť 4.8).</w:t>
      </w:r>
    </w:p>
    <w:p w14:paraId="12FEF344" w14:textId="77777777" w:rsidR="009700E5" w:rsidRDefault="009700E5">
      <w:pPr>
        <w:outlineLvl w:val="0"/>
      </w:pPr>
    </w:p>
    <w:p w14:paraId="59C72D5A" w14:textId="77777777" w:rsidR="009700E5" w:rsidRDefault="002C033C">
      <w:pPr>
        <w:keepNext/>
        <w:keepLines/>
        <w:outlineLvl w:val="0"/>
        <w:rPr>
          <w:b/>
        </w:rPr>
      </w:pPr>
      <w:r>
        <w:rPr>
          <w:b/>
        </w:rPr>
        <w:t>4.8</w:t>
      </w:r>
      <w:r>
        <w:rPr>
          <w:b/>
        </w:rPr>
        <w:tab/>
      </w:r>
      <w:r>
        <w:rPr>
          <w:b/>
          <w:szCs w:val="22"/>
        </w:rPr>
        <w:t>Nežiaduce účinky</w:t>
      </w:r>
    </w:p>
    <w:p w14:paraId="4923B1A2" w14:textId="77777777" w:rsidR="009700E5" w:rsidRDefault="009700E5">
      <w:pPr>
        <w:keepNext/>
        <w:keepLines/>
        <w:outlineLvl w:val="0"/>
      </w:pPr>
    </w:p>
    <w:p w14:paraId="796268D1" w14:textId="77777777" w:rsidR="009700E5" w:rsidRDefault="002C033C">
      <w:pPr>
        <w:rPr>
          <w:szCs w:val="22"/>
          <w:u w:val="single"/>
        </w:rPr>
      </w:pPr>
      <w:r>
        <w:rPr>
          <w:szCs w:val="22"/>
          <w:u w:val="single"/>
        </w:rPr>
        <w:t>Súhrn bezpečnostného profilu</w:t>
      </w:r>
    </w:p>
    <w:p w14:paraId="4F5C1961" w14:textId="77777777" w:rsidR="009700E5" w:rsidRDefault="002C033C">
      <w:r>
        <w:t>Bezpečnostný profil bol stanovený na základe 4 510 pacientov vystavených tocilizumabu v klinických skúšaniach; väčšina týchto pacientov sa zúčastnila skúšaní RA vykonaných u dospelých (n = 4 009), kým zvyšné údaje pochádzajú zo skúšaní OBA (n = 149), pJIA (n = 240) a sJIA (n = 112). Bezpečnostný profil tocilizumabu zostáva v týchto indikáciách podobný a nediferencovaný.</w:t>
      </w:r>
    </w:p>
    <w:p w14:paraId="1B467708" w14:textId="77777777" w:rsidR="009700E5" w:rsidRDefault="009700E5"/>
    <w:p w14:paraId="79512ABF" w14:textId="77777777" w:rsidR="009700E5" w:rsidRDefault="002C033C">
      <w:r>
        <w:t>Najčastejšie hlásené nežiaduce reakcie boli infekcie horných dýchacích ciest, nazofaryngitída, bolesť hlavy, hypertenzia a zvýšené hodnoty ALT.</w:t>
      </w:r>
    </w:p>
    <w:p w14:paraId="39E1CE1C" w14:textId="77777777" w:rsidR="009700E5" w:rsidRDefault="009700E5">
      <w:pPr>
        <w:outlineLvl w:val="0"/>
      </w:pPr>
    </w:p>
    <w:p w14:paraId="26ACD13B" w14:textId="77777777" w:rsidR="009700E5" w:rsidRDefault="002C033C">
      <w:pPr>
        <w:keepNext/>
        <w:keepLines/>
        <w:outlineLvl w:val="0"/>
      </w:pPr>
      <w:r>
        <w:t>Najvážnejšie nežiaduce reakcie boli závažné infekcie, komplikácie divertikulitídy a reakcie z precitlivenosti.</w:t>
      </w:r>
    </w:p>
    <w:p w14:paraId="4EE37BBB" w14:textId="77777777" w:rsidR="009700E5" w:rsidRDefault="009700E5">
      <w:pPr>
        <w:outlineLvl w:val="0"/>
      </w:pPr>
    </w:p>
    <w:p w14:paraId="080E90B9" w14:textId="77777777" w:rsidR="009700E5" w:rsidRDefault="002C033C">
      <w:pPr>
        <w:rPr>
          <w:color w:val="000000"/>
          <w:szCs w:val="22"/>
          <w:u w:val="single"/>
        </w:rPr>
      </w:pPr>
      <w:r>
        <w:rPr>
          <w:color w:val="000000"/>
          <w:szCs w:val="22"/>
          <w:u w:val="single"/>
        </w:rPr>
        <w:t>Tabuľkový zoznam nežiaducich reakcií</w:t>
      </w:r>
    </w:p>
    <w:p w14:paraId="31D2D03E" w14:textId="77777777" w:rsidR="009700E5" w:rsidRDefault="002C033C">
      <w:r>
        <w:t xml:space="preserve">Nežiaduce reakcie z klinických skúšaní a/alebo zo skúseností po uvedení tocilizumabu na trh na základe spontánnych hlásení prípadov, prípadov uvedených v literatúre a prípadov z programov neintervenčných </w:t>
      </w:r>
      <w:del w:id="950" w:author="Author" w:date="2025-07-18T23:18:00Z">
        <w:r>
          <w:delText xml:space="preserve">štúdií </w:delText>
        </w:r>
      </w:del>
      <w:ins w:id="951" w:author="Author" w:date="2025-07-21T09:58:00Z">
        <w:r>
          <w:t xml:space="preserve">klinických </w:t>
        </w:r>
      </w:ins>
      <w:ins w:id="952" w:author="Author" w:date="2025-07-18T23:18:00Z">
        <w:r>
          <w:t xml:space="preserve">skúšaní </w:t>
        </w:r>
      </w:ins>
      <w:r>
        <w:t xml:space="preserve">sú vymenované v tabuľke 1 a uvedené podľa TOS (triedy orgánových systémov) MedDRA. Zodpovedajúca kategória frekvencie </w:t>
      </w:r>
      <w:del w:id="953" w:author="Author" w:date="2025-07-18T23:28:00Z">
        <w:r>
          <w:delText xml:space="preserve">pre každú nežiaducu reakciu, </w:delText>
        </w:r>
      </w:del>
      <w:r>
        <w:t>je na základe nasledujúceho pravidla: veľmi časté (</w:t>
      </w:r>
      <w:r>
        <w:sym w:font="Symbol" w:char="F0B3"/>
      </w:r>
      <w:r>
        <w:t> 1/10); časté (</w:t>
      </w:r>
      <w:r>
        <w:sym w:font="Symbol" w:char="F0B3"/>
      </w:r>
      <w:r>
        <w:t xml:space="preserve"> 1/100 až </w:t>
      </w:r>
      <w:r>
        <w:rPr>
          <w:rFonts w:eastAsia="MS Mincho"/>
          <w:szCs w:val="22"/>
        </w:rPr>
        <w:sym w:font="Symbol" w:char="F03C"/>
      </w:r>
      <w:r>
        <w:t> 1/10), menej časté (</w:t>
      </w:r>
      <w:r>
        <w:sym w:font="Symbol" w:char="F0B3"/>
      </w:r>
      <w:r>
        <w:t xml:space="preserve"> 1/1 000 až </w:t>
      </w:r>
      <w:r>
        <w:rPr>
          <w:rFonts w:eastAsia="MS Mincho"/>
          <w:szCs w:val="22"/>
        </w:rPr>
        <w:sym w:font="Symbol" w:char="F03C"/>
      </w:r>
      <w:r>
        <w:t> 1/100), zriedkavé (</w:t>
      </w:r>
      <w:r>
        <w:rPr>
          <w:szCs w:val="22"/>
        </w:rPr>
        <w:t>≥</w:t>
      </w:r>
      <w:r>
        <w:t xml:space="preserve"> 1/10 000 až </w:t>
      </w:r>
      <w:r>
        <w:rPr>
          <w:rFonts w:eastAsia="MS Mincho"/>
          <w:szCs w:val="22"/>
        </w:rPr>
        <w:sym w:font="Symbol" w:char="F03C"/>
      </w:r>
      <w:r>
        <w:t> 1/1 000), veľmi zriedkavé (</w:t>
      </w:r>
      <w:r>
        <w:rPr>
          <w:rFonts w:eastAsia="MS Mincho"/>
          <w:szCs w:val="22"/>
        </w:rPr>
        <w:sym w:font="Symbol" w:char="F03C"/>
      </w:r>
      <w:r>
        <w:t> 1/10 000) a neznáme (z dostupných údajov). V rámci jednotlivých skupín frekvencií sú nežiaduce účinky usporiadané v poradí klesajúcej závažnosti.</w:t>
      </w:r>
    </w:p>
    <w:p w14:paraId="7F8B957D" w14:textId="77777777" w:rsidR="009700E5" w:rsidRDefault="009700E5"/>
    <w:p w14:paraId="28F2DABE" w14:textId="77777777" w:rsidR="009700E5" w:rsidRDefault="002C033C">
      <w:pPr>
        <w:keepNext/>
        <w:keepLines/>
        <w:ind w:left="1138" w:hanging="1138"/>
        <w:rPr>
          <w:b/>
        </w:rPr>
      </w:pPr>
      <w:r>
        <w:rPr>
          <w:i/>
        </w:rPr>
        <w:lastRenderedPageBreak/>
        <w:t>Tabuľka 1. Zoznam nežiaducich reakcií vyskytujúcich sa u pacientov liečených tocilizumabom</w:t>
      </w:r>
    </w:p>
    <w:p w14:paraId="07BE6818" w14:textId="77777777" w:rsidR="009700E5" w:rsidRDefault="009700E5">
      <w:pPr>
        <w:keepNext/>
        <w:keepLines/>
        <w:rPr>
          <w:szCs w:val="22"/>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31"/>
        <w:gridCol w:w="1531"/>
        <w:gridCol w:w="1531"/>
        <w:gridCol w:w="1531"/>
        <w:gridCol w:w="1531"/>
      </w:tblGrid>
      <w:tr w:rsidR="009700E5" w14:paraId="40612E0E" w14:textId="77777777">
        <w:trPr>
          <w:cantSplit/>
          <w:tblHeader/>
        </w:trPr>
        <w:tc>
          <w:tcPr>
            <w:tcW w:w="1384" w:type="dxa"/>
            <w:vMerge w:val="restart"/>
          </w:tcPr>
          <w:p w14:paraId="2EAC159F" w14:textId="77777777" w:rsidR="009700E5" w:rsidRDefault="002C033C">
            <w:pPr>
              <w:keepNext/>
              <w:keepLines/>
              <w:jc w:val="center"/>
              <w:rPr>
                <w:b/>
                <w:szCs w:val="22"/>
              </w:rPr>
            </w:pPr>
            <w:r>
              <w:rPr>
                <w:b/>
                <w:szCs w:val="22"/>
              </w:rPr>
              <w:t>TOS MedDRA</w:t>
            </w:r>
          </w:p>
        </w:tc>
        <w:tc>
          <w:tcPr>
            <w:tcW w:w="7655" w:type="dxa"/>
            <w:gridSpan w:val="5"/>
          </w:tcPr>
          <w:p w14:paraId="1AC63162" w14:textId="77777777" w:rsidR="009700E5" w:rsidRDefault="002C033C">
            <w:pPr>
              <w:keepNext/>
              <w:keepLines/>
              <w:jc w:val="center"/>
              <w:rPr>
                <w:b/>
                <w:szCs w:val="22"/>
              </w:rPr>
            </w:pPr>
            <w:r>
              <w:rPr>
                <w:b/>
                <w:szCs w:val="22"/>
              </w:rPr>
              <w:t>Preferovaný termín podľa kategórie frekvencie</w:t>
            </w:r>
          </w:p>
        </w:tc>
      </w:tr>
      <w:tr w:rsidR="009700E5" w14:paraId="0059BCDD" w14:textId="77777777">
        <w:trPr>
          <w:cantSplit/>
          <w:tblHeader/>
        </w:trPr>
        <w:tc>
          <w:tcPr>
            <w:tcW w:w="1384" w:type="dxa"/>
            <w:vMerge/>
          </w:tcPr>
          <w:p w14:paraId="6B30A46D" w14:textId="77777777" w:rsidR="009700E5" w:rsidRDefault="009700E5">
            <w:pPr>
              <w:keepNext/>
              <w:keepLines/>
              <w:jc w:val="center"/>
              <w:rPr>
                <w:b/>
                <w:szCs w:val="22"/>
              </w:rPr>
            </w:pPr>
          </w:p>
        </w:tc>
        <w:tc>
          <w:tcPr>
            <w:tcW w:w="1531" w:type="dxa"/>
          </w:tcPr>
          <w:p w14:paraId="4420E587" w14:textId="77777777" w:rsidR="009700E5" w:rsidRDefault="002C033C">
            <w:pPr>
              <w:keepNext/>
              <w:keepLines/>
              <w:jc w:val="center"/>
              <w:rPr>
                <w:b/>
                <w:szCs w:val="22"/>
              </w:rPr>
            </w:pPr>
            <w:r>
              <w:rPr>
                <w:b/>
                <w:szCs w:val="22"/>
              </w:rPr>
              <w:t>Veľmi časté</w:t>
            </w:r>
          </w:p>
        </w:tc>
        <w:tc>
          <w:tcPr>
            <w:tcW w:w="1531" w:type="dxa"/>
          </w:tcPr>
          <w:p w14:paraId="3D1256AB" w14:textId="77777777" w:rsidR="009700E5" w:rsidRDefault="002C033C">
            <w:pPr>
              <w:keepNext/>
              <w:keepLines/>
              <w:jc w:val="center"/>
              <w:rPr>
                <w:b/>
                <w:szCs w:val="22"/>
              </w:rPr>
            </w:pPr>
            <w:r>
              <w:rPr>
                <w:b/>
                <w:szCs w:val="22"/>
              </w:rPr>
              <w:t>Časté</w:t>
            </w:r>
          </w:p>
        </w:tc>
        <w:tc>
          <w:tcPr>
            <w:tcW w:w="1531" w:type="dxa"/>
          </w:tcPr>
          <w:p w14:paraId="0393A3CF" w14:textId="77777777" w:rsidR="009700E5" w:rsidRDefault="002C033C">
            <w:pPr>
              <w:keepNext/>
              <w:keepLines/>
              <w:jc w:val="center"/>
              <w:rPr>
                <w:b/>
                <w:szCs w:val="22"/>
              </w:rPr>
            </w:pPr>
            <w:r>
              <w:rPr>
                <w:b/>
                <w:szCs w:val="22"/>
              </w:rPr>
              <w:t>Menej časté</w:t>
            </w:r>
          </w:p>
        </w:tc>
        <w:tc>
          <w:tcPr>
            <w:tcW w:w="1531" w:type="dxa"/>
          </w:tcPr>
          <w:p w14:paraId="51FFECD4" w14:textId="77777777" w:rsidR="009700E5" w:rsidRDefault="002C033C">
            <w:pPr>
              <w:keepNext/>
              <w:keepLines/>
              <w:jc w:val="center"/>
              <w:rPr>
                <w:b/>
                <w:szCs w:val="22"/>
              </w:rPr>
            </w:pPr>
            <w:r>
              <w:rPr>
                <w:b/>
                <w:szCs w:val="22"/>
              </w:rPr>
              <w:t>Zriedkavé</w:t>
            </w:r>
          </w:p>
        </w:tc>
        <w:tc>
          <w:tcPr>
            <w:tcW w:w="1531" w:type="dxa"/>
          </w:tcPr>
          <w:p w14:paraId="622D566F" w14:textId="77777777" w:rsidR="009700E5" w:rsidRDefault="002C033C">
            <w:pPr>
              <w:keepNext/>
              <w:keepLines/>
              <w:jc w:val="center"/>
              <w:rPr>
                <w:b/>
                <w:szCs w:val="22"/>
              </w:rPr>
            </w:pPr>
            <w:r>
              <w:rPr>
                <w:b/>
                <w:szCs w:val="22"/>
              </w:rPr>
              <w:t>Veľmi zriedkavé</w:t>
            </w:r>
          </w:p>
        </w:tc>
      </w:tr>
      <w:tr w:rsidR="009700E5" w14:paraId="417EA590" w14:textId="77777777">
        <w:trPr>
          <w:cantSplit/>
        </w:trPr>
        <w:tc>
          <w:tcPr>
            <w:tcW w:w="1384" w:type="dxa"/>
          </w:tcPr>
          <w:p w14:paraId="0DAF2A47" w14:textId="77777777" w:rsidR="009700E5" w:rsidRDefault="002C033C">
            <w:pPr>
              <w:keepNext/>
              <w:keepLines/>
              <w:rPr>
                <w:szCs w:val="22"/>
              </w:rPr>
            </w:pPr>
            <w:r>
              <w:rPr>
                <w:szCs w:val="22"/>
              </w:rPr>
              <w:t>Infekcie a nákazy</w:t>
            </w:r>
          </w:p>
        </w:tc>
        <w:tc>
          <w:tcPr>
            <w:tcW w:w="1531" w:type="dxa"/>
          </w:tcPr>
          <w:p w14:paraId="13F59DEB" w14:textId="77777777" w:rsidR="009700E5" w:rsidRDefault="002C033C">
            <w:pPr>
              <w:keepNext/>
              <w:keepLines/>
              <w:rPr>
                <w:szCs w:val="22"/>
              </w:rPr>
            </w:pPr>
            <w:r>
              <w:rPr>
                <w:szCs w:val="22"/>
              </w:rPr>
              <w:t>Infekcie horných dýchacích ciest</w:t>
            </w:r>
          </w:p>
        </w:tc>
        <w:tc>
          <w:tcPr>
            <w:tcW w:w="1531" w:type="dxa"/>
          </w:tcPr>
          <w:p w14:paraId="50B80416" w14:textId="77777777" w:rsidR="009700E5" w:rsidRDefault="002C033C">
            <w:pPr>
              <w:keepNext/>
              <w:keepLines/>
              <w:rPr>
                <w:szCs w:val="22"/>
              </w:rPr>
            </w:pPr>
            <w:r>
              <w:rPr>
                <w:szCs w:val="22"/>
              </w:rPr>
              <w:t>Celulitída, pneumónia, jednoduchý opar v oblasti úst, pásový opar</w:t>
            </w:r>
          </w:p>
        </w:tc>
        <w:tc>
          <w:tcPr>
            <w:tcW w:w="1531" w:type="dxa"/>
          </w:tcPr>
          <w:p w14:paraId="3E81A979" w14:textId="77777777" w:rsidR="009700E5" w:rsidRDefault="002C033C">
            <w:pPr>
              <w:keepNext/>
              <w:keepLines/>
              <w:rPr>
                <w:szCs w:val="22"/>
              </w:rPr>
            </w:pPr>
            <w:r>
              <w:rPr>
                <w:szCs w:val="22"/>
              </w:rPr>
              <w:t>Divertikulitída</w:t>
            </w:r>
          </w:p>
        </w:tc>
        <w:tc>
          <w:tcPr>
            <w:tcW w:w="1531" w:type="dxa"/>
          </w:tcPr>
          <w:p w14:paraId="0F4F5F13" w14:textId="77777777" w:rsidR="009700E5" w:rsidRDefault="009700E5">
            <w:pPr>
              <w:keepNext/>
              <w:keepLines/>
              <w:rPr>
                <w:szCs w:val="22"/>
              </w:rPr>
            </w:pPr>
          </w:p>
        </w:tc>
        <w:tc>
          <w:tcPr>
            <w:tcW w:w="1531" w:type="dxa"/>
          </w:tcPr>
          <w:p w14:paraId="72FF26C1" w14:textId="77777777" w:rsidR="009700E5" w:rsidRDefault="009700E5">
            <w:pPr>
              <w:keepNext/>
              <w:keepLines/>
              <w:rPr>
                <w:szCs w:val="22"/>
              </w:rPr>
            </w:pPr>
          </w:p>
        </w:tc>
      </w:tr>
      <w:tr w:rsidR="009700E5" w14:paraId="348AB99B" w14:textId="77777777">
        <w:trPr>
          <w:cantSplit/>
        </w:trPr>
        <w:tc>
          <w:tcPr>
            <w:tcW w:w="1384" w:type="dxa"/>
          </w:tcPr>
          <w:p w14:paraId="32A24B12" w14:textId="77777777" w:rsidR="009700E5" w:rsidRDefault="002C033C">
            <w:pPr>
              <w:keepNext/>
              <w:keepLines/>
              <w:rPr>
                <w:szCs w:val="22"/>
              </w:rPr>
            </w:pPr>
            <w:r>
              <w:rPr>
                <w:szCs w:val="22"/>
              </w:rPr>
              <w:t>Poruchy krvi a lymfatic-kého systému</w:t>
            </w:r>
          </w:p>
        </w:tc>
        <w:tc>
          <w:tcPr>
            <w:tcW w:w="1531" w:type="dxa"/>
          </w:tcPr>
          <w:p w14:paraId="1726CF81" w14:textId="77777777" w:rsidR="009700E5" w:rsidRDefault="009700E5">
            <w:pPr>
              <w:keepNext/>
              <w:keepLines/>
              <w:rPr>
                <w:szCs w:val="22"/>
              </w:rPr>
            </w:pPr>
          </w:p>
        </w:tc>
        <w:tc>
          <w:tcPr>
            <w:tcW w:w="1531" w:type="dxa"/>
          </w:tcPr>
          <w:p w14:paraId="46F332CC" w14:textId="77777777" w:rsidR="009700E5" w:rsidRDefault="002C033C">
            <w:pPr>
              <w:keepNext/>
              <w:keepLines/>
              <w:rPr>
                <w:szCs w:val="22"/>
              </w:rPr>
            </w:pPr>
            <w:r>
              <w:rPr>
                <w:szCs w:val="22"/>
              </w:rPr>
              <w:t>Leukopénia, neutropénia</w:t>
            </w:r>
            <w:r>
              <w:rPr>
                <w:color w:val="1A1A1A"/>
                <w:szCs w:val="22"/>
                <w:lang w:eastAsia="en-GB"/>
              </w:rPr>
              <w:t>, hypofibrino-genémia</w:t>
            </w:r>
          </w:p>
        </w:tc>
        <w:tc>
          <w:tcPr>
            <w:tcW w:w="1531" w:type="dxa"/>
          </w:tcPr>
          <w:p w14:paraId="7AF09904" w14:textId="77777777" w:rsidR="009700E5" w:rsidRDefault="009700E5">
            <w:pPr>
              <w:keepNext/>
              <w:keepLines/>
              <w:rPr>
                <w:szCs w:val="22"/>
              </w:rPr>
            </w:pPr>
          </w:p>
        </w:tc>
        <w:tc>
          <w:tcPr>
            <w:tcW w:w="1531" w:type="dxa"/>
          </w:tcPr>
          <w:p w14:paraId="7B2B37A5" w14:textId="77777777" w:rsidR="009700E5" w:rsidRDefault="009700E5">
            <w:pPr>
              <w:keepNext/>
              <w:keepLines/>
              <w:rPr>
                <w:szCs w:val="22"/>
              </w:rPr>
            </w:pPr>
          </w:p>
        </w:tc>
        <w:tc>
          <w:tcPr>
            <w:tcW w:w="1531" w:type="dxa"/>
          </w:tcPr>
          <w:p w14:paraId="4402A542" w14:textId="77777777" w:rsidR="009700E5" w:rsidRDefault="009700E5">
            <w:pPr>
              <w:keepNext/>
              <w:keepLines/>
              <w:rPr>
                <w:szCs w:val="22"/>
              </w:rPr>
            </w:pPr>
          </w:p>
        </w:tc>
      </w:tr>
      <w:tr w:rsidR="009700E5" w14:paraId="7DDAB284" w14:textId="77777777">
        <w:trPr>
          <w:cantSplit/>
        </w:trPr>
        <w:tc>
          <w:tcPr>
            <w:tcW w:w="1384" w:type="dxa"/>
          </w:tcPr>
          <w:p w14:paraId="48FF46F9" w14:textId="77777777" w:rsidR="009700E5" w:rsidRDefault="002C033C">
            <w:pPr>
              <w:keepNext/>
              <w:keepLines/>
              <w:rPr>
                <w:szCs w:val="22"/>
              </w:rPr>
            </w:pPr>
            <w:r>
              <w:rPr>
                <w:szCs w:val="22"/>
              </w:rPr>
              <w:t>Poruchy imunitného systému</w:t>
            </w:r>
          </w:p>
        </w:tc>
        <w:tc>
          <w:tcPr>
            <w:tcW w:w="1531" w:type="dxa"/>
          </w:tcPr>
          <w:p w14:paraId="0452AC3B" w14:textId="77777777" w:rsidR="009700E5" w:rsidRDefault="009700E5">
            <w:pPr>
              <w:keepNext/>
              <w:keepLines/>
              <w:rPr>
                <w:szCs w:val="22"/>
              </w:rPr>
            </w:pPr>
          </w:p>
        </w:tc>
        <w:tc>
          <w:tcPr>
            <w:tcW w:w="1531" w:type="dxa"/>
          </w:tcPr>
          <w:p w14:paraId="72A60AE1" w14:textId="77777777" w:rsidR="009700E5" w:rsidRDefault="009700E5">
            <w:pPr>
              <w:keepNext/>
              <w:keepLines/>
              <w:rPr>
                <w:szCs w:val="22"/>
              </w:rPr>
            </w:pPr>
          </w:p>
        </w:tc>
        <w:tc>
          <w:tcPr>
            <w:tcW w:w="1531" w:type="dxa"/>
          </w:tcPr>
          <w:p w14:paraId="66FC4376" w14:textId="77777777" w:rsidR="009700E5" w:rsidRDefault="009700E5">
            <w:pPr>
              <w:keepNext/>
              <w:keepLines/>
              <w:rPr>
                <w:szCs w:val="22"/>
              </w:rPr>
            </w:pPr>
          </w:p>
        </w:tc>
        <w:tc>
          <w:tcPr>
            <w:tcW w:w="1531" w:type="dxa"/>
          </w:tcPr>
          <w:p w14:paraId="76B4EB18" w14:textId="77777777" w:rsidR="009700E5" w:rsidRDefault="002C033C">
            <w:pPr>
              <w:keepNext/>
              <w:keepLines/>
              <w:rPr>
                <w:szCs w:val="22"/>
                <w:vertAlign w:val="superscript"/>
              </w:rPr>
            </w:pPr>
            <w:r>
              <w:rPr>
                <w:szCs w:val="22"/>
              </w:rPr>
              <w:t>Anafylaxia (smrteľná)</w:t>
            </w:r>
            <w:r>
              <w:rPr>
                <w:szCs w:val="22"/>
                <w:vertAlign w:val="superscript"/>
              </w:rPr>
              <w:t>1, 2, 3</w:t>
            </w:r>
          </w:p>
        </w:tc>
        <w:tc>
          <w:tcPr>
            <w:tcW w:w="1531" w:type="dxa"/>
          </w:tcPr>
          <w:p w14:paraId="15ABE0C5" w14:textId="77777777" w:rsidR="009700E5" w:rsidRDefault="009700E5">
            <w:pPr>
              <w:keepNext/>
              <w:keepLines/>
              <w:rPr>
                <w:szCs w:val="22"/>
              </w:rPr>
            </w:pPr>
          </w:p>
        </w:tc>
      </w:tr>
      <w:tr w:rsidR="009700E5" w14:paraId="2C374FFA" w14:textId="77777777">
        <w:trPr>
          <w:cantSplit/>
        </w:trPr>
        <w:tc>
          <w:tcPr>
            <w:tcW w:w="1384" w:type="dxa"/>
          </w:tcPr>
          <w:p w14:paraId="49FF60B2" w14:textId="77777777" w:rsidR="009700E5" w:rsidRDefault="002C033C">
            <w:pPr>
              <w:keepNext/>
              <w:keepLines/>
              <w:rPr>
                <w:szCs w:val="22"/>
              </w:rPr>
            </w:pPr>
            <w:r>
              <w:rPr>
                <w:szCs w:val="22"/>
              </w:rPr>
              <w:t>Poruchy endokrinné-ho systému</w:t>
            </w:r>
          </w:p>
        </w:tc>
        <w:tc>
          <w:tcPr>
            <w:tcW w:w="1531" w:type="dxa"/>
          </w:tcPr>
          <w:p w14:paraId="652D787C" w14:textId="77777777" w:rsidR="009700E5" w:rsidRDefault="009700E5">
            <w:pPr>
              <w:keepNext/>
              <w:keepLines/>
              <w:rPr>
                <w:szCs w:val="22"/>
              </w:rPr>
            </w:pPr>
          </w:p>
        </w:tc>
        <w:tc>
          <w:tcPr>
            <w:tcW w:w="1531" w:type="dxa"/>
          </w:tcPr>
          <w:p w14:paraId="1C741580" w14:textId="77777777" w:rsidR="009700E5" w:rsidRDefault="009700E5">
            <w:pPr>
              <w:keepNext/>
              <w:keepLines/>
              <w:rPr>
                <w:szCs w:val="22"/>
              </w:rPr>
            </w:pPr>
          </w:p>
        </w:tc>
        <w:tc>
          <w:tcPr>
            <w:tcW w:w="1531" w:type="dxa"/>
          </w:tcPr>
          <w:p w14:paraId="2C698AEB" w14:textId="77777777" w:rsidR="009700E5" w:rsidRDefault="002C033C">
            <w:pPr>
              <w:keepNext/>
              <w:keepLines/>
              <w:rPr>
                <w:szCs w:val="22"/>
              </w:rPr>
            </w:pPr>
            <w:r>
              <w:rPr>
                <w:szCs w:val="22"/>
              </w:rPr>
              <w:t>Hypotyre-oidizmus</w:t>
            </w:r>
          </w:p>
        </w:tc>
        <w:tc>
          <w:tcPr>
            <w:tcW w:w="1531" w:type="dxa"/>
          </w:tcPr>
          <w:p w14:paraId="680334C8" w14:textId="77777777" w:rsidR="009700E5" w:rsidRDefault="009700E5">
            <w:pPr>
              <w:keepNext/>
              <w:keepLines/>
              <w:rPr>
                <w:szCs w:val="22"/>
              </w:rPr>
            </w:pPr>
          </w:p>
        </w:tc>
        <w:tc>
          <w:tcPr>
            <w:tcW w:w="1531" w:type="dxa"/>
          </w:tcPr>
          <w:p w14:paraId="5E0CCD92" w14:textId="77777777" w:rsidR="009700E5" w:rsidRDefault="009700E5">
            <w:pPr>
              <w:keepNext/>
              <w:keepLines/>
              <w:rPr>
                <w:szCs w:val="22"/>
              </w:rPr>
            </w:pPr>
          </w:p>
        </w:tc>
      </w:tr>
      <w:tr w:rsidR="009700E5" w14:paraId="6282E61E" w14:textId="77777777">
        <w:trPr>
          <w:cantSplit/>
        </w:trPr>
        <w:tc>
          <w:tcPr>
            <w:tcW w:w="1384" w:type="dxa"/>
          </w:tcPr>
          <w:p w14:paraId="6103FFE9" w14:textId="77777777" w:rsidR="009700E5" w:rsidRDefault="002C033C">
            <w:pPr>
              <w:keepNext/>
              <w:keepLines/>
              <w:rPr>
                <w:szCs w:val="22"/>
              </w:rPr>
            </w:pPr>
            <w:r>
              <w:rPr>
                <w:szCs w:val="22"/>
              </w:rPr>
              <w:t>Poruchy metabolizmu a výživy</w:t>
            </w:r>
          </w:p>
        </w:tc>
        <w:tc>
          <w:tcPr>
            <w:tcW w:w="1531" w:type="dxa"/>
          </w:tcPr>
          <w:p w14:paraId="717D8288" w14:textId="77777777" w:rsidR="009700E5" w:rsidRDefault="002C033C">
            <w:pPr>
              <w:keepNext/>
              <w:keepLines/>
              <w:rPr>
                <w:szCs w:val="22"/>
              </w:rPr>
            </w:pPr>
            <w:r>
              <w:rPr>
                <w:szCs w:val="22"/>
              </w:rPr>
              <w:t>Hypercholes-terolémia*</w:t>
            </w:r>
          </w:p>
        </w:tc>
        <w:tc>
          <w:tcPr>
            <w:tcW w:w="1531" w:type="dxa"/>
          </w:tcPr>
          <w:p w14:paraId="77058307" w14:textId="77777777" w:rsidR="009700E5" w:rsidRDefault="009700E5">
            <w:pPr>
              <w:keepNext/>
              <w:keepLines/>
              <w:rPr>
                <w:szCs w:val="22"/>
              </w:rPr>
            </w:pPr>
          </w:p>
        </w:tc>
        <w:tc>
          <w:tcPr>
            <w:tcW w:w="1531" w:type="dxa"/>
          </w:tcPr>
          <w:p w14:paraId="2980ABD7" w14:textId="77777777" w:rsidR="009700E5" w:rsidRDefault="002C033C">
            <w:pPr>
              <w:keepNext/>
              <w:keepLines/>
              <w:rPr>
                <w:szCs w:val="22"/>
              </w:rPr>
            </w:pPr>
            <w:r>
              <w:rPr>
                <w:szCs w:val="22"/>
              </w:rPr>
              <w:t>Hypertriacyl-glycerolémia</w:t>
            </w:r>
          </w:p>
        </w:tc>
        <w:tc>
          <w:tcPr>
            <w:tcW w:w="1531" w:type="dxa"/>
          </w:tcPr>
          <w:p w14:paraId="484D1A2B" w14:textId="77777777" w:rsidR="009700E5" w:rsidRDefault="009700E5">
            <w:pPr>
              <w:keepNext/>
              <w:keepLines/>
              <w:rPr>
                <w:szCs w:val="22"/>
              </w:rPr>
            </w:pPr>
          </w:p>
        </w:tc>
        <w:tc>
          <w:tcPr>
            <w:tcW w:w="1531" w:type="dxa"/>
          </w:tcPr>
          <w:p w14:paraId="50F1ACE6" w14:textId="77777777" w:rsidR="009700E5" w:rsidRDefault="009700E5">
            <w:pPr>
              <w:keepNext/>
              <w:keepLines/>
              <w:rPr>
                <w:szCs w:val="22"/>
              </w:rPr>
            </w:pPr>
          </w:p>
        </w:tc>
      </w:tr>
      <w:tr w:rsidR="009700E5" w14:paraId="6DC21A50" w14:textId="77777777">
        <w:trPr>
          <w:cantSplit/>
        </w:trPr>
        <w:tc>
          <w:tcPr>
            <w:tcW w:w="1384" w:type="dxa"/>
          </w:tcPr>
          <w:p w14:paraId="52C302AF" w14:textId="77777777" w:rsidR="009700E5" w:rsidRDefault="002C033C">
            <w:pPr>
              <w:keepNext/>
              <w:keepLines/>
              <w:rPr>
                <w:szCs w:val="22"/>
              </w:rPr>
            </w:pPr>
            <w:r>
              <w:rPr>
                <w:szCs w:val="22"/>
              </w:rPr>
              <w:t>Poruchy nervového systému</w:t>
            </w:r>
          </w:p>
        </w:tc>
        <w:tc>
          <w:tcPr>
            <w:tcW w:w="1531" w:type="dxa"/>
          </w:tcPr>
          <w:p w14:paraId="1E4AE219" w14:textId="77777777" w:rsidR="009700E5" w:rsidRDefault="009700E5">
            <w:pPr>
              <w:keepNext/>
              <w:keepLines/>
              <w:rPr>
                <w:szCs w:val="22"/>
              </w:rPr>
            </w:pPr>
          </w:p>
        </w:tc>
        <w:tc>
          <w:tcPr>
            <w:tcW w:w="1531" w:type="dxa"/>
          </w:tcPr>
          <w:p w14:paraId="39D0897D" w14:textId="77777777" w:rsidR="009700E5" w:rsidRDefault="002C033C">
            <w:pPr>
              <w:keepNext/>
              <w:keepLines/>
              <w:rPr>
                <w:szCs w:val="22"/>
              </w:rPr>
            </w:pPr>
            <w:r>
              <w:rPr>
                <w:szCs w:val="22"/>
              </w:rPr>
              <w:t>Bolesť hlavy, závraty</w:t>
            </w:r>
          </w:p>
        </w:tc>
        <w:tc>
          <w:tcPr>
            <w:tcW w:w="1531" w:type="dxa"/>
          </w:tcPr>
          <w:p w14:paraId="103740ED" w14:textId="77777777" w:rsidR="009700E5" w:rsidRDefault="009700E5">
            <w:pPr>
              <w:keepNext/>
              <w:keepLines/>
              <w:rPr>
                <w:szCs w:val="22"/>
              </w:rPr>
            </w:pPr>
          </w:p>
        </w:tc>
        <w:tc>
          <w:tcPr>
            <w:tcW w:w="1531" w:type="dxa"/>
          </w:tcPr>
          <w:p w14:paraId="32C286A3" w14:textId="77777777" w:rsidR="009700E5" w:rsidRDefault="009700E5">
            <w:pPr>
              <w:keepNext/>
              <w:keepLines/>
              <w:rPr>
                <w:szCs w:val="22"/>
              </w:rPr>
            </w:pPr>
          </w:p>
        </w:tc>
        <w:tc>
          <w:tcPr>
            <w:tcW w:w="1531" w:type="dxa"/>
          </w:tcPr>
          <w:p w14:paraId="6BB3DA14" w14:textId="77777777" w:rsidR="009700E5" w:rsidRDefault="009700E5">
            <w:pPr>
              <w:keepNext/>
              <w:keepLines/>
              <w:rPr>
                <w:szCs w:val="22"/>
              </w:rPr>
            </w:pPr>
          </w:p>
        </w:tc>
      </w:tr>
      <w:tr w:rsidR="009700E5" w14:paraId="4F0F97FD" w14:textId="77777777">
        <w:trPr>
          <w:cantSplit/>
        </w:trPr>
        <w:tc>
          <w:tcPr>
            <w:tcW w:w="1384" w:type="dxa"/>
          </w:tcPr>
          <w:p w14:paraId="4A786260" w14:textId="77777777" w:rsidR="009700E5" w:rsidRDefault="002C033C">
            <w:pPr>
              <w:keepNext/>
              <w:keepLines/>
              <w:rPr>
                <w:szCs w:val="22"/>
              </w:rPr>
            </w:pPr>
            <w:r>
              <w:rPr>
                <w:szCs w:val="22"/>
              </w:rPr>
              <w:t>Poruchy oka</w:t>
            </w:r>
          </w:p>
        </w:tc>
        <w:tc>
          <w:tcPr>
            <w:tcW w:w="1531" w:type="dxa"/>
          </w:tcPr>
          <w:p w14:paraId="0762EBB3" w14:textId="77777777" w:rsidR="009700E5" w:rsidRDefault="009700E5">
            <w:pPr>
              <w:keepNext/>
              <w:keepLines/>
              <w:rPr>
                <w:szCs w:val="22"/>
              </w:rPr>
            </w:pPr>
          </w:p>
        </w:tc>
        <w:tc>
          <w:tcPr>
            <w:tcW w:w="1531" w:type="dxa"/>
          </w:tcPr>
          <w:p w14:paraId="78F8D7F0" w14:textId="77777777" w:rsidR="009700E5" w:rsidRDefault="002C033C">
            <w:pPr>
              <w:keepNext/>
              <w:keepLines/>
              <w:rPr>
                <w:szCs w:val="22"/>
              </w:rPr>
            </w:pPr>
            <w:r>
              <w:rPr>
                <w:szCs w:val="22"/>
              </w:rPr>
              <w:t>Konjunktivi-tída</w:t>
            </w:r>
          </w:p>
        </w:tc>
        <w:tc>
          <w:tcPr>
            <w:tcW w:w="1531" w:type="dxa"/>
          </w:tcPr>
          <w:p w14:paraId="7D810EF1" w14:textId="77777777" w:rsidR="009700E5" w:rsidRDefault="009700E5">
            <w:pPr>
              <w:keepNext/>
              <w:keepLines/>
              <w:rPr>
                <w:szCs w:val="22"/>
              </w:rPr>
            </w:pPr>
          </w:p>
        </w:tc>
        <w:tc>
          <w:tcPr>
            <w:tcW w:w="1531" w:type="dxa"/>
          </w:tcPr>
          <w:p w14:paraId="5B271E06" w14:textId="77777777" w:rsidR="009700E5" w:rsidRDefault="009700E5">
            <w:pPr>
              <w:keepNext/>
              <w:keepLines/>
              <w:rPr>
                <w:szCs w:val="22"/>
              </w:rPr>
            </w:pPr>
          </w:p>
        </w:tc>
        <w:tc>
          <w:tcPr>
            <w:tcW w:w="1531" w:type="dxa"/>
          </w:tcPr>
          <w:p w14:paraId="06B7AA5E" w14:textId="77777777" w:rsidR="009700E5" w:rsidRDefault="009700E5">
            <w:pPr>
              <w:keepNext/>
              <w:keepLines/>
              <w:rPr>
                <w:szCs w:val="22"/>
              </w:rPr>
            </w:pPr>
          </w:p>
        </w:tc>
      </w:tr>
      <w:tr w:rsidR="009700E5" w14:paraId="736A55B6" w14:textId="77777777">
        <w:trPr>
          <w:cantSplit/>
        </w:trPr>
        <w:tc>
          <w:tcPr>
            <w:tcW w:w="1384" w:type="dxa"/>
          </w:tcPr>
          <w:p w14:paraId="24469576" w14:textId="77777777" w:rsidR="009700E5" w:rsidRDefault="002C033C">
            <w:pPr>
              <w:keepNext/>
              <w:keepLines/>
              <w:rPr>
                <w:szCs w:val="22"/>
              </w:rPr>
            </w:pPr>
            <w:r>
              <w:rPr>
                <w:szCs w:val="22"/>
              </w:rPr>
              <w:t>Poruchy ciev</w:t>
            </w:r>
          </w:p>
        </w:tc>
        <w:tc>
          <w:tcPr>
            <w:tcW w:w="1531" w:type="dxa"/>
          </w:tcPr>
          <w:p w14:paraId="42E08D75" w14:textId="77777777" w:rsidR="009700E5" w:rsidRDefault="009700E5">
            <w:pPr>
              <w:keepNext/>
              <w:keepLines/>
              <w:rPr>
                <w:szCs w:val="22"/>
              </w:rPr>
            </w:pPr>
          </w:p>
        </w:tc>
        <w:tc>
          <w:tcPr>
            <w:tcW w:w="1531" w:type="dxa"/>
          </w:tcPr>
          <w:p w14:paraId="3B9FA72F" w14:textId="77777777" w:rsidR="009700E5" w:rsidRDefault="002C033C">
            <w:pPr>
              <w:keepNext/>
              <w:keepLines/>
              <w:rPr>
                <w:szCs w:val="22"/>
              </w:rPr>
            </w:pPr>
            <w:r>
              <w:rPr>
                <w:szCs w:val="22"/>
              </w:rPr>
              <w:t>Hypertenzia</w:t>
            </w:r>
          </w:p>
        </w:tc>
        <w:tc>
          <w:tcPr>
            <w:tcW w:w="1531" w:type="dxa"/>
          </w:tcPr>
          <w:p w14:paraId="76DD7C34" w14:textId="77777777" w:rsidR="009700E5" w:rsidRDefault="009700E5">
            <w:pPr>
              <w:keepNext/>
              <w:keepLines/>
              <w:rPr>
                <w:szCs w:val="22"/>
              </w:rPr>
            </w:pPr>
          </w:p>
        </w:tc>
        <w:tc>
          <w:tcPr>
            <w:tcW w:w="1531" w:type="dxa"/>
          </w:tcPr>
          <w:p w14:paraId="29F2D7B2" w14:textId="77777777" w:rsidR="009700E5" w:rsidRDefault="009700E5">
            <w:pPr>
              <w:keepNext/>
              <w:keepLines/>
              <w:rPr>
                <w:szCs w:val="22"/>
              </w:rPr>
            </w:pPr>
          </w:p>
        </w:tc>
        <w:tc>
          <w:tcPr>
            <w:tcW w:w="1531" w:type="dxa"/>
          </w:tcPr>
          <w:p w14:paraId="6449846E" w14:textId="77777777" w:rsidR="009700E5" w:rsidRDefault="009700E5">
            <w:pPr>
              <w:keepNext/>
              <w:keepLines/>
              <w:rPr>
                <w:szCs w:val="22"/>
              </w:rPr>
            </w:pPr>
          </w:p>
        </w:tc>
      </w:tr>
      <w:tr w:rsidR="009700E5" w14:paraId="41113EE8" w14:textId="77777777">
        <w:trPr>
          <w:cantSplit/>
        </w:trPr>
        <w:tc>
          <w:tcPr>
            <w:tcW w:w="1384" w:type="dxa"/>
          </w:tcPr>
          <w:p w14:paraId="51671A95" w14:textId="77777777" w:rsidR="009700E5" w:rsidRDefault="002C033C">
            <w:pPr>
              <w:keepNext/>
              <w:keepLines/>
              <w:rPr>
                <w:szCs w:val="22"/>
              </w:rPr>
            </w:pPr>
            <w:r>
              <w:rPr>
                <w:szCs w:val="22"/>
              </w:rPr>
              <w:t>Poruchy dýchacej sústavy, hrudníka a mediastína</w:t>
            </w:r>
          </w:p>
        </w:tc>
        <w:tc>
          <w:tcPr>
            <w:tcW w:w="1531" w:type="dxa"/>
          </w:tcPr>
          <w:p w14:paraId="7B739C85" w14:textId="77777777" w:rsidR="009700E5" w:rsidRDefault="009700E5">
            <w:pPr>
              <w:keepNext/>
              <w:keepLines/>
              <w:rPr>
                <w:szCs w:val="22"/>
              </w:rPr>
            </w:pPr>
          </w:p>
        </w:tc>
        <w:tc>
          <w:tcPr>
            <w:tcW w:w="1531" w:type="dxa"/>
          </w:tcPr>
          <w:p w14:paraId="1D4884B8" w14:textId="77777777" w:rsidR="009700E5" w:rsidRDefault="002C033C">
            <w:pPr>
              <w:keepNext/>
              <w:keepLines/>
              <w:rPr>
                <w:szCs w:val="22"/>
              </w:rPr>
            </w:pPr>
            <w:r>
              <w:rPr>
                <w:szCs w:val="22"/>
              </w:rPr>
              <w:t>Kašeľ, dyspnoe</w:t>
            </w:r>
          </w:p>
        </w:tc>
        <w:tc>
          <w:tcPr>
            <w:tcW w:w="1531" w:type="dxa"/>
          </w:tcPr>
          <w:p w14:paraId="021837A0" w14:textId="77777777" w:rsidR="009700E5" w:rsidRDefault="009700E5">
            <w:pPr>
              <w:keepNext/>
              <w:keepLines/>
              <w:rPr>
                <w:szCs w:val="22"/>
              </w:rPr>
            </w:pPr>
          </w:p>
        </w:tc>
        <w:tc>
          <w:tcPr>
            <w:tcW w:w="1531" w:type="dxa"/>
          </w:tcPr>
          <w:p w14:paraId="761AB21D" w14:textId="77777777" w:rsidR="009700E5" w:rsidRDefault="009700E5">
            <w:pPr>
              <w:keepNext/>
              <w:keepLines/>
              <w:rPr>
                <w:szCs w:val="22"/>
              </w:rPr>
            </w:pPr>
          </w:p>
        </w:tc>
        <w:tc>
          <w:tcPr>
            <w:tcW w:w="1531" w:type="dxa"/>
          </w:tcPr>
          <w:p w14:paraId="792FFD31" w14:textId="77777777" w:rsidR="009700E5" w:rsidRDefault="009700E5">
            <w:pPr>
              <w:keepNext/>
              <w:keepLines/>
              <w:rPr>
                <w:szCs w:val="22"/>
              </w:rPr>
            </w:pPr>
          </w:p>
        </w:tc>
      </w:tr>
      <w:tr w:rsidR="009700E5" w14:paraId="7247A7CB" w14:textId="77777777">
        <w:trPr>
          <w:cantSplit/>
        </w:trPr>
        <w:tc>
          <w:tcPr>
            <w:tcW w:w="1384" w:type="dxa"/>
          </w:tcPr>
          <w:p w14:paraId="4DA718BB" w14:textId="77777777" w:rsidR="009700E5" w:rsidRDefault="002C033C">
            <w:pPr>
              <w:keepNext/>
              <w:keepLines/>
              <w:rPr>
                <w:szCs w:val="22"/>
              </w:rPr>
            </w:pPr>
            <w:r>
              <w:rPr>
                <w:szCs w:val="22"/>
              </w:rPr>
              <w:t>Poruchy gastrointes-tinálneho traktu</w:t>
            </w:r>
          </w:p>
        </w:tc>
        <w:tc>
          <w:tcPr>
            <w:tcW w:w="1531" w:type="dxa"/>
          </w:tcPr>
          <w:p w14:paraId="1E6C9E98" w14:textId="77777777" w:rsidR="009700E5" w:rsidRDefault="009700E5">
            <w:pPr>
              <w:keepNext/>
              <w:keepLines/>
              <w:rPr>
                <w:szCs w:val="22"/>
              </w:rPr>
            </w:pPr>
          </w:p>
        </w:tc>
        <w:tc>
          <w:tcPr>
            <w:tcW w:w="1531" w:type="dxa"/>
          </w:tcPr>
          <w:p w14:paraId="480CECD5" w14:textId="77777777" w:rsidR="009700E5" w:rsidRDefault="002C033C">
            <w:pPr>
              <w:keepNext/>
              <w:keepLines/>
              <w:rPr>
                <w:szCs w:val="22"/>
              </w:rPr>
            </w:pPr>
            <w:r>
              <w:rPr>
                <w:szCs w:val="22"/>
              </w:rPr>
              <w:t>Bolesť brucha, ulcerácia v ústnej dutine, gastritída</w:t>
            </w:r>
          </w:p>
        </w:tc>
        <w:tc>
          <w:tcPr>
            <w:tcW w:w="1531" w:type="dxa"/>
          </w:tcPr>
          <w:p w14:paraId="32E68963" w14:textId="77777777" w:rsidR="009700E5" w:rsidRDefault="002C033C">
            <w:pPr>
              <w:keepNext/>
              <w:keepLines/>
              <w:rPr>
                <w:szCs w:val="22"/>
              </w:rPr>
            </w:pPr>
            <w:r>
              <w:rPr>
                <w:szCs w:val="22"/>
              </w:rPr>
              <w:t>Stomatitída, žalúdočný vred</w:t>
            </w:r>
          </w:p>
        </w:tc>
        <w:tc>
          <w:tcPr>
            <w:tcW w:w="1531" w:type="dxa"/>
          </w:tcPr>
          <w:p w14:paraId="513164EB" w14:textId="77777777" w:rsidR="009700E5" w:rsidRDefault="009700E5">
            <w:pPr>
              <w:keepNext/>
              <w:keepLines/>
              <w:rPr>
                <w:szCs w:val="22"/>
              </w:rPr>
            </w:pPr>
          </w:p>
        </w:tc>
        <w:tc>
          <w:tcPr>
            <w:tcW w:w="1531" w:type="dxa"/>
          </w:tcPr>
          <w:p w14:paraId="6EF96FEC" w14:textId="77777777" w:rsidR="009700E5" w:rsidRDefault="009700E5">
            <w:pPr>
              <w:keepNext/>
              <w:keepLines/>
              <w:rPr>
                <w:szCs w:val="22"/>
              </w:rPr>
            </w:pPr>
          </w:p>
        </w:tc>
      </w:tr>
      <w:tr w:rsidR="009700E5" w14:paraId="3F6E5B89" w14:textId="77777777">
        <w:trPr>
          <w:cantSplit/>
        </w:trPr>
        <w:tc>
          <w:tcPr>
            <w:tcW w:w="1384" w:type="dxa"/>
          </w:tcPr>
          <w:p w14:paraId="41FD08B6" w14:textId="77777777" w:rsidR="009700E5" w:rsidRDefault="002C033C">
            <w:pPr>
              <w:keepNext/>
              <w:keepLines/>
              <w:rPr>
                <w:szCs w:val="22"/>
              </w:rPr>
            </w:pPr>
            <w:r>
              <w:rPr>
                <w:szCs w:val="22"/>
              </w:rPr>
              <w:t>Poruchy pečene a žlčových ciest</w:t>
            </w:r>
          </w:p>
        </w:tc>
        <w:tc>
          <w:tcPr>
            <w:tcW w:w="1531" w:type="dxa"/>
          </w:tcPr>
          <w:p w14:paraId="23441299" w14:textId="77777777" w:rsidR="009700E5" w:rsidRDefault="009700E5">
            <w:pPr>
              <w:keepNext/>
              <w:keepLines/>
              <w:rPr>
                <w:szCs w:val="22"/>
              </w:rPr>
            </w:pPr>
          </w:p>
        </w:tc>
        <w:tc>
          <w:tcPr>
            <w:tcW w:w="1531" w:type="dxa"/>
          </w:tcPr>
          <w:p w14:paraId="058A4151" w14:textId="77777777" w:rsidR="009700E5" w:rsidRDefault="009700E5">
            <w:pPr>
              <w:keepNext/>
              <w:keepLines/>
              <w:rPr>
                <w:szCs w:val="22"/>
              </w:rPr>
            </w:pPr>
          </w:p>
        </w:tc>
        <w:tc>
          <w:tcPr>
            <w:tcW w:w="1531" w:type="dxa"/>
          </w:tcPr>
          <w:p w14:paraId="23F869B7" w14:textId="77777777" w:rsidR="009700E5" w:rsidRDefault="009700E5">
            <w:pPr>
              <w:keepNext/>
              <w:keepLines/>
              <w:rPr>
                <w:szCs w:val="22"/>
              </w:rPr>
            </w:pPr>
          </w:p>
        </w:tc>
        <w:tc>
          <w:tcPr>
            <w:tcW w:w="1531" w:type="dxa"/>
          </w:tcPr>
          <w:p w14:paraId="0BFC482E" w14:textId="77777777" w:rsidR="009700E5" w:rsidRDefault="002C033C">
            <w:pPr>
              <w:keepNext/>
              <w:keepLines/>
              <w:rPr>
                <w:szCs w:val="22"/>
              </w:rPr>
            </w:pPr>
            <w:r>
              <w:rPr>
                <w:szCs w:val="22"/>
              </w:rPr>
              <w:t>Poškodenie pečene vyvolané liekom, hepatitída, žltačka</w:t>
            </w:r>
          </w:p>
        </w:tc>
        <w:tc>
          <w:tcPr>
            <w:tcW w:w="1531" w:type="dxa"/>
          </w:tcPr>
          <w:p w14:paraId="6869D71D" w14:textId="77777777" w:rsidR="009700E5" w:rsidRDefault="002C033C">
            <w:pPr>
              <w:keepNext/>
              <w:keepLines/>
              <w:rPr>
                <w:szCs w:val="22"/>
              </w:rPr>
            </w:pPr>
            <w:r>
              <w:rPr>
                <w:szCs w:val="22"/>
              </w:rPr>
              <w:t>Zlyhávanie pečene</w:t>
            </w:r>
          </w:p>
        </w:tc>
      </w:tr>
      <w:tr w:rsidR="009700E5" w14:paraId="126FD0C1" w14:textId="77777777">
        <w:trPr>
          <w:cantSplit/>
        </w:trPr>
        <w:tc>
          <w:tcPr>
            <w:tcW w:w="1384" w:type="dxa"/>
          </w:tcPr>
          <w:p w14:paraId="07BA751C" w14:textId="77777777" w:rsidR="009700E5" w:rsidRDefault="002C033C">
            <w:pPr>
              <w:keepNext/>
              <w:keepLines/>
              <w:rPr>
                <w:szCs w:val="22"/>
              </w:rPr>
            </w:pPr>
            <w:r>
              <w:rPr>
                <w:szCs w:val="22"/>
              </w:rPr>
              <w:t>Poruchy kože a podkožné-ho tkaniva</w:t>
            </w:r>
          </w:p>
        </w:tc>
        <w:tc>
          <w:tcPr>
            <w:tcW w:w="1531" w:type="dxa"/>
          </w:tcPr>
          <w:p w14:paraId="172B5A96" w14:textId="77777777" w:rsidR="009700E5" w:rsidRDefault="009700E5">
            <w:pPr>
              <w:keepNext/>
              <w:keepLines/>
              <w:rPr>
                <w:szCs w:val="22"/>
              </w:rPr>
            </w:pPr>
          </w:p>
        </w:tc>
        <w:tc>
          <w:tcPr>
            <w:tcW w:w="1531" w:type="dxa"/>
          </w:tcPr>
          <w:p w14:paraId="753EF4CC" w14:textId="77777777" w:rsidR="009700E5" w:rsidRDefault="002C033C">
            <w:pPr>
              <w:keepNext/>
              <w:keepLines/>
              <w:rPr>
                <w:szCs w:val="22"/>
              </w:rPr>
            </w:pPr>
            <w:r>
              <w:rPr>
                <w:szCs w:val="22"/>
              </w:rPr>
              <w:t>Vyrážka, pruritus, urtikária</w:t>
            </w:r>
          </w:p>
        </w:tc>
        <w:tc>
          <w:tcPr>
            <w:tcW w:w="1531" w:type="dxa"/>
          </w:tcPr>
          <w:p w14:paraId="0B421AD1" w14:textId="77777777" w:rsidR="009700E5" w:rsidRDefault="009700E5">
            <w:pPr>
              <w:keepNext/>
              <w:keepLines/>
              <w:rPr>
                <w:szCs w:val="22"/>
              </w:rPr>
            </w:pPr>
          </w:p>
        </w:tc>
        <w:tc>
          <w:tcPr>
            <w:tcW w:w="1531" w:type="dxa"/>
          </w:tcPr>
          <w:p w14:paraId="020B7C33" w14:textId="77777777" w:rsidR="009700E5" w:rsidRDefault="002C033C">
            <w:pPr>
              <w:keepNext/>
              <w:keepLines/>
              <w:rPr>
                <w:szCs w:val="22"/>
              </w:rPr>
            </w:pPr>
            <w:r>
              <w:rPr>
                <w:szCs w:val="22"/>
              </w:rPr>
              <w:t>Stevensov-Johnsonov syndróm</w:t>
            </w:r>
            <w:r>
              <w:rPr>
                <w:szCs w:val="22"/>
                <w:vertAlign w:val="superscript"/>
              </w:rPr>
              <w:t>3</w:t>
            </w:r>
          </w:p>
        </w:tc>
        <w:tc>
          <w:tcPr>
            <w:tcW w:w="1531" w:type="dxa"/>
          </w:tcPr>
          <w:p w14:paraId="0DA873D1" w14:textId="77777777" w:rsidR="009700E5" w:rsidRDefault="009700E5">
            <w:pPr>
              <w:keepNext/>
              <w:keepLines/>
              <w:rPr>
                <w:szCs w:val="22"/>
              </w:rPr>
            </w:pPr>
          </w:p>
        </w:tc>
      </w:tr>
      <w:tr w:rsidR="009700E5" w14:paraId="2B1F57F7" w14:textId="77777777">
        <w:trPr>
          <w:cantSplit/>
        </w:trPr>
        <w:tc>
          <w:tcPr>
            <w:tcW w:w="1384" w:type="dxa"/>
          </w:tcPr>
          <w:p w14:paraId="66A82C97" w14:textId="77777777" w:rsidR="009700E5" w:rsidRDefault="002C033C">
            <w:pPr>
              <w:rPr>
                <w:szCs w:val="22"/>
              </w:rPr>
            </w:pPr>
            <w:r>
              <w:rPr>
                <w:szCs w:val="22"/>
              </w:rPr>
              <w:t>Poruchy obličiek a močových ciest</w:t>
            </w:r>
          </w:p>
        </w:tc>
        <w:tc>
          <w:tcPr>
            <w:tcW w:w="1531" w:type="dxa"/>
          </w:tcPr>
          <w:p w14:paraId="5CC38AB3" w14:textId="77777777" w:rsidR="009700E5" w:rsidRDefault="009700E5">
            <w:pPr>
              <w:rPr>
                <w:szCs w:val="22"/>
              </w:rPr>
            </w:pPr>
          </w:p>
        </w:tc>
        <w:tc>
          <w:tcPr>
            <w:tcW w:w="1531" w:type="dxa"/>
          </w:tcPr>
          <w:p w14:paraId="54ACD9CE" w14:textId="77777777" w:rsidR="009700E5" w:rsidRDefault="009700E5">
            <w:pPr>
              <w:rPr>
                <w:szCs w:val="22"/>
              </w:rPr>
            </w:pPr>
          </w:p>
        </w:tc>
        <w:tc>
          <w:tcPr>
            <w:tcW w:w="1531" w:type="dxa"/>
          </w:tcPr>
          <w:p w14:paraId="062C9971" w14:textId="77777777" w:rsidR="009700E5" w:rsidRDefault="002C033C">
            <w:pPr>
              <w:rPr>
                <w:szCs w:val="22"/>
              </w:rPr>
            </w:pPr>
            <w:r>
              <w:rPr>
                <w:szCs w:val="22"/>
              </w:rPr>
              <w:t>Nefrolitiáza</w:t>
            </w:r>
          </w:p>
        </w:tc>
        <w:tc>
          <w:tcPr>
            <w:tcW w:w="1531" w:type="dxa"/>
          </w:tcPr>
          <w:p w14:paraId="78074336" w14:textId="77777777" w:rsidR="009700E5" w:rsidRDefault="009700E5">
            <w:pPr>
              <w:rPr>
                <w:szCs w:val="22"/>
              </w:rPr>
            </w:pPr>
          </w:p>
        </w:tc>
        <w:tc>
          <w:tcPr>
            <w:tcW w:w="1531" w:type="dxa"/>
          </w:tcPr>
          <w:p w14:paraId="49AA738A" w14:textId="77777777" w:rsidR="009700E5" w:rsidRDefault="009700E5">
            <w:pPr>
              <w:rPr>
                <w:szCs w:val="22"/>
              </w:rPr>
            </w:pPr>
          </w:p>
        </w:tc>
      </w:tr>
      <w:tr w:rsidR="009700E5" w14:paraId="205A64FA" w14:textId="77777777">
        <w:trPr>
          <w:cantSplit/>
        </w:trPr>
        <w:tc>
          <w:tcPr>
            <w:tcW w:w="1384" w:type="dxa"/>
          </w:tcPr>
          <w:p w14:paraId="6C7E689B" w14:textId="77777777" w:rsidR="009700E5" w:rsidRDefault="002C033C">
            <w:pPr>
              <w:rPr>
                <w:szCs w:val="22"/>
              </w:rPr>
            </w:pPr>
            <w:r>
              <w:rPr>
                <w:szCs w:val="22"/>
              </w:rPr>
              <w:lastRenderedPageBreak/>
              <w:t>Celkové poruchy a reakcie v mieste podania</w:t>
            </w:r>
          </w:p>
        </w:tc>
        <w:tc>
          <w:tcPr>
            <w:tcW w:w="1531" w:type="dxa"/>
          </w:tcPr>
          <w:p w14:paraId="48800642" w14:textId="77777777" w:rsidR="009700E5" w:rsidRDefault="002C033C">
            <w:pPr>
              <w:rPr>
                <w:szCs w:val="22"/>
              </w:rPr>
            </w:pPr>
            <w:r>
              <w:rPr>
                <w:szCs w:val="22"/>
              </w:rPr>
              <w:t>Reakcia v mieste vpichu</w:t>
            </w:r>
          </w:p>
        </w:tc>
        <w:tc>
          <w:tcPr>
            <w:tcW w:w="1531" w:type="dxa"/>
          </w:tcPr>
          <w:p w14:paraId="727CE6DE" w14:textId="77777777" w:rsidR="009700E5" w:rsidRDefault="002C033C">
            <w:pPr>
              <w:rPr>
                <w:szCs w:val="22"/>
              </w:rPr>
            </w:pPr>
            <w:r>
              <w:rPr>
                <w:szCs w:val="22"/>
              </w:rPr>
              <w:t>Periférny edém, reakcia z precitlive-nosti</w:t>
            </w:r>
          </w:p>
        </w:tc>
        <w:tc>
          <w:tcPr>
            <w:tcW w:w="1531" w:type="dxa"/>
          </w:tcPr>
          <w:p w14:paraId="3CB1CB22" w14:textId="77777777" w:rsidR="009700E5" w:rsidRDefault="009700E5">
            <w:pPr>
              <w:rPr>
                <w:szCs w:val="22"/>
              </w:rPr>
            </w:pPr>
          </w:p>
        </w:tc>
        <w:tc>
          <w:tcPr>
            <w:tcW w:w="1531" w:type="dxa"/>
          </w:tcPr>
          <w:p w14:paraId="0BCAB431" w14:textId="77777777" w:rsidR="009700E5" w:rsidRDefault="009700E5">
            <w:pPr>
              <w:rPr>
                <w:szCs w:val="22"/>
              </w:rPr>
            </w:pPr>
          </w:p>
        </w:tc>
        <w:tc>
          <w:tcPr>
            <w:tcW w:w="1531" w:type="dxa"/>
          </w:tcPr>
          <w:p w14:paraId="7A6F714C" w14:textId="77777777" w:rsidR="009700E5" w:rsidRDefault="009700E5">
            <w:pPr>
              <w:rPr>
                <w:szCs w:val="22"/>
              </w:rPr>
            </w:pPr>
          </w:p>
        </w:tc>
      </w:tr>
      <w:tr w:rsidR="009700E5" w14:paraId="4993A4C6" w14:textId="77777777">
        <w:trPr>
          <w:cantSplit/>
        </w:trPr>
        <w:tc>
          <w:tcPr>
            <w:tcW w:w="1384" w:type="dxa"/>
          </w:tcPr>
          <w:p w14:paraId="46E081BE" w14:textId="77777777" w:rsidR="009700E5" w:rsidRDefault="002C033C">
            <w:pPr>
              <w:rPr>
                <w:szCs w:val="22"/>
              </w:rPr>
            </w:pPr>
            <w:r>
              <w:rPr>
                <w:szCs w:val="22"/>
              </w:rPr>
              <w:t>Laboratórne a funkčné vyšetrenia</w:t>
            </w:r>
          </w:p>
        </w:tc>
        <w:tc>
          <w:tcPr>
            <w:tcW w:w="1531" w:type="dxa"/>
          </w:tcPr>
          <w:p w14:paraId="2DDE3555" w14:textId="77777777" w:rsidR="009700E5" w:rsidRDefault="009700E5">
            <w:pPr>
              <w:rPr>
                <w:szCs w:val="22"/>
              </w:rPr>
            </w:pPr>
          </w:p>
        </w:tc>
        <w:tc>
          <w:tcPr>
            <w:tcW w:w="1531" w:type="dxa"/>
          </w:tcPr>
          <w:p w14:paraId="40B0D984" w14:textId="77777777" w:rsidR="009700E5" w:rsidRDefault="002C033C">
            <w:pPr>
              <w:rPr>
                <w:szCs w:val="22"/>
              </w:rPr>
            </w:pPr>
            <w:r>
              <w:rPr>
                <w:szCs w:val="22"/>
              </w:rPr>
              <w:t>Zvýšené hodnoty pečeňových transamináz, zvýšenie telesnej hmotnosti, zvýšené hodnoty celkového bilirubínu*</w:t>
            </w:r>
          </w:p>
        </w:tc>
        <w:tc>
          <w:tcPr>
            <w:tcW w:w="1531" w:type="dxa"/>
          </w:tcPr>
          <w:p w14:paraId="5B957C69" w14:textId="77777777" w:rsidR="009700E5" w:rsidRDefault="009700E5">
            <w:pPr>
              <w:rPr>
                <w:szCs w:val="22"/>
              </w:rPr>
            </w:pPr>
          </w:p>
        </w:tc>
        <w:tc>
          <w:tcPr>
            <w:tcW w:w="1531" w:type="dxa"/>
          </w:tcPr>
          <w:p w14:paraId="10D2B1B9" w14:textId="77777777" w:rsidR="009700E5" w:rsidRDefault="009700E5">
            <w:pPr>
              <w:rPr>
                <w:szCs w:val="22"/>
              </w:rPr>
            </w:pPr>
          </w:p>
        </w:tc>
        <w:tc>
          <w:tcPr>
            <w:tcW w:w="1531" w:type="dxa"/>
          </w:tcPr>
          <w:p w14:paraId="7DF8B70F" w14:textId="77777777" w:rsidR="009700E5" w:rsidRDefault="009700E5">
            <w:pPr>
              <w:rPr>
                <w:szCs w:val="22"/>
              </w:rPr>
            </w:pPr>
          </w:p>
        </w:tc>
      </w:tr>
    </w:tbl>
    <w:p w14:paraId="4025102E" w14:textId="77777777" w:rsidR="009700E5" w:rsidRDefault="002C033C">
      <w:pPr>
        <w:widowControl w:val="0"/>
        <w:rPr>
          <w:sz w:val="18"/>
          <w:szCs w:val="18"/>
        </w:rPr>
      </w:pPr>
      <w:r>
        <w:rPr>
          <w:sz w:val="18"/>
          <w:szCs w:val="18"/>
        </w:rPr>
        <w:t>*Zahŕňa zvýšenia zozbierané ako časť rutinného laboratórneho pozorovania (pozri text nižšie).</w:t>
      </w:r>
    </w:p>
    <w:p w14:paraId="68EA7CCA" w14:textId="77777777" w:rsidR="009700E5" w:rsidRDefault="002C033C">
      <w:pPr>
        <w:widowControl w:val="0"/>
        <w:spacing w:line="200" w:lineRule="exact"/>
        <w:rPr>
          <w:sz w:val="18"/>
          <w:szCs w:val="18"/>
        </w:rPr>
      </w:pPr>
      <w:r>
        <w:rPr>
          <w:sz w:val="18"/>
          <w:szCs w:val="18"/>
          <w:vertAlign w:val="superscript"/>
        </w:rPr>
        <w:t>1</w:t>
      </w:r>
      <w:r>
        <w:rPr>
          <w:sz w:val="18"/>
          <w:szCs w:val="18"/>
        </w:rPr>
        <w:t xml:space="preserve"> Pozri časť 4.3.</w:t>
      </w:r>
    </w:p>
    <w:p w14:paraId="06C2478C" w14:textId="77777777" w:rsidR="009700E5" w:rsidRDefault="002C033C">
      <w:pPr>
        <w:widowControl w:val="0"/>
        <w:spacing w:line="200" w:lineRule="exact"/>
        <w:rPr>
          <w:sz w:val="18"/>
          <w:szCs w:val="18"/>
        </w:rPr>
      </w:pPr>
      <w:r>
        <w:rPr>
          <w:sz w:val="18"/>
          <w:szCs w:val="18"/>
          <w:vertAlign w:val="superscript"/>
        </w:rPr>
        <w:t>2</w:t>
      </w:r>
      <w:r>
        <w:rPr>
          <w:sz w:val="18"/>
          <w:szCs w:val="18"/>
        </w:rPr>
        <w:t xml:space="preserve"> Pozri časť 4.4.</w:t>
      </w:r>
    </w:p>
    <w:p w14:paraId="663F8A7E" w14:textId="77777777" w:rsidR="009700E5" w:rsidRDefault="002C033C">
      <w:pPr>
        <w:widowControl w:val="0"/>
        <w:spacing w:line="200" w:lineRule="exact"/>
        <w:rPr>
          <w:sz w:val="18"/>
          <w:szCs w:val="18"/>
        </w:rPr>
      </w:pPr>
      <w:r>
        <w:rPr>
          <w:sz w:val="18"/>
          <w:szCs w:val="18"/>
          <w:vertAlign w:val="superscript"/>
        </w:rPr>
        <w:t>3</w:t>
      </w:r>
      <w:r>
        <w:rPr>
          <w:sz w:val="18"/>
          <w:szCs w:val="18"/>
        </w:rPr>
        <w:t xml:space="preserve"> Táto nežiaduca reakcia sa zistila sledovaním lieku po uvedení na trh, ale nepozorovala sa v kontrolovaných klinických skúšaniach. Kategória frekvencie bola odhadnutá ako horná hranica 95 % intervalu spoľahlivosti vypočítaná na základe celkového počtu pacientov vystavených tocilizumabu v klinických skúšaniach.</w:t>
      </w:r>
    </w:p>
    <w:p w14:paraId="2EB0EC4D" w14:textId="77777777" w:rsidR="009700E5" w:rsidRDefault="009700E5">
      <w:pPr>
        <w:widowControl w:val="0"/>
        <w:spacing w:line="200" w:lineRule="exact"/>
        <w:outlineLvl w:val="0"/>
        <w:rPr>
          <w:iCs/>
          <w:szCs w:val="22"/>
        </w:rPr>
      </w:pPr>
    </w:p>
    <w:p w14:paraId="5466085C" w14:textId="77777777" w:rsidR="009700E5" w:rsidRDefault="002C033C">
      <w:pPr>
        <w:keepNext/>
        <w:keepLines/>
        <w:widowControl w:val="0"/>
        <w:spacing w:line="200" w:lineRule="exact"/>
        <w:outlineLvl w:val="0"/>
        <w:rPr>
          <w:iCs/>
        </w:rPr>
      </w:pPr>
      <w:r>
        <w:rPr>
          <w:iCs/>
          <w:szCs w:val="22"/>
          <w:u w:val="single"/>
        </w:rPr>
        <w:t>Opis vybraných nežiaducich reakcií (</w:t>
      </w:r>
      <w:r>
        <w:rPr>
          <w:iCs/>
          <w:u w:val="single"/>
        </w:rPr>
        <w:t>subkutánne použitie)</w:t>
      </w:r>
    </w:p>
    <w:p w14:paraId="695B88B6" w14:textId="77777777" w:rsidR="009700E5" w:rsidRDefault="002C033C">
      <w:pPr>
        <w:keepNext/>
        <w:keepLines/>
        <w:outlineLvl w:val="0"/>
        <w:rPr>
          <w:bCs/>
          <w:i/>
          <w:iCs/>
          <w:szCs w:val="22"/>
        </w:rPr>
      </w:pPr>
      <w:r>
        <w:rPr>
          <w:bCs/>
          <w:i/>
          <w:iCs/>
          <w:szCs w:val="22"/>
        </w:rPr>
        <w:t>Pacienti s RA</w:t>
      </w:r>
    </w:p>
    <w:p w14:paraId="77989F68" w14:textId="77777777" w:rsidR="009700E5" w:rsidRDefault="002C033C">
      <w:pPr>
        <w:keepNext/>
        <w:keepLines/>
        <w:autoSpaceDE w:val="0"/>
        <w:autoSpaceDN w:val="0"/>
        <w:adjustRightInd w:val="0"/>
        <w:rPr>
          <w:rFonts w:eastAsia="SimSun"/>
          <w:szCs w:val="22"/>
          <w:lang w:eastAsia="zh-CN"/>
        </w:rPr>
      </w:pPr>
      <w:r>
        <w:rPr>
          <w:rFonts w:eastAsia="SimSun"/>
          <w:szCs w:val="22"/>
          <w:lang w:eastAsia="zh-CN"/>
        </w:rPr>
        <w:t>Bezpečnosť subkutánne podávaného tocilizumabu pri RA sa hodnotila v dvojito zaslepen</w:t>
      </w:r>
      <w:ins w:id="954" w:author="Author" w:date="2025-07-18T23:30:00Z">
        <w:r>
          <w:rPr>
            <w:rFonts w:eastAsia="SimSun"/>
            <w:szCs w:val="22"/>
            <w:lang w:eastAsia="zh-CN"/>
          </w:rPr>
          <w:t>om</w:t>
        </w:r>
      </w:ins>
      <w:del w:id="955" w:author="Author" w:date="2025-07-18T23:30:00Z">
        <w:r>
          <w:rPr>
            <w:rFonts w:eastAsia="SimSun"/>
            <w:szCs w:val="22"/>
            <w:lang w:eastAsia="zh-CN"/>
          </w:rPr>
          <w:delText>ej</w:delText>
        </w:r>
      </w:del>
      <w:r>
        <w:rPr>
          <w:rFonts w:eastAsia="SimSun"/>
          <w:szCs w:val="22"/>
          <w:lang w:eastAsia="zh-CN"/>
        </w:rPr>
        <w:t>, kontrolovan</w:t>
      </w:r>
      <w:ins w:id="956" w:author="Author" w:date="2025-07-18T23:30:00Z">
        <w:r>
          <w:rPr>
            <w:rFonts w:eastAsia="SimSun"/>
            <w:szCs w:val="22"/>
            <w:lang w:eastAsia="zh-CN"/>
          </w:rPr>
          <w:t>om</w:t>
        </w:r>
      </w:ins>
      <w:del w:id="957" w:author="Author" w:date="2025-07-18T23:30:00Z">
        <w:r>
          <w:rPr>
            <w:rFonts w:eastAsia="SimSun"/>
            <w:szCs w:val="22"/>
            <w:lang w:eastAsia="zh-CN"/>
          </w:rPr>
          <w:delText>ej</w:delText>
        </w:r>
      </w:del>
      <w:r>
        <w:rPr>
          <w:rFonts w:eastAsia="SimSun"/>
          <w:szCs w:val="22"/>
          <w:lang w:eastAsia="zh-CN"/>
        </w:rPr>
        <w:t>, multicentrick</w:t>
      </w:r>
      <w:del w:id="958" w:author="Author" w:date="2025-07-18T23:30:00Z">
        <w:r>
          <w:rPr>
            <w:rFonts w:eastAsia="SimSun"/>
            <w:szCs w:val="22"/>
            <w:lang w:eastAsia="zh-CN"/>
          </w:rPr>
          <w:delText>ej štúdii</w:delText>
        </w:r>
      </w:del>
      <w:ins w:id="959" w:author="Author" w:date="2025-07-18T23:30:00Z">
        <w:r>
          <w:rPr>
            <w:rFonts w:eastAsia="SimSun"/>
            <w:szCs w:val="22"/>
            <w:lang w:eastAsia="zh-CN"/>
          </w:rPr>
          <w:t xml:space="preserve">om </w:t>
        </w:r>
      </w:ins>
      <w:ins w:id="960" w:author="Author" w:date="2025-07-21T09:59:00Z">
        <w:r>
          <w:rPr>
            <w:rFonts w:eastAsia="SimSun"/>
            <w:szCs w:val="22"/>
            <w:lang w:eastAsia="zh-CN"/>
          </w:rPr>
          <w:t xml:space="preserve">klinickom </w:t>
        </w:r>
      </w:ins>
      <w:ins w:id="961" w:author="Author" w:date="2025-07-18T23:30:00Z">
        <w:r>
          <w:rPr>
            <w:rFonts w:eastAsia="SimSun"/>
            <w:szCs w:val="22"/>
            <w:lang w:eastAsia="zh-CN"/>
          </w:rPr>
          <w:t>skúšaní</w:t>
        </w:r>
      </w:ins>
      <w:r>
        <w:rPr>
          <w:rFonts w:eastAsia="SimSun"/>
          <w:szCs w:val="22"/>
          <w:lang w:eastAsia="zh-CN"/>
        </w:rPr>
        <w:t>, SC</w:t>
      </w:r>
      <w:r>
        <w:rPr>
          <w:rFonts w:eastAsia="SimSun"/>
          <w:szCs w:val="22"/>
          <w:lang w:eastAsia="zh-CN"/>
        </w:rPr>
        <w:noBreakHyphen/>
        <w:t>I. SC</w:t>
      </w:r>
      <w:r>
        <w:rPr>
          <w:rFonts w:eastAsia="SimSun"/>
          <w:szCs w:val="22"/>
          <w:lang w:eastAsia="zh-CN"/>
        </w:rPr>
        <w:noBreakHyphen/>
        <w:t>I bol</w:t>
      </w:r>
      <w:del w:id="962" w:author="Author" w:date="2025-07-18T23:30:00Z">
        <w:r>
          <w:rPr>
            <w:rFonts w:eastAsia="SimSun"/>
            <w:szCs w:val="22"/>
            <w:lang w:eastAsia="zh-CN"/>
          </w:rPr>
          <w:delText xml:space="preserve">a štúdia </w:delText>
        </w:r>
      </w:del>
      <w:ins w:id="963" w:author="Author" w:date="2025-07-18T23:30:00Z">
        <w:r>
          <w:rPr>
            <w:rFonts w:eastAsia="SimSun"/>
            <w:szCs w:val="22"/>
            <w:lang w:eastAsia="zh-CN"/>
          </w:rPr>
          <w:t>o</w:t>
        </w:r>
        <w:del w:id="964" w:author="Author" w:date="2025-07-21T09:59:00Z">
          <w:r>
            <w:rPr>
              <w:rFonts w:eastAsia="SimSun"/>
              <w:szCs w:val="22"/>
              <w:lang w:eastAsia="zh-CN"/>
            </w:rPr>
            <w:delText xml:space="preserve"> </w:delText>
          </w:r>
        </w:del>
      </w:ins>
      <w:ins w:id="965" w:author="Author" w:date="2025-07-21T09:59:00Z">
        <w:r>
          <w:rPr>
            <w:rFonts w:eastAsia="SimSun"/>
            <w:szCs w:val="22"/>
            <w:lang w:eastAsia="zh-CN"/>
          </w:rPr>
          <w:t xml:space="preserve"> klinické </w:t>
        </w:r>
      </w:ins>
      <w:ins w:id="966" w:author="Author" w:date="2025-07-18T23:30:00Z">
        <w:r>
          <w:rPr>
            <w:rFonts w:eastAsia="SimSun"/>
            <w:szCs w:val="22"/>
            <w:lang w:eastAsia="zh-CN"/>
          </w:rPr>
          <w:t xml:space="preserve">skúšanie </w:t>
        </w:r>
      </w:ins>
      <w:r>
        <w:rPr>
          <w:rFonts w:eastAsia="SimSun"/>
          <w:szCs w:val="22"/>
          <w:lang w:eastAsia="zh-CN"/>
        </w:rPr>
        <w:t>noninferiority, ktor</w:t>
      </w:r>
      <w:ins w:id="967" w:author="Author" w:date="2025-07-21T09:59:00Z">
        <w:r>
          <w:rPr>
            <w:rFonts w:eastAsia="SimSun"/>
            <w:szCs w:val="22"/>
            <w:lang w:eastAsia="zh-CN"/>
          </w:rPr>
          <w:t>é</w:t>
        </w:r>
      </w:ins>
      <w:del w:id="968" w:author="Author" w:date="2025-07-21T09:59:00Z">
        <w:r>
          <w:rPr>
            <w:rFonts w:eastAsia="SimSun"/>
            <w:szCs w:val="22"/>
            <w:lang w:eastAsia="zh-CN"/>
          </w:rPr>
          <w:delText>á</w:delText>
        </w:r>
      </w:del>
      <w:r>
        <w:rPr>
          <w:rFonts w:eastAsia="SimSun"/>
          <w:szCs w:val="22"/>
          <w:lang w:eastAsia="zh-CN"/>
        </w:rPr>
        <w:t xml:space="preserve"> porovnával</w:t>
      </w:r>
      <w:ins w:id="969" w:author="Author" w:date="2025-07-21T09:59:00Z">
        <w:r>
          <w:rPr>
            <w:rFonts w:eastAsia="SimSun"/>
            <w:szCs w:val="22"/>
            <w:lang w:eastAsia="zh-CN"/>
          </w:rPr>
          <w:t>o</w:t>
        </w:r>
      </w:ins>
      <w:del w:id="970" w:author="Author" w:date="2025-07-21T09:59:00Z">
        <w:r>
          <w:rPr>
            <w:rFonts w:eastAsia="SimSun"/>
            <w:szCs w:val="22"/>
            <w:lang w:eastAsia="zh-CN"/>
          </w:rPr>
          <w:delText>a</w:delText>
        </w:r>
      </w:del>
      <w:r>
        <w:rPr>
          <w:rFonts w:eastAsia="SimSun"/>
          <w:szCs w:val="22"/>
          <w:lang w:eastAsia="zh-CN"/>
        </w:rPr>
        <w:t xml:space="preserve"> účinnosť a bezpečnosť subkutánnej dávky 162 mg podávanej raz za týždeň s intravenóznou dávkou 8 mg/kg u 1 262 pacientov s RA. Všetkým pacientom boli v rámci základnej liečby podávané nebiologické DMARD. Bezpečnosť a imunogenicita pozorované pri subkutánne podávanom tocilizumabe sa </w:t>
      </w:r>
      <w:r>
        <w:t xml:space="preserve">zhodovali so známym bezpečnostných profilom intravenózne podávaného </w:t>
      </w:r>
      <w:r>
        <w:rPr>
          <w:rFonts w:eastAsia="SimSun"/>
          <w:szCs w:val="22"/>
          <w:lang w:eastAsia="zh-CN"/>
        </w:rPr>
        <w:t>tocilizumabu</w:t>
      </w:r>
      <w:r>
        <w:t xml:space="preserve"> a nepozorovali sa žiadne nové alebo neočakávané nežiaduce reakcie</w:t>
      </w:r>
      <w:r>
        <w:rPr>
          <w:rFonts w:eastAsia="SimSun"/>
          <w:szCs w:val="22"/>
          <w:lang w:eastAsia="zh-CN"/>
        </w:rPr>
        <w:t xml:space="preserve"> (pozri tabuľku 1). Vyšší výskyt reakcií v mieste vpichu sa pozoroval v skupine so subkutánnym tocilizumabom v porovnaní so subkutánnymi injekciami placeba v skupinách s intravenóznym podávaním.</w:t>
      </w:r>
    </w:p>
    <w:p w14:paraId="35284B33" w14:textId="77777777" w:rsidR="009700E5" w:rsidRDefault="009700E5">
      <w:pPr>
        <w:autoSpaceDE w:val="0"/>
        <w:autoSpaceDN w:val="0"/>
        <w:adjustRightInd w:val="0"/>
        <w:rPr>
          <w:rFonts w:eastAsia="SimSun"/>
          <w:szCs w:val="22"/>
          <w:lang w:eastAsia="zh-CN"/>
        </w:rPr>
      </w:pPr>
    </w:p>
    <w:p w14:paraId="65D9A516" w14:textId="77777777" w:rsidR="009700E5" w:rsidRDefault="002C033C">
      <w:pPr>
        <w:keepNext/>
        <w:keepLines/>
        <w:rPr>
          <w:i/>
          <w:u w:val="single"/>
        </w:rPr>
      </w:pPr>
      <w:r>
        <w:rPr>
          <w:i/>
          <w:u w:val="single"/>
        </w:rPr>
        <w:t>Reakcie v mieste podania injekcie</w:t>
      </w:r>
    </w:p>
    <w:p w14:paraId="699F3AB8" w14:textId="77777777" w:rsidR="009700E5" w:rsidRDefault="002C033C">
      <w:pPr>
        <w:keepNext/>
        <w:keepLines/>
      </w:pPr>
      <w:r>
        <w:t>V</w:t>
      </w:r>
      <w:ins w:id="971" w:author="Author" w:date="2025-07-21T10:00:00Z">
        <w:r>
          <w:t> </w:t>
        </w:r>
      </w:ins>
      <w:del w:id="972" w:author="Author" w:date="2025-07-21T10:00:00Z">
        <w:r>
          <w:delText xml:space="preserve"> </w:delText>
        </w:r>
      </w:del>
      <w:del w:id="973" w:author="Author" w:date="2025-07-18T23:31:00Z">
        <w:r>
          <w:delText xml:space="preserve">štúdii </w:delText>
        </w:r>
      </w:del>
      <w:ins w:id="974" w:author="Author" w:date="2025-07-21T10:00:00Z">
        <w:r>
          <w:t xml:space="preserve">klinickom </w:t>
        </w:r>
      </w:ins>
      <w:ins w:id="975" w:author="Author" w:date="2025-07-18T23:31:00Z">
        <w:r>
          <w:t xml:space="preserve">skúšaní </w:t>
        </w:r>
      </w:ins>
      <w:r>
        <w:t>SC</w:t>
      </w:r>
      <w:r>
        <w:noBreakHyphen/>
        <w:t>I bol počas 6</w:t>
      </w:r>
      <w:r>
        <w:noBreakHyphen/>
        <w:t>mesačného kontrolovaného obdobia výskyt reakcií v mieste vpichu 10,1 % (64/631) pri subkutánnom tocilizumabe a 2,4 % (15/631) pri subkutánnych injekciách placeba (skupina s intravenóznym podávaním) podávaných raz za týždeň. Tieto reakcie v mieste vpichu (vrátane erytému, pruritu, bolesti a hematómu) boli mierne až stredne závažné. Väčšina z nich ustúpila bez potreby akejkoľvek liečby a žiadna nevyžadovala ukončenie liečby.</w:t>
      </w:r>
    </w:p>
    <w:p w14:paraId="1C9C9D1B" w14:textId="77777777" w:rsidR="009700E5" w:rsidRDefault="009700E5"/>
    <w:p w14:paraId="3F43DCBD" w14:textId="77777777" w:rsidR="009700E5" w:rsidRDefault="002C033C">
      <w:pPr>
        <w:outlineLvl w:val="0"/>
        <w:rPr>
          <w:i/>
          <w:u w:val="single"/>
        </w:rPr>
      </w:pPr>
      <w:r>
        <w:rPr>
          <w:i/>
          <w:u w:val="single"/>
        </w:rPr>
        <w:t>Imunogenicita</w:t>
      </w:r>
    </w:p>
    <w:p w14:paraId="297826E3" w14:textId="77777777" w:rsidR="009700E5" w:rsidRDefault="002C033C">
      <w:pPr>
        <w:outlineLvl w:val="0"/>
      </w:pPr>
      <w:r>
        <w:t>V </w:t>
      </w:r>
      <w:del w:id="976" w:author="Author" w:date="2025-07-18T23:31:00Z">
        <w:r>
          <w:delText xml:space="preserve">štúdii </w:delText>
        </w:r>
      </w:del>
      <w:ins w:id="977" w:author="Author" w:date="2025-07-21T10:00:00Z">
        <w:r>
          <w:t xml:space="preserve">klinickom </w:t>
        </w:r>
      </w:ins>
      <w:ins w:id="978" w:author="Author" w:date="2025-07-18T23:31:00Z">
        <w:r>
          <w:t xml:space="preserve">skúšaní </w:t>
        </w:r>
      </w:ins>
      <w:r>
        <w:t>SC</w:t>
      </w:r>
      <w:r>
        <w:noBreakHyphen/>
        <w:t>I bolo celkovo 625 pacientov liečených tocilizumabom v dávke 162 mg podávanej raz za týždeň vyšetrených na protilátky proti tocilizumabu v 6</w:t>
      </w:r>
      <w:r>
        <w:noBreakHyphen/>
        <w:t>mesačnom kontrolovanom období. U piatich pacientov (0,8 %) sa zistila pozitivita protilátok proti tocilizumabu; u všetkých z nich sa vytvorili neutralizujúce protilátky proti tocilizumabu. U jedného pacienta sa zistila pozitivita protilátok izotypu IgE (0,2 %).</w:t>
      </w:r>
    </w:p>
    <w:p w14:paraId="01789F58" w14:textId="77777777" w:rsidR="009700E5" w:rsidRDefault="009700E5">
      <w:pPr>
        <w:outlineLvl w:val="0"/>
      </w:pPr>
    </w:p>
    <w:p w14:paraId="0B85B462" w14:textId="77777777" w:rsidR="009700E5" w:rsidRDefault="002C033C">
      <w:pPr>
        <w:outlineLvl w:val="0"/>
      </w:pPr>
      <w:r>
        <w:t>V</w:t>
      </w:r>
      <w:del w:id="979" w:author="Author" w:date="2025-07-18T23:32:00Z">
        <w:r>
          <w:delText> </w:delText>
        </w:r>
      </w:del>
      <w:ins w:id="980" w:author="Author" w:date="2025-07-18T23:32:00Z">
        <w:r>
          <w:t> </w:t>
        </w:r>
      </w:ins>
      <w:del w:id="981" w:author="Author" w:date="2025-07-18T23:31:00Z">
        <w:r>
          <w:delText xml:space="preserve">štúdii </w:delText>
        </w:r>
      </w:del>
      <w:ins w:id="982" w:author="Author" w:date="2025-07-21T10:00:00Z">
        <w:r>
          <w:t xml:space="preserve">klinickom </w:t>
        </w:r>
      </w:ins>
      <w:ins w:id="983" w:author="Author" w:date="2025-07-18T23:31:00Z">
        <w:r>
          <w:t>skúšaní</w:t>
        </w:r>
      </w:ins>
      <w:ins w:id="984" w:author="Author" w:date="2025-07-18T23:32:00Z">
        <w:r>
          <w:t xml:space="preserve"> </w:t>
        </w:r>
      </w:ins>
      <w:r>
        <w:t>SC</w:t>
      </w:r>
      <w:r>
        <w:noBreakHyphen/>
        <w:t>II bolo celkovo 434 pacientov liečených tocilizumabom v dávke 162 mg podávanej každý druhý týždeň vyšetrených na protilátky proti tocilizumabu v 6</w:t>
      </w:r>
      <w:r>
        <w:noBreakHyphen/>
        <w:t>mesačnom kontrolovanom období. U siedmich pacientov (1,6 %) sa zistila pozitivita protilátok proti tocilizumabu: u šiestich z nich (1,4 %) sa vytvorili neutralizujúce protilátky proti tocilizumabu. U štyroch pacientov sa zistila pozitivita protilátok izotypu IgE (0,9 %).</w:t>
      </w:r>
    </w:p>
    <w:p w14:paraId="2365DD09" w14:textId="77777777" w:rsidR="009700E5" w:rsidRDefault="009700E5">
      <w:pPr>
        <w:outlineLvl w:val="0"/>
      </w:pPr>
    </w:p>
    <w:p w14:paraId="15DD618D" w14:textId="77777777" w:rsidR="009700E5" w:rsidRDefault="002C033C">
      <w:pPr>
        <w:outlineLvl w:val="0"/>
      </w:pPr>
      <w:r>
        <w:lastRenderedPageBreak/>
        <w:t>Nepozorovala sa žiadna korelácia medzi tvorbou protilátok a klinickou odpoveďou alebo nežiaducimi udalosťami.</w:t>
      </w:r>
    </w:p>
    <w:p w14:paraId="68F40DB0" w14:textId="77777777" w:rsidR="009700E5" w:rsidRDefault="009700E5">
      <w:pPr>
        <w:outlineLvl w:val="0"/>
      </w:pPr>
    </w:p>
    <w:p w14:paraId="75BE089D" w14:textId="77777777" w:rsidR="009700E5" w:rsidRDefault="002C033C">
      <w:pPr>
        <w:keepNext/>
        <w:keepLines/>
        <w:rPr>
          <w:i/>
          <w:iCs/>
          <w:u w:val="single"/>
        </w:rPr>
      </w:pPr>
      <w:r>
        <w:rPr>
          <w:i/>
          <w:iCs/>
          <w:u w:val="single"/>
        </w:rPr>
        <w:t>Neutrofily</w:t>
      </w:r>
    </w:p>
    <w:p w14:paraId="165D784F" w14:textId="77777777" w:rsidR="009700E5" w:rsidRDefault="002C033C">
      <w:pPr>
        <w:rPr>
          <w:rFonts w:eastAsia="SimSun"/>
          <w:szCs w:val="22"/>
          <w:lang w:eastAsia="zh-CN"/>
        </w:rPr>
      </w:pPr>
      <w:r>
        <w:rPr>
          <w:rFonts w:eastAsia="SimSun"/>
          <w:szCs w:val="22"/>
          <w:lang w:eastAsia="zh-CN"/>
        </w:rPr>
        <w:t>Počas rutinného laboratórneho sledovania v 6</w:t>
      </w:r>
      <w:r>
        <w:rPr>
          <w:rFonts w:eastAsia="SimSun"/>
          <w:szCs w:val="22"/>
          <w:lang w:eastAsia="zh-CN"/>
        </w:rPr>
        <w:noBreakHyphen/>
        <w:t>mesačnom kontrolovanom klinickom skúšaní s </w:t>
      </w:r>
      <w:r>
        <w:t>tocilizumabom</w:t>
      </w:r>
      <w:r>
        <w:rPr>
          <w:rFonts w:eastAsia="SimSun"/>
          <w:szCs w:val="22"/>
          <w:lang w:eastAsia="zh-CN"/>
        </w:rPr>
        <w:t>, SC</w:t>
      </w:r>
      <w:r>
        <w:rPr>
          <w:rFonts w:eastAsia="SimSun"/>
          <w:szCs w:val="22"/>
          <w:lang w:eastAsia="zh-CN"/>
        </w:rPr>
        <w:noBreakHyphen/>
        <w:t>I, došlo k poklesu počtu neutrofilov pod 1 </w:t>
      </w:r>
      <w:r>
        <w:rPr>
          <w:szCs w:val="22"/>
          <w:lang w:eastAsia="de-DE"/>
        </w:rPr>
        <w:t>×</w:t>
      </w:r>
      <w:r>
        <w:rPr>
          <w:rFonts w:eastAsia="SimSun"/>
          <w:szCs w:val="22"/>
          <w:lang w:eastAsia="zh-CN"/>
        </w:rPr>
        <w:t> 10</w:t>
      </w:r>
      <w:r>
        <w:rPr>
          <w:rFonts w:eastAsia="SimSun"/>
          <w:szCs w:val="22"/>
          <w:vertAlign w:val="superscript"/>
          <w:lang w:eastAsia="zh-CN"/>
        </w:rPr>
        <w:t>9</w:t>
      </w:r>
      <w:r>
        <w:rPr>
          <w:rFonts w:eastAsia="SimSun"/>
          <w:szCs w:val="22"/>
          <w:lang w:eastAsia="zh-CN"/>
        </w:rPr>
        <w:t>/l u 2,9 % pacientov liečených subkutánnou dávkou podávanou raz za týždeň.</w:t>
      </w:r>
    </w:p>
    <w:p w14:paraId="1ADD1930" w14:textId="77777777" w:rsidR="009700E5" w:rsidRDefault="009700E5">
      <w:pPr>
        <w:rPr>
          <w:rFonts w:eastAsia="SimSun"/>
          <w:szCs w:val="22"/>
          <w:lang w:eastAsia="zh-CN"/>
        </w:rPr>
      </w:pPr>
    </w:p>
    <w:p w14:paraId="2F1BF98A" w14:textId="77777777" w:rsidR="009700E5" w:rsidRDefault="002C033C">
      <w:pPr>
        <w:rPr>
          <w:rFonts w:eastAsia="SimSun"/>
          <w:szCs w:val="22"/>
          <w:lang w:eastAsia="zh-CN"/>
        </w:rPr>
      </w:pPr>
      <w:r>
        <w:rPr>
          <w:rFonts w:eastAsia="SimSun"/>
          <w:szCs w:val="22"/>
          <w:lang w:eastAsia="zh-CN"/>
        </w:rPr>
        <w:t>Nezistila sa žiadna jasná súvislosť medzi poklesom počtu neutrofilov pod 1 </w:t>
      </w:r>
      <w:r>
        <w:rPr>
          <w:szCs w:val="22"/>
          <w:lang w:eastAsia="de-DE"/>
        </w:rPr>
        <w:t>×</w:t>
      </w:r>
      <w:r>
        <w:rPr>
          <w:rFonts w:eastAsia="SimSun"/>
          <w:szCs w:val="22"/>
          <w:lang w:eastAsia="zh-CN"/>
        </w:rPr>
        <w:t> 10</w:t>
      </w:r>
      <w:r>
        <w:rPr>
          <w:rFonts w:eastAsia="SimSun"/>
          <w:szCs w:val="22"/>
          <w:vertAlign w:val="superscript"/>
          <w:lang w:eastAsia="zh-CN"/>
        </w:rPr>
        <w:t>9</w:t>
      </w:r>
      <w:r>
        <w:rPr>
          <w:rFonts w:eastAsia="SimSun"/>
          <w:szCs w:val="22"/>
          <w:lang w:eastAsia="zh-CN"/>
        </w:rPr>
        <w:t>/l a výskytom závažných infekcií.</w:t>
      </w:r>
    </w:p>
    <w:p w14:paraId="5F40F853" w14:textId="77777777" w:rsidR="009700E5" w:rsidRDefault="009700E5">
      <w:pPr>
        <w:autoSpaceDE w:val="0"/>
        <w:autoSpaceDN w:val="0"/>
        <w:adjustRightInd w:val="0"/>
      </w:pPr>
    </w:p>
    <w:p w14:paraId="5A837625" w14:textId="77777777" w:rsidR="009700E5" w:rsidRDefault="002C033C">
      <w:pPr>
        <w:keepNext/>
        <w:keepLines/>
        <w:autoSpaceDE w:val="0"/>
        <w:autoSpaceDN w:val="0"/>
        <w:adjustRightInd w:val="0"/>
        <w:rPr>
          <w:i/>
          <w:iCs/>
          <w:u w:val="single"/>
        </w:rPr>
      </w:pPr>
      <w:r>
        <w:rPr>
          <w:i/>
          <w:iCs/>
          <w:u w:val="single"/>
        </w:rPr>
        <w:t>Krvné doštičky</w:t>
      </w:r>
    </w:p>
    <w:p w14:paraId="00585C29" w14:textId="77777777" w:rsidR="009700E5" w:rsidRDefault="002C033C">
      <w:r>
        <w:rPr>
          <w:rFonts w:eastAsia="SimSun"/>
          <w:szCs w:val="22"/>
          <w:lang w:eastAsia="zh-CN"/>
        </w:rPr>
        <w:t>Počas rutinného laboratórneho sledovania v 6</w:t>
      </w:r>
      <w:r>
        <w:rPr>
          <w:rFonts w:eastAsia="SimSun"/>
          <w:szCs w:val="22"/>
          <w:lang w:eastAsia="zh-CN"/>
        </w:rPr>
        <w:noBreakHyphen/>
        <w:t>mesačnom klinickom skúšaní s </w:t>
      </w:r>
      <w:r>
        <w:t>tocilizumabom</w:t>
      </w:r>
      <w:r>
        <w:rPr>
          <w:rFonts w:eastAsia="SimSun"/>
          <w:szCs w:val="22"/>
          <w:lang w:eastAsia="zh-CN"/>
        </w:rPr>
        <w:t>, SC</w:t>
      </w:r>
      <w:r>
        <w:rPr>
          <w:rFonts w:eastAsia="SimSun"/>
          <w:szCs w:val="22"/>
          <w:lang w:eastAsia="zh-CN"/>
        </w:rPr>
        <w:noBreakHyphen/>
        <w:t>I, nedošlo u žiadneho z pacientov liečených subkutánnou dávkou podávanou raz za týždeň k poklesu počtu krvných doštičiek na ≤ </w:t>
      </w:r>
      <w:r>
        <w:t>50 </w:t>
      </w:r>
      <w:r>
        <w:rPr>
          <w:szCs w:val="22"/>
          <w:lang w:eastAsia="de-DE"/>
        </w:rPr>
        <w:t>×</w:t>
      </w:r>
      <w:r>
        <w:t> 10</w:t>
      </w:r>
      <w:r>
        <w:rPr>
          <w:vertAlign w:val="superscript"/>
        </w:rPr>
        <w:t>3</w:t>
      </w:r>
      <w:r>
        <w:t>/μl.</w:t>
      </w:r>
    </w:p>
    <w:p w14:paraId="58D447E4" w14:textId="77777777" w:rsidR="009700E5" w:rsidRDefault="009700E5">
      <w:pPr>
        <w:outlineLvl w:val="0"/>
        <w:rPr>
          <w:iCs/>
        </w:rPr>
      </w:pPr>
    </w:p>
    <w:p w14:paraId="62D6DC1B" w14:textId="77777777" w:rsidR="009700E5" w:rsidRDefault="002C033C">
      <w:pPr>
        <w:outlineLvl w:val="0"/>
        <w:rPr>
          <w:i/>
          <w:u w:val="single"/>
        </w:rPr>
      </w:pPr>
      <w:r>
        <w:rPr>
          <w:i/>
          <w:u w:val="single"/>
        </w:rPr>
        <w:t>Zvýšenie pečeňových transamináz</w:t>
      </w:r>
    </w:p>
    <w:p w14:paraId="67C6DDB5" w14:textId="77777777" w:rsidR="009700E5" w:rsidRDefault="002C033C">
      <w:pPr>
        <w:autoSpaceDE w:val="0"/>
        <w:autoSpaceDN w:val="0"/>
        <w:adjustRightInd w:val="0"/>
      </w:pPr>
      <w:r>
        <w:rPr>
          <w:rFonts w:eastAsia="SimSun"/>
          <w:szCs w:val="22"/>
          <w:lang w:eastAsia="zh-CN"/>
        </w:rPr>
        <w:t>Počas rutinného laboratórneho sledovania v 6</w:t>
      </w:r>
      <w:r>
        <w:rPr>
          <w:rFonts w:eastAsia="SimSun"/>
          <w:szCs w:val="22"/>
          <w:lang w:eastAsia="zh-CN"/>
        </w:rPr>
        <w:noBreakHyphen/>
        <w:t>mesačnom kontrolovanom klinickom skúšaní s </w:t>
      </w:r>
      <w:r>
        <w:t>tocilizumabom</w:t>
      </w:r>
      <w:r>
        <w:rPr>
          <w:rFonts w:eastAsia="SimSun"/>
          <w:szCs w:val="22"/>
          <w:lang w:eastAsia="zh-CN"/>
        </w:rPr>
        <w:t>, SC</w:t>
      </w:r>
      <w:r>
        <w:rPr>
          <w:rFonts w:eastAsia="SimSun"/>
          <w:szCs w:val="22"/>
          <w:lang w:eastAsia="zh-CN"/>
        </w:rPr>
        <w:noBreakHyphen/>
        <w:t>I, došlo k vzostup hodnôt ALT a AST na ≥ 3</w:t>
      </w:r>
      <w:r>
        <w:rPr>
          <w:rFonts w:eastAsia="SimSun"/>
          <w:szCs w:val="22"/>
          <w:lang w:eastAsia="zh-CN"/>
        </w:rPr>
        <w:noBreakHyphen/>
        <w:t>násobok ULN u 6,5 % a 1,4 %, v uvedenom poradí, pacientov liečených subkutánnou dávkou podávanou raz za týždeň.</w:t>
      </w:r>
    </w:p>
    <w:p w14:paraId="53346A27" w14:textId="77777777" w:rsidR="009700E5" w:rsidRDefault="009700E5"/>
    <w:p w14:paraId="1CD94E9C" w14:textId="77777777" w:rsidR="009700E5" w:rsidRDefault="002C033C">
      <w:pPr>
        <w:keepNext/>
        <w:keepLines/>
        <w:outlineLvl w:val="0"/>
        <w:rPr>
          <w:i/>
          <w:u w:val="single"/>
        </w:rPr>
      </w:pPr>
      <w:r>
        <w:rPr>
          <w:i/>
          <w:u w:val="single"/>
        </w:rPr>
        <w:t>Hodnoty lipidových parametrov</w:t>
      </w:r>
    </w:p>
    <w:p w14:paraId="57A9747D" w14:textId="77777777" w:rsidR="009700E5" w:rsidRDefault="002C033C">
      <w:pPr>
        <w:rPr>
          <w:rFonts w:eastAsia="SimSun"/>
          <w:szCs w:val="22"/>
          <w:lang w:eastAsia="zh-CN"/>
        </w:rPr>
      </w:pPr>
      <w:r>
        <w:rPr>
          <w:rFonts w:eastAsia="SimSun"/>
          <w:szCs w:val="22"/>
          <w:lang w:eastAsia="zh-CN"/>
        </w:rPr>
        <w:t>Počas rutinného laboratórneho sledovania v 6</w:t>
      </w:r>
      <w:r>
        <w:rPr>
          <w:rFonts w:eastAsia="SimSun"/>
          <w:szCs w:val="22"/>
          <w:lang w:eastAsia="zh-CN"/>
        </w:rPr>
        <w:noBreakHyphen/>
        <w:t>mesačnom kontrolovanom klinickom skúšaní s </w:t>
      </w:r>
      <w:r>
        <w:t>tocilizumabom</w:t>
      </w:r>
      <w:r>
        <w:rPr>
          <w:rFonts w:eastAsia="SimSun"/>
          <w:szCs w:val="22"/>
          <w:lang w:eastAsia="zh-CN"/>
        </w:rPr>
        <w:t>, SC</w:t>
      </w:r>
      <w:r>
        <w:rPr>
          <w:rFonts w:eastAsia="SimSun"/>
          <w:szCs w:val="22"/>
          <w:lang w:eastAsia="zh-CN"/>
        </w:rPr>
        <w:noBreakHyphen/>
        <w:t>I, došlo k trvalému zvýšeniu hodnôt celkového cholesterolu na </w:t>
      </w:r>
      <w:r>
        <w:rPr>
          <w:rFonts w:eastAsia="MS Mincho"/>
          <w:szCs w:val="22"/>
        </w:rPr>
        <w:sym w:font="Symbol" w:char="F03E"/>
      </w:r>
      <w:r>
        <w:rPr>
          <w:rFonts w:eastAsia="SimSun"/>
          <w:szCs w:val="22"/>
          <w:lang w:eastAsia="zh-CN"/>
        </w:rPr>
        <w:t> 6,2 mmol/l (240 mg/dl) u 19 % pacientov liečených subkutánnou dávkou podávanou raz za týždeň a u 9 % došlo k trvalému zvýšeniu hodnôt LDL na ≥ 4,1 mmol/l (160 mg/dl).</w:t>
      </w:r>
    </w:p>
    <w:p w14:paraId="1AE6B3A2" w14:textId="77777777" w:rsidR="009700E5" w:rsidRDefault="009700E5">
      <w:pPr>
        <w:autoSpaceDE w:val="0"/>
        <w:autoSpaceDN w:val="0"/>
        <w:adjustRightInd w:val="0"/>
        <w:rPr>
          <w:rFonts w:eastAsia="SimSun"/>
          <w:szCs w:val="22"/>
          <w:lang w:eastAsia="zh-CN"/>
        </w:rPr>
      </w:pPr>
    </w:p>
    <w:p w14:paraId="1F8607A0" w14:textId="77777777" w:rsidR="009700E5" w:rsidRDefault="002C033C">
      <w:pPr>
        <w:autoSpaceDE w:val="0"/>
        <w:autoSpaceDN w:val="0"/>
        <w:adjustRightInd w:val="0"/>
        <w:rPr>
          <w:rFonts w:eastAsia="SimSun"/>
          <w:bCs/>
          <w:i/>
          <w:iCs/>
          <w:szCs w:val="22"/>
          <w:lang w:eastAsia="zh-CN"/>
        </w:rPr>
      </w:pPr>
      <w:r>
        <w:rPr>
          <w:rFonts w:eastAsia="SimSun"/>
          <w:bCs/>
          <w:i/>
          <w:iCs/>
          <w:szCs w:val="22"/>
          <w:lang w:eastAsia="zh-CN"/>
        </w:rPr>
        <w:t>Pacienti so sJIA</w:t>
      </w:r>
    </w:p>
    <w:p w14:paraId="73DF3A52" w14:textId="77777777" w:rsidR="009700E5" w:rsidRDefault="002C033C">
      <w:r>
        <w:t xml:space="preserve">Bezpečnostný profil subkutánnej formy tocilizumabu sa hodnotil u 51 pediatrických pacientov (vo veku od 1 do 17 rokov) so sJIA. Vo všeobecnosti boli nežiaduce reakcie u pacientov so sJIA podobného typu ako tie, ktoré boli pozorované u pacientov s RA (pozri </w:t>
      </w:r>
      <w:del w:id="985" w:author="Author" w:date="2025-07-18T23:32:00Z">
        <w:r>
          <w:delText>vyššie uvedené informácie v časti Nežiaduce účinky</w:delText>
        </w:r>
      </w:del>
      <w:ins w:id="986" w:author="Author" w:date="2025-07-18T23:32:00Z">
        <w:r>
          <w:t>časť</w:t>
        </w:r>
      </w:ins>
      <w:ins w:id="987" w:author="Author" w:date="2025-07-21T10:01:00Z">
        <w:r>
          <w:t> </w:t>
        </w:r>
      </w:ins>
      <w:ins w:id="988" w:author="Author" w:date="2025-07-18T23:32:00Z">
        <w:del w:id="989" w:author="Author" w:date="2025-07-21T10:01:00Z">
          <w:r>
            <w:delText xml:space="preserve"> </w:delText>
          </w:r>
        </w:del>
        <w:r>
          <w:t>4.8</w:t>
        </w:r>
      </w:ins>
      <w:r>
        <w:t>).</w:t>
      </w:r>
    </w:p>
    <w:p w14:paraId="55CD5AA4" w14:textId="77777777" w:rsidR="009700E5" w:rsidRDefault="009700E5"/>
    <w:p w14:paraId="421B3359" w14:textId="77777777" w:rsidR="009700E5" w:rsidRDefault="002C033C">
      <w:pPr>
        <w:rPr>
          <w:i/>
          <w:u w:val="single"/>
        </w:rPr>
      </w:pPr>
      <w:r>
        <w:rPr>
          <w:i/>
          <w:u w:val="single"/>
        </w:rPr>
        <w:t>Infekcie</w:t>
      </w:r>
    </w:p>
    <w:p w14:paraId="288DBB25" w14:textId="77777777" w:rsidR="009700E5" w:rsidRDefault="002C033C">
      <w:r>
        <w:t>Výskyt infekcií u pacientov so sJIA liečených subkutánne podávaným tocilizumabom bol porovnateľný s výskytom infekcií zisteným u pacientov so sJIA liečených intravenózne podávaným tocilizumabom.</w:t>
      </w:r>
    </w:p>
    <w:p w14:paraId="60513DCD" w14:textId="77777777" w:rsidR="009700E5" w:rsidRDefault="009700E5"/>
    <w:p w14:paraId="27BCC6A1" w14:textId="77777777" w:rsidR="009700E5" w:rsidRDefault="002C033C">
      <w:pPr>
        <w:rPr>
          <w:i/>
          <w:u w:val="single"/>
        </w:rPr>
      </w:pPr>
      <w:r>
        <w:rPr>
          <w:i/>
          <w:u w:val="single"/>
        </w:rPr>
        <w:t>Reakcie v mieste podania injekcie (injection site reactions, ISR)</w:t>
      </w:r>
    </w:p>
    <w:p w14:paraId="101CCA36" w14:textId="77777777" w:rsidR="009700E5" w:rsidRDefault="002C033C">
      <w:r>
        <w:rPr>
          <w:rFonts w:eastAsia="MS Mincho"/>
          <w:lang w:eastAsia="zh-CN"/>
        </w:rPr>
        <w:t>V </w:t>
      </w:r>
      <w:del w:id="990" w:author="Author" w:date="2025-07-18T23:32:00Z">
        <w:r>
          <w:rPr>
            <w:rFonts w:eastAsia="MS Mincho"/>
            <w:lang w:eastAsia="zh-CN"/>
          </w:rPr>
          <w:delText xml:space="preserve">štúdii </w:delText>
        </w:r>
      </w:del>
      <w:ins w:id="991" w:author="Author" w:date="2025-07-21T10:01:00Z">
        <w:r>
          <w:rPr>
            <w:rFonts w:eastAsia="MS Mincho"/>
            <w:lang w:eastAsia="zh-CN"/>
          </w:rPr>
          <w:t xml:space="preserve">klinickom </w:t>
        </w:r>
      </w:ins>
      <w:ins w:id="992" w:author="Author" w:date="2025-07-18T23:32:00Z">
        <w:r>
          <w:rPr>
            <w:rFonts w:eastAsia="MS Mincho"/>
            <w:lang w:eastAsia="zh-CN"/>
          </w:rPr>
          <w:t xml:space="preserve">skúšaní </w:t>
        </w:r>
      </w:ins>
      <w:r>
        <w:rPr>
          <w:rFonts w:eastAsia="MS Mincho"/>
          <w:lang w:eastAsia="zh-CN"/>
        </w:rPr>
        <w:t xml:space="preserve">so subkutánnou formou (WA28118) sa u celkovo 41,2 % (21/51) pacientov so sJIA vyskytla ISR po subkutánne podávanom </w:t>
      </w:r>
      <w:r>
        <w:t>tocilizumabe</w:t>
      </w:r>
      <w:r>
        <w:rPr>
          <w:rFonts w:eastAsia="MS Mincho"/>
          <w:lang w:eastAsia="zh-CN"/>
        </w:rPr>
        <w:t xml:space="preserve">. </w:t>
      </w:r>
      <w:r>
        <w:t>Najčastejšími ISR boli erytém, pruritus, bolesť a opuch v mieste podania injekcie. Hlásené ISR boli väčšinou udalosťami 1. stupňa a všetky hlásené ISR boli nezávažnými udalosťami a žiadna ISR nevyžadovala predčasné ukončenie liečby pacienta alebo prerušenie podávania dávok.</w:t>
      </w:r>
    </w:p>
    <w:p w14:paraId="3B86242D" w14:textId="77777777" w:rsidR="009700E5" w:rsidRDefault="009700E5">
      <w:pPr>
        <w:rPr>
          <w:rFonts w:eastAsia="MS Mincho"/>
          <w:lang w:eastAsia="zh-CN"/>
        </w:rPr>
      </w:pPr>
    </w:p>
    <w:p w14:paraId="2426B2C8" w14:textId="77777777" w:rsidR="009700E5" w:rsidRDefault="002C033C">
      <w:pPr>
        <w:keepNext/>
        <w:keepLines/>
        <w:rPr>
          <w:rFonts w:eastAsia="MS Mincho"/>
          <w:i/>
          <w:u w:val="single"/>
          <w:lang w:eastAsia="zh-CN"/>
        </w:rPr>
      </w:pPr>
      <w:r>
        <w:rPr>
          <w:rFonts w:eastAsia="MS Mincho"/>
          <w:i/>
          <w:u w:val="single"/>
          <w:lang w:eastAsia="zh-CN"/>
        </w:rPr>
        <w:t>Imunogenicita</w:t>
      </w:r>
    </w:p>
    <w:p w14:paraId="7BA573BA" w14:textId="77777777" w:rsidR="009700E5" w:rsidRDefault="002C033C">
      <w:pPr>
        <w:keepNext/>
        <w:keepLines/>
        <w:rPr>
          <w:rFonts w:eastAsia="MS Mincho"/>
          <w:lang w:eastAsia="zh-CN"/>
        </w:rPr>
      </w:pPr>
      <w:r>
        <w:t>V </w:t>
      </w:r>
      <w:del w:id="993" w:author="Author" w:date="2025-07-18T23:33:00Z">
        <w:r>
          <w:delText xml:space="preserve">štúdii </w:delText>
        </w:r>
      </w:del>
      <w:ins w:id="994" w:author="Author" w:date="2025-07-21T10:01:00Z">
        <w:r>
          <w:t xml:space="preserve">klinickom </w:t>
        </w:r>
      </w:ins>
      <w:ins w:id="995" w:author="Author" w:date="2025-07-18T23:33:00Z">
        <w:r>
          <w:t xml:space="preserve">skúšaní </w:t>
        </w:r>
      </w:ins>
      <w:r>
        <w:t>so subkutánnou formou (</w:t>
      </w:r>
      <w:r>
        <w:rPr>
          <w:rFonts w:eastAsia="MS Mincho"/>
          <w:lang w:eastAsia="zh-CN"/>
        </w:rPr>
        <w:t>WA28118) malo</w:t>
      </w:r>
      <w:r>
        <w:t xml:space="preserve"> 46 z 51 (90,2 %) pacientov, ktorí boli na začiatku </w:t>
      </w:r>
      <w:del w:id="996" w:author="Author" w:date="2025-07-18T23:33:00Z">
        <w:r>
          <w:delText xml:space="preserve">štúdie </w:delText>
        </w:r>
      </w:del>
      <w:ins w:id="997" w:author="Author" w:date="2025-07-21T10:01:00Z">
        <w:r>
          <w:t xml:space="preserve">klinického </w:t>
        </w:r>
      </w:ins>
      <w:ins w:id="998" w:author="Author" w:date="2025-07-18T23:33:00Z">
        <w:r>
          <w:t xml:space="preserve">skúšania </w:t>
        </w:r>
      </w:ins>
      <w:r>
        <w:t>vyšetrení na protilátky proti tocilizumabu, výsledok aspoň jedného kontrolného vyšetrenia vykonaného v priebehu skúšanej liečby. Ani u jedného pacienta sa nezistila pozitivita protilátok proti tocilizumabu v priebehu skúšanej liečby.</w:t>
      </w:r>
    </w:p>
    <w:p w14:paraId="155594F1" w14:textId="77777777" w:rsidR="009700E5" w:rsidRDefault="009700E5">
      <w:pPr>
        <w:rPr>
          <w:rFonts w:eastAsia="MS Mincho"/>
          <w:lang w:eastAsia="zh-CN"/>
        </w:rPr>
      </w:pPr>
    </w:p>
    <w:p w14:paraId="0F3FAA76" w14:textId="77777777" w:rsidR="009700E5" w:rsidRDefault="002C033C">
      <w:pPr>
        <w:rPr>
          <w:i/>
          <w:szCs w:val="22"/>
          <w:u w:val="single"/>
        </w:rPr>
      </w:pPr>
      <w:r>
        <w:rPr>
          <w:i/>
          <w:szCs w:val="22"/>
          <w:u w:val="single"/>
        </w:rPr>
        <w:t>Laboratórne odchýlky</w:t>
      </w:r>
    </w:p>
    <w:p w14:paraId="187B1A3B" w14:textId="77777777" w:rsidR="009700E5" w:rsidRDefault="002C033C">
      <w:pPr>
        <w:rPr>
          <w:rFonts w:eastAsia="SimSun"/>
        </w:rPr>
      </w:pPr>
      <w:r>
        <w:rPr>
          <w:rFonts w:eastAsia="SimSun"/>
          <w:lang w:eastAsia="zh-CN"/>
        </w:rPr>
        <w:t>V 52</w:t>
      </w:r>
      <w:r>
        <w:rPr>
          <w:rFonts w:eastAsia="SimSun"/>
          <w:lang w:eastAsia="zh-CN"/>
        </w:rPr>
        <w:noBreakHyphen/>
        <w:t>týždňov</w:t>
      </w:r>
      <w:ins w:id="999" w:author="Author" w:date="2025-07-18T23:34:00Z">
        <w:r>
          <w:rPr>
            <w:rFonts w:eastAsia="SimSun"/>
            <w:lang w:eastAsia="zh-CN"/>
          </w:rPr>
          <w:t>om</w:t>
        </w:r>
      </w:ins>
      <w:del w:id="1000" w:author="Author" w:date="2025-07-18T23:33:00Z">
        <w:r>
          <w:rPr>
            <w:rFonts w:eastAsia="SimSun"/>
            <w:lang w:eastAsia="zh-CN"/>
          </w:rPr>
          <w:delText>ej</w:delText>
        </w:r>
      </w:del>
      <w:r>
        <w:rPr>
          <w:rFonts w:eastAsia="SimSun"/>
          <w:lang w:eastAsia="zh-CN"/>
        </w:rPr>
        <w:t xml:space="preserve"> otvoren</w:t>
      </w:r>
      <w:del w:id="1001" w:author="Author" w:date="2025-07-18T23:34:00Z">
        <w:r>
          <w:rPr>
            <w:rFonts w:eastAsia="SimSun"/>
            <w:lang w:eastAsia="zh-CN"/>
          </w:rPr>
          <w:delText>ej štúdii</w:delText>
        </w:r>
      </w:del>
      <w:ins w:id="1002" w:author="Author" w:date="2025-07-18T23:34:00Z">
        <w:r>
          <w:rPr>
            <w:rFonts w:eastAsia="SimSun"/>
            <w:lang w:eastAsia="zh-CN"/>
          </w:rPr>
          <w:t xml:space="preserve">om </w:t>
        </w:r>
      </w:ins>
      <w:ins w:id="1003" w:author="Author" w:date="2025-07-21T10:01:00Z">
        <w:r>
          <w:rPr>
            <w:rFonts w:eastAsia="SimSun"/>
            <w:lang w:eastAsia="zh-CN"/>
          </w:rPr>
          <w:t xml:space="preserve">klinickom </w:t>
        </w:r>
      </w:ins>
      <w:ins w:id="1004" w:author="Author" w:date="2025-07-18T23:34:00Z">
        <w:r>
          <w:rPr>
            <w:rFonts w:eastAsia="SimSun"/>
            <w:lang w:eastAsia="zh-CN"/>
          </w:rPr>
          <w:t>skúšaní</w:t>
        </w:r>
      </w:ins>
      <w:r>
        <w:rPr>
          <w:rFonts w:eastAsia="SimSun"/>
          <w:lang w:eastAsia="zh-CN"/>
        </w:rPr>
        <w:t xml:space="preserve"> so subkutánnou formou </w:t>
      </w:r>
      <w:r>
        <w:t>(</w:t>
      </w:r>
      <w:r>
        <w:rPr>
          <w:rFonts w:eastAsia="MS Mincho"/>
          <w:lang w:eastAsia="zh-CN"/>
        </w:rPr>
        <w:t xml:space="preserve">WA28118) </w:t>
      </w:r>
      <w:r>
        <w:rPr>
          <w:rFonts w:eastAsia="SimSun"/>
          <w:lang w:eastAsia="zh-CN"/>
        </w:rPr>
        <w:t>došlo k poklesu počtu neutrofilov pod 1 </w:t>
      </w:r>
      <w:r>
        <w:rPr>
          <w:rFonts w:eastAsia="SimSun"/>
          <w:color w:val="000000"/>
          <w:lang w:eastAsia="zh-CN"/>
        </w:rPr>
        <w:t>× 10</w:t>
      </w:r>
      <w:r>
        <w:rPr>
          <w:rFonts w:eastAsia="SimSun"/>
          <w:color w:val="000000"/>
          <w:vertAlign w:val="superscript"/>
          <w:lang w:eastAsia="zh-CN"/>
        </w:rPr>
        <w:t>9</w:t>
      </w:r>
      <w:r>
        <w:rPr>
          <w:rFonts w:eastAsia="SimSun"/>
          <w:color w:val="000000"/>
          <w:lang w:eastAsia="zh-CN"/>
        </w:rPr>
        <w:t>/l</w:t>
      </w:r>
      <w:r>
        <w:rPr>
          <w:rFonts w:eastAsia="SimSun"/>
          <w:lang w:eastAsia="zh-CN"/>
        </w:rPr>
        <w:t xml:space="preserve"> u 23,5 % pacientov liečených subkutánne podávaným </w:t>
      </w:r>
      <w:r>
        <w:rPr>
          <w:rFonts w:eastAsia="SimSun"/>
          <w:szCs w:val="22"/>
        </w:rPr>
        <w:t>tocilizumabom</w:t>
      </w:r>
      <w:r>
        <w:rPr>
          <w:rFonts w:eastAsia="SimSun"/>
          <w:lang w:eastAsia="zh-CN"/>
        </w:rPr>
        <w:t>.</w:t>
      </w:r>
      <w:r>
        <w:rPr>
          <w:rFonts w:eastAsia="SimSun"/>
        </w:rPr>
        <w:t xml:space="preserve"> K </w:t>
      </w:r>
      <w:r>
        <w:t>poklesu počtu trombocytov pod 10</w:t>
      </w:r>
      <w:r>
        <w:rPr>
          <w:rFonts w:eastAsia="SimSun"/>
        </w:rPr>
        <w:t>0 × 10</w:t>
      </w:r>
      <w:r>
        <w:rPr>
          <w:rFonts w:eastAsia="SimSun"/>
          <w:vertAlign w:val="superscript"/>
        </w:rPr>
        <w:t>3</w:t>
      </w:r>
      <w:r>
        <w:rPr>
          <w:rFonts w:eastAsia="SimSun"/>
        </w:rPr>
        <w:t>/</w:t>
      </w:r>
      <w:r>
        <w:rPr>
          <w:rFonts w:eastAsia="SimSun"/>
          <w:szCs w:val="22"/>
        </w:rPr>
        <w:t>μl</w:t>
      </w:r>
      <w:r>
        <w:rPr>
          <w:rFonts w:eastAsia="SimSun"/>
        </w:rPr>
        <w:t xml:space="preserve"> došlo u 2 % pacientov </w:t>
      </w:r>
      <w:r>
        <w:rPr>
          <w:rFonts w:eastAsia="SimSun"/>
          <w:lang w:eastAsia="zh-CN"/>
        </w:rPr>
        <w:t xml:space="preserve">liečených subkutánne podávaným </w:t>
      </w:r>
      <w:r>
        <w:rPr>
          <w:rFonts w:eastAsia="SimSun"/>
          <w:szCs w:val="22"/>
        </w:rPr>
        <w:t>tocilizumabom</w:t>
      </w:r>
      <w:r>
        <w:rPr>
          <w:rFonts w:eastAsia="SimSun"/>
          <w:lang w:eastAsia="zh-CN"/>
        </w:rPr>
        <w:t>. K </w:t>
      </w:r>
      <w:r>
        <w:rPr>
          <w:rFonts w:eastAsia="SimSun"/>
        </w:rPr>
        <w:t xml:space="preserve">vzostupu hodnôt </w:t>
      </w:r>
      <w:r>
        <w:t>ALT alebo AST na ≥ 3</w:t>
      </w:r>
      <w:r>
        <w:noBreakHyphen/>
        <w:t xml:space="preserve">násobok ULN </w:t>
      </w:r>
      <w:r>
        <w:lastRenderedPageBreak/>
        <w:t>došlo, v uvedenom poradí, u 9,8</w:t>
      </w:r>
      <w:r>
        <w:rPr>
          <w:iCs/>
        </w:rPr>
        <w:t> </w:t>
      </w:r>
      <w:r>
        <w:t xml:space="preserve">% a 4,0 % pacientov liečených subkutánne podávaným </w:t>
      </w:r>
      <w:r>
        <w:rPr>
          <w:rFonts w:eastAsia="SimSun"/>
          <w:szCs w:val="22"/>
        </w:rPr>
        <w:t>tocilizumabom</w:t>
      </w:r>
      <w:r>
        <w:t>.</w:t>
      </w:r>
    </w:p>
    <w:p w14:paraId="45AA0719" w14:textId="77777777" w:rsidR="009700E5" w:rsidRDefault="009700E5">
      <w:pPr>
        <w:rPr>
          <w:rFonts w:eastAsia="SimSun"/>
        </w:rPr>
      </w:pPr>
    </w:p>
    <w:p w14:paraId="26DF36BB" w14:textId="77777777" w:rsidR="009700E5" w:rsidRDefault="002C033C">
      <w:pPr>
        <w:keepNext/>
        <w:keepLines/>
        <w:autoSpaceDE w:val="0"/>
        <w:autoSpaceDN w:val="0"/>
        <w:adjustRightInd w:val="0"/>
        <w:rPr>
          <w:i/>
          <w:szCs w:val="22"/>
          <w:u w:val="single"/>
        </w:rPr>
      </w:pPr>
      <w:r>
        <w:rPr>
          <w:i/>
          <w:szCs w:val="22"/>
          <w:u w:val="single"/>
        </w:rPr>
        <w:t>Hodnoty lipidových parametrov</w:t>
      </w:r>
    </w:p>
    <w:p w14:paraId="5C4365F2" w14:textId="77777777" w:rsidR="009700E5" w:rsidRDefault="002C033C">
      <w:pPr>
        <w:keepNext/>
        <w:keepLines/>
        <w:rPr>
          <w:rFonts w:eastAsia="SimSun"/>
          <w:szCs w:val="22"/>
          <w:lang w:eastAsia="zh-CN"/>
        </w:rPr>
      </w:pPr>
      <w:r>
        <w:rPr>
          <w:color w:val="263238"/>
          <w:szCs w:val="22"/>
        </w:rPr>
        <w:t>V 52</w:t>
      </w:r>
      <w:r>
        <w:rPr>
          <w:color w:val="263238"/>
          <w:szCs w:val="22"/>
        </w:rPr>
        <w:noBreakHyphen/>
      </w:r>
      <w:del w:id="1005" w:author="Author" w:date="2025-07-18T23:34:00Z">
        <w:r>
          <w:rPr>
            <w:color w:val="263238"/>
            <w:szCs w:val="22"/>
          </w:rPr>
          <w:delText xml:space="preserve">týždňovej </w:delText>
        </w:r>
      </w:del>
      <w:ins w:id="1006" w:author="Author" w:date="2025-07-18T23:34:00Z">
        <w:r>
          <w:rPr>
            <w:color w:val="263238"/>
            <w:szCs w:val="22"/>
          </w:rPr>
          <w:t xml:space="preserve">týždňovom </w:t>
        </w:r>
      </w:ins>
      <w:r>
        <w:rPr>
          <w:color w:val="263238"/>
          <w:szCs w:val="22"/>
        </w:rPr>
        <w:t>otvoren</w:t>
      </w:r>
      <w:ins w:id="1007" w:author="Author" w:date="2025-07-18T23:34:00Z">
        <w:r>
          <w:rPr>
            <w:color w:val="263238"/>
            <w:szCs w:val="22"/>
          </w:rPr>
          <w:t>om</w:t>
        </w:r>
      </w:ins>
      <w:del w:id="1008" w:author="Author" w:date="2025-07-18T23:34:00Z">
        <w:r>
          <w:rPr>
            <w:color w:val="263238"/>
            <w:szCs w:val="22"/>
          </w:rPr>
          <w:delText>ej</w:delText>
        </w:r>
      </w:del>
      <w:r>
        <w:rPr>
          <w:color w:val="263238"/>
          <w:szCs w:val="22"/>
        </w:rPr>
        <w:t xml:space="preserve"> </w:t>
      </w:r>
      <w:ins w:id="1009" w:author="Author" w:date="2025-07-21T10:02:00Z">
        <w:r>
          <w:rPr>
            <w:color w:val="263238"/>
            <w:szCs w:val="22"/>
          </w:rPr>
          <w:t xml:space="preserve">klinickom </w:t>
        </w:r>
      </w:ins>
      <w:ins w:id="1010" w:author="Author" w:date="2025-07-18T23:34:00Z">
        <w:r>
          <w:rPr>
            <w:color w:val="263238"/>
            <w:szCs w:val="22"/>
          </w:rPr>
          <w:t>skúšaní</w:t>
        </w:r>
      </w:ins>
      <w:del w:id="1011" w:author="Author" w:date="2025-07-18T23:34:00Z">
        <w:r>
          <w:rPr>
            <w:color w:val="263238"/>
            <w:szCs w:val="22"/>
          </w:rPr>
          <w:delText>štúdii</w:delText>
        </w:r>
      </w:del>
      <w:r>
        <w:rPr>
          <w:color w:val="263238"/>
          <w:szCs w:val="22"/>
        </w:rPr>
        <w:t xml:space="preserve"> so subkutánnou formou (WA28118) sa u 23,4 % pacientov zistil vzostup hodnoty LDL</w:t>
      </w:r>
      <w:r>
        <w:rPr>
          <w:color w:val="263238"/>
          <w:szCs w:val="22"/>
        </w:rPr>
        <w:noBreakHyphen/>
        <w:t>cholesterolu na ≥ 130 mg/dl a u 35,4 % pacientov vzostup hodnoty celkového cholesterolu na ≥ 200 mg/dl, a to pri ktorejkoľvek z kontrolných návštev (post</w:t>
      </w:r>
      <w:r>
        <w:rPr>
          <w:color w:val="263238"/>
          <w:szCs w:val="22"/>
        </w:rPr>
        <w:noBreakHyphen/>
        <w:t>baseline) vykonaných v priebehu skúšanej liečby. </w:t>
      </w:r>
    </w:p>
    <w:p w14:paraId="20AACFBB" w14:textId="77777777" w:rsidR="009700E5" w:rsidRDefault="009700E5">
      <w:pPr>
        <w:autoSpaceDE w:val="0"/>
        <w:autoSpaceDN w:val="0"/>
        <w:adjustRightInd w:val="0"/>
        <w:rPr>
          <w:rFonts w:eastAsia="SimSun"/>
          <w:szCs w:val="22"/>
          <w:u w:val="single"/>
          <w:lang w:eastAsia="zh-CN"/>
        </w:rPr>
      </w:pPr>
    </w:p>
    <w:p w14:paraId="53EFF21A" w14:textId="77777777" w:rsidR="009700E5" w:rsidRDefault="002C033C">
      <w:pPr>
        <w:autoSpaceDE w:val="0"/>
        <w:autoSpaceDN w:val="0"/>
        <w:adjustRightInd w:val="0"/>
        <w:rPr>
          <w:rFonts w:eastAsia="SimSun"/>
          <w:bCs/>
          <w:i/>
          <w:iCs/>
          <w:szCs w:val="22"/>
          <w:lang w:eastAsia="zh-CN"/>
        </w:rPr>
      </w:pPr>
      <w:r>
        <w:rPr>
          <w:rFonts w:eastAsia="SimSun"/>
          <w:bCs/>
          <w:i/>
          <w:iCs/>
          <w:szCs w:val="22"/>
          <w:lang w:eastAsia="zh-CN"/>
        </w:rPr>
        <w:t>Pacienti s pJIA</w:t>
      </w:r>
    </w:p>
    <w:p w14:paraId="3727BFFD" w14:textId="77777777" w:rsidR="009700E5" w:rsidRDefault="002C033C">
      <w:r>
        <w:t xml:space="preserve">Bezpečnostný profil subkutánnej formy </w:t>
      </w:r>
      <w:r>
        <w:rPr>
          <w:rFonts w:eastAsia="SimSun"/>
          <w:szCs w:val="22"/>
        </w:rPr>
        <w:t>tocilizumabu</w:t>
      </w:r>
      <w:r>
        <w:t xml:space="preserve"> sa hodnotil aj u 52 pediatrických pacientov s pJIA. Celková expozícia </w:t>
      </w:r>
      <w:r>
        <w:rPr>
          <w:rFonts w:eastAsia="SimSun"/>
          <w:szCs w:val="22"/>
        </w:rPr>
        <w:t>tocilizumabu</w:t>
      </w:r>
      <w:r>
        <w:t xml:space="preserve"> u všetkých pacientov s pJIA vystavených tocilizumabu bola 184,4 pacientoroka v prípade intravenóznej formy tocilizumabu a 50,4 pacientoroka v prípade subkutánnej formy tocilizumabu. Bezpečnostný profil pozorovaný u pacientov s pJIA sa vo všeobecnosti zhodoval so známym bezpečnostným profilom tocilizumabu s výnimkou reakcií v mieste podania injekcie (injection site reactions, ISR) (pozri tabuľku 1). U pacientov s pJIA bol výskyt ISR po subkutánne podávaných injekciách vyšší v porovnaní s dospelými s RA.</w:t>
      </w:r>
    </w:p>
    <w:p w14:paraId="0AFD2002" w14:textId="77777777" w:rsidR="009700E5" w:rsidRDefault="009700E5"/>
    <w:p w14:paraId="2BC1B110" w14:textId="77777777" w:rsidR="009700E5" w:rsidRDefault="002C033C">
      <w:pPr>
        <w:rPr>
          <w:i/>
          <w:u w:val="single"/>
        </w:rPr>
      </w:pPr>
      <w:r>
        <w:rPr>
          <w:i/>
          <w:u w:val="single"/>
        </w:rPr>
        <w:t>Infekcie</w:t>
      </w:r>
      <w:ins w:id="1012" w:author="Author" w:date="2025-07-19T22:40:00Z">
        <w:del w:id="1013" w:author="Author" w:date="2025-07-21T10:03:00Z">
          <w:r>
            <w:rPr>
              <w:rFonts w:eastAsia="SimSun"/>
              <w:bCs/>
              <w:i/>
              <w:iCs/>
              <w:szCs w:val="22"/>
              <w:lang w:eastAsia="zh-CN"/>
            </w:rPr>
            <w:delText xml:space="preserve"> </w:delText>
          </w:r>
        </w:del>
      </w:ins>
    </w:p>
    <w:p w14:paraId="40B27F77" w14:textId="77777777" w:rsidR="009700E5" w:rsidRDefault="002C033C">
      <w:r>
        <w:t>V</w:t>
      </w:r>
      <w:del w:id="1014" w:author="Author" w:date="2025-07-21T10:03:00Z">
        <w:r>
          <w:delText> </w:delText>
        </w:r>
      </w:del>
      <w:ins w:id="1015" w:author="Author" w:date="2025-07-21T10:03:00Z">
        <w:r>
          <w:t xml:space="preserve"> klinickom </w:t>
        </w:r>
      </w:ins>
      <w:ins w:id="1016" w:author="Author" w:date="2025-07-18T23:34:00Z">
        <w:r>
          <w:t>skúšaní</w:t>
        </w:r>
      </w:ins>
      <w:del w:id="1017" w:author="Author" w:date="2025-07-18T23:34:00Z">
        <w:r>
          <w:delText>štúdii</w:delText>
        </w:r>
      </w:del>
      <w:r>
        <w:t xml:space="preserve"> so subkutánnou formou tocilizumabu bol výskyt infekcií u pacientov s pJIA liečených subkutánnou formou</w:t>
      </w:r>
      <w:ins w:id="1018" w:author="Author" w:date="2025-07-18T23:35:00Z">
        <w:r>
          <w:t xml:space="preserve"> t</w:t>
        </w:r>
        <w:r>
          <w:rPr>
            <w:szCs w:val="22"/>
          </w:rPr>
          <w:t>ocilizumabu</w:t>
        </w:r>
      </w:ins>
      <w:r>
        <w:t xml:space="preserve"> porovnateľný s výskytom infekcií zisteným u pacientov s pJIA liečených intravenóznou formou</w:t>
      </w:r>
      <w:ins w:id="1019" w:author="Author" w:date="2025-07-18T23:35:00Z">
        <w:r>
          <w:t xml:space="preserve"> t</w:t>
        </w:r>
        <w:r>
          <w:rPr>
            <w:szCs w:val="22"/>
          </w:rPr>
          <w:t>ocilizumabu</w:t>
        </w:r>
      </w:ins>
      <w:r>
        <w:t>.</w:t>
      </w:r>
    </w:p>
    <w:p w14:paraId="1AD0CB1B" w14:textId="77777777" w:rsidR="009700E5" w:rsidRDefault="009700E5"/>
    <w:p w14:paraId="570C7A3D" w14:textId="77777777" w:rsidR="009700E5" w:rsidRDefault="002C033C">
      <w:pPr>
        <w:keepNext/>
        <w:keepLines/>
        <w:rPr>
          <w:i/>
          <w:u w:val="single"/>
        </w:rPr>
      </w:pPr>
      <w:r>
        <w:rPr>
          <w:i/>
          <w:u w:val="single"/>
        </w:rPr>
        <w:t>Reakcie v mieste podania injekcie</w:t>
      </w:r>
    </w:p>
    <w:p w14:paraId="14BA4F2E" w14:textId="77777777" w:rsidR="009700E5" w:rsidRDefault="002C033C">
      <w:r>
        <w:rPr>
          <w:rFonts w:eastAsia="MS Mincho"/>
          <w:lang w:eastAsia="zh-CN"/>
        </w:rPr>
        <w:t xml:space="preserve">Celkovo 28,8 % (15/52) pacientov s pJIA malo ISR po subkutánne podávanom </w:t>
      </w:r>
      <w:r>
        <w:t>tocilizumabe</w:t>
      </w:r>
      <w:r>
        <w:rPr>
          <w:rFonts w:eastAsia="MS Mincho"/>
          <w:lang w:eastAsia="zh-CN"/>
        </w:rPr>
        <w:t xml:space="preserve">. </w:t>
      </w:r>
      <w:r>
        <w:t>Tieto ISR sa vyskytli u 44 % pacientov s telesnou hmotnosťou ≥ 30 kg v porovnaní so 14,8 % pacientov s telesnou hmotnosťou nižšou ako 30 kg. Najčastejšími ISR boli erytém, opuch, hematóm, bolesť a pruritus v mieste podania injekcie. Všetky hlásené ISR boli nezávažnými udalosťami 1. stupňa a žiadna ISR nevyžadovala predčasné ukončenie liečby pacienta alebo prerušenie podávania dávok.</w:t>
      </w:r>
    </w:p>
    <w:p w14:paraId="4A7C4318" w14:textId="77777777" w:rsidR="009700E5" w:rsidRDefault="009700E5">
      <w:pPr>
        <w:rPr>
          <w:rFonts w:eastAsia="MS Mincho"/>
          <w:lang w:eastAsia="zh-CN"/>
        </w:rPr>
      </w:pPr>
    </w:p>
    <w:p w14:paraId="1C26D014" w14:textId="77777777" w:rsidR="009700E5" w:rsidRDefault="002C033C">
      <w:pPr>
        <w:rPr>
          <w:rFonts w:eastAsia="MS Mincho"/>
          <w:i/>
          <w:u w:val="single"/>
          <w:lang w:eastAsia="zh-CN"/>
        </w:rPr>
      </w:pPr>
      <w:r>
        <w:rPr>
          <w:rFonts w:eastAsia="MS Mincho"/>
          <w:i/>
          <w:u w:val="single"/>
          <w:lang w:eastAsia="zh-CN"/>
        </w:rPr>
        <w:t>Imunogenicita</w:t>
      </w:r>
    </w:p>
    <w:p w14:paraId="1809595F" w14:textId="77777777" w:rsidR="009700E5" w:rsidRDefault="002C033C">
      <w:pPr>
        <w:rPr>
          <w:rFonts w:eastAsia="MS Mincho"/>
          <w:lang w:eastAsia="zh-CN"/>
        </w:rPr>
      </w:pPr>
      <w:r>
        <w:t>V</w:t>
      </w:r>
      <w:del w:id="1020" w:author="Author" w:date="2025-07-19T22:42:00Z">
        <w:r>
          <w:delText> </w:delText>
        </w:r>
      </w:del>
      <w:ins w:id="1021" w:author="Author" w:date="2025-07-19T22:42:00Z">
        <w:r>
          <w:t> </w:t>
        </w:r>
      </w:ins>
      <w:del w:id="1022" w:author="Author" w:date="2025-07-19T22:42:00Z">
        <w:r>
          <w:delText xml:space="preserve">štúdii </w:delText>
        </w:r>
      </w:del>
      <w:ins w:id="1023" w:author="Author" w:date="2025-07-21T10:03:00Z">
        <w:r>
          <w:t xml:space="preserve">klinickom </w:t>
        </w:r>
      </w:ins>
      <w:ins w:id="1024" w:author="Author" w:date="2025-07-19T22:42:00Z">
        <w:r>
          <w:t xml:space="preserve">skúšaní </w:t>
        </w:r>
      </w:ins>
      <w:r>
        <w:t>so subkutánnou formou sa u 5,8 % [3/52] pacientov zistila pozitivita neutralizujúcich protilátok proti tocilizumabu bez toho, že by u nich vznikla závažná alebo klinicky významná reakcia z precitlivenosti. Jeden z týchto 3 pacientov bol následne vyradený z</w:t>
      </w:r>
      <w:ins w:id="1025" w:author="Author" w:date="2025-07-21T10:03:00Z">
        <w:r>
          <w:t xml:space="preserve"> klinického </w:t>
        </w:r>
      </w:ins>
      <w:del w:id="1026" w:author="Author" w:date="2025-07-21T10:03:00Z">
        <w:r>
          <w:delText xml:space="preserve">o </w:delText>
        </w:r>
      </w:del>
      <w:del w:id="1027" w:author="Author" w:date="2025-07-19T22:42:00Z">
        <w:r>
          <w:delText>štúdie</w:delText>
        </w:r>
      </w:del>
      <w:ins w:id="1028" w:author="Author" w:date="2025-07-19T22:42:00Z">
        <w:r>
          <w:t>skúšania</w:t>
        </w:r>
      </w:ins>
      <w:r>
        <w:t>. Nepozorovala sa žiadna korelácia medzi tvorbou protilátok a klinickou odpoveďou alebo nežiaducimi udalosťami</w:t>
      </w:r>
      <w:r>
        <w:rPr>
          <w:rFonts w:eastAsia="MS Mincho"/>
          <w:lang w:eastAsia="zh-CN"/>
        </w:rPr>
        <w:t>.</w:t>
      </w:r>
    </w:p>
    <w:p w14:paraId="39B65DA4" w14:textId="77777777" w:rsidR="009700E5" w:rsidRDefault="009700E5">
      <w:pPr>
        <w:rPr>
          <w:rFonts w:eastAsia="MS Mincho"/>
          <w:lang w:eastAsia="zh-CN"/>
        </w:rPr>
      </w:pPr>
    </w:p>
    <w:p w14:paraId="24332509" w14:textId="77777777" w:rsidR="009700E5" w:rsidRDefault="002C033C">
      <w:pPr>
        <w:rPr>
          <w:i/>
          <w:szCs w:val="22"/>
          <w:u w:val="single"/>
        </w:rPr>
      </w:pPr>
      <w:r>
        <w:rPr>
          <w:i/>
          <w:szCs w:val="22"/>
          <w:u w:val="single"/>
        </w:rPr>
        <w:t>Laboratórne odchýlky</w:t>
      </w:r>
    </w:p>
    <w:p w14:paraId="5920968C" w14:textId="77777777" w:rsidR="009700E5" w:rsidRDefault="002C033C">
      <w:pPr>
        <w:rPr>
          <w:rFonts w:eastAsia="SimSun"/>
        </w:rPr>
      </w:pPr>
      <w:r>
        <w:rPr>
          <w:rFonts w:eastAsia="SimSun"/>
          <w:lang w:eastAsia="zh-CN"/>
        </w:rPr>
        <w:t xml:space="preserve">Počas rutinného laboratórneho sledovania v populácii všetkých pacientov vystavených </w:t>
      </w:r>
      <w:r>
        <w:t>tocilizumabu</w:t>
      </w:r>
      <w:r>
        <w:rPr>
          <w:rFonts w:eastAsia="SimSun"/>
          <w:lang w:eastAsia="zh-CN"/>
        </w:rPr>
        <w:t xml:space="preserve"> došlo k poklesu počtu neutrofilov pod 1 </w:t>
      </w:r>
      <w:r>
        <w:rPr>
          <w:rFonts w:eastAsia="SimSun"/>
          <w:color w:val="000000"/>
          <w:lang w:eastAsia="zh-CN"/>
        </w:rPr>
        <w:t>× 10</w:t>
      </w:r>
      <w:r>
        <w:rPr>
          <w:rFonts w:eastAsia="SimSun"/>
          <w:color w:val="000000"/>
          <w:vertAlign w:val="superscript"/>
          <w:lang w:eastAsia="zh-CN"/>
        </w:rPr>
        <w:t>9</w:t>
      </w:r>
      <w:r>
        <w:rPr>
          <w:rFonts w:eastAsia="SimSun"/>
          <w:color w:val="000000"/>
          <w:lang w:eastAsia="zh-CN"/>
        </w:rPr>
        <w:t>/l</w:t>
      </w:r>
      <w:r>
        <w:rPr>
          <w:rFonts w:eastAsia="SimSun"/>
          <w:lang w:eastAsia="zh-CN"/>
        </w:rPr>
        <w:t xml:space="preserve"> u 15,4 % pacientov liečených subkutánne podávaným </w:t>
      </w:r>
      <w:r>
        <w:t>tocilizumabom</w:t>
      </w:r>
      <w:r>
        <w:rPr>
          <w:rFonts w:eastAsia="SimSun"/>
          <w:lang w:eastAsia="zh-CN"/>
        </w:rPr>
        <w:t>.</w:t>
      </w:r>
      <w:r>
        <w:rPr>
          <w:rFonts w:eastAsia="SimSun"/>
        </w:rPr>
        <w:t xml:space="preserve"> K vzostupu hodnôt </w:t>
      </w:r>
      <w:r>
        <w:t>ALT alebo AST na ≥ 3</w:t>
      </w:r>
      <w:r>
        <w:noBreakHyphen/>
        <w:t xml:space="preserve">násobok ULN došlo, v uvedenom poradí, u 9,6% a 3,8 % pacientov liečených subkutánne podávaným tocilizumabom. U žiadneho pacienta liečeného subkutánne podávaným tocilizumabom nedošlo k poklesu počtu trombocytov na </w:t>
      </w:r>
      <w:r>
        <w:rPr>
          <w:rFonts w:eastAsia="SimSun"/>
        </w:rPr>
        <w:sym w:font="Symbol" w:char="F0A3"/>
      </w:r>
      <w:r>
        <w:rPr>
          <w:rFonts w:eastAsia="SimSun"/>
        </w:rPr>
        <w:t> 50 × 10</w:t>
      </w:r>
      <w:r>
        <w:rPr>
          <w:rFonts w:eastAsia="SimSun"/>
          <w:vertAlign w:val="superscript"/>
        </w:rPr>
        <w:t>3</w:t>
      </w:r>
      <w:r>
        <w:rPr>
          <w:rFonts w:eastAsia="SimSun"/>
        </w:rPr>
        <w:t>/</w:t>
      </w:r>
      <w:r>
        <w:rPr>
          <w:rFonts w:eastAsia="SimSun"/>
          <w:szCs w:val="22"/>
        </w:rPr>
        <w:t>μl</w:t>
      </w:r>
      <w:r>
        <w:rPr>
          <w:rFonts w:eastAsia="SimSun"/>
        </w:rPr>
        <w:t>.</w:t>
      </w:r>
    </w:p>
    <w:p w14:paraId="523C4F40" w14:textId="77777777" w:rsidR="009700E5" w:rsidRDefault="009700E5">
      <w:pPr>
        <w:rPr>
          <w:rFonts w:eastAsia="SimSun"/>
        </w:rPr>
      </w:pPr>
    </w:p>
    <w:p w14:paraId="6EB934A5" w14:textId="77777777" w:rsidR="009700E5" w:rsidRDefault="002C033C">
      <w:pPr>
        <w:keepNext/>
        <w:keepLines/>
        <w:autoSpaceDE w:val="0"/>
        <w:autoSpaceDN w:val="0"/>
        <w:adjustRightInd w:val="0"/>
        <w:rPr>
          <w:i/>
          <w:szCs w:val="22"/>
          <w:u w:val="single"/>
        </w:rPr>
      </w:pPr>
      <w:r>
        <w:rPr>
          <w:i/>
          <w:szCs w:val="22"/>
          <w:u w:val="single"/>
        </w:rPr>
        <w:t>Hodnoty lipidových parametrov</w:t>
      </w:r>
    </w:p>
    <w:p w14:paraId="52259B72" w14:textId="77777777" w:rsidR="009700E5" w:rsidRDefault="002C033C">
      <w:pPr>
        <w:keepNext/>
        <w:keepLines/>
        <w:rPr>
          <w:rFonts w:eastAsia="SimSun"/>
          <w:szCs w:val="22"/>
          <w:lang w:eastAsia="zh-CN"/>
        </w:rPr>
      </w:pPr>
      <w:r>
        <w:t>V</w:t>
      </w:r>
      <w:del w:id="1029" w:author="Author" w:date="2025-07-19T22:43:00Z">
        <w:r>
          <w:delText> </w:delText>
        </w:r>
      </w:del>
      <w:ins w:id="1030" w:author="Author" w:date="2025-07-19T22:43:00Z">
        <w:r>
          <w:t> </w:t>
        </w:r>
      </w:ins>
      <w:del w:id="1031" w:author="Author" w:date="2025-07-19T22:43:00Z">
        <w:r>
          <w:delText xml:space="preserve">štúdii </w:delText>
        </w:r>
      </w:del>
      <w:ins w:id="1032" w:author="Author" w:date="2025-07-21T10:04:00Z">
        <w:r>
          <w:t xml:space="preserve">klinickom </w:t>
        </w:r>
      </w:ins>
      <w:ins w:id="1033" w:author="Author" w:date="2025-07-19T22:43:00Z">
        <w:r>
          <w:t xml:space="preserve">skúšaní </w:t>
        </w:r>
      </w:ins>
      <w:r>
        <w:t>so subkutánnou formou sa vzostup hodnoty LDL</w:t>
      </w:r>
      <w:r>
        <w:noBreakHyphen/>
        <w:t>cholesterolu na ≥ 130 mg/dl zistil u 14,3 % pacientov a vzostup hodnoty celkového cholesterolu na ≥ 200 mg/dl u 12,8 % pacientov, a to na ktorejkoľvek z kontrolných návštev (post</w:t>
      </w:r>
      <w:r>
        <w:noBreakHyphen/>
        <w:t>baseline) vykonaných v priebehu skúšanej liečby.</w:t>
      </w:r>
    </w:p>
    <w:p w14:paraId="07C947D9" w14:textId="77777777" w:rsidR="009700E5" w:rsidRDefault="009700E5">
      <w:pPr>
        <w:autoSpaceDE w:val="0"/>
        <w:autoSpaceDN w:val="0"/>
        <w:adjustRightInd w:val="0"/>
        <w:rPr>
          <w:rFonts w:eastAsia="SimSun"/>
          <w:szCs w:val="22"/>
          <w:lang w:eastAsia="zh-CN"/>
        </w:rPr>
      </w:pPr>
    </w:p>
    <w:p w14:paraId="4FD604BB" w14:textId="77777777" w:rsidR="009700E5" w:rsidRDefault="002C033C">
      <w:pPr>
        <w:autoSpaceDE w:val="0"/>
        <w:autoSpaceDN w:val="0"/>
        <w:adjustRightInd w:val="0"/>
        <w:rPr>
          <w:rFonts w:eastAsia="SimSun"/>
          <w:bCs/>
          <w:i/>
          <w:iCs/>
          <w:szCs w:val="22"/>
          <w:lang w:eastAsia="zh-CN"/>
        </w:rPr>
      </w:pPr>
      <w:r>
        <w:rPr>
          <w:rFonts w:eastAsia="SimSun"/>
          <w:bCs/>
          <w:i/>
          <w:iCs/>
          <w:szCs w:val="22"/>
          <w:lang w:eastAsia="zh-CN"/>
        </w:rPr>
        <w:t>Pacienti s OBA</w:t>
      </w:r>
    </w:p>
    <w:p w14:paraId="60805CEA" w14:textId="77777777" w:rsidR="009700E5" w:rsidRDefault="002C033C">
      <w:pPr>
        <w:autoSpaceDE w:val="0"/>
        <w:autoSpaceDN w:val="0"/>
        <w:adjustRightInd w:val="0"/>
        <w:rPr>
          <w:rFonts w:eastAsia="SimSun"/>
          <w:szCs w:val="22"/>
          <w:lang w:eastAsia="zh-CN"/>
        </w:rPr>
      </w:pPr>
      <w:r>
        <w:rPr>
          <w:rFonts w:eastAsia="SimSun"/>
          <w:szCs w:val="22"/>
          <w:lang w:eastAsia="zh-CN"/>
        </w:rPr>
        <w:t xml:space="preserve">Bezpečnosť subkutánne podávaného </w:t>
      </w:r>
      <w:r>
        <w:t>tocilizumabu</w:t>
      </w:r>
      <w:r>
        <w:rPr>
          <w:rFonts w:eastAsia="SimSun"/>
          <w:szCs w:val="22"/>
          <w:lang w:eastAsia="zh-CN"/>
        </w:rPr>
        <w:t xml:space="preserve"> sa skúmala vo fáze III jedn</w:t>
      </w:r>
      <w:ins w:id="1034" w:author="Author" w:date="2025-07-19T22:43:00Z">
        <w:r>
          <w:rPr>
            <w:rFonts w:eastAsia="SimSun"/>
            <w:szCs w:val="22"/>
            <w:lang w:eastAsia="zh-CN"/>
          </w:rPr>
          <w:t xml:space="preserve">ého </w:t>
        </w:r>
      </w:ins>
      <w:ins w:id="1035" w:author="Author" w:date="2025-07-21T10:04:00Z">
        <w:r>
          <w:t>klinického</w:t>
        </w:r>
        <w:r>
          <w:rPr>
            <w:rFonts w:eastAsia="SimSun"/>
            <w:szCs w:val="22"/>
            <w:lang w:eastAsia="zh-CN"/>
          </w:rPr>
          <w:t xml:space="preserve"> </w:t>
        </w:r>
      </w:ins>
      <w:ins w:id="1036" w:author="Author" w:date="2025-07-19T22:43:00Z">
        <w:r>
          <w:rPr>
            <w:rFonts w:eastAsia="SimSun"/>
            <w:szCs w:val="22"/>
            <w:lang w:eastAsia="zh-CN"/>
          </w:rPr>
          <w:t xml:space="preserve">skúšania </w:t>
        </w:r>
      </w:ins>
      <w:del w:id="1037" w:author="Author" w:date="2025-07-19T22:43:00Z">
        <w:r>
          <w:rPr>
            <w:rFonts w:eastAsia="SimSun"/>
            <w:szCs w:val="22"/>
            <w:lang w:eastAsia="zh-CN"/>
          </w:rPr>
          <w:delText xml:space="preserve">ej štúdie </w:delText>
        </w:r>
      </w:del>
      <w:r>
        <w:rPr>
          <w:rFonts w:eastAsia="SimSun"/>
          <w:szCs w:val="22"/>
          <w:lang w:eastAsia="zh-CN"/>
        </w:rPr>
        <w:t>(WA28119), ktor</w:t>
      </w:r>
      <w:ins w:id="1038" w:author="Author" w:date="2025-07-19T22:43:00Z">
        <w:r>
          <w:rPr>
            <w:rFonts w:eastAsia="SimSun"/>
            <w:szCs w:val="22"/>
            <w:lang w:eastAsia="zh-CN"/>
          </w:rPr>
          <w:t>ého</w:t>
        </w:r>
      </w:ins>
      <w:del w:id="1039" w:author="Author" w:date="2025-07-19T22:43:00Z">
        <w:r>
          <w:rPr>
            <w:rFonts w:eastAsia="SimSun"/>
            <w:szCs w:val="22"/>
            <w:lang w:eastAsia="zh-CN"/>
          </w:rPr>
          <w:delText>ej</w:delText>
        </w:r>
      </w:del>
      <w:r>
        <w:rPr>
          <w:rFonts w:eastAsia="SimSun"/>
          <w:szCs w:val="22"/>
          <w:lang w:eastAsia="zh-CN"/>
        </w:rPr>
        <w:t xml:space="preserve"> sa zúčastnilo 251 pacientov s OBA. Počas 12</w:t>
      </w:r>
      <w:r>
        <w:rPr>
          <w:rFonts w:eastAsia="SimSun"/>
          <w:szCs w:val="22"/>
          <w:lang w:eastAsia="zh-CN"/>
        </w:rPr>
        <w:noBreakHyphen/>
        <w:t xml:space="preserve">mesačnej, dvojito zaslepenej, placebom kontrolovanej fázy </w:t>
      </w:r>
      <w:del w:id="1040" w:author="Author" w:date="2025-07-19T22:43:00Z">
        <w:r>
          <w:rPr>
            <w:rFonts w:eastAsia="SimSun"/>
            <w:szCs w:val="22"/>
            <w:lang w:eastAsia="zh-CN"/>
          </w:rPr>
          <w:delText>tejto štúdie</w:delText>
        </w:r>
      </w:del>
      <w:ins w:id="1041" w:author="Author" w:date="2025-07-19T22:43:00Z">
        <w:r>
          <w:rPr>
            <w:rFonts w:eastAsia="SimSun"/>
            <w:szCs w:val="22"/>
            <w:lang w:eastAsia="zh-CN"/>
          </w:rPr>
          <w:t xml:space="preserve">tohto </w:t>
        </w:r>
      </w:ins>
      <w:ins w:id="1042" w:author="Author" w:date="2025-07-21T10:04:00Z">
        <w:r>
          <w:t>klinického</w:t>
        </w:r>
        <w:r>
          <w:rPr>
            <w:rFonts w:eastAsia="SimSun"/>
            <w:szCs w:val="22"/>
            <w:lang w:eastAsia="zh-CN"/>
          </w:rPr>
          <w:t xml:space="preserve"> </w:t>
        </w:r>
      </w:ins>
      <w:ins w:id="1043" w:author="Author" w:date="2025-07-19T22:43:00Z">
        <w:r>
          <w:rPr>
            <w:rFonts w:eastAsia="SimSun"/>
            <w:szCs w:val="22"/>
            <w:lang w:eastAsia="zh-CN"/>
          </w:rPr>
          <w:t>skúšania</w:t>
        </w:r>
      </w:ins>
      <w:r>
        <w:rPr>
          <w:rFonts w:eastAsia="SimSun"/>
          <w:szCs w:val="22"/>
          <w:lang w:eastAsia="zh-CN"/>
        </w:rPr>
        <w:t xml:space="preserve"> bolo celkové trvanie v pacientorokoch pri </w:t>
      </w:r>
      <w:r>
        <w:t>tocilizumabe</w:t>
      </w:r>
      <w:r>
        <w:rPr>
          <w:rFonts w:eastAsia="SimSun"/>
          <w:szCs w:val="22"/>
          <w:lang w:eastAsia="zh-CN"/>
        </w:rPr>
        <w:t xml:space="preserve"> u populácie s celkovou expozíciou 138,5 pacientoroka. Celkový </w:t>
      </w:r>
      <w:r>
        <w:rPr>
          <w:rFonts w:eastAsia="SimSun"/>
          <w:szCs w:val="22"/>
          <w:lang w:eastAsia="zh-CN"/>
        </w:rPr>
        <w:lastRenderedPageBreak/>
        <w:t xml:space="preserve">bezpečnostný profil pozorovaný v liečebných skupinách bol zhodný so známym bezpečnostným profilom </w:t>
      </w:r>
      <w:r>
        <w:t>tocilizumabu</w:t>
      </w:r>
      <w:r>
        <w:rPr>
          <w:rFonts w:eastAsia="SimSun"/>
          <w:szCs w:val="22"/>
          <w:lang w:eastAsia="zh-CN"/>
        </w:rPr>
        <w:t xml:space="preserve"> (pozri tabuľku 1).</w:t>
      </w:r>
    </w:p>
    <w:p w14:paraId="377954D3" w14:textId="77777777" w:rsidR="009700E5" w:rsidRDefault="009700E5">
      <w:pPr>
        <w:autoSpaceDE w:val="0"/>
        <w:autoSpaceDN w:val="0"/>
        <w:adjustRightInd w:val="0"/>
        <w:rPr>
          <w:rFonts w:eastAsia="SimSun"/>
          <w:szCs w:val="22"/>
          <w:lang w:eastAsia="zh-CN"/>
        </w:rPr>
      </w:pPr>
    </w:p>
    <w:p w14:paraId="44B7F7FF" w14:textId="77777777" w:rsidR="009700E5" w:rsidRDefault="002C033C">
      <w:pPr>
        <w:keepNext/>
        <w:keepLines/>
        <w:autoSpaceDE w:val="0"/>
        <w:autoSpaceDN w:val="0"/>
        <w:adjustRightInd w:val="0"/>
        <w:rPr>
          <w:rFonts w:eastAsia="SimSun"/>
          <w:i/>
          <w:szCs w:val="22"/>
          <w:u w:val="single"/>
          <w:lang w:eastAsia="zh-CN"/>
        </w:rPr>
      </w:pPr>
      <w:r>
        <w:rPr>
          <w:rFonts w:eastAsia="SimSun"/>
          <w:i/>
          <w:szCs w:val="22"/>
          <w:u w:val="single"/>
          <w:lang w:eastAsia="zh-CN"/>
        </w:rPr>
        <w:t>Infekcie</w:t>
      </w:r>
    </w:p>
    <w:p w14:paraId="60B1C734" w14:textId="77777777" w:rsidR="009700E5" w:rsidRDefault="002C033C">
      <w:pPr>
        <w:keepNext/>
        <w:keepLines/>
        <w:autoSpaceDE w:val="0"/>
        <w:autoSpaceDN w:val="0"/>
        <w:adjustRightInd w:val="0"/>
        <w:rPr>
          <w:rFonts w:eastAsia="SimSun"/>
          <w:szCs w:val="22"/>
          <w:lang w:eastAsia="zh-CN"/>
        </w:rPr>
      </w:pPr>
      <w:r>
        <w:rPr>
          <w:rFonts w:eastAsia="SimSun"/>
          <w:szCs w:val="22"/>
          <w:lang w:eastAsia="zh-CN"/>
        </w:rPr>
        <w:t>Miera výskytu udalostí infekcií/závažných infekcií bola vyrovnaná medzi skupinou s </w:t>
      </w:r>
      <w:r>
        <w:t>tocilizumabom</w:t>
      </w:r>
      <w:r>
        <w:rPr>
          <w:rFonts w:eastAsia="SimSun"/>
          <w:szCs w:val="22"/>
          <w:lang w:eastAsia="zh-CN"/>
        </w:rPr>
        <w:t xml:space="preserve"> podávaným raz za týždeň (200,2/9,7 udalosti na 100 pacientorokov) a skupinou s placebom v kombinácii s postupným znižovaním dávky prednizónu počas 26 týždňov (156,0/4,2 udalosti na 100 pacientorokov) a skupinou s placebom v kombinácii s postupným znižovaním dávky počas 52 týždňov (210,2/12,5 udalosti na 100 pacientorokov).</w:t>
      </w:r>
    </w:p>
    <w:p w14:paraId="1F34005E" w14:textId="77777777" w:rsidR="009700E5" w:rsidRDefault="009700E5">
      <w:pPr>
        <w:autoSpaceDE w:val="0"/>
        <w:autoSpaceDN w:val="0"/>
        <w:adjustRightInd w:val="0"/>
        <w:rPr>
          <w:rFonts w:eastAsia="SimSun"/>
          <w:szCs w:val="22"/>
          <w:lang w:eastAsia="zh-CN"/>
        </w:rPr>
      </w:pPr>
    </w:p>
    <w:p w14:paraId="28FECDE6" w14:textId="77777777" w:rsidR="009700E5" w:rsidRDefault="002C033C">
      <w:pPr>
        <w:autoSpaceDE w:val="0"/>
        <w:autoSpaceDN w:val="0"/>
        <w:adjustRightInd w:val="0"/>
        <w:rPr>
          <w:rFonts w:eastAsia="SimSun"/>
          <w:i/>
          <w:szCs w:val="22"/>
          <w:u w:val="single"/>
          <w:lang w:eastAsia="zh-CN"/>
        </w:rPr>
      </w:pPr>
      <w:r>
        <w:rPr>
          <w:rFonts w:eastAsia="SimSun"/>
          <w:i/>
          <w:szCs w:val="22"/>
          <w:u w:val="single"/>
          <w:lang w:eastAsia="zh-CN"/>
        </w:rPr>
        <w:t>Reakcie v mieste podania injekcie</w:t>
      </w:r>
    </w:p>
    <w:p w14:paraId="522DA96D" w14:textId="77777777" w:rsidR="009700E5" w:rsidRDefault="002C033C">
      <w:pPr>
        <w:autoSpaceDE w:val="0"/>
        <w:autoSpaceDN w:val="0"/>
        <w:adjustRightInd w:val="0"/>
        <w:rPr>
          <w:rFonts w:eastAsia="SimSun"/>
          <w:szCs w:val="22"/>
          <w:lang w:eastAsia="zh-CN"/>
        </w:rPr>
      </w:pPr>
      <w:r>
        <w:rPr>
          <w:rFonts w:eastAsia="SimSun"/>
          <w:szCs w:val="22"/>
          <w:lang w:eastAsia="zh-CN"/>
        </w:rPr>
        <w:t xml:space="preserve">V skupine, v ktorej sa </w:t>
      </w:r>
      <w:r>
        <w:t>tocilizumab</w:t>
      </w:r>
      <w:r>
        <w:rPr>
          <w:rFonts w:eastAsia="SimSun"/>
          <w:szCs w:val="22"/>
          <w:lang w:eastAsia="zh-CN"/>
        </w:rPr>
        <w:t xml:space="preserve"> podával subkutánne raz za týždeň, celkovo 6 % (6/100) pacientov hlásilo nežiaduce reakcie v mieste podania subkutánnej injekcie. Žiadna reakcia v mieste podania injekcie nebola hlásená ako závažná nežiaduca udalosť, alebo žiadna nevyžadovala ukončenie liečby.</w:t>
      </w:r>
    </w:p>
    <w:p w14:paraId="3CC98F44" w14:textId="77777777" w:rsidR="009700E5" w:rsidRDefault="009700E5">
      <w:pPr>
        <w:autoSpaceDE w:val="0"/>
        <w:autoSpaceDN w:val="0"/>
        <w:adjustRightInd w:val="0"/>
        <w:rPr>
          <w:rFonts w:eastAsia="SimSun"/>
          <w:szCs w:val="22"/>
          <w:lang w:eastAsia="zh-CN"/>
        </w:rPr>
      </w:pPr>
    </w:p>
    <w:p w14:paraId="1B8A0749" w14:textId="77777777" w:rsidR="009700E5" w:rsidRDefault="002C033C">
      <w:pPr>
        <w:keepNext/>
        <w:keepLines/>
        <w:autoSpaceDE w:val="0"/>
        <w:autoSpaceDN w:val="0"/>
        <w:adjustRightInd w:val="0"/>
        <w:rPr>
          <w:rFonts w:eastAsia="SimSun"/>
          <w:i/>
          <w:szCs w:val="22"/>
          <w:u w:val="single"/>
          <w:lang w:eastAsia="zh-CN"/>
        </w:rPr>
      </w:pPr>
      <w:r>
        <w:rPr>
          <w:rFonts w:eastAsia="SimSun"/>
          <w:i/>
          <w:szCs w:val="22"/>
          <w:u w:val="single"/>
          <w:lang w:eastAsia="zh-CN"/>
        </w:rPr>
        <w:t>Imunogenicita</w:t>
      </w:r>
    </w:p>
    <w:p w14:paraId="19463E5C" w14:textId="77777777" w:rsidR="009700E5" w:rsidRDefault="002C033C">
      <w:pPr>
        <w:keepNext/>
        <w:keepLines/>
        <w:autoSpaceDE w:val="0"/>
        <w:autoSpaceDN w:val="0"/>
        <w:adjustRightInd w:val="0"/>
        <w:rPr>
          <w:rFonts w:eastAsia="SimSun"/>
          <w:szCs w:val="22"/>
          <w:lang w:eastAsia="zh-CN"/>
        </w:rPr>
      </w:pPr>
      <w:r>
        <w:rPr>
          <w:rFonts w:eastAsia="SimSun"/>
          <w:szCs w:val="22"/>
          <w:lang w:eastAsia="zh-CN"/>
        </w:rPr>
        <w:t>V skupine s </w:t>
      </w:r>
      <w:r>
        <w:t>tocilizumabom</w:t>
      </w:r>
      <w:r>
        <w:rPr>
          <w:rFonts w:eastAsia="SimSun"/>
          <w:szCs w:val="22"/>
          <w:lang w:eastAsia="zh-CN"/>
        </w:rPr>
        <w:t xml:space="preserve"> podávaným subkutánne raz za týždeň sa u jedného pacienta (1,1 %, 1/95) zistila pozitivita neutralizujúcich protilátok proti </w:t>
      </w:r>
      <w:r>
        <w:t>tocilizumabu</w:t>
      </w:r>
      <w:r>
        <w:rPr>
          <w:rFonts w:eastAsia="SimSun"/>
          <w:szCs w:val="22"/>
          <w:lang w:eastAsia="zh-CN"/>
        </w:rPr>
        <w:t>, nie však protilátok izotypu IgE. U tohto pacienta nebola pozorovaná reakcia z precitlivenosti, ani reakcia v mieste podania injekcie.</w:t>
      </w:r>
    </w:p>
    <w:p w14:paraId="36D303CC" w14:textId="77777777" w:rsidR="009700E5" w:rsidRDefault="009700E5">
      <w:pPr>
        <w:autoSpaceDE w:val="0"/>
        <w:autoSpaceDN w:val="0"/>
        <w:adjustRightInd w:val="0"/>
        <w:rPr>
          <w:rFonts w:eastAsia="SimSun"/>
          <w:szCs w:val="22"/>
          <w:lang w:eastAsia="zh-CN"/>
        </w:rPr>
      </w:pPr>
    </w:p>
    <w:p w14:paraId="584581AC" w14:textId="77777777" w:rsidR="009700E5" w:rsidRDefault="002C033C">
      <w:pPr>
        <w:rPr>
          <w:i/>
          <w:iCs/>
          <w:u w:val="single"/>
        </w:rPr>
      </w:pPr>
      <w:r>
        <w:rPr>
          <w:i/>
          <w:iCs/>
          <w:u w:val="single"/>
        </w:rPr>
        <w:t>Neutrofily</w:t>
      </w:r>
    </w:p>
    <w:p w14:paraId="7D8C9825" w14:textId="77777777" w:rsidR="009700E5" w:rsidRDefault="002C033C">
      <w:pPr>
        <w:rPr>
          <w:iCs/>
        </w:rPr>
      </w:pPr>
      <w:r>
        <w:rPr>
          <w:iCs/>
        </w:rPr>
        <w:t>Počas rutinného laboratórneho sledovania v 12</w:t>
      </w:r>
      <w:r>
        <w:rPr>
          <w:iCs/>
        </w:rPr>
        <w:noBreakHyphen/>
        <w:t>mesačnom kontrolovanom klinickom skúšaní s </w:t>
      </w:r>
      <w:r>
        <w:t>tocilizumabom</w:t>
      </w:r>
      <w:r>
        <w:rPr>
          <w:iCs/>
        </w:rPr>
        <w:t xml:space="preserve"> sa pozoroval pokles počtu neutrofilov pod 1 </w:t>
      </w:r>
      <w:r>
        <w:rPr>
          <w:szCs w:val="22"/>
          <w:lang w:eastAsia="de-DE"/>
        </w:rPr>
        <w:t>× </w:t>
      </w:r>
      <w:r>
        <w:rPr>
          <w:iCs/>
        </w:rPr>
        <w:t>10</w:t>
      </w:r>
      <w:r>
        <w:rPr>
          <w:iCs/>
          <w:vertAlign w:val="superscript"/>
        </w:rPr>
        <w:t>9</w:t>
      </w:r>
      <w:r>
        <w:rPr>
          <w:iCs/>
        </w:rPr>
        <w:t>/l u 4 % pacientov v skupine so subkutánne podávaným tocilizumabom raz za týždeň. Tento pokles sa nepozoroval v žiadnej skupine s placebom a s postupným znižovaním dávky prednizónu.</w:t>
      </w:r>
    </w:p>
    <w:p w14:paraId="15B5BC87" w14:textId="77777777" w:rsidR="009700E5" w:rsidRDefault="009700E5">
      <w:pPr>
        <w:rPr>
          <w:i/>
          <w:iCs/>
        </w:rPr>
      </w:pPr>
    </w:p>
    <w:p w14:paraId="780E4EE5" w14:textId="77777777" w:rsidR="009700E5" w:rsidRDefault="002C033C">
      <w:pPr>
        <w:keepNext/>
        <w:keepLines/>
        <w:rPr>
          <w:i/>
          <w:iCs/>
          <w:u w:val="single"/>
        </w:rPr>
      </w:pPr>
      <w:r>
        <w:rPr>
          <w:i/>
          <w:iCs/>
          <w:u w:val="single"/>
        </w:rPr>
        <w:t>Trombocyty</w:t>
      </w:r>
    </w:p>
    <w:p w14:paraId="57F5AECF" w14:textId="77777777" w:rsidR="009700E5" w:rsidRDefault="002C033C">
      <w:pPr>
        <w:rPr>
          <w:szCs w:val="22"/>
          <w:lang w:eastAsia="de-DE"/>
        </w:rPr>
      </w:pPr>
      <w:r>
        <w:rPr>
          <w:iCs/>
        </w:rPr>
        <w:t>Počas rutinného laboratórneho sledovania v 12</w:t>
      </w:r>
      <w:r>
        <w:rPr>
          <w:iCs/>
        </w:rPr>
        <w:noBreakHyphen/>
        <w:t xml:space="preserve">mesačnom kontrolovanom klinickom skúšaní s tocilizumabom sa u 1 pacienta (1 %, 1/100) v skupine so subkutánne podávaným tocilizumabom, raz za týždeň pozoroval jeden výskyt prechodného poklesu počtu trombocytov na </w:t>
      </w:r>
      <w:r>
        <w:rPr>
          <w:rFonts w:eastAsia="MS Mincho"/>
          <w:szCs w:val="22"/>
        </w:rPr>
        <w:sym w:font="Symbol" w:char="F03C"/>
      </w:r>
      <w:r>
        <w:rPr>
          <w:szCs w:val="22"/>
          <w:lang w:eastAsia="de-DE"/>
        </w:rPr>
        <w:t> 100 × 10</w:t>
      </w:r>
      <w:r>
        <w:rPr>
          <w:szCs w:val="22"/>
          <w:vertAlign w:val="superscript"/>
          <w:lang w:eastAsia="de-DE"/>
        </w:rPr>
        <w:t>3</w:t>
      </w:r>
      <w:r>
        <w:rPr>
          <w:szCs w:val="22"/>
          <w:lang w:eastAsia="de-DE"/>
        </w:rPr>
        <w:t>/μl bez súvisiacich prípadov krvácania. Pokles počtu trombocytov pod počet 100 × 10</w:t>
      </w:r>
      <w:r>
        <w:rPr>
          <w:szCs w:val="22"/>
          <w:vertAlign w:val="superscript"/>
          <w:lang w:eastAsia="de-DE"/>
        </w:rPr>
        <w:t>3</w:t>
      </w:r>
      <w:r>
        <w:rPr>
          <w:szCs w:val="22"/>
          <w:lang w:eastAsia="de-DE"/>
        </w:rPr>
        <w:t>/μl nebol pozorovaný v žiadnej skupine s placebom a s postupným znižovaním dávky prednizónu.</w:t>
      </w:r>
    </w:p>
    <w:p w14:paraId="074032B7" w14:textId="77777777" w:rsidR="009700E5" w:rsidRDefault="009700E5">
      <w:pPr>
        <w:rPr>
          <w:iCs/>
        </w:rPr>
      </w:pPr>
    </w:p>
    <w:p w14:paraId="44E63F17" w14:textId="77777777" w:rsidR="009700E5" w:rsidRDefault="002C033C">
      <w:pPr>
        <w:rPr>
          <w:i/>
          <w:iCs/>
          <w:u w:val="single"/>
        </w:rPr>
      </w:pPr>
      <w:r>
        <w:rPr>
          <w:i/>
          <w:iCs/>
          <w:u w:val="single"/>
        </w:rPr>
        <w:t>Zvýšenie pečeňových transamináz</w:t>
      </w:r>
    </w:p>
    <w:p w14:paraId="500F406D" w14:textId="77777777" w:rsidR="009700E5" w:rsidRDefault="002C033C">
      <w:pPr>
        <w:rPr>
          <w:iCs/>
        </w:rPr>
      </w:pPr>
      <w:r>
        <w:rPr>
          <w:iCs/>
        </w:rPr>
        <w:t>Počas rutinného laboratórneho sledovania v 12</w:t>
      </w:r>
      <w:r>
        <w:rPr>
          <w:iCs/>
        </w:rPr>
        <w:noBreakHyphen/>
        <w:t>mesačnom kontrolovanom klinickom skúšaní s tocilizumabom sa pozoroval vzostup hodnôt ALT na </w:t>
      </w:r>
      <w:r>
        <w:rPr>
          <w:rFonts w:eastAsia="MS Mincho"/>
          <w:szCs w:val="22"/>
        </w:rPr>
        <w:sym w:font="Symbol" w:char="F03E"/>
      </w:r>
      <w:r>
        <w:rPr>
          <w:iCs/>
        </w:rPr>
        <w:t> 3</w:t>
      </w:r>
      <w:r>
        <w:rPr>
          <w:iCs/>
        </w:rPr>
        <w:noBreakHyphen/>
        <w:t xml:space="preserve">násobok ULN u 3 % pacientov v skupine so subkutánne podávaným tocilizumabom raz za týždeň v porovnaní s 2 % pacientov v skupine s placebom </w:t>
      </w:r>
      <w:r>
        <w:rPr>
          <w:rFonts w:eastAsia="SimSun"/>
          <w:szCs w:val="22"/>
          <w:lang w:eastAsia="zh-CN"/>
        </w:rPr>
        <w:t>v kombinácii s postupným znižovaním dávky prednizónu počas</w:t>
      </w:r>
      <w:r>
        <w:rPr>
          <w:iCs/>
        </w:rPr>
        <w:t xml:space="preserve"> 52 týždňov a 0 % pacientov v skupine s placebom</w:t>
      </w:r>
      <w:r>
        <w:rPr>
          <w:rFonts w:eastAsia="SimSun"/>
          <w:szCs w:val="22"/>
          <w:lang w:eastAsia="zh-CN"/>
        </w:rPr>
        <w:t xml:space="preserve"> v kombinácii s postupným znižovaním dávky prednizónu počas</w:t>
      </w:r>
      <w:r>
        <w:rPr>
          <w:iCs/>
        </w:rPr>
        <w:t xml:space="preserve"> 26 týždňov. Vzostup hodnôt AST na </w:t>
      </w:r>
      <w:r>
        <w:rPr>
          <w:rFonts w:eastAsia="MS Mincho"/>
          <w:szCs w:val="22"/>
        </w:rPr>
        <w:sym w:font="Symbol" w:char="F03E"/>
      </w:r>
      <w:r>
        <w:rPr>
          <w:iCs/>
        </w:rPr>
        <w:t> 3</w:t>
      </w:r>
      <w:r>
        <w:rPr>
          <w:iCs/>
        </w:rPr>
        <w:noBreakHyphen/>
        <w:t>násobok ULN sa pozoroval u 1 % pacientov v skupine s tocilizumabom podávaným subkutánne raz za týždeň v porovnaní s 0 % pacientov v oboch skupinách s placebom s postupným znižovaním dávky prednizónu.</w:t>
      </w:r>
    </w:p>
    <w:p w14:paraId="74278517" w14:textId="77777777" w:rsidR="009700E5" w:rsidRDefault="009700E5">
      <w:pPr>
        <w:rPr>
          <w:iCs/>
        </w:rPr>
      </w:pPr>
    </w:p>
    <w:p w14:paraId="2B29A7FC" w14:textId="77777777" w:rsidR="009700E5" w:rsidRDefault="002C033C">
      <w:pPr>
        <w:keepNext/>
        <w:keepLines/>
        <w:outlineLvl w:val="0"/>
        <w:rPr>
          <w:i/>
          <w:u w:val="single"/>
        </w:rPr>
      </w:pPr>
      <w:r>
        <w:rPr>
          <w:i/>
          <w:u w:val="single"/>
        </w:rPr>
        <w:t>Hodnoty lipidových parametrov</w:t>
      </w:r>
    </w:p>
    <w:p w14:paraId="781E4649" w14:textId="77777777" w:rsidR="009700E5" w:rsidRDefault="002C033C">
      <w:pPr>
        <w:keepNext/>
        <w:keepLines/>
        <w:rPr>
          <w:iCs/>
        </w:rPr>
      </w:pPr>
      <w:r>
        <w:rPr>
          <w:rFonts w:eastAsia="SimSun"/>
          <w:szCs w:val="22"/>
          <w:lang w:eastAsia="zh-CN"/>
        </w:rPr>
        <w:t>Počas rutinného laboratórneho sledovania v 12</w:t>
      </w:r>
      <w:r>
        <w:rPr>
          <w:rFonts w:eastAsia="SimSun"/>
          <w:szCs w:val="22"/>
          <w:lang w:eastAsia="zh-CN"/>
        </w:rPr>
        <w:noBreakHyphen/>
        <w:t>mesačnom kontrolovanom klinickom skúšaní s </w:t>
      </w:r>
      <w:r>
        <w:rPr>
          <w:iCs/>
        </w:rPr>
        <w:t>tocilizumabom</w:t>
      </w:r>
      <w:r>
        <w:rPr>
          <w:rFonts w:eastAsia="SimSun"/>
          <w:szCs w:val="22"/>
          <w:lang w:eastAsia="zh-CN"/>
        </w:rPr>
        <w:t xml:space="preserve"> došlo k trvalému zvýšeniu hodnôt celkového cholesterolu na </w:t>
      </w:r>
      <w:r>
        <w:rPr>
          <w:rFonts w:eastAsia="MS Mincho"/>
          <w:szCs w:val="22"/>
        </w:rPr>
        <w:sym w:font="Symbol" w:char="F03E"/>
      </w:r>
      <w:r>
        <w:rPr>
          <w:rFonts w:eastAsia="SimSun"/>
          <w:szCs w:val="22"/>
          <w:lang w:eastAsia="zh-CN"/>
        </w:rPr>
        <w:t xml:space="preserve"> 6,2 mmol/l (240 mg/dl) u 34 % pacientov liečených </w:t>
      </w:r>
      <w:r>
        <w:rPr>
          <w:iCs/>
        </w:rPr>
        <w:t>tocilizumabom</w:t>
      </w:r>
      <w:r>
        <w:rPr>
          <w:rFonts w:eastAsia="SimSun"/>
          <w:szCs w:val="22"/>
          <w:lang w:eastAsia="zh-CN"/>
        </w:rPr>
        <w:t xml:space="preserve"> podávaným subkutánne raz za týždeň a u 15 % došlo k trvalému zvýšeniu hodnôt LDL na ≥ 4,1 mmol/l (160 mg/dl)</w:t>
      </w:r>
    </w:p>
    <w:p w14:paraId="3C7B5342" w14:textId="77777777" w:rsidR="009700E5" w:rsidRDefault="009700E5">
      <w:pPr>
        <w:outlineLvl w:val="0"/>
        <w:rPr>
          <w:iCs/>
        </w:rPr>
      </w:pPr>
    </w:p>
    <w:p w14:paraId="6235E4D0" w14:textId="77777777" w:rsidR="009700E5" w:rsidRDefault="002C033C">
      <w:pPr>
        <w:outlineLvl w:val="0"/>
        <w:rPr>
          <w:iCs/>
          <w:u w:val="single"/>
        </w:rPr>
      </w:pPr>
      <w:r>
        <w:rPr>
          <w:iCs/>
          <w:u w:val="single"/>
        </w:rPr>
        <w:t>Opis vybraných nežiaducich reakcií (intravenózne použitie)</w:t>
      </w:r>
    </w:p>
    <w:p w14:paraId="4897F799" w14:textId="77777777" w:rsidR="009700E5" w:rsidRDefault="002C033C">
      <w:pPr>
        <w:keepNext/>
        <w:outlineLvl w:val="0"/>
        <w:rPr>
          <w:bCs/>
          <w:i/>
          <w:iCs/>
          <w:szCs w:val="22"/>
        </w:rPr>
      </w:pPr>
      <w:r>
        <w:rPr>
          <w:bCs/>
          <w:i/>
          <w:iCs/>
          <w:szCs w:val="22"/>
        </w:rPr>
        <w:t>Pacienti s RA</w:t>
      </w:r>
    </w:p>
    <w:p w14:paraId="090281FA" w14:textId="77777777" w:rsidR="009700E5" w:rsidRDefault="002C033C">
      <w:pPr>
        <w:keepNext/>
        <w:keepLines/>
      </w:pPr>
      <w:r>
        <w:t xml:space="preserve">Bezpečnosť </w:t>
      </w:r>
      <w:r>
        <w:rPr>
          <w:iCs/>
        </w:rPr>
        <w:t>tocilizumabu</w:t>
      </w:r>
      <w:r>
        <w:t xml:space="preserve"> bola skúmaná v 5 dvojito zaslepených kontrolovaných klinických skúšaniach fázy III a v ich predĺžených fázach</w:t>
      </w:r>
      <w:ins w:id="1044" w:author="Author" w:date="2025-07-19T22:44:00Z">
        <w:r>
          <w:t xml:space="preserve"> (pozri časť 5.1)</w:t>
        </w:r>
      </w:ins>
      <w:r>
        <w:t>.</w:t>
      </w:r>
    </w:p>
    <w:p w14:paraId="4040FBAF" w14:textId="77777777" w:rsidR="009700E5" w:rsidRDefault="009700E5"/>
    <w:p w14:paraId="18043454" w14:textId="77777777" w:rsidR="009700E5" w:rsidRDefault="002C033C">
      <w:pPr>
        <w:keepNext/>
        <w:keepLines/>
      </w:pPr>
      <w:r>
        <w:lastRenderedPageBreak/>
        <w:t xml:space="preserve">Populácia </w:t>
      </w:r>
      <w:r>
        <w:rPr>
          <w:i/>
        </w:rPr>
        <w:t>všetkých kontrolných</w:t>
      </w:r>
      <w:r>
        <w:t xml:space="preserve"> pacientov zahŕňala všetkých pacientov z dvojito zaslepených fáz všetkých hlavných </w:t>
      </w:r>
      <w:del w:id="1045" w:author="Author" w:date="2025-07-19T22:45:00Z">
        <w:r>
          <w:delText xml:space="preserve">štúdií </w:delText>
        </w:r>
      </w:del>
      <w:ins w:id="1046" w:author="Author" w:date="2025-07-21T10:05:00Z">
        <w:r>
          <w:t xml:space="preserve">klinických </w:t>
        </w:r>
      </w:ins>
      <w:ins w:id="1047" w:author="Author" w:date="2025-07-19T22:45:00Z">
        <w:r>
          <w:t xml:space="preserve">skúšaní </w:t>
        </w:r>
      </w:ins>
      <w:r>
        <w:t>od randomizácie až po prvú zmenu režimu liečby alebo do dosiahnutia druhého roka. V 4 skúšaniach bolo kontrolné obdobie 6 mesiacov a v 1 </w:t>
      </w:r>
      <w:ins w:id="1048" w:author="Author" w:date="2025-07-21T10:05:00Z">
        <w:r>
          <w:t xml:space="preserve">klinickom </w:t>
        </w:r>
      </w:ins>
      <w:ins w:id="1049" w:author="Author" w:date="2025-07-19T22:45:00Z">
        <w:r>
          <w:t>skúšaní</w:t>
        </w:r>
      </w:ins>
      <w:del w:id="1050" w:author="Author" w:date="2025-07-19T22:45:00Z">
        <w:r>
          <w:delText>štúdii</w:delText>
        </w:r>
      </w:del>
      <w:r>
        <w:t xml:space="preserve"> trvalo až 2 roky. V dvojito zaslepených kontrolných skúšaniach dostávalo 774 pacientov </w:t>
      </w:r>
      <w:r>
        <w:rPr>
          <w:iCs/>
        </w:rPr>
        <w:t>tocilizumab</w:t>
      </w:r>
      <w:r>
        <w:t xml:space="preserve"> 4 mg/kg v kombinácii s MTX, 1 870 pacientov dostávalo tocilizumab 8 mg/kg v kombinácii s MTX alebo inými DMARD a 288 pacientov dostávalo tocilizumab 8 mg/kg v monoterapii.</w:t>
      </w:r>
    </w:p>
    <w:p w14:paraId="7458467D" w14:textId="77777777" w:rsidR="009700E5" w:rsidRDefault="009700E5"/>
    <w:p w14:paraId="799530A7" w14:textId="77777777" w:rsidR="009700E5" w:rsidRDefault="002C033C">
      <w:r>
        <w:t xml:space="preserve">Populácia </w:t>
      </w:r>
      <w:r>
        <w:rPr>
          <w:i/>
        </w:rPr>
        <w:t>všetkých exponovaných</w:t>
      </w:r>
      <w:r>
        <w:t xml:space="preserve"> pacientov zahŕňala všetkých pacientov zo skúšaní, ktorí dostali aspoň jednu dávku </w:t>
      </w:r>
      <w:r>
        <w:rPr>
          <w:iCs/>
        </w:rPr>
        <w:t>tocilizumabu</w:t>
      </w:r>
      <w:r>
        <w:t xml:space="preserve"> buď v kontrolnom dvojito zaslepenom období, alebo v otvorenej predĺženej fáze. Z celkového počtu 4 009 pacientov dostávalo 3 577 pacientov liečbu po dobu najmenej 6 mesiacov, 3 296 po dobu najmenej jedného roka; 2 806 dostávalo liečbu po dobu aspoň 2 roky a 1 222 pacientov počas 3 rokov.</w:t>
      </w:r>
    </w:p>
    <w:p w14:paraId="6B78719F" w14:textId="77777777" w:rsidR="009700E5" w:rsidRDefault="009700E5">
      <w:pPr>
        <w:outlineLvl w:val="0"/>
        <w:rPr>
          <w:szCs w:val="22"/>
        </w:rPr>
      </w:pPr>
    </w:p>
    <w:p w14:paraId="06ABE3D1" w14:textId="77777777" w:rsidR="009700E5" w:rsidRDefault="002C033C">
      <w:pPr>
        <w:keepNext/>
        <w:outlineLvl w:val="0"/>
        <w:rPr>
          <w:iCs/>
          <w:u w:val="single"/>
        </w:rPr>
      </w:pPr>
      <w:r>
        <w:rPr>
          <w:i/>
          <w:u w:val="single"/>
        </w:rPr>
        <w:t>Infekcie</w:t>
      </w:r>
    </w:p>
    <w:p w14:paraId="0B4F7091" w14:textId="77777777" w:rsidR="009700E5" w:rsidRDefault="002C033C">
      <w:r>
        <w:t>V 6</w:t>
      </w:r>
      <w:r>
        <w:noBreakHyphen/>
        <w:t xml:space="preserve">mesačných kontrolovaných skúšaniach bola miera výskytu všetkých infekcií hlásených pri liečbe </w:t>
      </w:r>
      <w:r>
        <w:rPr>
          <w:iCs/>
        </w:rPr>
        <w:t>tocilizumabom</w:t>
      </w:r>
      <w:r>
        <w:t xml:space="preserve"> 8 mg/kg spolu s DMARD 127 udalostí na 100 pacientorokov oproti 112 udalostiam na 100 pacientorokov v skupine s placebom v kombinácii s DMARD. V súbore dlhodobej expozície bol celkový výskyt infekcií pri liečbe tocilizumabom 108 udalostí na 100 pacientorokov.</w:t>
      </w:r>
    </w:p>
    <w:p w14:paraId="019E2187" w14:textId="77777777" w:rsidR="009700E5" w:rsidRDefault="009700E5"/>
    <w:p w14:paraId="2A78EA06" w14:textId="77777777" w:rsidR="009700E5" w:rsidRDefault="002C033C">
      <w:r>
        <w:t>V 6</w:t>
      </w:r>
      <w:r>
        <w:noBreakHyphen/>
        <w:t xml:space="preserve">mesačných kontrolovaných klinických skúšaniach bola miera výskytu závažných infekcií pri liečbe </w:t>
      </w:r>
      <w:r>
        <w:rPr>
          <w:iCs/>
        </w:rPr>
        <w:t>tocilizumabom</w:t>
      </w:r>
      <w:r>
        <w:t xml:space="preserve"> 8 mg/kg v kombinácii s DMARD 5,3 udalosti na 100 pacientorokov expozície oproti 3,9 udalosti na 100 pacientorokov expozície v skupine s placebom v kombinácii s DMARD. V </w:t>
      </w:r>
      <w:del w:id="1051" w:author="Author" w:date="2025-07-20T22:25:00Z">
        <w:r>
          <w:delText xml:space="preserve">štúdii </w:delText>
        </w:r>
      </w:del>
      <w:ins w:id="1052" w:author="Author" w:date="2025-07-21T10:05:00Z">
        <w:r>
          <w:t xml:space="preserve">klinickom </w:t>
        </w:r>
      </w:ins>
      <w:ins w:id="1053" w:author="Author" w:date="2025-07-20T22:25:00Z">
        <w:r>
          <w:t xml:space="preserve">skúšaní </w:t>
        </w:r>
      </w:ins>
      <w:r>
        <w:t xml:space="preserve">monoterapie bola miera výskytu závažných infekcií 3,6 udalosti na 100 pacientorokov expozície v skupine liečenej </w:t>
      </w:r>
      <w:r>
        <w:rPr>
          <w:iCs/>
        </w:rPr>
        <w:t>tocilizumabom</w:t>
      </w:r>
      <w:r>
        <w:t xml:space="preserve"> a 1,5 udalosti na 100 pacientorokov expozície v skupine liečenej MTX.</w:t>
      </w:r>
    </w:p>
    <w:p w14:paraId="7BB6A193" w14:textId="77777777" w:rsidR="009700E5" w:rsidRDefault="009700E5"/>
    <w:p w14:paraId="28616EFD" w14:textId="2CF4C3B9" w:rsidR="009700E5" w:rsidRDefault="002C033C">
      <w:pPr>
        <w:rPr>
          <w:szCs w:val="22"/>
        </w:rPr>
      </w:pPr>
      <w:r>
        <w:rPr>
          <w:szCs w:val="22"/>
        </w:rPr>
        <w:t xml:space="preserve">V súbore </w:t>
      </w:r>
      <w:del w:id="1054" w:author="Author" w:date="2025-07-19T22:46:00Z">
        <w:r>
          <w:rPr>
            <w:szCs w:val="22"/>
          </w:rPr>
          <w:delText xml:space="preserve">celkovej </w:delText>
        </w:r>
      </w:del>
      <w:ins w:id="1055" w:author="Author" w:date="2025-07-19T22:46:00Z">
        <w:r>
          <w:rPr>
            <w:szCs w:val="22"/>
          </w:rPr>
          <w:t xml:space="preserve">dlhodobej </w:t>
        </w:r>
      </w:ins>
      <w:r>
        <w:rPr>
          <w:szCs w:val="22"/>
        </w:rPr>
        <w:t xml:space="preserve">expozície bol celkový výskyt závažných infekcií </w:t>
      </w:r>
      <w:ins w:id="1056" w:author="Author" w:date="2025-07-19T22:47:00Z">
        <w:r>
          <w:rPr>
            <w:szCs w:val="22"/>
          </w:rPr>
          <w:t xml:space="preserve">(bakteriálnych, vírusových a hubových) </w:t>
        </w:r>
      </w:ins>
      <w:r>
        <w:rPr>
          <w:szCs w:val="22"/>
        </w:rPr>
        <w:t>4,7 udalosti na 100 pacientorokov. K hláseným závažným infekciám, z ktorých niektoré mali smrteľné následky patril</w:t>
      </w:r>
      <w:ins w:id="1057" w:author="Author" w:date="2025-07-19T22:48:00Z">
        <w:r>
          <w:rPr>
            <w:szCs w:val="22"/>
          </w:rPr>
          <w:t xml:space="preserve">i </w:t>
        </w:r>
        <w:r>
          <w:t xml:space="preserve">aktívna tuberkulóza, ktorá môže byť prítomná s vnútropľúcnym alebo mimopľúcnym ochorením, invazívne pľúcne infekcie </w:t>
        </w:r>
      </w:ins>
      <w:ins w:id="1058" w:author="Author" w:date="2026-03-09T09:00:00Z">
        <w:r w:rsidR="00BD22ED">
          <w:t>vrátane</w:t>
        </w:r>
      </w:ins>
      <w:ins w:id="1059" w:author="Author" w:date="2025-07-19T22:48:00Z">
        <w:r>
          <w:t xml:space="preserve"> kandidózy, aspergilózy</w:t>
        </w:r>
      </w:ins>
      <w:ins w:id="1060" w:author="Author" w:date="2025-07-21T10:06:00Z">
        <w:r>
          <w:t>,</w:t>
        </w:r>
      </w:ins>
      <w:ins w:id="1061" w:author="Author" w:date="2025-07-19T22:48:00Z">
        <w:r>
          <w:t xml:space="preserve"> kokcidioidomykózy a</w:t>
        </w:r>
      </w:ins>
      <w:ins w:id="1062" w:author="Author" w:date="2025-07-21T10:06:00Z">
        <w:r>
          <w:t> </w:t>
        </w:r>
      </w:ins>
      <w:ins w:id="1063" w:author="Author" w:date="2025-07-19T22:48:00Z">
        <w:del w:id="1064" w:author="Author" w:date="2025-07-21T10:06:00Z">
          <w:r>
            <w:rPr>
              <w:i/>
              <w:rPrChange w:id="1065" w:author="Author" w:date="2026-02-19T09:30:00Z">
                <w:rPr/>
              </w:rPrChange>
            </w:rPr>
            <w:delText xml:space="preserve"> </w:delText>
          </w:r>
        </w:del>
        <w:r>
          <w:rPr>
            <w:rStyle w:val="Emphasis"/>
            <w:b w:val="0"/>
            <w:bCs w:val="0"/>
            <w:i/>
            <w:color w:val="000000"/>
          </w:rPr>
          <w:t>Pneumocystis jirovecii</w:t>
        </w:r>
        <w:r>
          <w:rPr>
            <w:rStyle w:val="Emphasis"/>
            <w:b w:val="0"/>
            <w:bCs w:val="0"/>
            <w:color w:val="000000"/>
            <w:rPrChange w:id="1066" w:author="Author" w:date="2025-08-22T15:12:00Z">
              <w:rPr>
                <w:rStyle w:val="Emphasis"/>
                <w:b w:val="0"/>
                <w:bCs w:val="0"/>
                <w:i/>
                <w:iCs/>
                <w:color w:val="000000"/>
              </w:rPr>
            </w:rPrChange>
          </w:rPr>
          <w:t>,</w:t>
        </w:r>
      </w:ins>
      <w:del w:id="1067" w:author="Author" w:date="2025-07-19T22:48:00Z">
        <w:r>
          <w:rPr>
            <w:szCs w:val="22"/>
          </w:rPr>
          <w:delText>a</w:delText>
        </w:r>
      </w:del>
      <w:r>
        <w:rPr>
          <w:szCs w:val="22"/>
        </w:rPr>
        <w:t xml:space="preserve"> pneumónia, celulitída, pásový opar, gastroenteritída, divertikulitída, sepsa a bakteriálna artritída. Boli hlásené aj prípady oportúnnych infekcií.</w:t>
      </w:r>
    </w:p>
    <w:p w14:paraId="3CEBB567" w14:textId="77777777" w:rsidR="009700E5" w:rsidRDefault="009700E5"/>
    <w:p w14:paraId="399B13EC" w14:textId="77777777" w:rsidR="009700E5" w:rsidRDefault="002C033C">
      <w:pPr>
        <w:rPr>
          <w:i/>
          <w:iCs/>
          <w:szCs w:val="22"/>
          <w:u w:val="single"/>
        </w:rPr>
      </w:pPr>
      <w:r>
        <w:rPr>
          <w:i/>
          <w:iCs/>
          <w:szCs w:val="22"/>
          <w:u w:val="single"/>
        </w:rPr>
        <w:t>Intersticiáln</w:t>
      </w:r>
      <w:r>
        <w:rPr>
          <w:i/>
          <w:iCs/>
          <w:color w:val="000000"/>
          <w:szCs w:val="22"/>
          <w:u w:val="single"/>
        </w:rPr>
        <w:t>a</w:t>
      </w:r>
      <w:r>
        <w:rPr>
          <w:i/>
          <w:iCs/>
          <w:szCs w:val="22"/>
          <w:u w:val="single"/>
        </w:rPr>
        <w:t xml:space="preserve"> </w:t>
      </w:r>
      <w:r>
        <w:rPr>
          <w:i/>
          <w:iCs/>
          <w:color w:val="000000"/>
          <w:szCs w:val="22"/>
          <w:u w:val="single"/>
        </w:rPr>
        <w:t>choroba</w:t>
      </w:r>
      <w:r>
        <w:rPr>
          <w:i/>
          <w:iCs/>
          <w:szCs w:val="22"/>
          <w:u w:val="single"/>
        </w:rPr>
        <w:t xml:space="preserve"> pľúc</w:t>
      </w:r>
    </w:p>
    <w:p w14:paraId="0D5826F8" w14:textId="77777777" w:rsidR="009700E5" w:rsidRDefault="002C033C">
      <w:pPr>
        <w:textAlignment w:val="top"/>
        <w:rPr>
          <w:szCs w:val="22"/>
        </w:rPr>
      </w:pPr>
      <w:r>
        <w:rPr>
          <w:szCs w:val="22"/>
        </w:rPr>
        <w:t>Zhoršená funkcia pľúc môže zvýšiť riziko vzniku infekcií. Po uvedení lieku na trh boli hlásené prípady intersticiálne</w:t>
      </w:r>
      <w:r>
        <w:rPr>
          <w:color w:val="000000"/>
          <w:szCs w:val="22"/>
        </w:rPr>
        <w:t>j choroby</w:t>
      </w:r>
      <w:r>
        <w:rPr>
          <w:szCs w:val="22"/>
        </w:rPr>
        <w:t xml:space="preserve"> pľúc (vrátane pneumonitídy a pľúcnej fibrózy), z ktorých niektoré boli smrteľné.</w:t>
      </w:r>
    </w:p>
    <w:p w14:paraId="09DBB098" w14:textId="77777777" w:rsidR="009700E5" w:rsidRDefault="009700E5"/>
    <w:p w14:paraId="4C12690C" w14:textId="77777777" w:rsidR="009700E5" w:rsidRDefault="002C033C">
      <w:pPr>
        <w:keepNext/>
        <w:keepLines/>
        <w:ind w:left="567" w:hanging="567"/>
        <w:outlineLvl w:val="0"/>
        <w:rPr>
          <w:i/>
          <w:u w:val="single"/>
        </w:rPr>
      </w:pPr>
      <w:r>
        <w:rPr>
          <w:i/>
          <w:u w:val="single"/>
        </w:rPr>
        <w:t>Gastrointestinálne perforácie</w:t>
      </w:r>
    </w:p>
    <w:p w14:paraId="7954C32E" w14:textId="77777777" w:rsidR="009700E5" w:rsidRDefault="002C033C">
      <w:r>
        <w:t xml:space="preserve">Pri liečbe </w:t>
      </w:r>
      <w:r>
        <w:rPr>
          <w:iCs/>
        </w:rPr>
        <w:t>tocilizumabom</w:t>
      </w:r>
      <w:r>
        <w:t xml:space="preserve"> počas 6</w:t>
      </w:r>
      <w:r>
        <w:noBreakHyphen/>
        <w:t>mesačných kontrolovaných klinických skúšaní bol celkový výskyt gastrointestinálnych perforácií 0,26 udalosti na 100 pacientorokov. V dlhodobej expozícií bol celkový výskyt gastrointestinálnych perforácií 0,28 udalosti na 100 pacientorokov. Hlásenia gastrointestinálnej perforácie pri liečbe boli primárne hlásené ako komplikácie divertikulitídy, zahŕňajúce generalizovanú purulentnú peritonitídu, perforáciu dolnej časti gastrointestinálneho traktu, fistulu a absces.</w:t>
      </w:r>
    </w:p>
    <w:p w14:paraId="43D0A30A" w14:textId="77777777" w:rsidR="009700E5" w:rsidRDefault="009700E5"/>
    <w:p w14:paraId="360B7CB1" w14:textId="77777777" w:rsidR="009700E5" w:rsidRDefault="002C033C">
      <w:pPr>
        <w:keepNext/>
        <w:keepLines/>
        <w:outlineLvl w:val="0"/>
        <w:rPr>
          <w:i/>
          <w:u w:val="single"/>
        </w:rPr>
      </w:pPr>
      <w:r>
        <w:rPr>
          <w:i/>
          <w:u w:val="single"/>
        </w:rPr>
        <w:t>Reakcie súvisiace s infúziou</w:t>
      </w:r>
    </w:p>
    <w:p w14:paraId="71BB65C5" w14:textId="77777777" w:rsidR="009700E5" w:rsidRDefault="002C033C">
      <w:pPr>
        <w:keepNext/>
        <w:keepLines/>
      </w:pPr>
      <w:r>
        <w:t>V 6</w:t>
      </w:r>
      <w:r>
        <w:noBreakHyphen/>
        <w:t>mesačných kontrolovaných klinických skúšaniach boli nežiaduce účinky súvisiace s podávaním infúzie (vybrané udalosti vyskytujúce sa počas podávania infúzie alebo v priebehu 24 hodín od podania infúzie) hlásené u 6,9 % pacientov v skupine liečenej tocilizumabom 8 mg/kg v kombinácii s DMARD a u 5,1 % pacientov v skupine s placebom spolu s DMARD. Udalosti hlásené počas podávania infúzie boli predovšetkým epizódy hypertenzie; udalosti hlásené v priebehu 24 hodín od ukončenia podávania infúzie boli bolesť hlavy a kožné reakcie (vyrážka, urtikária). Tieto udalosti neboli pre liečbu limitujúce.</w:t>
      </w:r>
    </w:p>
    <w:p w14:paraId="3D3C1DBE" w14:textId="77777777" w:rsidR="009700E5" w:rsidRDefault="009700E5"/>
    <w:p w14:paraId="464DE082" w14:textId="77777777" w:rsidR="009700E5" w:rsidRDefault="002C033C">
      <w:pPr>
        <w:keepNext/>
        <w:keepLines/>
      </w:pPr>
      <w:r>
        <w:lastRenderedPageBreak/>
        <w:t xml:space="preserve">Miera výskytu anafylaktických reakcií (vyskytujúcich sa celkovo u </w:t>
      </w:r>
      <w:ins w:id="1068" w:author="Author" w:date="2025-07-19T22:49:00Z">
        <w:r>
          <w:t>8</w:t>
        </w:r>
      </w:ins>
      <w:del w:id="1069" w:author="Author" w:date="2025-07-19T22:49:00Z">
        <w:r>
          <w:delText>6</w:delText>
        </w:r>
      </w:del>
      <w:r>
        <w:t>/</w:t>
      </w:r>
      <w:ins w:id="1070" w:author="Author" w:date="2025-07-19T22:49:00Z">
        <w:r>
          <w:t>4 009</w:t>
        </w:r>
      </w:ins>
      <w:del w:id="1071" w:author="Author" w:date="2025-07-19T22:49:00Z">
        <w:r>
          <w:delText>3 778</w:delText>
        </w:r>
      </w:del>
      <w:r>
        <w:t xml:space="preserve">; 0,2 % pacientov) bola niekoľkonásobne vyššia pri dávke 4 mg/kg oproti dávke 8 mg/kg. Klinicky významné reakcie z precitlivenosti súvisiace s liečbou </w:t>
      </w:r>
      <w:r>
        <w:rPr>
          <w:iCs/>
        </w:rPr>
        <w:t>tocilizumabom</w:t>
      </w:r>
      <w:r>
        <w:t xml:space="preserve"> a vyžadujúce ukončenie liečby boli hlásené u celkovo </w:t>
      </w:r>
      <w:ins w:id="1072" w:author="Author" w:date="2025-07-19T22:50:00Z">
        <w:r>
          <w:t>56</w:t>
        </w:r>
      </w:ins>
      <w:del w:id="1073" w:author="Author" w:date="2025-07-19T22:50:00Z">
        <w:r>
          <w:delText>13</w:delText>
        </w:r>
      </w:del>
      <w:r>
        <w:t> z</w:t>
      </w:r>
      <w:ins w:id="1074" w:author="Author" w:date="2025-07-19T22:50:00Z">
        <w:r>
          <w:t>o</w:t>
        </w:r>
      </w:ins>
      <w:r>
        <w:t> </w:t>
      </w:r>
      <w:ins w:id="1075" w:author="Author" w:date="2025-07-19T22:50:00Z">
        <w:r>
          <w:t>4</w:t>
        </w:r>
      </w:ins>
      <w:del w:id="1076" w:author="Author" w:date="2025-07-19T22:50:00Z">
        <w:r>
          <w:delText>3</w:delText>
        </w:r>
      </w:del>
      <w:ins w:id="1077" w:author="Author" w:date="2025-07-19T22:50:00Z">
        <w:r>
          <w:t> 009</w:t>
        </w:r>
      </w:ins>
      <w:del w:id="1078" w:author="Author" w:date="2025-07-19T22:50:00Z">
        <w:r>
          <w:delText> 778</w:delText>
        </w:r>
      </w:del>
      <w:r>
        <w:t> pacientov (</w:t>
      </w:r>
      <w:ins w:id="1079" w:author="Author" w:date="2025-07-19T22:50:00Z">
        <w:r>
          <w:t>1</w:t>
        </w:r>
      </w:ins>
      <w:del w:id="1080" w:author="Author" w:date="2025-07-19T22:50:00Z">
        <w:r>
          <w:delText>0</w:delText>
        </w:r>
      </w:del>
      <w:r>
        <w:t>,</w:t>
      </w:r>
      <w:ins w:id="1081" w:author="Author" w:date="2025-07-19T22:50:00Z">
        <w:r>
          <w:t>4</w:t>
        </w:r>
      </w:ins>
      <w:del w:id="1082" w:author="Author" w:date="2025-07-19T22:50:00Z">
        <w:r>
          <w:delText>3</w:delText>
        </w:r>
      </w:del>
      <w:r>
        <w:t xml:space="preserve"> %) liečených počas kontrolovaných a otvorených klinických skúšaní. Tieto reakcie sa zvyčajne pozorovali počas podávania druhej až piatej infúzie tocilizumabu (pozri časť 4.4). </w:t>
      </w:r>
      <w:r>
        <w:rPr>
          <w:szCs w:val="22"/>
        </w:rPr>
        <w:t xml:space="preserve">Po registrácii lieku bola počas liečby intravenózne podávaným </w:t>
      </w:r>
      <w:r>
        <w:rPr>
          <w:iCs/>
        </w:rPr>
        <w:t>tocilizumabom</w:t>
      </w:r>
      <w:r>
        <w:rPr>
          <w:szCs w:val="22"/>
        </w:rPr>
        <w:t xml:space="preserve"> hlásená anafylaxia so smrteľnými následkami (pozri časť</w:t>
      </w:r>
      <w:r>
        <w:t> </w:t>
      </w:r>
      <w:r>
        <w:rPr>
          <w:szCs w:val="22"/>
        </w:rPr>
        <w:t>4.4).</w:t>
      </w:r>
    </w:p>
    <w:p w14:paraId="34AAB6F1" w14:textId="77777777" w:rsidR="009700E5" w:rsidRDefault="009700E5"/>
    <w:p w14:paraId="1438FB9E" w14:textId="77777777" w:rsidR="009700E5" w:rsidRDefault="002C033C">
      <w:pPr>
        <w:keepNext/>
        <w:keepLines/>
        <w:outlineLvl w:val="0"/>
        <w:rPr>
          <w:i/>
          <w:u w:val="single"/>
        </w:rPr>
      </w:pPr>
      <w:r>
        <w:rPr>
          <w:i/>
          <w:u w:val="single"/>
        </w:rPr>
        <w:t>Imunogenicita</w:t>
      </w:r>
    </w:p>
    <w:p w14:paraId="69199B7C" w14:textId="77777777" w:rsidR="009700E5" w:rsidRDefault="002C033C">
      <w:pPr>
        <w:keepNext/>
        <w:keepLines/>
        <w:outlineLvl w:val="0"/>
      </w:pPr>
      <w:r>
        <w:t>V 6</w:t>
      </w:r>
      <w:r>
        <w:noBreakHyphen/>
        <w:t xml:space="preserve">mesačných kontrolovaných klinických skúšaniach bolo celkovo 2 876 pacientov vyšetrených na protilátky proti </w:t>
      </w:r>
      <w:r>
        <w:rPr>
          <w:iCs/>
        </w:rPr>
        <w:t>tocilizumabu</w:t>
      </w:r>
      <w:r>
        <w:t xml:space="preserve">. Zo 46 pacientov (1,6 %), u ktorých sa vytvorili protilátky proti </w:t>
      </w:r>
      <w:r>
        <w:rPr>
          <w:iCs/>
        </w:rPr>
        <w:t>tocilizumabu</w:t>
      </w:r>
      <w:r>
        <w:t>, došlo u 6 k významnej reakcii z precitlivenosti, ktorá u 5 z nich viedla k trvalému ukončeniu liečby. U tridsiatich pacientov (1,1 %) sa vytvorili neutralizujúce protilátky.</w:t>
      </w:r>
    </w:p>
    <w:p w14:paraId="166EE201" w14:textId="77777777" w:rsidR="009700E5" w:rsidRDefault="009700E5">
      <w:pPr>
        <w:outlineLvl w:val="0"/>
      </w:pPr>
    </w:p>
    <w:p w14:paraId="36E100CD" w14:textId="77777777" w:rsidR="009700E5" w:rsidRDefault="002C033C">
      <w:pPr>
        <w:keepNext/>
        <w:keepLines/>
        <w:rPr>
          <w:i/>
          <w:iCs/>
          <w:u w:val="single"/>
        </w:rPr>
      </w:pPr>
      <w:r>
        <w:rPr>
          <w:i/>
          <w:iCs/>
          <w:u w:val="single"/>
        </w:rPr>
        <w:t>Neutrofily</w:t>
      </w:r>
    </w:p>
    <w:p w14:paraId="70E89A67" w14:textId="77777777" w:rsidR="009700E5" w:rsidRDefault="002C033C">
      <w:pPr>
        <w:textAlignment w:val="top"/>
        <w:rPr>
          <w:szCs w:val="22"/>
        </w:rPr>
      </w:pPr>
      <w:r>
        <w:rPr>
          <w:szCs w:val="22"/>
        </w:rPr>
        <w:t>V 6</w:t>
      </w:r>
      <w:r>
        <w:rPr>
          <w:szCs w:val="22"/>
        </w:rPr>
        <w:noBreakHyphen/>
        <w:t>mesačných kontrolovaných klinických skúšaniach došlo k poklesu počtu neutrofilov pod 1 × 10</w:t>
      </w:r>
      <w:r>
        <w:rPr>
          <w:szCs w:val="22"/>
          <w:vertAlign w:val="superscript"/>
        </w:rPr>
        <w:t>9</w:t>
      </w:r>
      <w:r>
        <w:rPr>
          <w:szCs w:val="22"/>
        </w:rPr>
        <w:t>/l u</w:t>
      </w:r>
      <w:r>
        <w:t> </w:t>
      </w:r>
      <w:r>
        <w:rPr>
          <w:szCs w:val="22"/>
        </w:rPr>
        <w:t xml:space="preserve">3,4 % pacientov liečených tocilizumabom 8 mg/kg spolu s DMARD oproti </w:t>
      </w:r>
      <w:r>
        <w:rPr>
          <w:rFonts w:eastAsia="MS Mincho"/>
          <w:szCs w:val="22"/>
        </w:rPr>
        <w:sym w:font="Symbol" w:char="F03C"/>
      </w:r>
      <w:r>
        <w:rPr>
          <w:szCs w:val="22"/>
        </w:rPr>
        <w:t> 0,1 % pacientov s</w:t>
      </w:r>
      <w:r>
        <w:t> </w:t>
      </w:r>
      <w:r>
        <w:rPr>
          <w:szCs w:val="22"/>
        </w:rPr>
        <w:t xml:space="preserve">placebom spolu s DMARD. Približne u polovice pacientov, u ktorých ANC klesol na </w:t>
      </w:r>
      <w:r>
        <w:rPr>
          <w:rFonts w:eastAsia="MS Mincho"/>
          <w:szCs w:val="22"/>
        </w:rPr>
        <w:sym w:font="Symbol" w:char="F03C"/>
      </w:r>
      <w:r>
        <w:rPr>
          <w:szCs w:val="22"/>
        </w:rPr>
        <w:t> 1 × 10</w:t>
      </w:r>
      <w:r>
        <w:rPr>
          <w:szCs w:val="22"/>
          <w:vertAlign w:val="superscript"/>
        </w:rPr>
        <w:t>9</w:t>
      </w:r>
      <w:r>
        <w:rPr>
          <w:rFonts w:eastAsia="MS Mincho"/>
          <w:szCs w:val="22"/>
        </w:rPr>
        <w:t>/l,</w:t>
      </w:r>
      <w:r>
        <w:rPr>
          <w:szCs w:val="22"/>
        </w:rPr>
        <w:t xml:space="preserve"> došlo k tomuto poklesu v priebehu 8 týždňov po začatí liečby. Pokles pod 0,5 × 10</w:t>
      </w:r>
      <w:r>
        <w:rPr>
          <w:szCs w:val="22"/>
          <w:vertAlign w:val="superscript"/>
        </w:rPr>
        <w:t>9</w:t>
      </w:r>
      <w:r>
        <w:rPr>
          <w:szCs w:val="22"/>
        </w:rPr>
        <w:t xml:space="preserve">/l bol hlásený u 0,3 % pacientov liečených tocilizumabom 8 mg/kg spolu s DMARD. </w:t>
      </w:r>
      <w:r>
        <w:rPr>
          <w:color w:val="000000"/>
          <w:szCs w:val="22"/>
        </w:rPr>
        <w:t>Boli hlásené i</w:t>
      </w:r>
      <w:r>
        <w:rPr>
          <w:rFonts w:eastAsia="SimSun"/>
          <w:color w:val="000000"/>
          <w:szCs w:val="22"/>
          <w:lang w:eastAsia="zh-CN"/>
        </w:rPr>
        <w:t>nfekcie s neutropéniou.</w:t>
      </w:r>
    </w:p>
    <w:p w14:paraId="26784AC5" w14:textId="77777777" w:rsidR="009700E5" w:rsidRDefault="009700E5">
      <w:pPr>
        <w:textAlignment w:val="top"/>
      </w:pPr>
    </w:p>
    <w:p w14:paraId="6FD92A06" w14:textId="77777777" w:rsidR="009700E5" w:rsidRDefault="002C033C">
      <w:r>
        <w:t>Počas dvojito zaslepeného kontrolovaného obdobia a pri dlhodobej expozícii zostával charakter a výskyt poklesu počtu neutrofilov rovnaký ako sa pozoroval počas 6</w:t>
      </w:r>
      <w:r>
        <w:noBreakHyphen/>
        <w:t>mesačných kontrolovaných klinických skúšaní.</w:t>
      </w:r>
    </w:p>
    <w:p w14:paraId="792E2CCD" w14:textId="77777777" w:rsidR="009700E5" w:rsidRDefault="009700E5">
      <w:pPr>
        <w:autoSpaceDE w:val="0"/>
        <w:autoSpaceDN w:val="0"/>
        <w:adjustRightInd w:val="0"/>
      </w:pPr>
    </w:p>
    <w:p w14:paraId="7B79A1CA" w14:textId="77777777" w:rsidR="009700E5" w:rsidRDefault="002C033C">
      <w:pPr>
        <w:keepNext/>
        <w:keepLines/>
        <w:autoSpaceDE w:val="0"/>
        <w:autoSpaceDN w:val="0"/>
        <w:adjustRightInd w:val="0"/>
        <w:rPr>
          <w:i/>
          <w:iCs/>
          <w:u w:val="single"/>
        </w:rPr>
      </w:pPr>
      <w:r>
        <w:rPr>
          <w:i/>
          <w:iCs/>
          <w:u w:val="single"/>
        </w:rPr>
        <w:t>Krvné doštičky</w:t>
      </w:r>
    </w:p>
    <w:p w14:paraId="0440C330" w14:textId="77777777" w:rsidR="009700E5" w:rsidRDefault="002C033C">
      <w:pPr>
        <w:autoSpaceDE w:val="0"/>
        <w:autoSpaceDN w:val="0"/>
        <w:adjustRightInd w:val="0"/>
      </w:pPr>
      <w:r>
        <w:t>V 6</w:t>
      </w:r>
      <w:r>
        <w:noBreakHyphen/>
        <w:t>mesačných kontrolovaných klinických skúšaniach došlo k poklesu počtu trombocytov pod 100 </w:t>
      </w:r>
      <w:r>
        <w:rPr>
          <w:szCs w:val="22"/>
        </w:rPr>
        <w:t>× </w:t>
      </w:r>
      <w:r>
        <w:rPr>
          <w:rFonts w:eastAsia="SimSun"/>
          <w:bCs/>
          <w:szCs w:val="22"/>
          <w:lang w:eastAsia="zh-CN"/>
        </w:rPr>
        <w:t>10</w:t>
      </w:r>
      <w:r>
        <w:rPr>
          <w:rFonts w:eastAsia="SimSun"/>
          <w:bCs/>
          <w:szCs w:val="22"/>
          <w:vertAlign w:val="superscript"/>
          <w:lang w:eastAsia="zh-CN"/>
        </w:rPr>
        <w:t>3</w:t>
      </w:r>
      <w:r>
        <w:rPr>
          <w:rFonts w:eastAsia="SimSun"/>
          <w:bCs/>
          <w:szCs w:val="22"/>
          <w:lang w:eastAsia="zh-CN"/>
        </w:rPr>
        <w:t>/</w:t>
      </w:r>
      <w:r>
        <w:rPr>
          <w:rFonts w:eastAsia="MS Mincho"/>
          <w:szCs w:val="22"/>
        </w:rPr>
        <w:sym w:font="Symbol" w:char="F06D"/>
      </w:r>
      <w:r>
        <w:rPr>
          <w:rFonts w:eastAsia="SimSun"/>
          <w:szCs w:val="22"/>
          <w:lang w:eastAsia="zh-CN"/>
        </w:rPr>
        <w:t>l u </w:t>
      </w:r>
      <w:r>
        <w:t xml:space="preserve">1,7 % pacientov liečených </w:t>
      </w:r>
      <w:r>
        <w:rPr>
          <w:szCs w:val="22"/>
        </w:rPr>
        <w:t>tocilizumabom</w:t>
      </w:r>
      <w:r>
        <w:t xml:space="preserve"> 8 mg/kg spolu s DMARD oproti </w:t>
      </w:r>
      <w:r>
        <w:rPr>
          <w:rFonts w:eastAsia="MS Mincho"/>
          <w:szCs w:val="22"/>
        </w:rPr>
        <w:sym w:font="Symbol" w:char="F03C"/>
      </w:r>
      <w:r>
        <w:t> 1 % pacientov s placebom spolu s DMARD. Tieto poklesy sa vyskytli bez asociácie s krvácaním.</w:t>
      </w:r>
    </w:p>
    <w:p w14:paraId="438CC534" w14:textId="77777777" w:rsidR="009700E5" w:rsidRDefault="009700E5">
      <w:pPr>
        <w:outlineLvl w:val="0"/>
      </w:pPr>
    </w:p>
    <w:p w14:paraId="0A7641A6" w14:textId="77777777" w:rsidR="009700E5" w:rsidRDefault="002C033C">
      <w:pPr>
        <w:outlineLvl w:val="0"/>
        <w:rPr>
          <w:iCs/>
        </w:rPr>
      </w:pPr>
      <w:r>
        <w:t>Počas dvojito zaslepeného kontrolovaného obdobia a pri dlhodobej expozícii zostával charakter a výskyt poklesu počtu krvných doštičiek rovnaký ako sa pozoroval počas 6</w:t>
      </w:r>
      <w:r>
        <w:noBreakHyphen/>
        <w:t>mesačných kontrolovaných klinických skúšaní.</w:t>
      </w:r>
    </w:p>
    <w:p w14:paraId="75C1240A" w14:textId="77777777" w:rsidR="009700E5" w:rsidRDefault="009700E5">
      <w:pPr>
        <w:outlineLvl w:val="0"/>
        <w:rPr>
          <w:iCs/>
        </w:rPr>
      </w:pPr>
    </w:p>
    <w:p w14:paraId="0D909051" w14:textId="77777777" w:rsidR="009700E5" w:rsidRDefault="002C033C">
      <w:pPr>
        <w:outlineLvl w:val="0"/>
        <w:rPr>
          <w:rStyle w:val="Emphasis"/>
          <w:b w:val="0"/>
        </w:rPr>
      </w:pPr>
      <w:r>
        <w:rPr>
          <w:rStyle w:val="Emphasis"/>
          <w:b w:val="0"/>
        </w:rPr>
        <w:t>V postmarketingovom sledovaní sa vyskytli veľmi zriedkavo prípady pancytopénie.</w:t>
      </w:r>
    </w:p>
    <w:p w14:paraId="7DFD307D" w14:textId="77777777" w:rsidR="009700E5" w:rsidRDefault="009700E5">
      <w:pPr>
        <w:outlineLvl w:val="0"/>
        <w:rPr>
          <w:iCs/>
        </w:rPr>
      </w:pPr>
    </w:p>
    <w:p w14:paraId="753A2D08" w14:textId="77777777" w:rsidR="009700E5" w:rsidRDefault="002C033C">
      <w:pPr>
        <w:outlineLvl w:val="0"/>
        <w:rPr>
          <w:i/>
          <w:u w:val="single"/>
        </w:rPr>
      </w:pPr>
      <w:r>
        <w:rPr>
          <w:i/>
          <w:u w:val="single"/>
        </w:rPr>
        <w:t>Zvýšenie pečeňových transamináz</w:t>
      </w:r>
    </w:p>
    <w:p w14:paraId="53DE9566" w14:textId="77777777" w:rsidR="009700E5" w:rsidRDefault="002C033C">
      <w:r>
        <w:t>V 6</w:t>
      </w:r>
      <w:r>
        <w:noBreakHyphen/>
        <w:t>mesačných kontrolovaných klinických skúšaniach bolo prechodné zvýšenie hodnôt ALT/AST na </w:t>
      </w:r>
      <w:r>
        <w:rPr>
          <w:rFonts w:eastAsia="MS Mincho"/>
          <w:szCs w:val="22"/>
        </w:rPr>
        <w:sym w:font="Symbol" w:char="F03E"/>
      </w:r>
      <w:r>
        <w:t> 3</w:t>
      </w:r>
      <w:r>
        <w:noBreakHyphen/>
        <w:t>násobok ULN u 2,1 % pacientov liečených tocilizumabom 8 mg/kg oproti 4,9 % pacientov liečených MTX, a u 6,5 % pacientov liečených 8 mg/kg tocilizumabu v kombinácii s DMARD oproti 1,5 % pacientov s placebom v kombinácii s DMARD.</w:t>
      </w:r>
    </w:p>
    <w:p w14:paraId="1D164FE2" w14:textId="77777777" w:rsidR="009700E5" w:rsidRDefault="009700E5"/>
    <w:p w14:paraId="7C03652B" w14:textId="77777777" w:rsidR="009700E5" w:rsidRDefault="002C033C">
      <w:pPr>
        <w:rPr>
          <w:bCs/>
        </w:rPr>
      </w:pPr>
      <w:r>
        <w:rPr>
          <w:szCs w:val="22"/>
        </w:rPr>
        <w:t>Pridanie potenciálne hepatotoxických liekov (napr. MTX) k </w:t>
      </w:r>
      <w:r>
        <w:t>tocilizumabu</w:t>
      </w:r>
      <w:r>
        <w:rPr>
          <w:szCs w:val="22"/>
        </w:rPr>
        <w:t xml:space="preserve"> podávanému v monoterapii viedlo k zvýšenému výskytu vyšších hodnôt. Zvyšovanie hladín ALT/AST na </w:t>
      </w:r>
      <w:r>
        <w:rPr>
          <w:rFonts w:eastAsia="MS Mincho"/>
          <w:szCs w:val="22"/>
        </w:rPr>
        <w:sym w:font="Symbol" w:char="F03E"/>
      </w:r>
      <w:r>
        <w:rPr>
          <w:szCs w:val="22"/>
        </w:rPr>
        <w:t> 5</w:t>
      </w:r>
      <w:r>
        <w:rPr>
          <w:szCs w:val="22"/>
        </w:rPr>
        <w:noBreakHyphen/>
        <w:t xml:space="preserve">násobok ULN sa pozorovalo u 0,7 % pacientov liečených </w:t>
      </w:r>
      <w:r>
        <w:t>tocilizumabom</w:t>
      </w:r>
      <w:r>
        <w:rPr>
          <w:szCs w:val="22"/>
        </w:rPr>
        <w:t xml:space="preserve"> v monoterapii a u 1,4 % pacientov liečených </w:t>
      </w:r>
      <w:r>
        <w:t>tocilizumabom</w:t>
      </w:r>
      <w:r>
        <w:rPr>
          <w:szCs w:val="22"/>
        </w:rPr>
        <w:t xml:space="preserve"> v kombinácii s DMARD, pričom väčšina z nich liečbu tocilizumabom trvalo ukončila. </w:t>
      </w:r>
      <w:r>
        <w:t xml:space="preserve">Počas dvojito zaslepeného kontrolovaného obdobia sa hodnoty </w:t>
      </w:r>
      <w:r>
        <w:rPr>
          <w:bCs/>
        </w:rPr>
        <w:t>nepriameho bilirubínu, sledovaného ako rutinný laboratórny parameter, vyššie ako horná hranica referenčného rozpätia vyskytli</w:t>
      </w:r>
      <w:r>
        <w:t xml:space="preserve"> u 6,2 % </w:t>
      </w:r>
      <w:r>
        <w:rPr>
          <w:bCs/>
          <w:szCs w:val="22"/>
        </w:rPr>
        <w:t xml:space="preserve">pacientov liečených </w:t>
      </w:r>
      <w:r>
        <w:t>tocilizumabom</w:t>
      </w:r>
      <w:r>
        <w:rPr>
          <w:bCs/>
          <w:szCs w:val="22"/>
        </w:rPr>
        <w:t xml:space="preserve"> v dávke 8 mg/kg </w:t>
      </w:r>
      <w:r>
        <w:t xml:space="preserve">+ DMARD. U celkovo 5,8 % pacientov došlo k zvýšeniu hodnoty nepriameho bilirubínu na </w:t>
      </w:r>
      <w:r>
        <w:rPr>
          <w:rFonts w:eastAsia="MS Mincho"/>
          <w:szCs w:val="22"/>
        </w:rPr>
        <w:sym w:font="Symbol" w:char="F03E"/>
      </w:r>
      <w:r>
        <w:rPr>
          <w:rFonts w:eastAsia="MS Mincho"/>
          <w:szCs w:val="22"/>
        </w:rPr>
        <w:t> </w:t>
      </w:r>
      <w:r>
        <w:t>1</w:t>
      </w:r>
      <w:r>
        <w:noBreakHyphen/>
        <w:t>násobok až 2</w:t>
      </w:r>
      <w:r>
        <w:noBreakHyphen/>
        <w:t>násobok ULN a 0,4 % pacientov malo zvýšenie na </w:t>
      </w:r>
      <w:r>
        <w:rPr>
          <w:rFonts w:eastAsia="MS Mincho"/>
          <w:szCs w:val="22"/>
        </w:rPr>
        <w:sym w:font="Symbol" w:char="F03E"/>
      </w:r>
      <w:r>
        <w:t> 2</w:t>
      </w:r>
      <w:r>
        <w:noBreakHyphen/>
        <w:t>násobok ULN.</w:t>
      </w:r>
    </w:p>
    <w:p w14:paraId="294D1B2F" w14:textId="77777777" w:rsidR="009700E5" w:rsidRDefault="009700E5">
      <w:pPr>
        <w:outlineLvl w:val="0"/>
      </w:pPr>
    </w:p>
    <w:p w14:paraId="0E189798" w14:textId="77777777" w:rsidR="009700E5" w:rsidRDefault="002C033C">
      <w:pPr>
        <w:outlineLvl w:val="0"/>
        <w:rPr>
          <w:iCs/>
        </w:rPr>
      </w:pPr>
      <w:r>
        <w:t>Počas dvojito zaslepeného kontrolovaného obdobia a pri dlhodobej expozícii zostával charakter a výskyt prípadov zvýšenia ALT/AST rovnaký ako sa pozoroval počas 6</w:t>
      </w:r>
      <w:r>
        <w:noBreakHyphen/>
        <w:t>mesačných kontrolovaných klinických skúšaní.</w:t>
      </w:r>
    </w:p>
    <w:p w14:paraId="607C5A90" w14:textId="77777777" w:rsidR="009700E5" w:rsidRDefault="009700E5"/>
    <w:p w14:paraId="1DAB36EF" w14:textId="77777777" w:rsidR="009700E5" w:rsidRDefault="002C033C">
      <w:pPr>
        <w:keepNext/>
        <w:keepLines/>
        <w:outlineLvl w:val="0"/>
        <w:rPr>
          <w:i/>
          <w:u w:val="single"/>
        </w:rPr>
      </w:pPr>
      <w:r>
        <w:rPr>
          <w:i/>
          <w:u w:val="single"/>
        </w:rPr>
        <w:lastRenderedPageBreak/>
        <w:t>Hodnoty lipidových parametrov</w:t>
      </w:r>
    </w:p>
    <w:p w14:paraId="4C672286" w14:textId="77777777" w:rsidR="009700E5" w:rsidRDefault="002C033C">
      <w:r>
        <w:t>Zvýšenie hodnôt lipidových parametrov, ako je napríklad celkový cholesterol, triacylglyceroly, LDL</w:t>
      </w:r>
      <w:r>
        <w:noBreakHyphen/>
        <w:t>cholesterol a/alebo HDL</w:t>
      </w:r>
      <w:r>
        <w:noBreakHyphen/>
        <w:t>cholesterol, bolo počas 6</w:t>
      </w:r>
      <w:r>
        <w:noBreakHyphen/>
        <w:t>mesačných kontrolovaných skúšaní hlásené často. Rutinným laboratórnym sledovaním sa zistilo, že</w:t>
      </w:r>
      <w:r>
        <w:rPr>
          <w:szCs w:val="22"/>
        </w:rPr>
        <w:t xml:space="preserve"> p</w:t>
      </w:r>
      <w:r>
        <w:t>ribližne u 24 % pacientov, ktorí v klinických skúšaniach dostávali tocilizumab, došlo k trvalému zvýšeniu hodnôt celkového cholesterolu na </w:t>
      </w:r>
      <w:r>
        <w:sym w:font="Symbol" w:char="F0B3"/>
      </w:r>
      <w:r>
        <w:t> 6,2 mmol/l, pričom u 15 % pacientov došlo k trvalému zvýšeniu hodnôt LDL na </w:t>
      </w:r>
      <w:r>
        <w:sym w:font="Symbol" w:char="F0B3"/>
      </w:r>
      <w:r>
        <w:t> 4,1 mmol/l. Zvýšené lipidové parametre odpovedali na liečbu hypolipidemikami.</w:t>
      </w:r>
    </w:p>
    <w:p w14:paraId="2BA45542" w14:textId="77777777" w:rsidR="009700E5" w:rsidRDefault="009700E5">
      <w:pPr>
        <w:autoSpaceDE w:val="0"/>
        <w:autoSpaceDN w:val="0"/>
        <w:adjustRightInd w:val="0"/>
        <w:rPr>
          <w:rFonts w:eastAsia="SimSun"/>
          <w:szCs w:val="22"/>
          <w:lang w:eastAsia="zh-CN"/>
        </w:rPr>
      </w:pPr>
    </w:p>
    <w:p w14:paraId="5A679200" w14:textId="77777777" w:rsidR="009700E5" w:rsidRDefault="002C033C">
      <w:pPr>
        <w:outlineLvl w:val="0"/>
        <w:rPr>
          <w:iCs/>
        </w:rPr>
      </w:pPr>
      <w:r>
        <w:t>Počas dvojito zaslepeného kontrolovaného obdobia a pri dlhodobej expozícii zostával charakter a výskyt prípadov zvýšenia lipidových parametrov rovnaký ako sa pozoroval počas 6</w:t>
      </w:r>
      <w:r>
        <w:noBreakHyphen/>
        <w:t>mesačných kontrolovaných klinických skúšaní.</w:t>
      </w:r>
    </w:p>
    <w:p w14:paraId="5258FFB6" w14:textId="77777777" w:rsidR="009700E5" w:rsidRDefault="009700E5">
      <w:pPr>
        <w:autoSpaceDE w:val="0"/>
        <w:autoSpaceDN w:val="0"/>
        <w:adjustRightInd w:val="0"/>
        <w:rPr>
          <w:rFonts w:eastAsia="SimSun"/>
          <w:szCs w:val="22"/>
          <w:lang w:eastAsia="zh-CN"/>
        </w:rPr>
      </w:pPr>
    </w:p>
    <w:p w14:paraId="3B56D0AB" w14:textId="77777777" w:rsidR="009700E5" w:rsidRDefault="002C033C">
      <w:pPr>
        <w:shd w:val="clear" w:color="auto" w:fill="FFFFFF"/>
        <w:rPr>
          <w:color w:val="222222"/>
          <w:szCs w:val="22"/>
          <w:u w:val="single"/>
          <w:lang w:eastAsia="en-GB"/>
        </w:rPr>
      </w:pPr>
      <w:r>
        <w:rPr>
          <w:bCs/>
          <w:i/>
          <w:iCs/>
          <w:color w:val="222222"/>
          <w:szCs w:val="22"/>
          <w:u w:val="single"/>
          <w:lang w:eastAsia="en-GB"/>
        </w:rPr>
        <w:t>Kožné reakcie</w:t>
      </w:r>
    </w:p>
    <w:p w14:paraId="0C900B03" w14:textId="77777777" w:rsidR="009700E5" w:rsidRDefault="002C033C">
      <w:pPr>
        <w:outlineLvl w:val="0"/>
        <w:rPr>
          <w:color w:val="222222"/>
          <w:szCs w:val="22"/>
          <w:lang w:eastAsia="en-GB"/>
        </w:rPr>
      </w:pPr>
      <w:r>
        <w:rPr>
          <w:rStyle w:val="Emphasis"/>
          <w:b w:val="0"/>
        </w:rPr>
        <w:t xml:space="preserve">V postmarketingovom sledovaní sa vyskytli zriedkavé </w:t>
      </w:r>
      <w:r>
        <w:rPr>
          <w:iCs/>
          <w:color w:val="222222"/>
          <w:szCs w:val="22"/>
          <w:lang w:eastAsia="en-GB"/>
        </w:rPr>
        <w:t>hlásenia Stevensovho</w:t>
      </w:r>
      <w:r>
        <w:rPr>
          <w:iCs/>
          <w:color w:val="222222"/>
          <w:szCs w:val="22"/>
          <w:lang w:eastAsia="en-GB"/>
        </w:rPr>
        <w:noBreakHyphen/>
        <w:t>Johnsonovho syndrómu.</w:t>
      </w:r>
    </w:p>
    <w:p w14:paraId="0D03323B" w14:textId="77777777" w:rsidR="009700E5" w:rsidRDefault="009700E5">
      <w:pPr>
        <w:autoSpaceDE w:val="0"/>
        <w:autoSpaceDN w:val="0"/>
        <w:adjustRightInd w:val="0"/>
        <w:rPr>
          <w:rFonts w:eastAsia="SimSun"/>
          <w:szCs w:val="22"/>
          <w:lang w:eastAsia="zh-CN"/>
        </w:rPr>
      </w:pPr>
    </w:p>
    <w:p w14:paraId="4EAAC77E" w14:textId="77777777" w:rsidR="009700E5" w:rsidRDefault="002C033C">
      <w:pPr>
        <w:keepNext/>
        <w:keepLines/>
        <w:tabs>
          <w:tab w:val="left" w:pos="567"/>
        </w:tabs>
        <w:autoSpaceDE w:val="0"/>
        <w:autoSpaceDN w:val="0"/>
        <w:adjustRightInd w:val="0"/>
        <w:spacing w:line="260" w:lineRule="exact"/>
        <w:rPr>
          <w:szCs w:val="22"/>
          <w:u w:val="single"/>
        </w:rPr>
      </w:pPr>
      <w:r>
        <w:rPr>
          <w:szCs w:val="22"/>
          <w:u w:val="single"/>
        </w:rPr>
        <w:t>Hlásenie podozrení na nežiaduce reakcie</w:t>
      </w:r>
    </w:p>
    <w:p w14:paraId="08B4003F" w14:textId="77777777" w:rsidR="009700E5" w:rsidRDefault="002C033C">
      <w:pPr>
        <w:keepNext/>
        <w:keepLines/>
        <w:autoSpaceDE w:val="0"/>
        <w:autoSpaceDN w:val="0"/>
        <w:adjustRightInd w:val="0"/>
        <w:rPr>
          <w:szCs w:val="22"/>
        </w:rPr>
      </w:pPr>
      <w:r>
        <w:rPr>
          <w:szCs w:val="22"/>
        </w:rPr>
        <w:t>Hlásenie podozrení na nežiaduce reakcie po registrácii lieku je dôležité. Umožňuje priebežné monitorovanie pomeru prínosu</w:t>
      </w:r>
      <w:r>
        <w:t xml:space="preserve"> a</w:t>
      </w:r>
      <w:r>
        <w:rPr>
          <w:szCs w:val="22"/>
        </w:rPr>
        <w:t xml:space="preserve"> rizika lieku. Od zdravotníckych pracovníkov sa vyžaduje, aby hlásili akékoľvek podozrenia na nežiaduce reakcie na </w:t>
      </w:r>
      <w:r>
        <w:rPr>
          <w:rFonts w:cs="Calibri"/>
          <w:snapToGrid w:val="0"/>
          <w:highlight w:val="lightGray"/>
        </w:rPr>
        <w:t>národné centrum hlásenia uvedené v </w:t>
      </w:r>
      <w:hyperlink r:id="rId12" w:history="1">
        <w:r>
          <w:rPr>
            <w:rStyle w:val="Hyperlink"/>
            <w:rFonts w:cs="Calibri"/>
            <w:color w:val="0033CC"/>
            <w:highlight w:val="lightGray"/>
          </w:rPr>
          <w:t>Prílohe V</w:t>
        </w:r>
      </w:hyperlink>
      <w:r>
        <w:rPr>
          <w:szCs w:val="22"/>
        </w:rPr>
        <w:t>.</w:t>
      </w:r>
    </w:p>
    <w:p w14:paraId="7C7A31B2" w14:textId="77777777" w:rsidR="009700E5" w:rsidRDefault="009700E5">
      <w:pPr>
        <w:autoSpaceDE w:val="0"/>
        <w:autoSpaceDN w:val="0"/>
        <w:adjustRightInd w:val="0"/>
        <w:rPr>
          <w:szCs w:val="22"/>
        </w:rPr>
      </w:pPr>
    </w:p>
    <w:p w14:paraId="76D17E6F" w14:textId="77777777" w:rsidR="009700E5" w:rsidRDefault="002C033C">
      <w:pPr>
        <w:keepNext/>
        <w:outlineLvl w:val="0"/>
        <w:rPr>
          <w:szCs w:val="22"/>
        </w:rPr>
      </w:pPr>
      <w:r>
        <w:rPr>
          <w:b/>
          <w:szCs w:val="22"/>
        </w:rPr>
        <w:t>4.9</w:t>
      </w:r>
      <w:r>
        <w:rPr>
          <w:b/>
          <w:szCs w:val="22"/>
        </w:rPr>
        <w:tab/>
        <w:t>Predávkovanie</w:t>
      </w:r>
    </w:p>
    <w:p w14:paraId="5DEC636E" w14:textId="77777777" w:rsidR="009700E5" w:rsidRDefault="009700E5">
      <w:pPr>
        <w:keepNext/>
        <w:rPr>
          <w:szCs w:val="22"/>
        </w:rPr>
      </w:pPr>
    </w:p>
    <w:p w14:paraId="50AF5D95" w14:textId="77777777" w:rsidR="009700E5" w:rsidRDefault="002C033C">
      <w:pPr>
        <w:keepNext/>
        <w:rPr>
          <w:szCs w:val="22"/>
        </w:rPr>
      </w:pPr>
      <w:r>
        <w:rPr>
          <w:szCs w:val="22"/>
        </w:rPr>
        <w:t>K dispozícii sú obmedzené údaje o predávkovaní tocilizumabom. Hlásený bol jeden prípad náhodného predávkovania, pri ktorom pacient s mnohopočetným myelómom dostal jednorazovú intravenózne podanú dávku 40 mg/kg. Nepozorovali sa žiadne nežiaduce reakcie.</w:t>
      </w:r>
    </w:p>
    <w:p w14:paraId="72A6092C" w14:textId="77777777" w:rsidR="009700E5" w:rsidRDefault="009700E5">
      <w:pPr>
        <w:rPr>
          <w:szCs w:val="22"/>
        </w:rPr>
      </w:pPr>
    </w:p>
    <w:p w14:paraId="66BADA56" w14:textId="77777777" w:rsidR="009700E5" w:rsidRDefault="002C033C">
      <w:pPr>
        <w:rPr>
          <w:szCs w:val="22"/>
        </w:rPr>
      </w:pPr>
      <w:r>
        <w:rPr>
          <w:szCs w:val="22"/>
        </w:rPr>
        <w:t>U zdravých dobrovoľníkov, ktorí dostali jednorazovú dávku do 28 mg/kg, sa nepozorovali žiadne závažné nežiaduce reakcie, hoci došlo k výskytu neutropénie limitujúcej dávku.</w:t>
      </w:r>
    </w:p>
    <w:p w14:paraId="2957111A" w14:textId="77777777" w:rsidR="009700E5" w:rsidRDefault="009700E5">
      <w:pPr>
        <w:rPr>
          <w:szCs w:val="22"/>
        </w:rPr>
      </w:pPr>
    </w:p>
    <w:p w14:paraId="0C37CF97" w14:textId="77777777" w:rsidR="009700E5" w:rsidRDefault="009700E5">
      <w:pPr>
        <w:rPr>
          <w:szCs w:val="22"/>
        </w:rPr>
      </w:pPr>
    </w:p>
    <w:p w14:paraId="54238FB9" w14:textId="77777777" w:rsidR="009700E5" w:rsidRDefault="002C033C">
      <w:r>
        <w:rPr>
          <w:b/>
        </w:rPr>
        <w:t>5.</w:t>
      </w:r>
      <w:r>
        <w:rPr>
          <w:b/>
        </w:rPr>
        <w:tab/>
      </w:r>
      <w:r>
        <w:rPr>
          <w:b/>
          <w:szCs w:val="22"/>
        </w:rPr>
        <w:t>FARMAKOLOGICKÉ VLASTNOSTI</w:t>
      </w:r>
    </w:p>
    <w:p w14:paraId="734D8B10" w14:textId="77777777" w:rsidR="009700E5" w:rsidRDefault="009700E5"/>
    <w:p w14:paraId="00DCE35F" w14:textId="77777777" w:rsidR="009700E5" w:rsidRDefault="002C033C">
      <w:pPr>
        <w:outlineLvl w:val="0"/>
      </w:pPr>
      <w:r>
        <w:rPr>
          <w:b/>
        </w:rPr>
        <w:t>5.1</w:t>
      </w:r>
      <w:r>
        <w:rPr>
          <w:b/>
        </w:rPr>
        <w:tab/>
      </w:r>
      <w:r>
        <w:rPr>
          <w:b/>
          <w:szCs w:val="22"/>
        </w:rPr>
        <w:t>Farmakodynamické vlastnosti</w:t>
      </w:r>
    </w:p>
    <w:p w14:paraId="350B5F0C" w14:textId="77777777" w:rsidR="009700E5" w:rsidRDefault="009700E5"/>
    <w:p w14:paraId="104A174C" w14:textId="77777777" w:rsidR="009700E5" w:rsidRDefault="002C033C">
      <w:pPr>
        <w:numPr>
          <w:ilvl w:val="12"/>
          <w:numId w:val="0"/>
        </w:numPr>
        <w:ind w:right="-2"/>
      </w:pPr>
      <w:r>
        <w:rPr>
          <w:szCs w:val="22"/>
        </w:rPr>
        <w:t>Farmakoterapeutická skupina</w:t>
      </w:r>
      <w:r>
        <w:t>: Imunosupresíva, inhibítory interleukínu; ATC kód: L04AC07.</w:t>
      </w:r>
    </w:p>
    <w:p w14:paraId="056C659D" w14:textId="77777777" w:rsidR="009700E5" w:rsidRDefault="009700E5">
      <w:pPr>
        <w:numPr>
          <w:ilvl w:val="12"/>
          <w:numId w:val="0"/>
        </w:numPr>
        <w:ind w:right="-2"/>
      </w:pPr>
    </w:p>
    <w:p w14:paraId="2A82ED33" w14:textId="77777777" w:rsidR="009700E5" w:rsidRDefault="002C033C">
      <w:pPr>
        <w:keepNext/>
        <w:keepLines/>
        <w:numPr>
          <w:ilvl w:val="12"/>
          <w:numId w:val="0"/>
        </w:numPr>
        <w:rPr>
          <w:iCs/>
          <w:u w:val="single"/>
        </w:rPr>
      </w:pPr>
      <w:r>
        <w:rPr>
          <w:iCs/>
          <w:u w:val="single"/>
        </w:rPr>
        <w:t>Mechanizmus účinku</w:t>
      </w:r>
    </w:p>
    <w:p w14:paraId="7BD27F59" w14:textId="77777777" w:rsidR="009700E5" w:rsidRDefault="002C033C">
      <w:pPr>
        <w:keepNext/>
        <w:keepLines/>
        <w:numPr>
          <w:ilvl w:val="12"/>
          <w:numId w:val="0"/>
        </w:numPr>
      </w:pPr>
      <w:r>
        <w:t>Tocilizumab sa špecificky viaže na rozpustný aj na membránovo</w:t>
      </w:r>
      <w:r>
        <w:noBreakHyphen/>
        <w:t>viazaný receptor pre IL</w:t>
      </w:r>
      <w:r>
        <w:noBreakHyphen/>
        <w:t>6 (sIL</w:t>
      </w:r>
      <w:r>
        <w:noBreakHyphen/>
        <w:t>6R a mIL</w:t>
      </w:r>
      <w:r>
        <w:noBreakHyphen/>
        <w:t xml:space="preserve">6R). Dokázalo sa, že tocilizumab inhibuje prenos signálu sprostredkovaný </w:t>
      </w:r>
      <w:r>
        <w:rPr>
          <w:iCs/>
        </w:rPr>
        <w:t>sIL</w:t>
      </w:r>
      <w:r>
        <w:rPr>
          <w:iCs/>
        </w:rPr>
        <w:noBreakHyphen/>
        <w:t xml:space="preserve">6R a </w:t>
      </w:r>
      <w:r>
        <w:t>mIL</w:t>
      </w:r>
      <w:r>
        <w:noBreakHyphen/>
        <w:t>6R. IL</w:t>
      </w:r>
      <w:r>
        <w:noBreakHyphen/>
        <w:t>6 je pleiotropný prozápalový cytokín, ktorý produkujú rôzne typy buniek, vrátane T</w:t>
      </w:r>
      <w:r>
        <w:noBreakHyphen/>
        <w:t> a B</w:t>
      </w:r>
      <w:r>
        <w:noBreakHyphen/>
        <w:t>buniek, monocytov a fibroblastov. IL</w:t>
      </w:r>
      <w:r>
        <w:noBreakHyphen/>
        <w:t>6 sa zúčastňuje na rôznorodých fyziologických procesoch, ako je aktivácia T</w:t>
      </w:r>
      <w:r>
        <w:noBreakHyphen/>
        <w:t>buniek, indukcia sekrécie imunoglobulínov, indukcia syntézy proteínov akútnej fázy v pečeni a stimulácia krvotvorby. IL</w:t>
      </w:r>
      <w:r>
        <w:noBreakHyphen/>
        <w:t>6 sa podieľa na patogenéze ochorení, medzi ktoré patria zápalové ochorenia, osteoporóza a neoplázie.</w:t>
      </w:r>
    </w:p>
    <w:p w14:paraId="556C7C45" w14:textId="77777777" w:rsidR="009700E5" w:rsidRDefault="009700E5">
      <w:pPr>
        <w:numPr>
          <w:ilvl w:val="12"/>
          <w:numId w:val="0"/>
        </w:numPr>
        <w:ind w:right="-2"/>
      </w:pPr>
    </w:p>
    <w:p w14:paraId="3DE839C2" w14:textId="77777777" w:rsidR="009700E5" w:rsidRDefault="002C033C">
      <w:pPr>
        <w:keepNext/>
        <w:numPr>
          <w:ilvl w:val="12"/>
          <w:numId w:val="0"/>
        </w:numPr>
        <w:rPr>
          <w:bCs/>
        </w:rPr>
        <w:pPrChange w:id="1083" w:author="Author" w:date="2025-07-22T17:47:00Z">
          <w:pPr>
            <w:numPr>
              <w:ilvl w:val="12"/>
            </w:numPr>
          </w:pPr>
        </w:pPrChange>
      </w:pPr>
      <w:r>
        <w:rPr>
          <w:u w:val="single"/>
        </w:rPr>
        <w:t>Farmakodynamické účinky</w:t>
      </w:r>
    </w:p>
    <w:p w14:paraId="10FCA763" w14:textId="77777777" w:rsidR="009700E5" w:rsidRDefault="002C033C">
      <w:pPr>
        <w:numPr>
          <w:ilvl w:val="12"/>
          <w:numId w:val="0"/>
        </w:numPr>
      </w:pPr>
      <w:r>
        <w:rPr>
          <w:bCs/>
        </w:rPr>
        <w:t xml:space="preserve">V klinických skúšaniach </w:t>
      </w:r>
      <w:ins w:id="1084" w:author="Author" w:date="2025-07-19T22:51:00Z">
        <w:r>
          <w:rPr>
            <w:bCs/>
          </w:rPr>
          <w:t xml:space="preserve">RA </w:t>
        </w:r>
      </w:ins>
      <w:r>
        <w:rPr>
          <w:bCs/>
        </w:rPr>
        <w:t>s </w:t>
      </w:r>
      <w:r>
        <w:rPr>
          <w:szCs w:val="22"/>
        </w:rPr>
        <w:t xml:space="preserve">tocilizumabom </w:t>
      </w:r>
      <w:r>
        <w:rPr>
          <w:bCs/>
        </w:rPr>
        <w:t xml:space="preserve">sa pozoroval rýchly pokles hodnôt CRP, sedimentácie erytrocytov (ESR), sérového </w:t>
      </w:r>
      <w:r>
        <w:t>amyloidu A (SAA) a fibrinogénu</w:t>
      </w:r>
      <w:r>
        <w:rPr>
          <w:bCs/>
        </w:rPr>
        <w:t xml:space="preserve">. V zhode s účinkom na reaktanty akútnej fázy bola liečba </w:t>
      </w:r>
      <w:r>
        <w:rPr>
          <w:szCs w:val="22"/>
        </w:rPr>
        <w:t>tocilizumabom</w:t>
      </w:r>
      <w:r>
        <w:rPr>
          <w:bCs/>
        </w:rPr>
        <w:t xml:space="preserve"> spojená s poklesom počtu trombocytov na hodnoty v rámci referenčného rozpätia. Pozorovalo sa zvýšenie hladín hemoglobínu, ktoré </w:t>
      </w:r>
      <w:r>
        <w:rPr>
          <w:szCs w:val="22"/>
        </w:rPr>
        <w:t>tocilizumab</w:t>
      </w:r>
      <w:r>
        <w:rPr>
          <w:bCs/>
        </w:rPr>
        <w:t xml:space="preserve"> vyvoláva tým, že znižuje IL</w:t>
      </w:r>
      <w:r>
        <w:rPr>
          <w:bCs/>
        </w:rPr>
        <w:noBreakHyphen/>
        <w:t>6 navodené účinky na tvorbu hepcidínu, čím sa zvyšuje dostupnosť železa.</w:t>
      </w:r>
      <w:r>
        <w:t xml:space="preserve"> U liečených pacientov sa pokles hladín CRP na hodnoty v rámci referenčného rozpätia pozoroval už od 2. týždňa a počas trvania liečby sa tento pokles udržal.</w:t>
      </w:r>
    </w:p>
    <w:p w14:paraId="47AE479F" w14:textId="77777777" w:rsidR="009700E5" w:rsidRDefault="009700E5">
      <w:pPr>
        <w:numPr>
          <w:ilvl w:val="12"/>
          <w:numId w:val="0"/>
        </w:numPr>
        <w:ind w:right="-2"/>
      </w:pPr>
    </w:p>
    <w:p w14:paraId="03FE839F" w14:textId="77777777" w:rsidR="009700E5" w:rsidRDefault="002C033C">
      <w:pPr>
        <w:numPr>
          <w:ilvl w:val="12"/>
          <w:numId w:val="0"/>
        </w:numPr>
        <w:ind w:right="-2"/>
      </w:pPr>
      <w:r>
        <w:t>V</w:t>
      </w:r>
      <w:del w:id="1085" w:author="Author" w:date="2025-07-19T22:51:00Z">
        <w:r>
          <w:delText> </w:delText>
        </w:r>
      </w:del>
      <w:ins w:id="1086" w:author="Author" w:date="2025-07-19T22:51:00Z">
        <w:r>
          <w:t> </w:t>
        </w:r>
      </w:ins>
      <w:del w:id="1087" w:author="Author" w:date="2025-07-19T22:51:00Z">
        <w:r>
          <w:delText>klinickej štúdii</w:delText>
        </w:r>
      </w:del>
      <w:ins w:id="1088" w:author="Author" w:date="2025-07-19T22:51:00Z">
        <w:r>
          <w:t>klinickom skúšaní</w:t>
        </w:r>
      </w:ins>
      <w:r>
        <w:t xml:space="preserve"> OBA WA28119 sa pozoroval podobný rýchly pokles hodnôt CRP a sedimentácie erytrocytov (ESR) s miernym zvýšením priemernej koncentrácie korpuskulárneho hemoglobínu. U zdravých dobrovoľníkov, ktorým sa podával </w:t>
      </w:r>
      <w:r>
        <w:rPr>
          <w:szCs w:val="22"/>
        </w:rPr>
        <w:t>tocilizumab</w:t>
      </w:r>
      <w:r>
        <w:t xml:space="preserve"> v dávkach od 2 do 28 mg/kg </w:t>
      </w:r>
      <w:r>
        <w:lastRenderedPageBreak/>
        <w:t>intravenózne a od 81 do 162 mg subkutánne, klesal absolútny počet neutrofilov k najnižším hladinám 2 až 5 dní po podaní. Potom sa počet neutrofilov vrátil k východiskovým hodnotám v závislosti od dávky.</w:t>
      </w:r>
    </w:p>
    <w:p w14:paraId="560C0A9B" w14:textId="77777777" w:rsidR="009700E5" w:rsidRDefault="009700E5">
      <w:pPr>
        <w:numPr>
          <w:ilvl w:val="12"/>
          <w:numId w:val="0"/>
        </w:numPr>
        <w:ind w:right="-2"/>
      </w:pPr>
    </w:p>
    <w:p w14:paraId="26FFBDB8" w14:textId="77777777" w:rsidR="009700E5" w:rsidRDefault="002C033C">
      <w:pPr>
        <w:numPr>
          <w:ilvl w:val="12"/>
          <w:numId w:val="0"/>
        </w:numPr>
        <w:ind w:right="-2"/>
      </w:pPr>
      <w:r>
        <w:t xml:space="preserve">Pacienti </w:t>
      </w:r>
      <w:ins w:id="1089" w:author="Author" w:date="2025-07-19T22:52:00Z">
        <w:r>
          <w:t>s RA a</w:t>
        </w:r>
      </w:ins>
      <w:ins w:id="1090" w:author="Author" w:date="2025-07-19T22:53:00Z">
        <w:r>
          <w:t xml:space="preserve"> OBA </w:t>
        </w:r>
      </w:ins>
      <w:r>
        <w:t xml:space="preserve">po podaní </w:t>
      </w:r>
      <w:r>
        <w:rPr>
          <w:szCs w:val="22"/>
        </w:rPr>
        <w:t>tocilizumabu</w:t>
      </w:r>
      <w:r>
        <w:t xml:space="preserve"> vykazujú porovnateľný (oproti zdravým osobám) pokles absolútneho počtu neutrofilov (pozri časť 4.8).</w:t>
      </w:r>
    </w:p>
    <w:p w14:paraId="3C1DF46A" w14:textId="77777777" w:rsidR="009700E5" w:rsidRDefault="009700E5">
      <w:pPr>
        <w:numPr>
          <w:ilvl w:val="12"/>
          <w:numId w:val="0"/>
        </w:numPr>
        <w:ind w:right="-2"/>
      </w:pPr>
    </w:p>
    <w:p w14:paraId="643665AA" w14:textId="77777777" w:rsidR="009700E5" w:rsidRDefault="002C033C">
      <w:pPr>
        <w:keepNext/>
        <w:keepLines/>
        <w:numPr>
          <w:ilvl w:val="12"/>
          <w:numId w:val="0"/>
        </w:numPr>
        <w:rPr>
          <w:ins w:id="1091" w:author="Author" w:date="2025-07-19T22:54:00Z"/>
          <w:bCs/>
          <w:u w:val="single"/>
        </w:rPr>
      </w:pPr>
      <w:del w:id="1092" w:author="Author" w:date="2025-07-19T22:53:00Z">
        <w:r>
          <w:rPr>
            <w:bCs/>
            <w:u w:val="single"/>
          </w:rPr>
          <w:delText>RA (</w:delText>
        </w:r>
      </w:del>
      <w:ins w:id="1093" w:author="Author" w:date="2025-07-19T22:53:00Z">
        <w:r>
          <w:rPr>
            <w:bCs/>
            <w:u w:val="single"/>
          </w:rPr>
          <w:t>S</w:t>
        </w:r>
      </w:ins>
      <w:del w:id="1094" w:author="Author" w:date="2025-07-19T22:53:00Z">
        <w:r>
          <w:rPr>
            <w:bCs/>
            <w:u w:val="single"/>
          </w:rPr>
          <w:delText>s</w:delText>
        </w:r>
      </w:del>
      <w:r>
        <w:rPr>
          <w:bCs/>
          <w:u w:val="single"/>
        </w:rPr>
        <w:t>ubkutánne použitie</w:t>
      </w:r>
      <w:del w:id="1095" w:author="Author" w:date="2025-07-19T22:54:00Z">
        <w:r>
          <w:rPr>
            <w:bCs/>
            <w:u w:val="single"/>
          </w:rPr>
          <w:delText>)</w:delText>
        </w:r>
      </w:del>
    </w:p>
    <w:p w14:paraId="15E71ED3" w14:textId="77777777" w:rsidR="009700E5" w:rsidRDefault="002C033C">
      <w:pPr>
        <w:keepNext/>
        <w:keepLines/>
        <w:numPr>
          <w:ilvl w:val="12"/>
          <w:numId w:val="0"/>
        </w:numPr>
        <w:rPr>
          <w:ins w:id="1096" w:author="Author" w:date="2025-07-19T22:54:00Z"/>
          <w:bCs/>
          <w:i/>
          <w:iCs/>
        </w:rPr>
      </w:pPr>
      <w:ins w:id="1097" w:author="Author" w:date="2025-07-19T22:54:00Z">
        <w:r>
          <w:rPr>
            <w:bCs/>
            <w:i/>
            <w:iCs/>
            <w:rPrChange w:id="1098" w:author="Author" w:date="2025-08-22T15:12:00Z">
              <w:rPr>
                <w:bCs/>
                <w:u w:val="single"/>
              </w:rPr>
            </w:rPrChange>
          </w:rPr>
          <w:t>Pacienti s</w:t>
        </w:r>
        <w:r>
          <w:rPr>
            <w:bCs/>
            <w:i/>
            <w:iCs/>
          </w:rPr>
          <w:t> </w:t>
        </w:r>
        <w:r>
          <w:rPr>
            <w:bCs/>
            <w:i/>
            <w:iCs/>
            <w:rPrChange w:id="1099" w:author="Author" w:date="2025-08-22T15:12:00Z">
              <w:rPr>
                <w:bCs/>
                <w:u w:val="single"/>
              </w:rPr>
            </w:rPrChange>
          </w:rPr>
          <w:t>RA</w:t>
        </w:r>
      </w:ins>
    </w:p>
    <w:p w14:paraId="5E9645FD" w14:textId="77777777" w:rsidR="009700E5" w:rsidRPr="009700E5" w:rsidRDefault="009700E5">
      <w:pPr>
        <w:keepNext/>
        <w:keepLines/>
        <w:numPr>
          <w:ilvl w:val="12"/>
          <w:numId w:val="0"/>
        </w:numPr>
        <w:rPr>
          <w:bCs/>
          <w:i/>
          <w:iCs/>
          <w:rPrChange w:id="1100" w:author="Author" w:date="2025-08-22T15:12:00Z">
            <w:rPr>
              <w:bCs/>
              <w:u w:val="single"/>
            </w:rPr>
          </w:rPrChange>
        </w:rPr>
      </w:pPr>
    </w:p>
    <w:p w14:paraId="4607E3BC" w14:textId="77777777" w:rsidR="009700E5" w:rsidRPr="009700E5" w:rsidRDefault="002C033C">
      <w:pPr>
        <w:numPr>
          <w:ilvl w:val="12"/>
          <w:numId w:val="0"/>
        </w:numPr>
        <w:ind w:right="-2"/>
        <w:rPr>
          <w:i/>
          <w:iCs/>
          <w:u w:val="single"/>
          <w:rPrChange w:id="1101" w:author="Author" w:date="2025-08-22T15:12:00Z">
            <w:rPr>
              <w:i/>
              <w:iCs/>
            </w:rPr>
          </w:rPrChange>
        </w:rPr>
      </w:pPr>
      <w:r>
        <w:rPr>
          <w:i/>
          <w:iCs/>
          <w:u w:val="single"/>
          <w:rPrChange w:id="1102" w:author="Author" w:date="2025-08-22T15:12:00Z">
            <w:rPr>
              <w:i/>
              <w:iCs/>
            </w:rPr>
          </w:rPrChange>
        </w:rPr>
        <w:t>Klinická účinnosť</w:t>
      </w:r>
    </w:p>
    <w:p w14:paraId="37B8818F" w14:textId="77777777" w:rsidR="009700E5" w:rsidRDefault="009700E5">
      <w:pPr>
        <w:numPr>
          <w:ilvl w:val="12"/>
          <w:numId w:val="0"/>
        </w:numPr>
        <w:ind w:right="-2"/>
        <w:rPr>
          <w:del w:id="1103" w:author="Author" w:date="2025-07-24T21:08:00Z"/>
        </w:rPr>
      </w:pPr>
    </w:p>
    <w:p w14:paraId="3C4F11C2" w14:textId="77777777" w:rsidR="009700E5" w:rsidRDefault="002C033C">
      <w:pPr>
        <w:numPr>
          <w:ilvl w:val="12"/>
          <w:numId w:val="0"/>
        </w:numPr>
        <w:ind w:right="-2"/>
      </w:pPr>
      <w:r>
        <w:t>Účinnosť subkutánne podávaného tocilizumabu v zmierňovaní prejavov a príznakov RA a rádiografická odpoveď sa hodnotili v dvoch randomizovaných, dvojito zaslepených, kontrolovaných, multicentrických skúšaniach. V</w:t>
      </w:r>
      <w:del w:id="1104" w:author="Author" w:date="2025-07-21T10:09:00Z">
        <w:r>
          <w:delText> </w:delText>
        </w:r>
      </w:del>
      <w:ins w:id="1105" w:author="Author" w:date="2025-07-21T10:09:00Z">
        <w:r>
          <w:t> </w:t>
        </w:r>
      </w:ins>
      <w:del w:id="1106" w:author="Author" w:date="2025-07-19T22:55:00Z">
        <w:r>
          <w:delText>štúdii</w:delText>
        </w:r>
      </w:del>
      <w:ins w:id="1107" w:author="Author" w:date="2025-07-21T10:08:00Z">
        <w:r>
          <w:t xml:space="preserve">klinickom </w:t>
        </w:r>
      </w:ins>
      <w:ins w:id="1108" w:author="Author" w:date="2025-07-19T22:55:00Z">
        <w:r>
          <w:t>skúšaní</w:t>
        </w:r>
      </w:ins>
      <w:r>
        <w:t> I (SC</w:t>
      </w:r>
      <w:r>
        <w:noBreakHyphen/>
        <w:t>I) sa vyžadovalo, aby mali pacienti vek </w:t>
      </w:r>
      <w:r>
        <w:rPr>
          <w:rFonts w:eastAsia="MS Mincho"/>
          <w:szCs w:val="22"/>
        </w:rPr>
        <w:sym w:font="Symbol" w:char="F03E"/>
      </w:r>
      <w:r>
        <w:t xml:space="preserve"> 18 rokov, stredne ťažkú až ťažkú aktívnu RA diagnostikovanú podľa kritérií ACR a aby mali pred začiatkom liečby minimálne 4 bolestivé a 4 opuchnuté kĺby. </w:t>
      </w:r>
      <w:r>
        <w:rPr>
          <w:rFonts w:eastAsia="SimSun"/>
          <w:szCs w:val="22"/>
          <w:lang w:eastAsia="zh-CN"/>
        </w:rPr>
        <w:t>Všetkým pacientom boli v rámci základnej liečby podávané nebiologické DMARD.</w:t>
      </w:r>
      <w:r>
        <w:t xml:space="preserve"> V </w:t>
      </w:r>
      <w:del w:id="1109" w:author="Author" w:date="2025-07-19T22:55:00Z">
        <w:r>
          <w:delText>štúdii </w:delText>
        </w:r>
      </w:del>
      <w:ins w:id="1110" w:author="Author" w:date="2025-07-21T10:09:00Z">
        <w:r>
          <w:t xml:space="preserve">klinickom </w:t>
        </w:r>
      </w:ins>
      <w:ins w:id="1111" w:author="Author" w:date="2025-07-19T22:55:00Z">
        <w:r>
          <w:t>skúšaní </w:t>
        </w:r>
      </w:ins>
      <w:r>
        <w:t>II (SC</w:t>
      </w:r>
      <w:r>
        <w:noBreakHyphen/>
        <w:t>II) sa vyžadovalo, aby pacienti mali vek </w:t>
      </w:r>
      <w:r>
        <w:rPr>
          <w:rFonts w:eastAsia="MS Mincho"/>
          <w:szCs w:val="22"/>
        </w:rPr>
        <w:sym w:font="Symbol" w:char="F03E"/>
      </w:r>
      <w:r>
        <w:t> 18 rokov, stredne ťažkú až ťažkú aktívnu RA diagnostikovanú podľa kritérií ACR a aby mali pred začiatkom liečby minimálne 8 bolestivých a 6 opuchnutých kĺbov.</w:t>
      </w:r>
    </w:p>
    <w:p w14:paraId="40690BE7" w14:textId="77777777" w:rsidR="009700E5" w:rsidRDefault="009700E5">
      <w:pPr>
        <w:numPr>
          <w:ilvl w:val="12"/>
          <w:numId w:val="0"/>
        </w:numPr>
        <w:ind w:right="-2"/>
      </w:pPr>
    </w:p>
    <w:p w14:paraId="18FA8140" w14:textId="77777777" w:rsidR="009700E5" w:rsidRDefault="002C033C">
      <w:pPr>
        <w:keepNext/>
        <w:keepLines/>
        <w:numPr>
          <w:ilvl w:val="12"/>
          <w:numId w:val="0"/>
        </w:numPr>
      </w:pPr>
      <w:r>
        <w:t>Po prechode z dávky 8 mg/kg podávanej intravenózne raz za 4 týždne na dávku 162 mg podávanú subkutánne raz za týždeň dôjde u pacienta k zmene expozície. Rozsah tejto zmeny sa líši v závislosti od telesnej hmotnosti pacienta (zvýšenie expozície u pacientov s nízkou telesnou hmotnosťou a zníženie expozície u pacientov s vysokou telesnou hmotnosťou), ale klinický výsledok sa zhoduje s klinickým výsledkom pozorovaným u pacientov liečených intravenóznou formou lieku.</w:t>
      </w:r>
    </w:p>
    <w:p w14:paraId="5D3D300B" w14:textId="77777777" w:rsidR="009700E5" w:rsidRDefault="009700E5">
      <w:pPr>
        <w:numPr>
          <w:ilvl w:val="12"/>
          <w:numId w:val="0"/>
        </w:numPr>
        <w:ind w:right="-2"/>
      </w:pPr>
    </w:p>
    <w:p w14:paraId="0F68EDE4" w14:textId="77777777" w:rsidR="009700E5" w:rsidRDefault="002C033C">
      <w:pPr>
        <w:keepNext/>
        <w:keepLines/>
        <w:numPr>
          <w:ilvl w:val="12"/>
          <w:numId w:val="0"/>
        </w:numPr>
        <w:rPr>
          <w:i/>
          <w:u w:val="single"/>
        </w:rPr>
      </w:pPr>
      <w:r>
        <w:rPr>
          <w:i/>
          <w:u w:val="single"/>
        </w:rPr>
        <w:t>Klinická odpoveď</w:t>
      </w:r>
    </w:p>
    <w:p w14:paraId="477AF9C7" w14:textId="77777777" w:rsidR="009700E5" w:rsidRDefault="002C033C">
      <w:pPr>
        <w:keepNext/>
        <w:keepLines/>
        <w:numPr>
          <w:ilvl w:val="12"/>
          <w:numId w:val="0"/>
        </w:numPr>
        <w:ind w:right="-2"/>
      </w:pPr>
      <w:del w:id="1112" w:author="Author" w:date="2025-07-19T22:55:00Z">
        <w:r>
          <w:delText xml:space="preserve">Štúdia </w:delText>
        </w:r>
      </w:del>
      <w:ins w:id="1113" w:author="Author" w:date="2025-07-21T10:09:00Z">
        <w:r>
          <w:t xml:space="preserve">Klinické </w:t>
        </w:r>
      </w:ins>
      <w:ins w:id="1114" w:author="Author" w:date="2025-07-21T11:29:00Z">
        <w:r>
          <w:t>s</w:t>
        </w:r>
      </w:ins>
      <w:ins w:id="1115" w:author="Author" w:date="2025-07-19T22:55:00Z">
        <w:del w:id="1116" w:author="Author" w:date="2025-07-21T10:09:00Z">
          <w:r>
            <w:delText>S</w:delText>
          </w:r>
        </w:del>
        <w:r>
          <w:t xml:space="preserve">kúšanie </w:t>
        </w:r>
      </w:ins>
      <w:r>
        <w:t>SC</w:t>
      </w:r>
      <w:r>
        <w:noBreakHyphen/>
        <w:t>I hodnotil</w:t>
      </w:r>
      <w:ins w:id="1117" w:author="Author" w:date="2025-07-19T22:55:00Z">
        <w:r>
          <w:t>o</w:t>
        </w:r>
      </w:ins>
      <w:del w:id="1118" w:author="Author" w:date="2025-07-19T22:55:00Z">
        <w:r>
          <w:delText>a</w:delText>
        </w:r>
      </w:del>
      <w:r>
        <w:t xml:space="preserve"> pacientov so stredne ťažkou až ťažkou aktívnou RA, ktorí nedosiahli dostatočnú klinickú odpoveď na existujúcu reumatologickú liečbu zahŕňajúcu jedno alebo viac DMARD, pričom približne 20 % malo v anamnéze nedostatočnú odpoveď na liečbu najmenej jedným inhibítorom TNF. V</w:t>
      </w:r>
      <w:ins w:id="1119" w:author="Author" w:date="2025-07-21T10:09:00Z">
        <w:r>
          <w:t> </w:t>
        </w:r>
      </w:ins>
      <w:del w:id="1120" w:author="Author" w:date="2025-07-21T10:09:00Z">
        <w:r>
          <w:delText xml:space="preserve"> </w:delText>
        </w:r>
      </w:del>
      <w:del w:id="1121" w:author="Author" w:date="2025-07-19T22:55:00Z">
        <w:r>
          <w:delText xml:space="preserve">štúdii </w:delText>
        </w:r>
      </w:del>
      <w:ins w:id="1122" w:author="Author" w:date="2025-07-21T10:09:00Z">
        <w:r>
          <w:t xml:space="preserve">klinickom </w:t>
        </w:r>
      </w:ins>
      <w:ins w:id="1123" w:author="Author" w:date="2025-07-19T22:55:00Z">
        <w:r>
          <w:t xml:space="preserve">skúšaní </w:t>
        </w:r>
      </w:ins>
      <w:r>
        <w:t>SC</w:t>
      </w:r>
      <w:r>
        <w:noBreakHyphen/>
        <w:t>I bolo 1 262 pacientov randomizovaných v pomere 1:1 do skupiny s tocilizumabom podávaným subkutánne v dávke 162 mg každý týždeň, alebo do skupiny s tocilizumabom podávaným intravenózne v dávke 8 mg/kg každé štyri týždne v kombinácii s nebiologickým(i) DMARD(s). Primárny cieľový ukazovateľ v</w:t>
      </w:r>
      <w:del w:id="1124" w:author="Author" w:date="2025-07-19T22:55:00Z">
        <w:r>
          <w:delText> štúdii</w:delText>
        </w:r>
      </w:del>
      <w:ins w:id="1125" w:author="Author" w:date="2025-07-19T22:55:00Z">
        <w:r>
          <w:t> </w:t>
        </w:r>
      </w:ins>
      <w:ins w:id="1126" w:author="Author" w:date="2025-07-21T10:09:00Z">
        <w:r>
          <w:t xml:space="preserve">klinickom </w:t>
        </w:r>
      </w:ins>
      <w:ins w:id="1127" w:author="Author" w:date="2025-07-19T22:55:00Z">
        <w:r>
          <w:t>skúšaní</w:t>
        </w:r>
      </w:ins>
      <w:r>
        <w:t xml:space="preserve"> bol rozdiel v podiele pacientov, ktorí dosiahli odpoveď ACR 20 v 24. týždni. Výsledky z</w:t>
      </w:r>
      <w:ins w:id="1128" w:author="Author" w:date="2025-07-21T10:09:00Z">
        <w:r>
          <w:t> </w:t>
        </w:r>
      </w:ins>
      <w:del w:id="1129" w:author="Author" w:date="2025-07-21T10:09:00Z">
        <w:r>
          <w:delText xml:space="preserve">o </w:delText>
        </w:r>
      </w:del>
      <w:del w:id="1130" w:author="Author" w:date="2025-07-19T22:55:00Z">
        <w:r>
          <w:delText xml:space="preserve">štúdie </w:delText>
        </w:r>
      </w:del>
      <w:ins w:id="1131" w:author="Author" w:date="2025-07-21T10:09:00Z">
        <w:r>
          <w:t xml:space="preserve">klinického </w:t>
        </w:r>
      </w:ins>
      <w:ins w:id="1132" w:author="Author" w:date="2025-07-19T22:55:00Z">
        <w:r>
          <w:t xml:space="preserve">skúšania </w:t>
        </w:r>
      </w:ins>
      <w:r>
        <w:t>SC</w:t>
      </w:r>
      <w:r>
        <w:noBreakHyphen/>
        <w:t>I sú uvedené v tabuľke 2.</w:t>
      </w:r>
    </w:p>
    <w:p w14:paraId="53CD18BD" w14:textId="77777777" w:rsidR="009700E5" w:rsidRDefault="009700E5">
      <w:pPr>
        <w:numPr>
          <w:ilvl w:val="12"/>
          <w:numId w:val="0"/>
        </w:numPr>
        <w:ind w:right="-2"/>
      </w:pPr>
    </w:p>
    <w:p w14:paraId="7E3AF581" w14:textId="77777777" w:rsidR="009700E5" w:rsidRDefault="002C033C">
      <w:pPr>
        <w:keepNext/>
        <w:keepLines/>
        <w:numPr>
          <w:ilvl w:val="12"/>
          <w:numId w:val="0"/>
        </w:numPr>
        <w:ind w:right="-2"/>
        <w:rPr>
          <w:bCs/>
          <w:i/>
        </w:rPr>
      </w:pPr>
      <w:r>
        <w:rPr>
          <w:bCs/>
          <w:i/>
        </w:rPr>
        <w:t>Tabuľka 2. Odpovede ACR v</w:t>
      </w:r>
      <w:ins w:id="1133" w:author="Author" w:date="2025-07-21T10:10:00Z">
        <w:r>
          <w:rPr>
            <w:bCs/>
            <w:i/>
          </w:rPr>
          <w:t> </w:t>
        </w:r>
      </w:ins>
      <w:del w:id="1134" w:author="Author" w:date="2025-07-21T10:10:00Z">
        <w:r>
          <w:rPr>
            <w:bCs/>
            <w:i/>
          </w:rPr>
          <w:delText xml:space="preserve"> </w:delText>
        </w:r>
      </w:del>
      <w:del w:id="1135" w:author="Author" w:date="2025-07-19T22:55:00Z">
        <w:r>
          <w:rPr>
            <w:bCs/>
            <w:i/>
          </w:rPr>
          <w:delText>štúdii </w:delText>
        </w:r>
      </w:del>
      <w:ins w:id="1136" w:author="Author" w:date="2025-07-21T10:09:00Z">
        <w:r>
          <w:rPr>
            <w:bCs/>
            <w:i/>
          </w:rPr>
          <w:t xml:space="preserve">klinickom </w:t>
        </w:r>
      </w:ins>
      <w:ins w:id="1137" w:author="Author" w:date="2025-07-19T22:55:00Z">
        <w:r>
          <w:rPr>
            <w:bCs/>
            <w:i/>
          </w:rPr>
          <w:t>skúšaní </w:t>
        </w:r>
      </w:ins>
      <w:r>
        <w:rPr>
          <w:bCs/>
          <w:i/>
        </w:rPr>
        <w:t>SC</w:t>
      </w:r>
      <w:r>
        <w:rPr>
          <w:bCs/>
          <w:i/>
        </w:rPr>
        <w:noBreakHyphen/>
        <w:t>I (% pacientov) v 24. týždni</w:t>
      </w:r>
    </w:p>
    <w:p w14:paraId="36E956D1" w14:textId="77777777" w:rsidR="009700E5" w:rsidRDefault="009700E5">
      <w:pPr>
        <w:keepNext/>
        <w:keepLines/>
        <w:numPr>
          <w:ilvl w:val="12"/>
          <w:numId w:val="0"/>
        </w:numPr>
        <w:ind w:right="-2"/>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926"/>
        <w:gridCol w:w="2977"/>
      </w:tblGrid>
      <w:tr w:rsidR="009700E5" w14:paraId="7F3DBDD9" w14:textId="77777777">
        <w:tc>
          <w:tcPr>
            <w:tcW w:w="2718" w:type="dxa"/>
          </w:tcPr>
          <w:p w14:paraId="30B45AA1" w14:textId="77777777" w:rsidR="009700E5" w:rsidRDefault="009700E5">
            <w:pPr>
              <w:keepNext/>
              <w:keepLines/>
              <w:spacing w:line="280" w:lineRule="atLeast"/>
              <w:rPr>
                <w:sz w:val="20"/>
                <w:lang w:eastAsia="de-DE"/>
              </w:rPr>
            </w:pPr>
          </w:p>
        </w:tc>
        <w:tc>
          <w:tcPr>
            <w:tcW w:w="4903" w:type="dxa"/>
            <w:gridSpan w:val="2"/>
          </w:tcPr>
          <w:p w14:paraId="1205B000" w14:textId="77777777" w:rsidR="009700E5" w:rsidRDefault="002C033C">
            <w:pPr>
              <w:keepNext/>
              <w:keepLines/>
              <w:spacing w:line="280" w:lineRule="atLeast"/>
              <w:jc w:val="center"/>
              <w:rPr>
                <w:sz w:val="20"/>
                <w:lang w:eastAsia="de-DE"/>
              </w:rPr>
            </w:pPr>
            <w:r>
              <w:rPr>
                <w:sz w:val="20"/>
                <w:lang w:eastAsia="de-DE"/>
              </w:rPr>
              <w:t>SC</w:t>
            </w:r>
            <w:r>
              <w:rPr>
                <w:sz w:val="20"/>
                <w:lang w:eastAsia="de-DE"/>
              </w:rPr>
              <w:noBreakHyphen/>
              <w:t>I</w:t>
            </w:r>
            <w:r>
              <w:rPr>
                <w:sz w:val="20"/>
                <w:vertAlign w:val="superscript"/>
                <w:lang w:eastAsia="de-DE"/>
              </w:rPr>
              <w:t>a</w:t>
            </w:r>
          </w:p>
        </w:tc>
      </w:tr>
      <w:tr w:rsidR="009700E5" w14:paraId="20B48755" w14:textId="77777777">
        <w:tc>
          <w:tcPr>
            <w:tcW w:w="2718" w:type="dxa"/>
          </w:tcPr>
          <w:p w14:paraId="7EA92377" w14:textId="77777777" w:rsidR="009700E5" w:rsidRDefault="009700E5">
            <w:pPr>
              <w:keepNext/>
              <w:keepLines/>
              <w:spacing w:line="280" w:lineRule="atLeast"/>
              <w:rPr>
                <w:sz w:val="20"/>
                <w:lang w:eastAsia="de-DE"/>
              </w:rPr>
            </w:pPr>
          </w:p>
        </w:tc>
        <w:tc>
          <w:tcPr>
            <w:tcW w:w="1926" w:type="dxa"/>
          </w:tcPr>
          <w:p w14:paraId="39C29354" w14:textId="77777777" w:rsidR="009700E5" w:rsidRDefault="002C033C">
            <w:pPr>
              <w:keepNext/>
              <w:keepLines/>
              <w:spacing w:line="280" w:lineRule="atLeast"/>
              <w:jc w:val="center"/>
              <w:rPr>
                <w:sz w:val="20"/>
                <w:lang w:eastAsia="de-DE"/>
              </w:rPr>
            </w:pPr>
            <w:r>
              <w:rPr>
                <w:sz w:val="20"/>
                <w:lang w:eastAsia="de-DE"/>
              </w:rPr>
              <w:t>TCZ s.c. 162 mg každý týždeň</w:t>
            </w:r>
          </w:p>
          <w:p w14:paraId="789AC42B" w14:textId="77777777" w:rsidR="009700E5" w:rsidRDefault="002C033C">
            <w:pPr>
              <w:keepNext/>
              <w:keepLines/>
              <w:spacing w:line="280" w:lineRule="atLeast"/>
              <w:jc w:val="center"/>
              <w:rPr>
                <w:sz w:val="20"/>
                <w:lang w:eastAsia="de-DE"/>
              </w:rPr>
            </w:pPr>
            <w:r>
              <w:rPr>
                <w:sz w:val="20"/>
                <w:lang w:eastAsia="de-DE"/>
              </w:rPr>
              <w:t>+ DMARD</w:t>
            </w:r>
          </w:p>
          <w:p w14:paraId="6464B0D6" w14:textId="77777777" w:rsidR="009700E5" w:rsidRDefault="002C033C">
            <w:pPr>
              <w:keepNext/>
              <w:keepLines/>
              <w:spacing w:line="280" w:lineRule="atLeast"/>
              <w:jc w:val="center"/>
              <w:rPr>
                <w:sz w:val="20"/>
                <w:lang w:eastAsia="de-DE"/>
              </w:rPr>
            </w:pPr>
            <w:del w:id="1138" w:author="Author" w:date="2025-07-19T22:56:00Z">
              <w:r>
                <w:rPr>
                  <w:sz w:val="20"/>
                  <w:lang w:eastAsia="de-DE"/>
                </w:rPr>
                <w:delText>N </w:delText>
              </w:r>
            </w:del>
            <w:ins w:id="1139" w:author="Author" w:date="2025-07-19T22:56:00Z">
              <w:r>
                <w:rPr>
                  <w:sz w:val="20"/>
                  <w:lang w:eastAsia="de-DE"/>
                </w:rPr>
                <w:t>n </w:t>
              </w:r>
            </w:ins>
            <w:r>
              <w:rPr>
                <w:sz w:val="20"/>
                <w:lang w:eastAsia="de-DE"/>
              </w:rPr>
              <w:t>= 558</w:t>
            </w:r>
          </w:p>
        </w:tc>
        <w:tc>
          <w:tcPr>
            <w:tcW w:w="2977" w:type="dxa"/>
          </w:tcPr>
          <w:p w14:paraId="05E0EE78" w14:textId="77777777" w:rsidR="009700E5" w:rsidRDefault="002C033C">
            <w:pPr>
              <w:keepNext/>
              <w:keepLines/>
              <w:spacing w:line="280" w:lineRule="atLeast"/>
              <w:jc w:val="center"/>
              <w:rPr>
                <w:sz w:val="20"/>
                <w:lang w:eastAsia="de-DE"/>
              </w:rPr>
            </w:pPr>
            <w:r>
              <w:rPr>
                <w:sz w:val="20"/>
                <w:lang w:eastAsia="de-DE"/>
              </w:rPr>
              <w:t>TCZ i.v. 8 mg/kg</w:t>
            </w:r>
          </w:p>
          <w:p w14:paraId="21291436" w14:textId="77777777" w:rsidR="009700E5" w:rsidRDefault="002C033C">
            <w:pPr>
              <w:keepNext/>
              <w:keepLines/>
              <w:spacing w:line="280" w:lineRule="atLeast"/>
              <w:jc w:val="center"/>
              <w:rPr>
                <w:sz w:val="20"/>
                <w:lang w:eastAsia="de-DE"/>
              </w:rPr>
            </w:pPr>
            <w:r>
              <w:rPr>
                <w:sz w:val="20"/>
                <w:lang w:eastAsia="de-DE"/>
              </w:rPr>
              <w:t>+ DMARD</w:t>
            </w:r>
          </w:p>
          <w:p w14:paraId="3FF9324F" w14:textId="77777777" w:rsidR="009700E5" w:rsidRDefault="009700E5">
            <w:pPr>
              <w:keepNext/>
              <w:keepLines/>
              <w:spacing w:line="280" w:lineRule="atLeast"/>
              <w:jc w:val="center"/>
              <w:rPr>
                <w:sz w:val="20"/>
                <w:lang w:eastAsia="de-DE"/>
              </w:rPr>
            </w:pPr>
          </w:p>
          <w:p w14:paraId="560BE09B" w14:textId="77777777" w:rsidR="009700E5" w:rsidRDefault="002C033C">
            <w:pPr>
              <w:keepNext/>
              <w:keepLines/>
              <w:spacing w:line="280" w:lineRule="atLeast"/>
              <w:jc w:val="center"/>
              <w:rPr>
                <w:sz w:val="20"/>
                <w:lang w:eastAsia="de-DE"/>
              </w:rPr>
            </w:pPr>
            <w:del w:id="1140" w:author="Author" w:date="2025-07-19T22:56:00Z">
              <w:r>
                <w:rPr>
                  <w:sz w:val="20"/>
                  <w:lang w:eastAsia="de-DE"/>
                </w:rPr>
                <w:delText>N </w:delText>
              </w:r>
            </w:del>
            <w:ins w:id="1141" w:author="Author" w:date="2025-07-19T22:56:00Z">
              <w:r>
                <w:rPr>
                  <w:sz w:val="20"/>
                  <w:lang w:eastAsia="de-DE"/>
                </w:rPr>
                <w:t>n </w:t>
              </w:r>
            </w:ins>
            <w:r>
              <w:rPr>
                <w:sz w:val="20"/>
                <w:lang w:eastAsia="de-DE"/>
              </w:rPr>
              <w:t>= 537</w:t>
            </w:r>
          </w:p>
        </w:tc>
      </w:tr>
      <w:tr w:rsidR="009700E5" w14:paraId="36F9CA2F" w14:textId="77777777">
        <w:tc>
          <w:tcPr>
            <w:tcW w:w="2718" w:type="dxa"/>
          </w:tcPr>
          <w:p w14:paraId="48B8865E" w14:textId="77777777" w:rsidR="009700E5" w:rsidRDefault="002C033C">
            <w:pPr>
              <w:keepNext/>
              <w:keepLines/>
              <w:spacing w:line="280" w:lineRule="atLeast"/>
              <w:jc w:val="right"/>
              <w:rPr>
                <w:sz w:val="20"/>
                <w:lang w:eastAsia="de-DE"/>
              </w:rPr>
            </w:pPr>
            <w:r>
              <w:rPr>
                <w:sz w:val="20"/>
                <w:lang w:eastAsia="de-DE"/>
              </w:rPr>
              <w:t>ACR 20 24. týždeň</w:t>
            </w:r>
          </w:p>
        </w:tc>
        <w:tc>
          <w:tcPr>
            <w:tcW w:w="1926" w:type="dxa"/>
          </w:tcPr>
          <w:p w14:paraId="6A07B0B8" w14:textId="77777777" w:rsidR="009700E5" w:rsidRDefault="002C033C">
            <w:pPr>
              <w:keepNext/>
              <w:keepLines/>
              <w:spacing w:line="280" w:lineRule="atLeast"/>
              <w:jc w:val="center"/>
              <w:rPr>
                <w:sz w:val="20"/>
                <w:lang w:eastAsia="de-DE"/>
              </w:rPr>
            </w:pPr>
            <w:r>
              <w:rPr>
                <w:sz w:val="20"/>
                <w:lang w:eastAsia="de-DE"/>
              </w:rPr>
              <w:t>69,4 %</w:t>
            </w:r>
          </w:p>
        </w:tc>
        <w:tc>
          <w:tcPr>
            <w:tcW w:w="2977" w:type="dxa"/>
          </w:tcPr>
          <w:p w14:paraId="44136440" w14:textId="77777777" w:rsidR="009700E5" w:rsidRDefault="002C033C">
            <w:pPr>
              <w:keepNext/>
              <w:keepLines/>
              <w:spacing w:line="280" w:lineRule="atLeast"/>
              <w:jc w:val="center"/>
              <w:rPr>
                <w:sz w:val="20"/>
                <w:lang w:eastAsia="de-DE"/>
              </w:rPr>
            </w:pPr>
            <w:r>
              <w:rPr>
                <w:sz w:val="20"/>
                <w:lang w:eastAsia="de-DE"/>
              </w:rPr>
              <w:t>73,4 %</w:t>
            </w:r>
          </w:p>
        </w:tc>
      </w:tr>
      <w:tr w:rsidR="009700E5" w14:paraId="71425AD6" w14:textId="77777777">
        <w:tc>
          <w:tcPr>
            <w:tcW w:w="2718" w:type="dxa"/>
          </w:tcPr>
          <w:p w14:paraId="27CE4C3C" w14:textId="77777777" w:rsidR="009700E5" w:rsidRDefault="002C033C">
            <w:pPr>
              <w:keepNext/>
              <w:keepLines/>
              <w:spacing w:line="280" w:lineRule="atLeast"/>
              <w:jc w:val="right"/>
              <w:rPr>
                <w:sz w:val="20"/>
                <w:lang w:eastAsia="de-DE"/>
              </w:rPr>
            </w:pPr>
            <w:r>
              <w:rPr>
                <w:sz w:val="20"/>
                <w:lang w:eastAsia="de-DE"/>
              </w:rPr>
              <w:t>Vážený rozdiel (95 % IS)</w:t>
            </w:r>
          </w:p>
        </w:tc>
        <w:tc>
          <w:tcPr>
            <w:tcW w:w="4903" w:type="dxa"/>
            <w:gridSpan w:val="2"/>
          </w:tcPr>
          <w:p w14:paraId="304F6780" w14:textId="77777777" w:rsidR="009700E5" w:rsidRDefault="002C033C">
            <w:pPr>
              <w:keepNext/>
              <w:keepLines/>
              <w:spacing w:line="280" w:lineRule="atLeast"/>
              <w:jc w:val="center"/>
              <w:rPr>
                <w:sz w:val="20"/>
                <w:lang w:eastAsia="de-DE"/>
              </w:rPr>
            </w:pPr>
            <w:r>
              <w:rPr>
                <w:sz w:val="20"/>
                <w:lang w:eastAsia="de-DE"/>
              </w:rPr>
              <w:noBreakHyphen/>
              <w:t>4,0 (</w:t>
            </w:r>
            <w:r>
              <w:rPr>
                <w:sz w:val="20"/>
                <w:lang w:eastAsia="de-DE"/>
              </w:rPr>
              <w:noBreakHyphen/>
              <w:t>9,2; 1,2)</w:t>
            </w:r>
          </w:p>
        </w:tc>
      </w:tr>
      <w:tr w:rsidR="009700E5" w14:paraId="092FC9F5" w14:textId="77777777">
        <w:tc>
          <w:tcPr>
            <w:tcW w:w="2718" w:type="dxa"/>
          </w:tcPr>
          <w:p w14:paraId="19A3AC92" w14:textId="77777777" w:rsidR="009700E5" w:rsidRDefault="002C033C">
            <w:pPr>
              <w:keepNext/>
              <w:keepLines/>
              <w:spacing w:line="280" w:lineRule="atLeast"/>
              <w:jc w:val="right"/>
              <w:rPr>
                <w:sz w:val="20"/>
                <w:lang w:eastAsia="de-DE"/>
              </w:rPr>
            </w:pPr>
            <w:r>
              <w:rPr>
                <w:sz w:val="20"/>
                <w:lang w:eastAsia="de-DE"/>
              </w:rPr>
              <w:t>ACR 50 24. týždeň</w:t>
            </w:r>
          </w:p>
        </w:tc>
        <w:tc>
          <w:tcPr>
            <w:tcW w:w="1926" w:type="dxa"/>
          </w:tcPr>
          <w:p w14:paraId="37201503" w14:textId="77777777" w:rsidR="009700E5" w:rsidRDefault="002C033C">
            <w:pPr>
              <w:keepNext/>
              <w:keepLines/>
              <w:spacing w:line="280" w:lineRule="atLeast"/>
              <w:jc w:val="center"/>
              <w:rPr>
                <w:sz w:val="20"/>
                <w:lang w:eastAsia="de-DE"/>
              </w:rPr>
            </w:pPr>
            <w:r>
              <w:rPr>
                <w:sz w:val="20"/>
                <w:lang w:eastAsia="de-DE"/>
              </w:rPr>
              <w:t>47,0 %</w:t>
            </w:r>
          </w:p>
        </w:tc>
        <w:tc>
          <w:tcPr>
            <w:tcW w:w="2977" w:type="dxa"/>
          </w:tcPr>
          <w:p w14:paraId="64D2E1DD" w14:textId="77777777" w:rsidR="009700E5" w:rsidRDefault="002C033C">
            <w:pPr>
              <w:keepNext/>
              <w:keepLines/>
              <w:spacing w:line="280" w:lineRule="atLeast"/>
              <w:jc w:val="center"/>
              <w:rPr>
                <w:sz w:val="20"/>
                <w:lang w:eastAsia="de-DE"/>
              </w:rPr>
            </w:pPr>
            <w:r>
              <w:rPr>
                <w:sz w:val="20"/>
                <w:lang w:eastAsia="de-DE"/>
              </w:rPr>
              <w:t>48,6 %</w:t>
            </w:r>
          </w:p>
        </w:tc>
      </w:tr>
      <w:tr w:rsidR="009700E5" w14:paraId="27DBDD99" w14:textId="77777777">
        <w:tc>
          <w:tcPr>
            <w:tcW w:w="2718" w:type="dxa"/>
          </w:tcPr>
          <w:p w14:paraId="09637A59" w14:textId="77777777" w:rsidR="009700E5" w:rsidRDefault="002C033C">
            <w:pPr>
              <w:keepNext/>
              <w:keepLines/>
              <w:spacing w:line="280" w:lineRule="atLeast"/>
              <w:jc w:val="right"/>
              <w:rPr>
                <w:sz w:val="20"/>
                <w:lang w:eastAsia="de-DE"/>
              </w:rPr>
            </w:pPr>
            <w:r>
              <w:rPr>
                <w:sz w:val="20"/>
                <w:lang w:eastAsia="de-DE"/>
              </w:rPr>
              <w:t>Vážený rozdiel (95 % IS)</w:t>
            </w:r>
          </w:p>
        </w:tc>
        <w:tc>
          <w:tcPr>
            <w:tcW w:w="4903" w:type="dxa"/>
            <w:gridSpan w:val="2"/>
          </w:tcPr>
          <w:p w14:paraId="4859609A" w14:textId="77777777" w:rsidR="009700E5" w:rsidRDefault="002C033C">
            <w:pPr>
              <w:keepNext/>
              <w:keepLines/>
              <w:spacing w:line="280" w:lineRule="atLeast"/>
              <w:jc w:val="center"/>
              <w:rPr>
                <w:sz w:val="20"/>
                <w:lang w:eastAsia="de-DE"/>
              </w:rPr>
            </w:pPr>
            <w:r>
              <w:rPr>
                <w:sz w:val="20"/>
                <w:lang w:eastAsia="de-DE"/>
              </w:rPr>
              <w:noBreakHyphen/>
              <w:t>1,8 (</w:t>
            </w:r>
            <w:r>
              <w:rPr>
                <w:sz w:val="20"/>
                <w:lang w:eastAsia="de-DE"/>
              </w:rPr>
              <w:noBreakHyphen/>
              <w:t>7,5; 4,0)</w:t>
            </w:r>
          </w:p>
        </w:tc>
      </w:tr>
      <w:tr w:rsidR="009700E5" w14:paraId="06C4B1A8" w14:textId="77777777">
        <w:tc>
          <w:tcPr>
            <w:tcW w:w="2718" w:type="dxa"/>
          </w:tcPr>
          <w:p w14:paraId="38D0EE68" w14:textId="77777777" w:rsidR="009700E5" w:rsidRDefault="002C033C">
            <w:pPr>
              <w:keepNext/>
              <w:keepLines/>
              <w:spacing w:line="280" w:lineRule="atLeast"/>
              <w:jc w:val="right"/>
              <w:rPr>
                <w:sz w:val="20"/>
                <w:lang w:eastAsia="de-DE"/>
              </w:rPr>
            </w:pPr>
            <w:r>
              <w:rPr>
                <w:sz w:val="20"/>
                <w:lang w:eastAsia="de-DE"/>
              </w:rPr>
              <w:t>ACR 70 24. týždeň</w:t>
            </w:r>
          </w:p>
        </w:tc>
        <w:tc>
          <w:tcPr>
            <w:tcW w:w="1926" w:type="dxa"/>
          </w:tcPr>
          <w:p w14:paraId="4256CB9F" w14:textId="77777777" w:rsidR="009700E5" w:rsidRDefault="002C033C">
            <w:pPr>
              <w:keepNext/>
              <w:keepLines/>
              <w:spacing w:line="280" w:lineRule="atLeast"/>
              <w:jc w:val="center"/>
              <w:rPr>
                <w:sz w:val="20"/>
                <w:lang w:eastAsia="de-DE"/>
              </w:rPr>
            </w:pPr>
            <w:r>
              <w:rPr>
                <w:sz w:val="20"/>
                <w:lang w:eastAsia="de-DE"/>
              </w:rPr>
              <w:t>24,0 %</w:t>
            </w:r>
          </w:p>
        </w:tc>
        <w:tc>
          <w:tcPr>
            <w:tcW w:w="2977" w:type="dxa"/>
          </w:tcPr>
          <w:p w14:paraId="16CE6350" w14:textId="77777777" w:rsidR="009700E5" w:rsidRDefault="002C033C">
            <w:pPr>
              <w:keepNext/>
              <w:keepLines/>
              <w:spacing w:line="280" w:lineRule="atLeast"/>
              <w:jc w:val="center"/>
              <w:rPr>
                <w:sz w:val="20"/>
                <w:lang w:eastAsia="de-DE"/>
              </w:rPr>
            </w:pPr>
            <w:r>
              <w:rPr>
                <w:sz w:val="20"/>
                <w:lang w:eastAsia="de-DE"/>
              </w:rPr>
              <w:t>27,9 %</w:t>
            </w:r>
          </w:p>
        </w:tc>
      </w:tr>
      <w:tr w:rsidR="009700E5" w14:paraId="66E49CAB" w14:textId="77777777">
        <w:tc>
          <w:tcPr>
            <w:tcW w:w="2718" w:type="dxa"/>
          </w:tcPr>
          <w:p w14:paraId="42E03959" w14:textId="77777777" w:rsidR="009700E5" w:rsidRDefault="002C033C">
            <w:pPr>
              <w:spacing w:line="280" w:lineRule="atLeast"/>
              <w:jc w:val="right"/>
              <w:rPr>
                <w:sz w:val="20"/>
                <w:lang w:eastAsia="de-DE"/>
              </w:rPr>
            </w:pPr>
            <w:r>
              <w:rPr>
                <w:sz w:val="20"/>
                <w:lang w:eastAsia="de-DE"/>
              </w:rPr>
              <w:t>Vážený rozdiel (95 % IS)</w:t>
            </w:r>
          </w:p>
        </w:tc>
        <w:tc>
          <w:tcPr>
            <w:tcW w:w="4903" w:type="dxa"/>
            <w:gridSpan w:val="2"/>
          </w:tcPr>
          <w:p w14:paraId="2F04D177" w14:textId="77777777" w:rsidR="009700E5" w:rsidRDefault="002C033C">
            <w:pPr>
              <w:spacing w:line="280" w:lineRule="atLeast"/>
              <w:jc w:val="center"/>
              <w:rPr>
                <w:sz w:val="20"/>
                <w:lang w:eastAsia="de-DE"/>
              </w:rPr>
            </w:pPr>
            <w:r>
              <w:rPr>
                <w:sz w:val="20"/>
                <w:lang w:eastAsia="de-DE"/>
              </w:rPr>
              <w:noBreakHyphen/>
              <w:t>3,8 (</w:t>
            </w:r>
            <w:r>
              <w:rPr>
                <w:sz w:val="20"/>
                <w:lang w:eastAsia="de-DE"/>
              </w:rPr>
              <w:noBreakHyphen/>
              <w:t>9,0; 1,3)</w:t>
            </w:r>
          </w:p>
        </w:tc>
      </w:tr>
    </w:tbl>
    <w:p w14:paraId="6B5B2F2D" w14:textId="77777777" w:rsidR="009700E5" w:rsidRDefault="002C033C">
      <w:pPr>
        <w:rPr>
          <w:sz w:val="18"/>
          <w:szCs w:val="18"/>
          <w:lang w:eastAsia="de-DE"/>
        </w:rPr>
      </w:pPr>
      <w:r>
        <w:rPr>
          <w:sz w:val="18"/>
          <w:szCs w:val="18"/>
          <w:lang w:eastAsia="de-DE"/>
        </w:rPr>
        <w:t>DMAR</w:t>
      </w:r>
      <w:ins w:id="1142" w:author="Author" w:date="2025-07-21T10:10:00Z">
        <w:r>
          <w:rPr>
            <w:sz w:val="18"/>
            <w:szCs w:val="18"/>
            <w:lang w:eastAsia="de-DE"/>
          </w:rPr>
          <w:t> </w:t>
        </w:r>
      </w:ins>
      <w:del w:id="1143" w:author="Author" w:date="2025-07-21T10:10:00Z">
        <w:r>
          <w:rPr>
            <w:sz w:val="18"/>
            <w:szCs w:val="18"/>
            <w:lang w:eastAsia="de-DE"/>
          </w:rPr>
          <w:delText xml:space="preserve"> </w:delText>
        </w:r>
      </w:del>
      <w:r>
        <w:rPr>
          <w:sz w:val="18"/>
          <w:szCs w:val="18"/>
          <w:lang w:eastAsia="de-DE"/>
        </w:rPr>
        <w:t>=</w:t>
      </w:r>
      <w:ins w:id="1144" w:author="Author" w:date="2025-07-21T10:10:00Z">
        <w:r>
          <w:rPr>
            <w:sz w:val="18"/>
            <w:szCs w:val="18"/>
            <w:lang w:eastAsia="de-DE"/>
          </w:rPr>
          <w:t> </w:t>
        </w:r>
      </w:ins>
      <w:del w:id="1145" w:author="Author" w:date="2025-07-21T10:10:00Z">
        <w:r>
          <w:rPr>
            <w:sz w:val="18"/>
            <w:szCs w:val="18"/>
            <w:lang w:eastAsia="de-DE"/>
          </w:rPr>
          <w:delText xml:space="preserve"> </w:delText>
        </w:r>
      </w:del>
      <w:r>
        <w:rPr>
          <w:sz w:val="18"/>
          <w:szCs w:val="18"/>
          <w:lang w:eastAsia="de-DE"/>
        </w:rPr>
        <w:t>antireumatiká modifikujúce priebeh choroby</w:t>
      </w:r>
    </w:p>
    <w:p w14:paraId="242DB022" w14:textId="77777777" w:rsidR="009700E5" w:rsidRDefault="002C033C">
      <w:pPr>
        <w:rPr>
          <w:sz w:val="18"/>
          <w:szCs w:val="18"/>
          <w:lang w:eastAsia="de-DE"/>
        </w:rPr>
      </w:pPr>
      <w:r>
        <w:rPr>
          <w:sz w:val="18"/>
          <w:szCs w:val="18"/>
          <w:lang w:eastAsia="de-DE"/>
        </w:rPr>
        <w:t>TCZ</w:t>
      </w:r>
      <w:ins w:id="1146" w:author="Author" w:date="2025-07-21T10:10:00Z">
        <w:r>
          <w:rPr>
            <w:sz w:val="18"/>
            <w:szCs w:val="18"/>
            <w:lang w:eastAsia="de-DE"/>
          </w:rPr>
          <w:t> </w:t>
        </w:r>
      </w:ins>
      <w:del w:id="1147" w:author="Author" w:date="2025-07-21T10:10:00Z">
        <w:r>
          <w:rPr>
            <w:sz w:val="18"/>
            <w:szCs w:val="18"/>
            <w:lang w:eastAsia="de-DE"/>
          </w:rPr>
          <w:delText xml:space="preserve"> </w:delText>
        </w:r>
      </w:del>
      <w:r>
        <w:rPr>
          <w:sz w:val="18"/>
          <w:szCs w:val="18"/>
          <w:lang w:eastAsia="de-DE"/>
        </w:rPr>
        <w:t>=</w:t>
      </w:r>
      <w:ins w:id="1148" w:author="Author" w:date="2025-07-21T10:10:00Z">
        <w:r>
          <w:rPr>
            <w:sz w:val="18"/>
            <w:szCs w:val="18"/>
            <w:lang w:eastAsia="de-DE"/>
          </w:rPr>
          <w:t> </w:t>
        </w:r>
      </w:ins>
      <w:del w:id="1149" w:author="Author" w:date="2025-07-21T10:10:00Z">
        <w:r>
          <w:rPr>
            <w:sz w:val="18"/>
            <w:szCs w:val="18"/>
            <w:lang w:eastAsia="de-DE"/>
          </w:rPr>
          <w:delText xml:space="preserve"> </w:delText>
        </w:r>
      </w:del>
      <w:r>
        <w:rPr>
          <w:sz w:val="18"/>
          <w:szCs w:val="18"/>
          <w:lang w:eastAsia="de-DE"/>
        </w:rPr>
        <w:t>tocilizumab</w:t>
      </w:r>
    </w:p>
    <w:p w14:paraId="07CAD9A7" w14:textId="77777777" w:rsidR="009700E5" w:rsidRDefault="002C033C">
      <w:pPr>
        <w:rPr>
          <w:sz w:val="18"/>
          <w:szCs w:val="18"/>
          <w:lang w:eastAsia="de-DE"/>
        </w:rPr>
      </w:pPr>
      <w:r>
        <w:rPr>
          <w:sz w:val="18"/>
          <w:szCs w:val="18"/>
          <w:lang w:eastAsia="de-DE"/>
        </w:rPr>
        <w:t>i.v.</w:t>
      </w:r>
      <w:ins w:id="1150" w:author="Author" w:date="2025-07-21T10:10:00Z">
        <w:r>
          <w:rPr>
            <w:sz w:val="18"/>
            <w:szCs w:val="18"/>
            <w:lang w:eastAsia="de-DE"/>
          </w:rPr>
          <w:t> </w:t>
        </w:r>
      </w:ins>
      <w:del w:id="1151" w:author="Author" w:date="2025-07-21T10:10:00Z">
        <w:r>
          <w:rPr>
            <w:sz w:val="18"/>
            <w:szCs w:val="18"/>
            <w:lang w:eastAsia="de-DE"/>
          </w:rPr>
          <w:delText xml:space="preserve"> </w:delText>
        </w:r>
      </w:del>
      <w:r>
        <w:rPr>
          <w:sz w:val="18"/>
          <w:szCs w:val="18"/>
          <w:lang w:eastAsia="de-DE"/>
        </w:rPr>
        <w:t>=</w:t>
      </w:r>
      <w:ins w:id="1152" w:author="Author" w:date="2025-07-21T10:10:00Z">
        <w:r>
          <w:rPr>
            <w:sz w:val="18"/>
            <w:szCs w:val="18"/>
            <w:lang w:eastAsia="de-DE"/>
          </w:rPr>
          <w:t> </w:t>
        </w:r>
      </w:ins>
      <w:del w:id="1153" w:author="Author" w:date="2025-07-21T10:10:00Z">
        <w:r>
          <w:rPr>
            <w:sz w:val="18"/>
            <w:szCs w:val="18"/>
            <w:lang w:eastAsia="de-DE"/>
          </w:rPr>
          <w:delText xml:space="preserve"> </w:delText>
        </w:r>
      </w:del>
      <w:r>
        <w:rPr>
          <w:sz w:val="18"/>
          <w:szCs w:val="18"/>
          <w:lang w:eastAsia="de-DE"/>
        </w:rPr>
        <w:t>intravenózny</w:t>
      </w:r>
    </w:p>
    <w:p w14:paraId="0C0C9238" w14:textId="77777777" w:rsidR="009700E5" w:rsidRDefault="002C033C">
      <w:pPr>
        <w:rPr>
          <w:sz w:val="18"/>
          <w:szCs w:val="18"/>
          <w:lang w:eastAsia="de-DE"/>
        </w:rPr>
      </w:pPr>
      <w:r>
        <w:rPr>
          <w:sz w:val="18"/>
          <w:szCs w:val="18"/>
          <w:lang w:eastAsia="de-DE"/>
        </w:rPr>
        <w:t>s.c.</w:t>
      </w:r>
      <w:ins w:id="1154" w:author="Author" w:date="2025-07-21T10:10:00Z">
        <w:r>
          <w:rPr>
            <w:sz w:val="18"/>
            <w:szCs w:val="18"/>
            <w:lang w:eastAsia="de-DE"/>
          </w:rPr>
          <w:t> </w:t>
        </w:r>
      </w:ins>
      <w:del w:id="1155" w:author="Author" w:date="2025-07-21T10:10:00Z">
        <w:r>
          <w:rPr>
            <w:sz w:val="18"/>
            <w:szCs w:val="18"/>
            <w:lang w:eastAsia="de-DE"/>
          </w:rPr>
          <w:delText xml:space="preserve"> </w:delText>
        </w:r>
      </w:del>
      <w:r>
        <w:rPr>
          <w:sz w:val="18"/>
          <w:szCs w:val="18"/>
          <w:lang w:eastAsia="de-DE"/>
        </w:rPr>
        <w:t>=</w:t>
      </w:r>
      <w:ins w:id="1156" w:author="Author" w:date="2025-07-21T10:10:00Z">
        <w:r>
          <w:rPr>
            <w:sz w:val="18"/>
            <w:szCs w:val="18"/>
            <w:lang w:eastAsia="de-DE"/>
          </w:rPr>
          <w:t> </w:t>
        </w:r>
      </w:ins>
      <w:del w:id="1157" w:author="Author" w:date="2025-07-21T10:10:00Z">
        <w:r>
          <w:rPr>
            <w:sz w:val="18"/>
            <w:szCs w:val="18"/>
            <w:lang w:eastAsia="de-DE"/>
          </w:rPr>
          <w:delText xml:space="preserve"> </w:delText>
        </w:r>
      </w:del>
      <w:r>
        <w:rPr>
          <w:sz w:val="18"/>
          <w:szCs w:val="18"/>
          <w:lang w:eastAsia="de-DE"/>
        </w:rPr>
        <w:t>subkutánny</w:t>
      </w:r>
    </w:p>
    <w:p w14:paraId="59522ACF" w14:textId="77777777" w:rsidR="009700E5" w:rsidRDefault="002C033C">
      <w:pPr>
        <w:rPr>
          <w:sz w:val="18"/>
          <w:szCs w:val="18"/>
          <w:lang w:eastAsia="de-DE"/>
        </w:rPr>
      </w:pPr>
      <w:r>
        <w:rPr>
          <w:sz w:val="18"/>
          <w:szCs w:val="18"/>
          <w:lang w:eastAsia="de-DE"/>
        </w:rPr>
        <w:t>a</w:t>
      </w:r>
      <w:ins w:id="1158" w:author="Author" w:date="2025-07-21T10:10:00Z">
        <w:r>
          <w:rPr>
            <w:sz w:val="18"/>
            <w:szCs w:val="18"/>
            <w:lang w:eastAsia="de-DE"/>
          </w:rPr>
          <w:t> </w:t>
        </w:r>
      </w:ins>
      <w:del w:id="1159" w:author="Author" w:date="2025-07-21T10:10:00Z">
        <w:r>
          <w:rPr>
            <w:sz w:val="18"/>
            <w:szCs w:val="18"/>
            <w:lang w:eastAsia="de-DE"/>
          </w:rPr>
          <w:delText xml:space="preserve"> </w:delText>
        </w:r>
      </w:del>
      <w:r>
        <w:rPr>
          <w:sz w:val="18"/>
          <w:szCs w:val="18"/>
          <w:lang w:eastAsia="de-DE"/>
        </w:rPr>
        <w:t>=</w:t>
      </w:r>
      <w:ins w:id="1160" w:author="Author" w:date="2025-07-21T10:10:00Z">
        <w:r>
          <w:rPr>
            <w:sz w:val="18"/>
            <w:szCs w:val="18"/>
            <w:lang w:eastAsia="de-DE"/>
          </w:rPr>
          <w:t> </w:t>
        </w:r>
      </w:ins>
      <w:del w:id="1161" w:author="Author" w:date="2025-07-21T10:10:00Z">
        <w:r>
          <w:rPr>
            <w:sz w:val="18"/>
            <w:szCs w:val="18"/>
            <w:lang w:eastAsia="de-DE"/>
          </w:rPr>
          <w:delText xml:space="preserve"> </w:delText>
        </w:r>
      </w:del>
      <w:r>
        <w:rPr>
          <w:sz w:val="18"/>
          <w:szCs w:val="18"/>
          <w:lang w:eastAsia="de-DE"/>
        </w:rPr>
        <w:t>populácia podľa protokolu</w:t>
      </w:r>
    </w:p>
    <w:p w14:paraId="40413771" w14:textId="77777777" w:rsidR="009700E5" w:rsidRDefault="009700E5">
      <w:pPr>
        <w:numPr>
          <w:ilvl w:val="12"/>
          <w:numId w:val="0"/>
        </w:numPr>
        <w:ind w:right="-2"/>
      </w:pPr>
    </w:p>
    <w:p w14:paraId="20F8C7A3" w14:textId="77777777" w:rsidR="009700E5" w:rsidRDefault="002C033C">
      <w:r>
        <w:t>Pacienti v</w:t>
      </w:r>
      <w:ins w:id="1162" w:author="Author" w:date="2025-07-21T10:10:00Z">
        <w:r>
          <w:t> </w:t>
        </w:r>
      </w:ins>
      <w:del w:id="1163" w:author="Author" w:date="2025-07-21T10:10:00Z">
        <w:r>
          <w:delText xml:space="preserve"> </w:delText>
        </w:r>
      </w:del>
      <w:del w:id="1164" w:author="Author" w:date="2025-07-19T22:56:00Z">
        <w:r>
          <w:delText xml:space="preserve">štúdii </w:delText>
        </w:r>
      </w:del>
      <w:ins w:id="1165" w:author="Author" w:date="2025-07-21T10:10:00Z">
        <w:r>
          <w:t xml:space="preserve">klinickom </w:t>
        </w:r>
      </w:ins>
      <w:ins w:id="1166" w:author="Author" w:date="2025-07-19T22:56:00Z">
        <w:r>
          <w:t xml:space="preserve">skúšaní </w:t>
        </w:r>
      </w:ins>
      <w:r>
        <w:t>SC</w:t>
      </w:r>
      <w:r>
        <w:noBreakHyphen/>
        <w:t>I mali pred začiatkom liečby priemerné skóre aktivity ochorenia (DAS28) 6,6 v skupine so subkutánnym tocilizumabom a 6,7 v skupine s intravenóznym tocilizumabom. V 24. týždni sa v oboch liečebných skupinách pozorovalo významné zníženie DAS28 oproti východiskovej hodnote (priemerné zlepšenie) o 3,5 a porovnateľný podiel pacientov dosiahol klinickú remisiu ochorenia podľa DAS28 (DAS28 </w:t>
      </w:r>
      <w:r>
        <w:rPr>
          <w:rFonts w:eastAsia="MS Mincho"/>
          <w:szCs w:val="22"/>
        </w:rPr>
        <w:sym w:font="Symbol" w:char="F03C"/>
      </w:r>
      <w:r>
        <w:t> 2,6) v skupine so subkutánnym tocilizumabom (38,4 %) a v skupine s intravenóznym tocilizumabom (36,9 %).</w:t>
      </w:r>
    </w:p>
    <w:p w14:paraId="030F8D0A" w14:textId="77777777" w:rsidR="009700E5" w:rsidRDefault="009700E5">
      <w:pPr>
        <w:numPr>
          <w:ilvl w:val="12"/>
          <w:numId w:val="0"/>
        </w:numPr>
        <w:ind w:right="-2"/>
        <w:rPr>
          <w:iCs/>
        </w:rPr>
      </w:pPr>
    </w:p>
    <w:p w14:paraId="06A25D6D" w14:textId="77777777" w:rsidR="009700E5" w:rsidRDefault="002C033C">
      <w:pPr>
        <w:keepNext/>
        <w:keepLines/>
        <w:autoSpaceDE w:val="0"/>
        <w:autoSpaceDN w:val="0"/>
        <w:adjustRightInd w:val="0"/>
        <w:spacing w:line="280" w:lineRule="atLeast"/>
        <w:rPr>
          <w:i/>
          <w:szCs w:val="22"/>
          <w:u w:val="single"/>
          <w:lang w:eastAsia="de-DE"/>
        </w:rPr>
      </w:pPr>
      <w:r>
        <w:rPr>
          <w:i/>
          <w:szCs w:val="22"/>
          <w:u w:val="single"/>
          <w:lang w:eastAsia="de-DE"/>
        </w:rPr>
        <w:t>Rádiografická odpoveď</w:t>
      </w:r>
    </w:p>
    <w:p w14:paraId="1DE6D932" w14:textId="77777777" w:rsidR="009700E5" w:rsidRDefault="002C033C">
      <w:r>
        <w:t>Rádiografická odpoveď subkutánne podávaného tocilizumabu sa hodnotila v dvojito zaslepen</w:t>
      </w:r>
      <w:ins w:id="1167" w:author="Author" w:date="2025-07-19T22:56:00Z">
        <w:r>
          <w:t>om</w:t>
        </w:r>
      </w:ins>
      <w:del w:id="1168" w:author="Author" w:date="2025-07-19T22:56:00Z">
        <w:r>
          <w:delText>ej</w:delText>
        </w:r>
      </w:del>
      <w:r>
        <w:t xml:space="preserve">, </w:t>
      </w:r>
      <w:del w:id="1169" w:author="Author" w:date="2025-07-19T22:56:00Z">
        <w:r>
          <w:delText>kontrolovanej</w:delText>
        </w:r>
      </w:del>
      <w:ins w:id="1170" w:author="Author" w:date="2025-07-19T22:56:00Z">
        <w:r>
          <w:t>kontrolovanom</w:t>
        </w:r>
      </w:ins>
      <w:r>
        <w:t>, multicentrick</w:t>
      </w:r>
      <w:ins w:id="1171" w:author="Author" w:date="2025-07-19T22:56:00Z">
        <w:r>
          <w:t xml:space="preserve">om </w:t>
        </w:r>
      </w:ins>
      <w:ins w:id="1172" w:author="Author" w:date="2025-07-21T10:10:00Z">
        <w:r>
          <w:t xml:space="preserve">klinickom </w:t>
        </w:r>
      </w:ins>
      <w:ins w:id="1173" w:author="Author" w:date="2025-07-19T22:56:00Z">
        <w:r>
          <w:t>skúšaní</w:t>
        </w:r>
      </w:ins>
      <w:del w:id="1174" w:author="Author" w:date="2025-07-19T22:56:00Z">
        <w:r>
          <w:delText>ej</w:delText>
        </w:r>
      </w:del>
      <w:r>
        <w:t xml:space="preserve"> </w:t>
      </w:r>
      <w:del w:id="1175" w:author="Author" w:date="2025-07-19T22:56:00Z">
        <w:r>
          <w:delText xml:space="preserve">štúdii </w:delText>
        </w:r>
      </w:del>
      <w:r>
        <w:t>s pacientmi s aktívnou RA (SC</w:t>
      </w:r>
      <w:r>
        <w:noBreakHyphen/>
        <w:t xml:space="preserve">II). </w:t>
      </w:r>
      <w:del w:id="1176" w:author="Author" w:date="2025-07-19T22:56:00Z">
        <w:r>
          <w:delText xml:space="preserve">Štúdia </w:delText>
        </w:r>
      </w:del>
      <w:ins w:id="1177" w:author="Author" w:date="2025-07-21T10:10:00Z">
        <w:r>
          <w:t>Klinické s</w:t>
        </w:r>
      </w:ins>
      <w:ins w:id="1178" w:author="Author" w:date="2025-07-19T22:56:00Z">
        <w:del w:id="1179" w:author="Author" w:date="2025-07-21T10:10:00Z">
          <w:r>
            <w:delText>S</w:delText>
          </w:r>
        </w:del>
        <w:r>
          <w:t xml:space="preserve">kúšanie </w:t>
        </w:r>
      </w:ins>
      <w:r>
        <w:t>SC</w:t>
      </w:r>
      <w:r>
        <w:noBreakHyphen/>
        <w:t xml:space="preserve">II </w:t>
      </w:r>
      <w:del w:id="1180" w:author="Author" w:date="2025-07-19T22:56:00Z">
        <w:r>
          <w:delText xml:space="preserve">hodnotila </w:delText>
        </w:r>
      </w:del>
      <w:ins w:id="1181" w:author="Author" w:date="2025-07-19T22:56:00Z">
        <w:r>
          <w:t xml:space="preserve">hodnotilo </w:t>
        </w:r>
      </w:ins>
      <w:r>
        <w:t>pacientov so stredne ťažkou až ťažkou aktívnou RA, ktorí nedosiahli dostatočnú klinickú odpoveď na existujúcu reumatologickú liečbu zahŕňajúcu jedno alebo viac DMARD, pričom približne 20 % malo v anamnéze nedostatočnú odpoveď na liečbu najmenej jedným inhibítorom TNF. Vyžadovalo sa, aby pacienti mali vek </w:t>
      </w:r>
      <w:r>
        <w:rPr>
          <w:rFonts w:eastAsia="MS Mincho"/>
          <w:szCs w:val="22"/>
        </w:rPr>
        <w:sym w:font="Symbol" w:char="F03E"/>
      </w:r>
      <w:r>
        <w:t xml:space="preserve"> 18 rokov a aktívnu RA diagnostikovanú podľa kritérií ACR a aby mali pred začiatkom liečby minimálne 8 bolestivých a 6 opuchnutých kĺbov. V </w:t>
      </w:r>
      <w:del w:id="1182" w:author="Author" w:date="2025-07-19T22:57:00Z">
        <w:r>
          <w:delText xml:space="preserve">štúdii </w:delText>
        </w:r>
      </w:del>
      <w:ins w:id="1183" w:author="Author" w:date="2025-07-21T10:11:00Z">
        <w:r>
          <w:t xml:space="preserve">klinickom </w:t>
        </w:r>
      </w:ins>
      <w:ins w:id="1184" w:author="Author" w:date="2025-07-19T22:57:00Z">
        <w:r>
          <w:t xml:space="preserve">skúšaní </w:t>
        </w:r>
      </w:ins>
      <w:r>
        <w:t>SC</w:t>
      </w:r>
      <w:r>
        <w:noBreakHyphen/>
        <w:t>II bolo 656 pacientov randomizovaných v pomere 2:1 do skupiny s tocilizumabom podávaným subkutánne v dávke 162 mg každý druhý týždeň, alebo do skupiny s placebom, v kombinácii s nebiologickým(i) DMARD(s).</w:t>
      </w:r>
    </w:p>
    <w:p w14:paraId="3C271F48" w14:textId="77777777" w:rsidR="009700E5" w:rsidRDefault="009700E5"/>
    <w:p w14:paraId="43E7ECBA" w14:textId="77777777" w:rsidR="009700E5" w:rsidRDefault="002C033C">
      <w:pPr>
        <w:keepNext/>
        <w:keepLines/>
      </w:pPr>
      <w:r>
        <w:t>V</w:t>
      </w:r>
      <w:del w:id="1185" w:author="Author" w:date="2025-07-19T22:57:00Z">
        <w:r>
          <w:delText xml:space="preserve"> </w:delText>
        </w:r>
      </w:del>
      <w:ins w:id="1186" w:author="Author" w:date="2025-07-19T22:57:00Z">
        <w:r>
          <w:t> </w:t>
        </w:r>
      </w:ins>
      <w:del w:id="1187" w:author="Author" w:date="2025-07-19T22:57:00Z">
        <w:r>
          <w:delText xml:space="preserve">štúdii </w:delText>
        </w:r>
      </w:del>
      <w:ins w:id="1188" w:author="Author" w:date="2025-07-21T10:11:00Z">
        <w:r>
          <w:t xml:space="preserve">klinickom </w:t>
        </w:r>
      </w:ins>
      <w:ins w:id="1189" w:author="Author" w:date="2025-07-19T22:57:00Z">
        <w:r>
          <w:t xml:space="preserve">skúšaní </w:t>
        </w:r>
      </w:ins>
      <w:r>
        <w:t>SC</w:t>
      </w:r>
      <w:r>
        <w:noBreakHyphen/>
        <w:t>II sa inhibícia štrukturálneho poškodenia kĺbov hodnotila rádiograficky a vyjadrila sa ako zmena oproti východiskovej hodnote v priemernom celkovom Sharpovom skóre modifikovanom van der Heijdom (mTSS). V 24. týždni sa preukázala inhibícia štrukturálneho poškodenia kĺbov s významne nižšou rádiografickou progresiou ochorenia u pacientov, ktorým bol subkutánne podávaný tocilizumab, v porovnaní s pacientmi, ktorým bolo podávané placebo (priemerné mTSS 0,62 oproti 1,23, p = 0,0149 (van Elteren)). Tieto výsledky sa zhodujú s výsledkami pozorovanými u pacientov liečených intravenóznym tocilizumabom.</w:t>
      </w:r>
    </w:p>
    <w:p w14:paraId="33717C61" w14:textId="77777777" w:rsidR="009700E5" w:rsidRDefault="009700E5">
      <w:pPr>
        <w:rPr>
          <w:rFonts w:eastAsia="MS PGothic"/>
          <w:color w:val="000000"/>
          <w:szCs w:val="22"/>
        </w:rPr>
      </w:pPr>
    </w:p>
    <w:p w14:paraId="23BD62CB" w14:textId="77777777" w:rsidR="009700E5" w:rsidRDefault="002C033C">
      <w:pPr>
        <w:keepNext/>
        <w:keepLines/>
        <w:rPr>
          <w:szCs w:val="22"/>
        </w:rPr>
      </w:pPr>
      <w:r>
        <w:rPr>
          <w:rFonts w:eastAsia="MS PGothic"/>
          <w:color w:val="000000"/>
          <w:szCs w:val="22"/>
        </w:rPr>
        <w:t>V</w:t>
      </w:r>
      <w:del w:id="1190" w:author="Author" w:date="2025-07-19T22:58:00Z">
        <w:r>
          <w:rPr>
            <w:rFonts w:eastAsia="MS PGothic"/>
            <w:color w:val="000000"/>
            <w:szCs w:val="22"/>
          </w:rPr>
          <w:delText xml:space="preserve"> </w:delText>
        </w:r>
      </w:del>
      <w:ins w:id="1191" w:author="Author" w:date="2025-07-19T22:58:00Z">
        <w:r>
          <w:rPr>
            <w:rFonts w:eastAsia="MS PGothic"/>
            <w:color w:val="000000"/>
            <w:szCs w:val="22"/>
          </w:rPr>
          <w:t> </w:t>
        </w:r>
      </w:ins>
      <w:del w:id="1192" w:author="Author" w:date="2025-07-19T22:58:00Z">
        <w:r>
          <w:rPr>
            <w:rFonts w:eastAsia="MS PGothic"/>
            <w:color w:val="000000"/>
            <w:szCs w:val="22"/>
          </w:rPr>
          <w:delText xml:space="preserve">štúdii </w:delText>
        </w:r>
      </w:del>
      <w:ins w:id="1193" w:author="Author" w:date="2025-07-21T10:11:00Z">
        <w:r>
          <w:rPr>
            <w:rFonts w:eastAsia="MS PGothic"/>
            <w:color w:val="000000"/>
            <w:szCs w:val="22"/>
          </w:rPr>
          <w:t xml:space="preserve">klinickom </w:t>
        </w:r>
      </w:ins>
      <w:ins w:id="1194" w:author="Author" w:date="2025-07-19T22:58:00Z">
        <w:r>
          <w:rPr>
            <w:rFonts w:eastAsia="MS PGothic"/>
            <w:color w:val="000000"/>
            <w:szCs w:val="22"/>
          </w:rPr>
          <w:t xml:space="preserve">skúšaní </w:t>
        </w:r>
      </w:ins>
      <w:r>
        <w:rPr>
          <w:rFonts w:eastAsia="MS PGothic"/>
          <w:color w:val="000000"/>
          <w:szCs w:val="22"/>
        </w:rPr>
        <w:t>SC</w:t>
      </w:r>
      <w:r>
        <w:rPr>
          <w:rFonts w:eastAsia="MS PGothic"/>
          <w:color w:val="000000"/>
          <w:szCs w:val="22"/>
        </w:rPr>
        <w:noBreakHyphen/>
        <w:t xml:space="preserve">II sa v 24. týždni dosiahla odpoveď </w:t>
      </w:r>
      <w:r>
        <w:rPr>
          <w:rFonts w:eastAsia="MS PGothic"/>
          <w:bCs/>
          <w:color w:val="000000"/>
          <w:szCs w:val="22"/>
        </w:rPr>
        <w:t>ACR </w:t>
      </w:r>
      <w:r>
        <w:rPr>
          <w:rFonts w:eastAsia="MS PGothic"/>
          <w:color w:val="000000"/>
          <w:szCs w:val="22"/>
        </w:rPr>
        <w:t xml:space="preserve">20 u 60,9 %, ACR 50 u 39,8 % a ACR 70 u 19,7 % pacientov liečených </w:t>
      </w:r>
      <w:r>
        <w:t>tocilizumabom</w:t>
      </w:r>
      <w:r>
        <w:rPr>
          <w:rFonts w:eastAsia="MS PGothic"/>
          <w:color w:val="000000"/>
          <w:szCs w:val="22"/>
        </w:rPr>
        <w:t xml:space="preserve"> podávaným subkutánne každý druhý týždeň oproti odpovedi ACR 20 dosiahnutej u 31,5 %, ACR 50 u 12,3 % a ACR 70 u 5,0 % pacientov, ktorým bolo podávané placebo. Pacienti mali pred začiatkom liečby priemerné DAS28 6,7 v skupine so subkutánnym tocilizumabom a 6,6 v skupine s placebom. V 24. týždni sa pozorovalo významné zníženie DAS28 oproti východiskovej hodnote o 3,1 v skupine so subkutánnym tocilizumabom a o 1,7 v skupine s placebom a </w:t>
      </w:r>
      <w:r>
        <w:rPr>
          <w:rFonts w:eastAsia="MS PGothic"/>
          <w:bCs/>
          <w:color w:val="000000"/>
          <w:szCs w:val="22"/>
        </w:rPr>
        <w:t>DAS28 </w:t>
      </w:r>
      <w:r>
        <w:rPr>
          <w:rFonts w:eastAsia="MS Mincho"/>
          <w:szCs w:val="22"/>
        </w:rPr>
        <w:sym w:font="Symbol" w:char="F03C"/>
      </w:r>
      <w:r>
        <w:rPr>
          <w:rFonts w:eastAsia="MS PGothic"/>
          <w:bCs/>
          <w:color w:val="000000"/>
          <w:szCs w:val="22"/>
        </w:rPr>
        <w:t xml:space="preserve"> 2,6 sa pozorovalo u </w:t>
      </w:r>
      <w:r>
        <w:rPr>
          <w:rFonts w:eastAsia="MS PGothic"/>
          <w:color w:val="000000"/>
          <w:szCs w:val="22"/>
        </w:rPr>
        <w:t>32,0 % pacientov v skupine so subkutánnym tocilizumabom a u 4,0 % pacientov v skupine s placebom.</w:t>
      </w:r>
    </w:p>
    <w:p w14:paraId="3383B926" w14:textId="77777777" w:rsidR="009700E5" w:rsidRDefault="009700E5">
      <w:pPr>
        <w:rPr>
          <w:iCs/>
        </w:rPr>
      </w:pPr>
    </w:p>
    <w:p w14:paraId="5F62B182" w14:textId="77777777" w:rsidR="009700E5" w:rsidRDefault="002C033C">
      <w:pPr>
        <w:keepNext/>
        <w:keepLines/>
        <w:rPr>
          <w:i/>
          <w:u w:val="single"/>
        </w:rPr>
      </w:pPr>
      <w:r>
        <w:rPr>
          <w:i/>
          <w:u w:val="single"/>
        </w:rPr>
        <w:t>Zdravotné výsledky a výsledky týkajúce sa kvality života</w:t>
      </w:r>
    </w:p>
    <w:p w14:paraId="6840A5BC" w14:textId="77777777" w:rsidR="009700E5" w:rsidRDefault="002C033C">
      <w:pPr>
        <w:keepNext/>
        <w:keepLines/>
      </w:pPr>
      <w:r>
        <w:t xml:space="preserve">V </w:t>
      </w:r>
      <w:del w:id="1195" w:author="Author" w:date="2025-07-19T22:58:00Z">
        <w:r>
          <w:delText xml:space="preserve">štúdii </w:delText>
        </w:r>
      </w:del>
      <w:ins w:id="1196" w:author="Author" w:date="2025-07-21T10:11:00Z">
        <w:r>
          <w:t xml:space="preserve">klinickom </w:t>
        </w:r>
      </w:ins>
      <w:ins w:id="1197" w:author="Author" w:date="2025-07-19T22:58:00Z">
        <w:r>
          <w:t xml:space="preserve">skúšaní </w:t>
        </w:r>
      </w:ins>
      <w:r>
        <w:t>SC</w:t>
      </w:r>
      <w:r>
        <w:noBreakHyphen/>
        <w:t>I sa skóre HAQ</w:t>
      </w:r>
      <w:r>
        <w:noBreakHyphen/>
        <w:t xml:space="preserve">DI od začiatku </w:t>
      </w:r>
      <w:del w:id="1198" w:author="Author" w:date="2025-07-19T22:58:00Z">
        <w:r>
          <w:delText xml:space="preserve">štúdie </w:delText>
        </w:r>
      </w:del>
      <w:ins w:id="1199" w:author="Author" w:date="2025-07-21T10:11:00Z">
        <w:r>
          <w:t xml:space="preserve">klinického </w:t>
        </w:r>
      </w:ins>
      <w:ins w:id="1200" w:author="Author" w:date="2025-07-19T22:58:00Z">
        <w:r>
          <w:t xml:space="preserve">skúšania </w:t>
        </w:r>
      </w:ins>
      <w:r>
        <w:t>po 24. týždeň znížilo priemerne o 0,6 v skupine so subkutánnym tocilizumabom aj v skupine s intravenóznym tocilizumabom. Podiel pacientov, ktorí dosiahli klinicky významné zlepšenie skóre HAQ</w:t>
      </w:r>
      <w:r>
        <w:noBreakHyphen/>
        <w:t xml:space="preserve">DI v 24. týždni (zmena oproti východiskovému skóre o ≥ 0,3 jednotky), bol tiež porovnateľný v skupine so subkutánnym tocilizumabom (65,2 %) oproti skupine s intravenóznym tocilizumabom (67,4 %), pričom vážený rozdiel v podieloch bol </w:t>
      </w:r>
      <w:r>
        <w:noBreakHyphen/>
        <w:t xml:space="preserve">2,3 % (95 % IS </w:t>
      </w:r>
      <w:r>
        <w:noBreakHyphen/>
        <w:t>8,1; 3,4). Pokiaľ ide o SF</w:t>
      </w:r>
      <w:r>
        <w:noBreakHyphen/>
        <w:t>36, v 24. týždni bola priemerná zmena oproti východiskovej hodnote v skóre mentálneho komponentu 6,22 v skupine so subkutánnym tocilizumabom a 6,54 v skupine s intravenóznym tocilizumabom a zmena v skóre fyzického komponentu bola tiež podobná, a to 9,49 v skupine so subkutánnym tocilizumabom a 9,65 v v skupine s intravenóznym tocilizumabom.</w:t>
      </w:r>
    </w:p>
    <w:p w14:paraId="13231184" w14:textId="77777777" w:rsidR="009700E5" w:rsidRDefault="009700E5"/>
    <w:p w14:paraId="43639DDD" w14:textId="77777777" w:rsidR="009700E5" w:rsidRDefault="002C033C">
      <w:r>
        <w:t xml:space="preserve">V </w:t>
      </w:r>
      <w:ins w:id="1201" w:author="Author" w:date="2026-02-10T14:58:00Z">
        <w:r>
          <w:t xml:space="preserve">klinickom </w:t>
        </w:r>
      </w:ins>
      <w:del w:id="1202" w:author="Author" w:date="2025-07-19T22:59:00Z">
        <w:r>
          <w:delText xml:space="preserve">štúdii </w:delText>
        </w:r>
      </w:del>
      <w:ins w:id="1203" w:author="Author" w:date="2025-07-19T22:59:00Z">
        <w:r>
          <w:t xml:space="preserve">skúšaní </w:t>
        </w:r>
      </w:ins>
      <w:r>
        <w:t>SC</w:t>
      </w:r>
      <w:r>
        <w:noBreakHyphen/>
        <w:t>II bolo priemerné zníženie skóre HAQ</w:t>
      </w:r>
      <w:r>
        <w:noBreakHyphen/>
        <w:t xml:space="preserve">DI od začiatku </w:t>
      </w:r>
      <w:del w:id="1204" w:author="Author" w:date="2025-07-19T22:59:00Z">
        <w:r>
          <w:delText xml:space="preserve">štúdie </w:delText>
        </w:r>
      </w:del>
      <w:ins w:id="1205" w:author="Author" w:date="2025-07-21T10:11:00Z">
        <w:r>
          <w:t xml:space="preserve">klinického </w:t>
        </w:r>
      </w:ins>
      <w:ins w:id="1206" w:author="Author" w:date="2025-07-19T22:59:00Z">
        <w:r>
          <w:t xml:space="preserve">skúšania </w:t>
        </w:r>
      </w:ins>
      <w:r>
        <w:t>po 24. týždeň významne väčšie u pacientov liečených tocilizumabom podávaným subkutánne každý druhý týždeň (0,4) v porovnaní s pacientmi, ktorým bolo podávané placebo (0,3). Podiel pacientov, ktorí dosiahli klinicky významné zlepšenie skóre HAQ</w:t>
      </w:r>
      <w:r>
        <w:noBreakHyphen/>
        <w:t>DI v 24. týždni (zmena oproti východiskovému skóre o ≥ 0,3 jednotky), bol vyšší u pacientov liečených tocilizumabom podávaným subkutánne každý druhý týždeň (58 %) v porovnaní s pacientmi, ktorým bolo podávané placebo (46,8 %). Zmena v SF</w:t>
      </w:r>
      <w:r>
        <w:noBreakHyphen/>
        <w:t xml:space="preserve">36 (priemerná zmena v skóre mentálneho a fyzického komponentu) </w:t>
      </w:r>
      <w:r>
        <w:lastRenderedPageBreak/>
        <w:t>bola významne väčšia v skupine so subkutánnym tocilizumabom (6,5 a 5,3) v porovnaní so skupinou s placebom (3,8 a 2,9).</w:t>
      </w:r>
    </w:p>
    <w:p w14:paraId="5FAC07DE" w14:textId="77777777" w:rsidR="009700E5" w:rsidRDefault="009700E5"/>
    <w:p w14:paraId="65B6AEA8" w14:textId="77777777" w:rsidR="009700E5" w:rsidRDefault="009700E5">
      <w:pPr>
        <w:keepNext/>
        <w:keepLines/>
        <w:rPr>
          <w:ins w:id="1207" w:author="Author" w:date="2025-07-19T22:59:00Z"/>
          <w:del w:id="1208" w:author="Author" w:date="2025-07-22T17:48:00Z"/>
          <w:bCs/>
          <w:u w:val="single"/>
          <w:lang w:eastAsia="de-DE"/>
        </w:rPr>
      </w:pPr>
    </w:p>
    <w:p w14:paraId="2C574929" w14:textId="77777777" w:rsidR="009700E5" w:rsidRDefault="002C033C">
      <w:pPr>
        <w:keepNext/>
        <w:keepLines/>
        <w:rPr>
          <w:ins w:id="1209" w:author="Author" w:date="2025-07-19T22:59:00Z"/>
          <w:bCs/>
          <w:u w:val="single"/>
          <w:lang w:eastAsia="de-DE"/>
        </w:rPr>
      </w:pPr>
      <w:ins w:id="1210" w:author="Author" w:date="2025-07-19T22:59:00Z">
        <w:r>
          <w:rPr>
            <w:bCs/>
            <w:u w:val="single"/>
            <w:lang w:eastAsia="de-DE"/>
          </w:rPr>
          <w:t xml:space="preserve">Subkutánne použitie </w:t>
        </w:r>
      </w:ins>
    </w:p>
    <w:p w14:paraId="2B9E737A" w14:textId="77777777" w:rsidR="009700E5" w:rsidRDefault="002C033C">
      <w:pPr>
        <w:keepNext/>
        <w:keepLines/>
        <w:rPr>
          <w:ins w:id="1211" w:author="Author" w:date="2025-07-19T23:05:00Z"/>
          <w:bCs/>
          <w:i/>
          <w:iCs/>
          <w:lang w:eastAsia="de-DE"/>
        </w:rPr>
      </w:pPr>
      <w:ins w:id="1212" w:author="Author" w:date="2025-07-19T22:59:00Z">
        <w:r>
          <w:rPr>
            <w:bCs/>
            <w:i/>
            <w:iCs/>
            <w:lang w:eastAsia="de-DE"/>
            <w:rPrChange w:id="1213" w:author="Author" w:date="2025-08-22T15:12:00Z">
              <w:rPr>
                <w:bCs/>
                <w:u w:val="single"/>
                <w:lang w:eastAsia="de-DE"/>
              </w:rPr>
            </w:rPrChange>
          </w:rPr>
          <w:t>Pacienti s</w:t>
        </w:r>
      </w:ins>
      <w:ins w:id="1214" w:author="Author" w:date="2025-07-21T10:11:00Z">
        <w:r>
          <w:rPr>
            <w:bCs/>
            <w:i/>
            <w:iCs/>
            <w:lang w:eastAsia="de-DE"/>
          </w:rPr>
          <w:t>o</w:t>
        </w:r>
      </w:ins>
      <w:ins w:id="1215" w:author="Author" w:date="2025-07-19T23:05:00Z">
        <w:r>
          <w:rPr>
            <w:bCs/>
            <w:i/>
            <w:iCs/>
            <w:lang w:eastAsia="de-DE"/>
          </w:rPr>
          <w:t> </w:t>
        </w:r>
      </w:ins>
      <w:r>
        <w:rPr>
          <w:bCs/>
          <w:i/>
          <w:iCs/>
          <w:lang w:eastAsia="de-DE"/>
          <w:rPrChange w:id="1216" w:author="Author" w:date="2025-08-22T15:12:00Z">
            <w:rPr>
              <w:bCs/>
              <w:u w:val="single"/>
              <w:lang w:eastAsia="de-DE"/>
            </w:rPr>
          </w:rPrChange>
        </w:rPr>
        <w:t>sJIA</w:t>
      </w:r>
      <w:del w:id="1217" w:author="Author" w:date="2025-07-19T22:59:00Z">
        <w:r>
          <w:rPr>
            <w:bCs/>
            <w:i/>
            <w:iCs/>
            <w:lang w:eastAsia="de-DE"/>
            <w:rPrChange w:id="1218" w:author="Author" w:date="2025-08-22T15:12:00Z">
              <w:rPr>
                <w:bCs/>
                <w:u w:val="single"/>
                <w:lang w:eastAsia="de-DE"/>
              </w:rPr>
            </w:rPrChange>
          </w:rPr>
          <w:delText xml:space="preserve"> (subkutánne použitie)</w:delText>
        </w:r>
      </w:del>
    </w:p>
    <w:p w14:paraId="78C0D107" w14:textId="77777777" w:rsidR="009700E5" w:rsidRPr="009700E5" w:rsidRDefault="009700E5">
      <w:pPr>
        <w:keepNext/>
        <w:keepLines/>
        <w:rPr>
          <w:bCs/>
          <w:i/>
          <w:iCs/>
          <w:lang w:eastAsia="de-DE"/>
          <w:rPrChange w:id="1219" w:author="Author" w:date="2025-08-22T15:12:00Z">
            <w:rPr>
              <w:bCs/>
              <w:u w:val="single"/>
              <w:lang w:eastAsia="de-DE"/>
            </w:rPr>
          </w:rPrChange>
        </w:rPr>
      </w:pPr>
    </w:p>
    <w:p w14:paraId="18200536" w14:textId="77777777" w:rsidR="009700E5" w:rsidRPr="009700E5" w:rsidRDefault="002C033C">
      <w:pPr>
        <w:keepNext/>
        <w:keepLines/>
        <w:rPr>
          <w:i/>
          <w:iCs/>
          <w:u w:val="single"/>
          <w:lang w:eastAsia="de-DE"/>
          <w:rPrChange w:id="1220" w:author="Author" w:date="2025-08-22T15:12:00Z">
            <w:rPr>
              <w:i/>
              <w:iCs/>
              <w:lang w:eastAsia="de-DE"/>
            </w:rPr>
          </w:rPrChange>
        </w:rPr>
      </w:pPr>
      <w:r>
        <w:rPr>
          <w:i/>
          <w:iCs/>
          <w:u w:val="single"/>
          <w:lang w:eastAsia="de-DE"/>
          <w:rPrChange w:id="1221" w:author="Author" w:date="2025-08-22T15:12:00Z">
            <w:rPr>
              <w:i/>
              <w:iCs/>
              <w:lang w:eastAsia="de-DE"/>
            </w:rPr>
          </w:rPrChange>
        </w:rPr>
        <w:t>Klinická účinnosť</w:t>
      </w:r>
    </w:p>
    <w:p w14:paraId="1F74B246" w14:textId="77777777" w:rsidR="009700E5" w:rsidRDefault="009700E5">
      <w:pPr>
        <w:keepNext/>
        <w:keepLines/>
        <w:rPr>
          <w:del w:id="1222" w:author="Author" w:date="2025-07-24T21:08:00Z"/>
        </w:rPr>
      </w:pPr>
    </w:p>
    <w:p w14:paraId="5AE7F01C" w14:textId="77777777" w:rsidR="009700E5" w:rsidRDefault="002C033C">
      <w:pPr>
        <w:keepNext/>
        <w:keepLines/>
      </w:pPr>
      <w:r>
        <w:t>Uskutočnil</w:t>
      </w:r>
      <w:ins w:id="1223" w:author="Author" w:date="2025-07-19T23:00:00Z">
        <w:r>
          <w:t>o</w:t>
        </w:r>
      </w:ins>
      <w:del w:id="1224" w:author="Author" w:date="2025-07-19T23:00:00Z">
        <w:r>
          <w:delText>a</w:delText>
        </w:r>
      </w:del>
      <w:r>
        <w:t xml:space="preserve"> sa 52</w:t>
      </w:r>
      <w:r>
        <w:noBreakHyphen/>
        <w:t>týždňov</w:t>
      </w:r>
      <w:ins w:id="1225" w:author="Author" w:date="2025-07-19T23:00:00Z">
        <w:r>
          <w:t>é</w:t>
        </w:r>
      </w:ins>
      <w:del w:id="1226" w:author="Author" w:date="2025-07-19T23:00:00Z">
        <w:r>
          <w:delText>á</w:delText>
        </w:r>
      </w:del>
      <w:r>
        <w:t>, otvoren</w:t>
      </w:r>
      <w:ins w:id="1227" w:author="Author" w:date="2025-07-19T23:00:00Z">
        <w:r>
          <w:t>é</w:t>
        </w:r>
      </w:ins>
      <w:del w:id="1228" w:author="Author" w:date="2025-07-19T23:00:00Z">
        <w:r>
          <w:delText>á</w:delText>
        </w:r>
      </w:del>
      <w:r>
        <w:t>, multicentrick</w:t>
      </w:r>
      <w:ins w:id="1229" w:author="Author" w:date="2025-07-19T23:00:00Z">
        <w:r>
          <w:t xml:space="preserve">é </w:t>
        </w:r>
      </w:ins>
      <w:ins w:id="1230" w:author="Author" w:date="2025-07-21T10:11:00Z">
        <w:r>
          <w:t xml:space="preserve">klinické </w:t>
        </w:r>
      </w:ins>
      <w:ins w:id="1231" w:author="Author" w:date="2025-07-19T23:00:00Z">
        <w:r>
          <w:t>skúšanie</w:t>
        </w:r>
      </w:ins>
      <w:del w:id="1232" w:author="Author" w:date="2025-07-19T23:00:00Z">
        <w:r>
          <w:delText>á</w:delText>
        </w:r>
      </w:del>
      <w:ins w:id="1233" w:author="Author" w:date="2025-07-19T23:00:00Z">
        <w:r>
          <w:t xml:space="preserve"> </w:t>
        </w:r>
      </w:ins>
      <w:del w:id="1234" w:author="Author" w:date="2025-07-19T23:00:00Z">
        <w:r>
          <w:delText xml:space="preserve"> štúdia </w:delText>
        </w:r>
      </w:del>
      <w:r>
        <w:rPr>
          <w:lang w:eastAsia="de-DE"/>
        </w:rPr>
        <w:t>(WA28118)</w:t>
      </w:r>
      <w:r>
        <w:t xml:space="preserve"> </w:t>
      </w:r>
      <w:del w:id="1235" w:author="Author" w:date="2025-07-19T23:00:00Z">
        <w:r>
          <w:delText xml:space="preserve">skúmajúca </w:delText>
        </w:r>
      </w:del>
      <w:ins w:id="1236" w:author="Author" w:date="2025-07-19T23:00:00Z">
        <w:r>
          <w:t xml:space="preserve">skúmajúce </w:t>
        </w:r>
      </w:ins>
      <w:r>
        <w:t>farmakokinetiku (FK)/farmakodynamiku (FD) a bezpečnosť u pediatrických pacientov so sJIA vo veku od 1 do 17 rokov, ktor</w:t>
      </w:r>
      <w:ins w:id="1237" w:author="Author" w:date="2025-07-21T10:12:00Z">
        <w:r>
          <w:t>ého</w:t>
        </w:r>
      </w:ins>
      <w:del w:id="1238" w:author="Author" w:date="2025-07-21T10:12:00Z">
        <w:r>
          <w:delText>ej</w:delText>
        </w:r>
      </w:del>
      <w:r>
        <w:t xml:space="preserve"> cieľom bolo určiť vhodnú subkutánnu dávku tocilizumabu, pri ktorej sa dosiahne FK/FD profil a bezpečnostný profil, ktoré sú porovnateľné s tými, ktoré sa dosiahnu pri režime s intravenóznou dávkou</w:t>
      </w:r>
    </w:p>
    <w:p w14:paraId="0EF3435B" w14:textId="77777777" w:rsidR="009700E5" w:rsidRDefault="009700E5">
      <w:pPr>
        <w:rPr>
          <w:lang w:eastAsia="de-DE"/>
        </w:rPr>
      </w:pPr>
    </w:p>
    <w:p w14:paraId="256BC417" w14:textId="77777777" w:rsidR="009700E5" w:rsidRDefault="002C033C">
      <w:r>
        <w:t xml:space="preserve">Vhodným pacientom sa </w:t>
      </w:r>
      <w:ins w:id="1239" w:author="Author" w:date="2025-07-19T23:01:00Z">
        <w:r>
          <w:rPr>
            <w:szCs w:val="22"/>
          </w:rPr>
          <w:t>tocilizumab</w:t>
        </w:r>
      </w:ins>
      <w:del w:id="1240" w:author="Author" w:date="2025-07-19T23:01:00Z">
        <w:r>
          <w:delText>liek</w:delText>
        </w:r>
      </w:del>
      <w:r>
        <w:t xml:space="preserve"> podával v dávke určenej podľa telesnej hmotnosti, pričom pacientom s telesnou hmotnosťou </w:t>
      </w:r>
      <w:r>
        <w:sym w:font="Symbol" w:char="F0B3"/>
      </w:r>
      <w:r>
        <w:t> 30 kg (n = 26) sa tocilizumab podával v dávke 162 mg raz za týždeň (QW) a pacientom s telesnou hmotnosťou nižšou ako 30 kg (n = 25) sa tocilizumab podával v dávke 162 mg každých 10 dní (Q10D; n = 8)) alebo raz za 2 týždne (Q2W; n = 17) počas 52 týždňov. Týchto 51 pacientov zahŕňalo 26 (51 %) pacientov, ktorí dovtedy neboli liečení, a 25 (49 %) pacientov, ktorí boli liečení intravenózne podávaným tocilizumabom a pri zaradení do</w:t>
      </w:r>
      <w:ins w:id="1241" w:author="Author" w:date="2025-07-20T22:26:00Z">
        <w:r>
          <w:t xml:space="preserve"> </w:t>
        </w:r>
      </w:ins>
      <w:del w:id="1242" w:author="Author" w:date="2025-07-20T22:25:00Z">
        <w:r>
          <w:delText> štúdie</w:delText>
        </w:r>
      </w:del>
      <w:ins w:id="1243" w:author="Author" w:date="2025-07-21T10:12:00Z">
        <w:r>
          <w:t xml:space="preserve"> klinického </w:t>
        </w:r>
      </w:ins>
      <w:ins w:id="1244" w:author="Author" w:date="2025-07-20T22:25:00Z">
        <w:r>
          <w:t>skúša</w:t>
        </w:r>
      </w:ins>
      <w:ins w:id="1245" w:author="Author" w:date="2025-07-20T22:26:00Z">
        <w:r>
          <w:t>nia</w:t>
        </w:r>
      </w:ins>
      <w:r>
        <w:t xml:space="preserve"> prešli na subkutánne podávaný tocilizumab.</w:t>
      </w:r>
    </w:p>
    <w:p w14:paraId="324E6B84" w14:textId="77777777" w:rsidR="009700E5" w:rsidRDefault="009700E5">
      <w:pPr>
        <w:rPr>
          <w:lang w:eastAsia="de-DE"/>
        </w:rPr>
      </w:pPr>
    </w:p>
    <w:p w14:paraId="057F7389" w14:textId="77777777" w:rsidR="009700E5" w:rsidRDefault="002C033C">
      <w:pPr>
        <w:keepNext/>
        <w:keepLines/>
        <w:rPr>
          <w:lang w:eastAsia="de-DE"/>
        </w:rPr>
      </w:pPr>
      <w:r>
        <w:t>Výsledky exploračnej analýzy účinnosti ukázali, že subkutánne podávaný tocilizumab zlepšil všetky exploračné parametre účinnosti vrátane skóre JADAS</w:t>
      </w:r>
      <w:r>
        <w:noBreakHyphen/>
        <w:t xml:space="preserve">71 (Juvenile Arthritis Disease Activity Score) u pacientov dovtedy neliečených tocilizumabom a udržala všetky exploračné parametre účinnosti u pacientov, ktorí prešli z intravenóznej liečby na subkutánnu liečbu, počas celej doby trvania </w:t>
      </w:r>
      <w:del w:id="1246" w:author="Author" w:date="2025-07-19T23:01:00Z">
        <w:r>
          <w:delText xml:space="preserve">štúdie </w:delText>
        </w:r>
      </w:del>
      <w:ins w:id="1247" w:author="Author" w:date="2025-07-21T10:12:00Z">
        <w:r>
          <w:t xml:space="preserve">klinického </w:t>
        </w:r>
      </w:ins>
      <w:ins w:id="1248" w:author="Author" w:date="2025-07-19T23:01:00Z">
        <w:r>
          <w:t xml:space="preserve">skúšania </w:t>
        </w:r>
      </w:ins>
      <w:r>
        <w:t>u pacientov v obidvoch hmotnostných skupinách (telesná hmotnosť nižšia ako 30 kg a telesná hmotnosť </w:t>
      </w:r>
      <w:r>
        <w:sym w:font="Symbol" w:char="F0B3"/>
      </w:r>
      <w:r>
        <w:t> 30 kg).</w:t>
      </w:r>
    </w:p>
    <w:p w14:paraId="057FF450" w14:textId="77777777" w:rsidR="009700E5" w:rsidRDefault="009700E5"/>
    <w:p w14:paraId="18CC549E" w14:textId="77777777" w:rsidR="009700E5" w:rsidRDefault="002C033C">
      <w:pPr>
        <w:keepNext/>
        <w:keepLines/>
        <w:rPr>
          <w:ins w:id="1249" w:author="Author" w:date="2025-07-19T23:05:00Z"/>
          <w:bCs/>
          <w:szCs w:val="22"/>
          <w:u w:val="single"/>
        </w:rPr>
      </w:pPr>
      <w:ins w:id="1250" w:author="Author" w:date="2025-07-19T23:05:00Z">
        <w:r>
          <w:rPr>
            <w:bCs/>
            <w:szCs w:val="22"/>
            <w:u w:val="single"/>
          </w:rPr>
          <w:t>Subkutánne použitie</w:t>
        </w:r>
      </w:ins>
    </w:p>
    <w:p w14:paraId="71D6E3AC" w14:textId="77777777" w:rsidR="009700E5" w:rsidRPr="009700E5" w:rsidRDefault="002C033C">
      <w:pPr>
        <w:keepNext/>
        <w:keepLines/>
        <w:rPr>
          <w:bCs/>
          <w:i/>
          <w:iCs/>
          <w:szCs w:val="22"/>
          <w:rPrChange w:id="1251" w:author="Author" w:date="2025-08-22T15:12:00Z">
            <w:rPr>
              <w:bCs/>
              <w:szCs w:val="22"/>
              <w:u w:val="single"/>
            </w:rPr>
          </w:rPrChange>
        </w:rPr>
      </w:pPr>
      <w:ins w:id="1252" w:author="Author" w:date="2025-07-19T23:05:00Z">
        <w:r>
          <w:rPr>
            <w:bCs/>
            <w:i/>
            <w:iCs/>
            <w:szCs w:val="22"/>
            <w:rPrChange w:id="1253" w:author="Author" w:date="2025-08-22T15:12:00Z">
              <w:rPr>
                <w:bCs/>
                <w:szCs w:val="22"/>
                <w:u w:val="single"/>
              </w:rPr>
            </w:rPrChange>
          </w:rPr>
          <w:t>Pacienti s</w:t>
        </w:r>
      </w:ins>
      <w:ins w:id="1254" w:author="Author" w:date="2025-07-21T10:12:00Z">
        <w:r>
          <w:rPr>
            <w:bCs/>
            <w:i/>
            <w:iCs/>
            <w:szCs w:val="22"/>
          </w:rPr>
          <w:t> </w:t>
        </w:r>
      </w:ins>
      <w:ins w:id="1255" w:author="Author" w:date="2025-07-19T23:05:00Z">
        <w:del w:id="1256" w:author="Author" w:date="2025-07-21T10:12:00Z">
          <w:r>
            <w:rPr>
              <w:bCs/>
              <w:i/>
              <w:iCs/>
              <w:szCs w:val="22"/>
              <w:rPrChange w:id="1257" w:author="Author" w:date="2025-08-22T15:12:00Z">
                <w:rPr>
                  <w:bCs/>
                  <w:szCs w:val="22"/>
                  <w:u w:val="single"/>
                </w:rPr>
              </w:rPrChange>
            </w:rPr>
            <w:delText xml:space="preserve"> </w:delText>
          </w:r>
        </w:del>
      </w:ins>
      <w:r>
        <w:rPr>
          <w:bCs/>
          <w:i/>
          <w:iCs/>
          <w:szCs w:val="22"/>
          <w:rPrChange w:id="1258" w:author="Author" w:date="2025-08-22T15:12:00Z">
            <w:rPr>
              <w:bCs/>
              <w:szCs w:val="22"/>
              <w:u w:val="single"/>
            </w:rPr>
          </w:rPrChange>
        </w:rPr>
        <w:t>pJIA</w:t>
      </w:r>
      <w:del w:id="1259" w:author="Author" w:date="2025-07-19T23:05:00Z">
        <w:r>
          <w:rPr>
            <w:bCs/>
            <w:i/>
            <w:iCs/>
            <w:szCs w:val="22"/>
            <w:rPrChange w:id="1260" w:author="Author" w:date="2025-08-22T15:12:00Z">
              <w:rPr>
                <w:bCs/>
                <w:szCs w:val="22"/>
                <w:u w:val="single"/>
              </w:rPr>
            </w:rPrChange>
          </w:rPr>
          <w:delText xml:space="preserve"> (subkutánne použitie)</w:delText>
        </w:r>
      </w:del>
    </w:p>
    <w:p w14:paraId="5BE9391D" w14:textId="77777777" w:rsidR="009700E5" w:rsidRDefault="009700E5">
      <w:pPr>
        <w:keepNext/>
        <w:keepLines/>
        <w:rPr>
          <w:ins w:id="1261" w:author="Author" w:date="2025-07-19T23:05:00Z"/>
          <w:bCs/>
          <w:szCs w:val="22"/>
          <w:u w:val="single"/>
        </w:rPr>
      </w:pPr>
    </w:p>
    <w:p w14:paraId="1D4102A7" w14:textId="77777777" w:rsidR="009700E5" w:rsidRPr="009700E5" w:rsidRDefault="002C033C">
      <w:pPr>
        <w:keepNext/>
        <w:keepLines/>
        <w:rPr>
          <w:bCs/>
          <w:i/>
          <w:iCs/>
          <w:szCs w:val="22"/>
          <w:u w:val="single"/>
          <w:rPrChange w:id="1262" w:author="Author" w:date="2025-08-22T15:12:00Z">
            <w:rPr>
              <w:bCs/>
              <w:i/>
              <w:iCs/>
              <w:szCs w:val="22"/>
            </w:rPr>
          </w:rPrChange>
        </w:rPr>
      </w:pPr>
      <w:r>
        <w:rPr>
          <w:bCs/>
          <w:i/>
          <w:iCs/>
          <w:szCs w:val="22"/>
          <w:u w:val="single"/>
          <w:rPrChange w:id="1263" w:author="Author" w:date="2025-08-22T15:12:00Z">
            <w:rPr>
              <w:bCs/>
              <w:i/>
              <w:iCs/>
              <w:szCs w:val="22"/>
            </w:rPr>
          </w:rPrChange>
        </w:rPr>
        <w:t>Klinická účinnosť</w:t>
      </w:r>
    </w:p>
    <w:p w14:paraId="620F7078" w14:textId="77777777" w:rsidR="009700E5" w:rsidRDefault="009700E5">
      <w:pPr>
        <w:keepNext/>
        <w:keepLines/>
        <w:rPr>
          <w:del w:id="1264" w:author="Author" w:date="2025-07-24T21:09:00Z"/>
        </w:rPr>
      </w:pPr>
    </w:p>
    <w:p w14:paraId="055AA774" w14:textId="77777777" w:rsidR="009700E5" w:rsidRDefault="002C033C">
      <w:pPr>
        <w:keepNext/>
        <w:keepLines/>
      </w:pPr>
      <w:r>
        <w:t>Uskutočnil</w:t>
      </w:r>
      <w:ins w:id="1265" w:author="Author" w:date="2025-07-19T23:05:00Z">
        <w:r>
          <w:t>o</w:t>
        </w:r>
      </w:ins>
      <w:del w:id="1266" w:author="Author" w:date="2025-07-19T23:05:00Z">
        <w:r>
          <w:delText>a</w:delText>
        </w:r>
      </w:del>
      <w:r>
        <w:t xml:space="preserve"> sa 52</w:t>
      </w:r>
      <w:r>
        <w:noBreakHyphen/>
        <w:t>týždňov</w:t>
      </w:r>
      <w:ins w:id="1267" w:author="Author" w:date="2025-07-19T23:04:00Z">
        <w:r>
          <w:t>é</w:t>
        </w:r>
      </w:ins>
      <w:del w:id="1268" w:author="Author" w:date="2025-07-19T23:04:00Z">
        <w:r>
          <w:delText>á</w:delText>
        </w:r>
      </w:del>
      <w:r>
        <w:t>, otvoren</w:t>
      </w:r>
      <w:ins w:id="1269" w:author="Author" w:date="2025-07-19T23:04:00Z">
        <w:r>
          <w:t>é</w:t>
        </w:r>
      </w:ins>
      <w:del w:id="1270" w:author="Author" w:date="2025-07-19T23:04:00Z">
        <w:r>
          <w:delText>á</w:delText>
        </w:r>
      </w:del>
      <w:r>
        <w:t>, multicentrick</w:t>
      </w:r>
      <w:ins w:id="1271" w:author="Author" w:date="2025-07-19T23:04:00Z">
        <w:r>
          <w:t xml:space="preserve">é </w:t>
        </w:r>
      </w:ins>
      <w:ins w:id="1272" w:author="Author" w:date="2025-07-21T10:12:00Z">
        <w:r>
          <w:t xml:space="preserve">klinické </w:t>
        </w:r>
      </w:ins>
      <w:ins w:id="1273" w:author="Author" w:date="2025-07-19T23:04:00Z">
        <w:r>
          <w:t>skúšanie</w:t>
        </w:r>
      </w:ins>
      <w:del w:id="1274" w:author="Author" w:date="2025-07-19T23:04:00Z">
        <w:r>
          <w:delText>á štúdia</w:delText>
        </w:r>
      </w:del>
      <w:r>
        <w:t xml:space="preserve"> skúmajúc</w:t>
      </w:r>
      <w:ins w:id="1275" w:author="Author" w:date="2025-07-19T23:04:00Z">
        <w:r>
          <w:t>e</w:t>
        </w:r>
      </w:ins>
      <w:del w:id="1276" w:author="Author" w:date="2025-07-19T23:04:00Z">
        <w:r>
          <w:delText>a</w:delText>
        </w:r>
      </w:del>
      <w:r>
        <w:t xml:space="preserve"> FK </w:t>
      </w:r>
      <w:r>
        <w:noBreakHyphen/>
        <w:t xml:space="preserve"> FD a bezpečnosť u pediatrických pacientov s pJIA vo veku od 1 do 17 rokov, </w:t>
      </w:r>
      <w:del w:id="1277" w:author="Author" w:date="2025-07-19T23:04:00Z">
        <w:r>
          <w:delText xml:space="preserve">ktorej </w:delText>
        </w:r>
      </w:del>
      <w:ins w:id="1278" w:author="Author" w:date="2025-07-19T23:04:00Z">
        <w:r>
          <w:t xml:space="preserve">ktorého </w:t>
        </w:r>
      </w:ins>
      <w:r>
        <w:t>cieľom bolo určiť vhodnú subkutánnu dávku tocilizumabu, pri ktorej sa dosiahne FK/FD profil a bezpečnostný profil, ktoré sú porovnateľné s tými, ktoré sa dosiahnu pri režime s intravenóznou dávkou.</w:t>
      </w:r>
    </w:p>
    <w:p w14:paraId="01D6CA49" w14:textId="77777777" w:rsidR="009700E5" w:rsidRDefault="009700E5"/>
    <w:p w14:paraId="281B0E64" w14:textId="77777777" w:rsidR="009700E5" w:rsidRDefault="002C033C">
      <w:pPr>
        <w:keepNext/>
        <w:keepLines/>
      </w:pPr>
      <w:r>
        <w:t>Vhodným pacientom sa tocilizumab podával v dávke určenej podľa telesnej hmotnosti, pričom pacientom s telesnou hmotnosťou </w:t>
      </w:r>
      <w:r>
        <w:sym w:font="Symbol" w:char="F0B3"/>
      </w:r>
      <w:r>
        <w:t xml:space="preserve"> 30 kg (n = 25) sa tocilizumab podával v dávke 162 mg raz za 2 týždne (Q2W) a pacientom s telesnou hmotnosťou nižšou ako 30 kg (n = 27) sa tocilizumab podával v dávke 162 mg raz za 3 týždne (Q3W) počas 52 týždňov. Títo 52 pacienti zahŕňali 37 (71 %) pacientov, ktorí dovtedy neboli liečení, a 15 (29%) pacientov, ktorí boli liečení intravenózne </w:t>
      </w:r>
      <w:del w:id="1279" w:author="Author" w:date="2025-07-19T23:06:00Z">
        <w:r>
          <w:delText xml:space="preserve">podávaným tocilizumabom </w:delText>
        </w:r>
      </w:del>
      <w:r>
        <w:t xml:space="preserve">a pri zaradení do </w:t>
      </w:r>
      <w:del w:id="1280" w:author="Author" w:date="2025-07-19T23:07:00Z">
        <w:r>
          <w:delText xml:space="preserve">štúdie </w:delText>
        </w:r>
      </w:del>
      <w:ins w:id="1281" w:author="Author" w:date="2025-07-21T10:13:00Z">
        <w:r>
          <w:t xml:space="preserve">klinického </w:t>
        </w:r>
      </w:ins>
      <w:ins w:id="1282" w:author="Author" w:date="2025-07-19T23:07:00Z">
        <w:r>
          <w:t xml:space="preserve">skúšania </w:t>
        </w:r>
      </w:ins>
      <w:r>
        <w:t xml:space="preserve">prešli na subkutánne </w:t>
      </w:r>
      <w:del w:id="1283" w:author="Author" w:date="2025-07-19T23:07:00Z">
        <w:r>
          <w:delText>podávaný tocilizumab</w:delText>
        </w:r>
      </w:del>
      <w:ins w:id="1284" w:author="Author" w:date="2025-07-19T23:07:00Z">
        <w:r>
          <w:t>podávanie</w:t>
        </w:r>
      </w:ins>
      <w:r>
        <w:t>.</w:t>
      </w:r>
    </w:p>
    <w:p w14:paraId="3103CAD4" w14:textId="77777777" w:rsidR="009700E5" w:rsidRDefault="009700E5"/>
    <w:p w14:paraId="7988EFD8" w14:textId="77777777" w:rsidR="009700E5" w:rsidRDefault="002C033C">
      <w:pPr>
        <w:rPr>
          <w:iCs/>
        </w:rPr>
      </w:pPr>
      <w:r>
        <w:rPr>
          <w:iCs/>
        </w:rPr>
        <w:t xml:space="preserve">Režimy so subkutánne podávaným </w:t>
      </w:r>
      <w:r>
        <w:t>tocilizumabom</w:t>
      </w:r>
      <w:r>
        <w:rPr>
          <w:iCs/>
        </w:rPr>
        <w:t xml:space="preserve">, v dávke 162 mg Q3W určenej pre pacientov s telesnou hmotnosťou nižšou ako 30 kg a v dávke 162 mg Q2W určenej pre pacientov s telesnou hmotnosťou ≥ 30 kg, poskytujú FK expozíciu a FD odpovede podporujúce dosiahnutie podobných výsledkov účinnosti a bezpečnosti ako pri režimoch s intravenózne podávaným </w:t>
      </w:r>
      <w:r>
        <w:t>tocilizumabom</w:t>
      </w:r>
      <w:r>
        <w:rPr>
          <w:iCs/>
        </w:rPr>
        <w:t xml:space="preserve"> schválených pre pacientov s pJIA.</w:t>
      </w:r>
    </w:p>
    <w:p w14:paraId="15662097" w14:textId="77777777" w:rsidR="009700E5" w:rsidRDefault="009700E5"/>
    <w:p w14:paraId="09FD02B9" w14:textId="77777777" w:rsidR="009700E5" w:rsidRDefault="002C033C">
      <w:r>
        <w:t>Výsledky exploračnej analýzy účinnosti ukázali, že subkutánne podávaný tocilizumab zlepšil priemerné skóre JADAS</w:t>
      </w:r>
      <w:r>
        <w:noBreakHyphen/>
        <w:t xml:space="preserve">71 (Juvenile Arthritis Disease Activity Score) u pacientov dovtedy </w:t>
      </w:r>
      <w:r>
        <w:lastRenderedPageBreak/>
        <w:t>neliečených a udržala medián skóre JADAS</w:t>
      </w:r>
      <w:r>
        <w:noBreakHyphen/>
        <w:t xml:space="preserve">71 u pacientov, ktorí prešli z intravenóznej liečby na subkutánnu liečbu, počas celej doby trvania </w:t>
      </w:r>
      <w:del w:id="1285" w:author="Author" w:date="2025-07-19T23:07:00Z">
        <w:r>
          <w:delText xml:space="preserve">štúdie </w:delText>
        </w:r>
      </w:del>
      <w:ins w:id="1286" w:author="Author" w:date="2025-07-21T10:14:00Z">
        <w:r>
          <w:t xml:space="preserve">klinického </w:t>
        </w:r>
      </w:ins>
      <w:ins w:id="1287" w:author="Author" w:date="2025-07-19T23:07:00Z">
        <w:r>
          <w:t xml:space="preserve">skúšania </w:t>
        </w:r>
      </w:ins>
      <w:r>
        <w:t>u pacientov v obidvoch hmotnostných skupinách (telesná hmotnosť nižšia ako 30 kg a telesná hmotnosť </w:t>
      </w:r>
      <w:r>
        <w:sym w:font="Symbol" w:char="F0B3"/>
      </w:r>
      <w:r>
        <w:t> 30 kg).</w:t>
      </w:r>
    </w:p>
    <w:p w14:paraId="4A5E19B8" w14:textId="77777777" w:rsidR="009700E5" w:rsidRDefault="009700E5"/>
    <w:p w14:paraId="170D8F9F" w14:textId="77777777" w:rsidR="009700E5" w:rsidRDefault="002C033C">
      <w:pPr>
        <w:keepNext/>
        <w:keepLines/>
        <w:rPr>
          <w:ins w:id="1288" w:author="Author" w:date="2025-07-19T23:07:00Z"/>
          <w:bCs/>
          <w:u w:val="single"/>
        </w:rPr>
      </w:pPr>
      <w:ins w:id="1289" w:author="Author" w:date="2025-07-19T23:07:00Z">
        <w:r>
          <w:rPr>
            <w:bCs/>
            <w:u w:val="single"/>
          </w:rPr>
          <w:t>Subku</w:t>
        </w:r>
      </w:ins>
      <w:ins w:id="1290" w:author="Author" w:date="2025-07-19T23:08:00Z">
        <w:r>
          <w:rPr>
            <w:bCs/>
            <w:u w:val="single"/>
          </w:rPr>
          <w:t xml:space="preserve">tánne použitie </w:t>
        </w:r>
      </w:ins>
    </w:p>
    <w:p w14:paraId="7E4B9030" w14:textId="77777777" w:rsidR="009700E5" w:rsidRPr="009700E5" w:rsidRDefault="002C033C">
      <w:pPr>
        <w:keepNext/>
        <w:keepLines/>
        <w:rPr>
          <w:bCs/>
          <w:i/>
          <w:iCs/>
          <w:rPrChange w:id="1291" w:author="Author" w:date="2025-08-22T15:12:00Z">
            <w:rPr>
              <w:bCs/>
              <w:u w:val="single"/>
            </w:rPr>
          </w:rPrChange>
        </w:rPr>
      </w:pPr>
      <w:ins w:id="1292" w:author="Author" w:date="2025-07-19T23:08:00Z">
        <w:r>
          <w:rPr>
            <w:bCs/>
            <w:i/>
            <w:iCs/>
            <w:rPrChange w:id="1293" w:author="Author" w:date="2025-08-22T15:12:00Z">
              <w:rPr>
                <w:bCs/>
                <w:u w:val="single"/>
              </w:rPr>
            </w:rPrChange>
          </w:rPr>
          <w:t>Pacienti s </w:t>
        </w:r>
      </w:ins>
      <w:r>
        <w:rPr>
          <w:bCs/>
          <w:i/>
          <w:iCs/>
          <w:rPrChange w:id="1294" w:author="Author" w:date="2025-08-22T15:12:00Z">
            <w:rPr>
              <w:bCs/>
              <w:u w:val="single"/>
            </w:rPr>
          </w:rPrChange>
        </w:rPr>
        <w:t>OBA</w:t>
      </w:r>
      <w:del w:id="1295" w:author="Author" w:date="2025-07-19T23:08:00Z">
        <w:r>
          <w:rPr>
            <w:bCs/>
            <w:i/>
            <w:iCs/>
            <w:rPrChange w:id="1296" w:author="Author" w:date="2025-08-22T15:12:00Z">
              <w:rPr>
                <w:bCs/>
                <w:u w:val="single"/>
              </w:rPr>
            </w:rPrChange>
          </w:rPr>
          <w:delText xml:space="preserve"> (subkutánne použitie)</w:delText>
        </w:r>
      </w:del>
    </w:p>
    <w:p w14:paraId="33E781F1" w14:textId="77777777" w:rsidR="009700E5" w:rsidRDefault="009700E5">
      <w:pPr>
        <w:keepNext/>
        <w:keepLines/>
        <w:rPr>
          <w:ins w:id="1297" w:author="Author" w:date="2025-07-19T23:08:00Z"/>
          <w:i/>
          <w:iCs/>
        </w:rPr>
      </w:pPr>
    </w:p>
    <w:p w14:paraId="5370C1CF" w14:textId="77777777" w:rsidR="009700E5" w:rsidRPr="009700E5" w:rsidRDefault="002C033C">
      <w:pPr>
        <w:keepNext/>
        <w:keepLines/>
        <w:rPr>
          <w:i/>
          <w:iCs/>
          <w:u w:val="single"/>
          <w:rPrChange w:id="1298" w:author="Author" w:date="2025-08-22T15:12:00Z">
            <w:rPr>
              <w:i/>
              <w:iCs/>
            </w:rPr>
          </w:rPrChange>
        </w:rPr>
      </w:pPr>
      <w:r>
        <w:rPr>
          <w:i/>
          <w:iCs/>
          <w:u w:val="single"/>
          <w:rPrChange w:id="1299" w:author="Author" w:date="2025-08-22T15:12:00Z">
            <w:rPr>
              <w:i/>
              <w:iCs/>
            </w:rPr>
          </w:rPrChange>
        </w:rPr>
        <w:t>Klinická účinnosť</w:t>
      </w:r>
    </w:p>
    <w:p w14:paraId="27C7F213" w14:textId="77777777" w:rsidR="009700E5" w:rsidRDefault="009700E5">
      <w:pPr>
        <w:keepNext/>
        <w:keepLines/>
        <w:rPr>
          <w:del w:id="1300" w:author="Author" w:date="2025-07-24T21:09:00Z"/>
        </w:rPr>
      </w:pPr>
    </w:p>
    <w:p w14:paraId="3C9E8E81" w14:textId="77777777" w:rsidR="009700E5" w:rsidRDefault="002C033C">
      <w:pPr>
        <w:keepNext/>
        <w:keepLines/>
      </w:pPr>
      <w:r>
        <w:t>Klinick</w:t>
      </w:r>
      <w:del w:id="1301" w:author="Author" w:date="2025-07-19T23:08:00Z">
        <w:r>
          <w:delText xml:space="preserve">á štúdia </w:delText>
        </w:r>
      </w:del>
      <w:ins w:id="1302" w:author="Author" w:date="2025-07-19T23:08:00Z">
        <w:r>
          <w:t xml:space="preserve">é skúšanie </w:t>
        </w:r>
      </w:ins>
      <w:r>
        <w:t>WA28119 bol</w:t>
      </w:r>
      <w:ins w:id="1303" w:author="Author" w:date="2025-07-19T23:09:00Z">
        <w:r>
          <w:t>o</w:t>
        </w:r>
      </w:ins>
      <w:del w:id="1304" w:author="Author" w:date="2025-07-19T23:09:00Z">
        <w:r>
          <w:delText>a</w:delText>
        </w:r>
      </w:del>
      <w:r>
        <w:t xml:space="preserve"> randomizovan</w:t>
      </w:r>
      <w:ins w:id="1305" w:author="Author" w:date="2025-07-19T23:09:00Z">
        <w:r>
          <w:t>é</w:t>
        </w:r>
      </w:ins>
      <w:del w:id="1306" w:author="Author" w:date="2025-07-19T23:09:00Z">
        <w:r>
          <w:delText>á</w:delText>
        </w:r>
      </w:del>
      <w:r>
        <w:t>, multicentrick</w:t>
      </w:r>
      <w:ins w:id="1307" w:author="Author" w:date="2025-07-19T23:09:00Z">
        <w:r>
          <w:t>é</w:t>
        </w:r>
      </w:ins>
      <w:del w:id="1308" w:author="Author" w:date="2025-07-19T23:09:00Z">
        <w:r>
          <w:delText>á</w:delText>
        </w:r>
      </w:del>
      <w:r>
        <w:t>, dvojito zaslepen</w:t>
      </w:r>
      <w:ins w:id="1309" w:author="Author" w:date="2025-07-19T23:09:00Z">
        <w:r>
          <w:t>é</w:t>
        </w:r>
      </w:ins>
      <w:del w:id="1310" w:author="Author" w:date="2025-07-19T23:09:00Z">
        <w:r>
          <w:delText>á</w:delText>
        </w:r>
      </w:del>
      <w:r>
        <w:t>, placebom kontrolovan</w:t>
      </w:r>
      <w:ins w:id="1311" w:author="Author" w:date="2025-07-19T23:09:00Z">
        <w:r>
          <w:t>é skúšanie</w:t>
        </w:r>
      </w:ins>
      <w:del w:id="1312" w:author="Author" w:date="2025-07-19T23:09:00Z">
        <w:r>
          <w:delText>á štúdia</w:delText>
        </w:r>
      </w:del>
      <w:r>
        <w:t xml:space="preserve"> superiority fázy III, ktor</w:t>
      </w:r>
      <w:ins w:id="1313" w:author="Author" w:date="2025-07-19T23:09:00Z">
        <w:r>
          <w:t>é</w:t>
        </w:r>
      </w:ins>
      <w:del w:id="1314" w:author="Author" w:date="2025-07-19T23:09:00Z">
        <w:r>
          <w:delText>á</w:delText>
        </w:r>
      </w:del>
      <w:r>
        <w:t xml:space="preserve"> skúmal</w:t>
      </w:r>
      <w:ins w:id="1315" w:author="Author" w:date="2025-07-19T23:09:00Z">
        <w:r>
          <w:t>o</w:t>
        </w:r>
      </w:ins>
      <w:del w:id="1316" w:author="Author" w:date="2025-07-19T23:09:00Z">
        <w:r>
          <w:delText>a</w:delText>
        </w:r>
      </w:del>
      <w:r>
        <w:t xml:space="preserve"> účinnosť a bezpečnosť tocilizumabu u pacientov s OBA.</w:t>
      </w:r>
    </w:p>
    <w:p w14:paraId="29CDCF45" w14:textId="77777777" w:rsidR="009700E5" w:rsidRDefault="009700E5"/>
    <w:p w14:paraId="57954CD4" w14:textId="77777777" w:rsidR="009700E5" w:rsidRDefault="002C033C">
      <w:r>
        <w:t xml:space="preserve">Do </w:t>
      </w:r>
      <w:del w:id="1317" w:author="Author" w:date="2025-07-19T23:09:00Z">
        <w:r>
          <w:delText xml:space="preserve">štúdie </w:delText>
        </w:r>
      </w:del>
      <w:ins w:id="1318" w:author="Author" w:date="2025-07-21T10:14:00Z">
        <w:r>
          <w:t xml:space="preserve">klinického </w:t>
        </w:r>
      </w:ins>
      <w:ins w:id="1319" w:author="Author" w:date="2025-07-19T23:09:00Z">
        <w:r>
          <w:t xml:space="preserve">skúšania </w:t>
        </w:r>
      </w:ins>
      <w:r>
        <w:t xml:space="preserve">bolo zaradených dvestopäťdesiatjeden (251) pacientov s novým nástupom alebo relapsom OBA, ktorí boli rozdelení do štyroch liečebných skupín. </w:t>
      </w:r>
      <w:del w:id="1320" w:author="Author" w:date="2025-07-19T23:09:00Z">
        <w:r>
          <w:delText>Táto štúdia</w:delText>
        </w:r>
      </w:del>
      <w:ins w:id="1321" w:author="Author" w:date="2025-07-19T23:09:00Z">
        <w:r>
          <w:t xml:space="preserve">Toto </w:t>
        </w:r>
      </w:ins>
      <w:ins w:id="1322" w:author="Author" w:date="2025-07-21T10:14:00Z">
        <w:r>
          <w:t xml:space="preserve">klinické </w:t>
        </w:r>
      </w:ins>
      <w:ins w:id="1323" w:author="Author" w:date="2025-07-19T23:09:00Z">
        <w:r>
          <w:t>skúšanie</w:t>
        </w:r>
      </w:ins>
      <w:r>
        <w:t xml:space="preserve"> sa skladal</w:t>
      </w:r>
      <w:ins w:id="1324" w:author="Author" w:date="2025-07-19T23:09:00Z">
        <w:r>
          <w:t>o</w:t>
        </w:r>
      </w:ins>
      <w:del w:id="1325" w:author="Author" w:date="2025-07-19T23:09:00Z">
        <w:r>
          <w:delText>a</w:delText>
        </w:r>
      </w:del>
      <w:r>
        <w:t xml:space="preserve"> z 52</w:t>
      </w:r>
      <w:r>
        <w:noBreakHyphen/>
        <w:t>týždňového zaslepeného obdobia (1. časť), po ktorom nasledovalo 104</w:t>
      </w:r>
      <w:r>
        <w:noBreakHyphen/>
        <w:t>týždňové otvorené predĺženie (2. časť). Účelom 2. časti bolo popísať dlhodobú bezpečnosť a udržanie účinnosti po 52 týždňoch liečby</w:t>
      </w:r>
      <w:ins w:id="1326" w:author="Author" w:date="2025-07-19T23:10:00Z">
        <w:r>
          <w:t xml:space="preserve"> tocilizumabom</w:t>
        </w:r>
      </w:ins>
      <w:r>
        <w:t xml:space="preserve">, preskúmať mieru výskytu relapsu ochorenia a potrebu liečby </w:t>
      </w:r>
      <w:del w:id="1327" w:author="Author" w:date="2025-07-19T23:10:00Z">
        <w:r>
          <w:delText xml:space="preserve">tocilizumabom </w:delText>
        </w:r>
      </w:del>
      <w:r>
        <w:t>nad rámec 52 týždňov, a pochopiť potenciálnu dlhodobú účinnosť tohto lieku bez potreby podávania steroidov (steroidy šetriaci účinok).</w:t>
      </w:r>
    </w:p>
    <w:p w14:paraId="15B134CA" w14:textId="77777777" w:rsidR="009700E5" w:rsidRDefault="009700E5"/>
    <w:p w14:paraId="4A42DFB5" w14:textId="77777777" w:rsidR="009700E5" w:rsidRDefault="002C033C">
      <w:r>
        <w:t>Dve subkutánne dávky tocilizumabu (162 mg každý týždeň a 162 mg každý druhý týždeň) sa porovnávali s dvomi rozdielnymi placebom kontrolovanými skupinami randomizovanými v pomere 2:1:1:1.</w:t>
      </w:r>
    </w:p>
    <w:p w14:paraId="028CF0AF" w14:textId="77777777" w:rsidR="009700E5" w:rsidRDefault="009700E5"/>
    <w:p w14:paraId="73FA1973" w14:textId="77777777" w:rsidR="009700E5" w:rsidRDefault="002C033C">
      <w:r>
        <w:t>Všetkým pacientom boli v rámci základnej liečby podávané glukokortikoidy (prednizón). Každá liečebná skupina s tocilizumabom a jedna z liečebných skupín s placebom nasledovala po vopred špecifikovanom režime postupného znižovania dávky prednizónu v priebehu 26 týždňov, kým druhá skupina s placebom nasledovala po vopred špecifikovanom režime postupného znižovania prednizónu počas 52 týždňov, čo viac zodpovedá štandardnej klinickej praxi.</w:t>
      </w:r>
    </w:p>
    <w:p w14:paraId="5CAF539A" w14:textId="77777777" w:rsidR="009700E5" w:rsidRDefault="009700E5"/>
    <w:p w14:paraId="4D273168" w14:textId="77777777" w:rsidR="009700E5" w:rsidRDefault="002C033C">
      <w:r>
        <w:t>Trvanie liečby glukokortikoidmi počas fázy skríningu a pred začatím podávania tocilizumabu (alebo placeba) bolo podobné vo všetkých 4 skupinách liečby (pozri tabuľku 3).</w:t>
      </w:r>
    </w:p>
    <w:p w14:paraId="739F4349" w14:textId="77777777" w:rsidR="009700E5" w:rsidRDefault="009700E5">
      <w:pPr>
        <w:numPr>
          <w:ilvl w:val="12"/>
          <w:numId w:val="0"/>
        </w:numPr>
        <w:rPr>
          <w:rFonts w:eastAsia="SimSun"/>
          <w:bCs/>
          <w:i/>
          <w:szCs w:val="22"/>
          <w:lang w:eastAsia="zh-CN"/>
        </w:rPr>
      </w:pPr>
    </w:p>
    <w:p w14:paraId="3FE545ED" w14:textId="77777777" w:rsidR="009700E5" w:rsidRDefault="002C033C">
      <w:pPr>
        <w:keepNext/>
        <w:keepLines/>
        <w:numPr>
          <w:ilvl w:val="12"/>
          <w:numId w:val="0"/>
        </w:numPr>
        <w:ind w:right="-2"/>
        <w:rPr>
          <w:rFonts w:eastAsia="SimSun"/>
          <w:bCs/>
          <w:i/>
          <w:szCs w:val="22"/>
          <w:lang w:eastAsia="zh-CN"/>
        </w:rPr>
      </w:pPr>
      <w:r>
        <w:rPr>
          <w:rFonts w:eastAsia="SimSun"/>
          <w:bCs/>
          <w:i/>
          <w:szCs w:val="22"/>
          <w:lang w:eastAsia="zh-CN"/>
        </w:rPr>
        <w:t xml:space="preserve">Tabuľka 3. Trvanie liečby kortikosteroidmi počas obdobia skríningu v </w:t>
      </w:r>
      <w:del w:id="1328" w:author="Author" w:date="2025-07-19T23:10:00Z">
        <w:r>
          <w:rPr>
            <w:rFonts w:eastAsia="SimSun"/>
            <w:bCs/>
            <w:i/>
            <w:szCs w:val="22"/>
            <w:lang w:eastAsia="zh-CN"/>
          </w:rPr>
          <w:delText xml:space="preserve">štúdii </w:delText>
        </w:r>
      </w:del>
      <w:ins w:id="1329" w:author="Author" w:date="2025-07-21T10:15:00Z">
        <w:r>
          <w:rPr>
            <w:rFonts w:eastAsia="SimSun"/>
            <w:bCs/>
            <w:i/>
            <w:szCs w:val="22"/>
            <w:lang w:eastAsia="zh-CN"/>
          </w:rPr>
          <w:t xml:space="preserve">klinickom </w:t>
        </w:r>
      </w:ins>
      <w:ins w:id="1330" w:author="Author" w:date="2025-07-19T23:10:00Z">
        <w:r>
          <w:rPr>
            <w:rFonts w:eastAsia="SimSun"/>
            <w:bCs/>
            <w:i/>
            <w:szCs w:val="22"/>
            <w:lang w:eastAsia="zh-CN"/>
          </w:rPr>
          <w:t xml:space="preserve">skúšaní </w:t>
        </w:r>
      </w:ins>
      <w:r>
        <w:rPr>
          <w:rFonts w:eastAsia="SimSun"/>
          <w:bCs/>
          <w:i/>
          <w:szCs w:val="22"/>
          <w:lang w:eastAsia="zh-CN"/>
        </w:rPr>
        <w:t>WA28119</w:t>
      </w:r>
    </w:p>
    <w:p w14:paraId="59B8590E" w14:textId="77777777" w:rsidR="009700E5" w:rsidRDefault="009700E5">
      <w:pPr>
        <w:keepNext/>
        <w:keepLines/>
        <w:numPr>
          <w:ilvl w:val="12"/>
          <w:numId w:val="0"/>
        </w:numPr>
        <w:ind w:right="-2"/>
        <w:rPr>
          <w:rFonts w:eastAsia="SimSun"/>
          <w:i/>
          <w:szCs w:val="22"/>
          <w:lang w:eastAsia="zh-CN"/>
        </w:rPr>
      </w:pPr>
    </w:p>
    <w:tbl>
      <w:tblPr>
        <w:tblW w:w="8931" w:type="dxa"/>
        <w:tblInd w:w="57" w:type="dxa"/>
        <w:tblLayout w:type="fixed"/>
        <w:tblCellMar>
          <w:left w:w="0" w:type="dxa"/>
          <w:right w:w="0" w:type="dxa"/>
        </w:tblCellMar>
        <w:tblLook w:val="04A0" w:firstRow="1" w:lastRow="0" w:firstColumn="1" w:lastColumn="0" w:noHBand="0" w:noVBand="1"/>
      </w:tblPr>
      <w:tblGrid>
        <w:gridCol w:w="2835"/>
        <w:gridCol w:w="1466"/>
        <w:gridCol w:w="18"/>
        <w:gridCol w:w="1332"/>
        <w:gridCol w:w="18"/>
        <w:gridCol w:w="1736"/>
        <w:gridCol w:w="18"/>
        <w:gridCol w:w="1508"/>
      </w:tblGrid>
      <w:tr w:rsidR="009700E5" w14:paraId="7285157A" w14:textId="77777777">
        <w:trPr>
          <w:cantSplit/>
          <w:trHeight w:val="1804"/>
        </w:trPr>
        <w:tc>
          <w:tcPr>
            <w:tcW w:w="2835"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103D64A0" w14:textId="77777777" w:rsidR="009700E5" w:rsidRPr="009700E5" w:rsidRDefault="009700E5">
            <w:pPr>
              <w:keepNext/>
              <w:keepLines/>
              <w:spacing w:before="50" w:after="50" w:line="240" w:lineRule="exact"/>
              <w:ind w:left="861"/>
              <w:rPr>
                <w:rFonts w:eastAsia="SimSun"/>
                <w:strike/>
                <w:sz w:val="18"/>
                <w:szCs w:val="18"/>
                <w:lang w:eastAsia="zh-CN"/>
                <w:rPrChange w:id="1331" w:author="Author" w:date="2025-08-22T15:12:00Z">
                  <w:rPr>
                    <w:rFonts w:ascii="Arial" w:eastAsia="SimSun" w:hAnsi="Arial"/>
                    <w:strike/>
                    <w:sz w:val="18"/>
                    <w:szCs w:val="18"/>
                    <w:lang w:eastAsia="zh-CN"/>
                  </w:rPr>
                </w:rPrChange>
              </w:rPr>
            </w:pPr>
          </w:p>
        </w:tc>
        <w:tc>
          <w:tcPr>
            <w:tcW w:w="1484" w:type="dxa"/>
            <w:gridSpan w:val="2"/>
            <w:tcBorders>
              <w:top w:val="single" w:sz="8" w:space="0" w:color="auto"/>
              <w:left w:val="nil"/>
              <w:bottom w:val="single" w:sz="8" w:space="0" w:color="auto"/>
              <w:right w:val="nil"/>
            </w:tcBorders>
            <w:tcMar>
              <w:top w:w="0" w:type="dxa"/>
              <w:left w:w="57" w:type="dxa"/>
              <w:bottom w:w="0" w:type="dxa"/>
              <w:right w:w="57" w:type="dxa"/>
            </w:tcMar>
          </w:tcPr>
          <w:p w14:paraId="1E4A0F3D" w14:textId="77777777" w:rsidR="009700E5" w:rsidRPr="009700E5" w:rsidRDefault="002C033C">
            <w:pPr>
              <w:keepNext/>
              <w:keepLines/>
              <w:spacing w:before="50" w:after="50" w:line="240" w:lineRule="exact"/>
              <w:jc w:val="center"/>
              <w:rPr>
                <w:rFonts w:eastAsia="SimSun"/>
                <w:b/>
                <w:sz w:val="18"/>
                <w:szCs w:val="18"/>
                <w:lang w:eastAsia="zh-CN"/>
                <w:rPrChange w:id="1332" w:author="Author" w:date="2025-08-22T15:12:00Z">
                  <w:rPr>
                    <w:rFonts w:ascii="Arial" w:eastAsia="SimSun" w:hAnsi="Arial" w:cs="Arial"/>
                    <w:b/>
                    <w:sz w:val="18"/>
                    <w:szCs w:val="18"/>
                    <w:lang w:eastAsia="zh-CN"/>
                  </w:rPr>
                </w:rPrChange>
              </w:rPr>
            </w:pPr>
            <w:r>
              <w:rPr>
                <w:rFonts w:eastAsia="SimSun"/>
                <w:b/>
                <w:sz w:val="18"/>
                <w:szCs w:val="18"/>
                <w:lang w:eastAsia="zh-CN"/>
                <w:rPrChange w:id="1333" w:author="Author" w:date="2025-08-22T15:12:00Z">
                  <w:rPr>
                    <w:rFonts w:ascii="Arial" w:eastAsia="SimSun" w:hAnsi="Arial"/>
                    <w:b/>
                    <w:sz w:val="18"/>
                    <w:szCs w:val="18"/>
                    <w:lang w:eastAsia="zh-CN"/>
                  </w:rPr>
                </w:rPrChange>
              </w:rPr>
              <w:t xml:space="preserve">Placebo + 26 týždňov </w:t>
            </w:r>
            <w:r>
              <w:rPr>
                <w:rFonts w:eastAsia="SimSun"/>
                <w:b/>
                <w:sz w:val="18"/>
                <w:szCs w:val="18"/>
                <w:lang w:eastAsia="zh-CN"/>
                <w:rPrChange w:id="1334" w:author="Author" w:date="2025-08-22T15:12:00Z">
                  <w:rPr>
                    <w:rFonts w:ascii="Arial" w:eastAsia="SimSun" w:hAnsi="Arial" w:cs="Arial"/>
                    <w:b/>
                    <w:sz w:val="18"/>
                    <w:szCs w:val="18"/>
                    <w:lang w:eastAsia="zh-CN"/>
                  </w:rPr>
                </w:rPrChange>
              </w:rPr>
              <w:t xml:space="preserve">postupne znižovanej dávky prednizónu </w:t>
            </w:r>
          </w:p>
          <w:p w14:paraId="1A376B15" w14:textId="77777777" w:rsidR="009700E5" w:rsidRPr="009700E5" w:rsidRDefault="002C033C">
            <w:pPr>
              <w:keepNext/>
              <w:keepLines/>
              <w:spacing w:before="50" w:after="50" w:line="240" w:lineRule="exact"/>
              <w:jc w:val="center"/>
              <w:rPr>
                <w:rFonts w:eastAsia="SimSun"/>
                <w:b/>
                <w:sz w:val="18"/>
                <w:szCs w:val="18"/>
                <w:lang w:eastAsia="zh-CN"/>
                <w:rPrChange w:id="1335" w:author="Author" w:date="2025-08-22T15:12:00Z">
                  <w:rPr>
                    <w:rFonts w:ascii="Arial" w:eastAsia="SimSun" w:hAnsi="Arial"/>
                    <w:b/>
                    <w:sz w:val="18"/>
                    <w:szCs w:val="18"/>
                    <w:lang w:eastAsia="zh-CN"/>
                  </w:rPr>
                </w:rPrChange>
              </w:rPr>
            </w:pPr>
            <w:del w:id="1336" w:author="Author" w:date="2025-07-19T23:11:00Z">
              <w:r>
                <w:rPr>
                  <w:rFonts w:eastAsia="SimSun"/>
                  <w:b/>
                  <w:sz w:val="18"/>
                  <w:szCs w:val="18"/>
                  <w:lang w:eastAsia="zh-CN"/>
                  <w:rPrChange w:id="1337" w:author="Author" w:date="2025-08-22T15:12:00Z">
                    <w:rPr>
                      <w:rFonts w:ascii="Arial" w:eastAsia="SimSun" w:hAnsi="Arial"/>
                      <w:b/>
                      <w:sz w:val="18"/>
                      <w:szCs w:val="18"/>
                      <w:lang w:eastAsia="zh-CN"/>
                    </w:rPr>
                  </w:rPrChange>
                </w:rPr>
                <w:delText>N </w:delText>
              </w:r>
            </w:del>
            <w:ins w:id="1338" w:author="Author" w:date="2025-07-19T23:11:00Z">
              <w:r>
                <w:rPr>
                  <w:rFonts w:eastAsia="SimSun"/>
                  <w:b/>
                  <w:sz w:val="18"/>
                  <w:szCs w:val="18"/>
                  <w:lang w:eastAsia="zh-CN"/>
                  <w:rPrChange w:id="1339" w:author="Author" w:date="2025-08-22T15:12:00Z">
                    <w:rPr>
                      <w:rFonts w:ascii="Arial" w:eastAsia="SimSun" w:hAnsi="Arial"/>
                      <w:b/>
                      <w:sz w:val="18"/>
                      <w:szCs w:val="18"/>
                      <w:lang w:eastAsia="zh-CN"/>
                    </w:rPr>
                  </w:rPrChange>
                </w:rPr>
                <w:t>n </w:t>
              </w:r>
            </w:ins>
            <w:r>
              <w:rPr>
                <w:rFonts w:eastAsia="SimSun"/>
                <w:b/>
                <w:sz w:val="18"/>
                <w:szCs w:val="18"/>
                <w:lang w:eastAsia="zh-CN"/>
                <w:rPrChange w:id="1340" w:author="Author" w:date="2025-08-22T15:12:00Z">
                  <w:rPr>
                    <w:rFonts w:ascii="Arial" w:eastAsia="SimSun" w:hAnsi="Arial"/>
                    <w:b/>
                    <w:sz w:val="18"/>
                    <w:szCs w:val="18"/>
                    <w:lang w:eastAsia="zh-CN"/>
                  </w:rPr>
                </w:rPrChange>
              </w:rPr>
              <w:t>= 50</w:t>
            </w:r>
          </w:p>
        </w:tc>
        <w:tc>
          <w:tcPr>
            <w:tcW w:w="1350" w:type="dxa"/>
            <w:gridSpan w:val="2"/>
            <w:tcBorders>
              <w:top w:val="single" w:sz="8" w:space="0" w:color="auto"/>
              <w:left w:val="nil"/>
              <w:bottom w:val="single" w:sz="8" w:space="0" w:color="auto"/>
              <w:right w:val="nil"/>
            </w:tcBorders>
            <w:tcMar>
              <w:top w:w="0" w:type="dxa"/>
              <w:left w:w="57" w:type="dxa"/>
              <w:bottom w:w="0" w:type="dxa"/>
              <w:right w:w="57" w:type="dxa"/>
            </w:tcMar>
          </w:tcPr>
          <w:p w14:paraId="5B13C8E3" w14:textId="77777777" w:rsidR="009700E5" w:rsidRPr="009700E5" w:rsidRDefault="002C033C">
            <w:pPr>
              <w:keepNext/>
              <w:keepLines/>
              <w:spacing w:before="50" w:after="50" w:line="240" w:lineRule="exact"/>
              <w:jc w:val="center"/>
              <w:rPr>
                <w:rFonts w:eastAsia="SimSun"/>
                <w:b/>
                <w:sz w:val="18"/>
                <w:szCs w:val="18"/>
                <w:lang w:eastAsia="zh-CN"/>
                <w:rPrChange w:id="1341" w:author="Author" w:date="2025-08-22T15:12:00Z">
                  <w:rPr>
                    <w:rFonts w:ascii="Arial" w:eastAsia="SimSun" w:hAnsi="Arial"/>
                    <w:b/>
                    <w:sz w:val="18"/>
                    <w:szCs w:val="18"/>
                    <w:lang w:eastAsia="zh-CN"/>
                  </w:rPr>
                </w:rPrChange>
              </w:rPr>
            </w:pPr>
            <w:r>
              <w:rPr>
                <w:rFonts w:eastAsia="SimSun"/>
                <w:b/>
                <w:sz w:val="18"/>
                <w:szCs w:val="18"/>
                <w:lang w:eastAsia="zh-CN"/>
                <w:rPrChange w:id="1342" w:author="Author" w:date="2025-08-22T15:12:00Z">
                  <w:rPr>
                    <w:rFonts w:ascii="Arial" w:eastAsia="SimSun" w:hAnsi="Arial"/>
                    <w:b/>
                    <w:sz w:val="18"/>
                    <w:szCs w:val="18"/>
                    <w:lang w:eastAsia="zh-CN"/>
                  </w:rPr>
                </w:rPrChange>
              </w:rPr>
              <w:t xml:space="preserve">Placebo + 52 týždňov </w:t>
            </w:r>
            <w:r>
              <w:rPr>
                <w:rFonts w:eastAsia="SimSun"/>
                <w:b/>
                <w:sz w:val="18"/>
                <w:szCs w:val="18"/>
                <w:lang w:eastAsia="zh-CN"/>
                <w:rPrChange w:id="1343" w:author="Author" w:date="2025-08-22T15:12:00Z">
                  <w:rPr>
                    <w:rFonts w:ascii="Arial" w:eastAsia="SimSun" w:hAnsi="Arial" w:cs="Arial"/>
                    <w:b/>
                    <w:sz w:val="18"/>
                    <w:szCs w:val="18"/>
                    <w:lang w:eastAsia="zh-CN"/>
                  </w:rPr>
                </w:rPrChange>
              </w:rPr>
              <w:t>postupne znižovanej dávky prednizónu</w:t>
            </w:r>
          </w:p>
          <w:p w14:paraId="210E9883" w14:textId="77777777" w:rsidR="009700E5" w:rsidRPr="009700E5" w:rsidRDefault="002C033C">
            <w:pPr>
              <w:keepNext/>
              <w:keepLines/>
              <w:spacing w:before="50" w:after="50" w:line="240" w:lineRule="exact"/>
              <w:jc w:val="center"/>
              <w:rPr>
                <w:rFonts w:eastAsia="SimSun"/>
                <w:b/>
                <w:sz w:val="18"/>
                <w:szCs w:val="18"/>
                <w:lang w:eastAsia="zh-CN"/>
                <w:rPrChange w:id="1344" w:author="Author" w:date="2025-08-22T15:12:00Z">
                  <w:rPr>
                    <w:rFonts w:ascii="Arial" w:eastAsia="SimSun" w:hAnsi="Arial"/>
                    <w:b/>
                    <w:sz w:val="18"/>
                    <w:szCs w:val="18"/>
                    <w:lang w:eastAsia="zh-CN"/>
                  </w:rPr>
                </w:rPrChange>
              </w:rPr>
            </w:pPr>
            <w:del w:id="1345" w:author="Author" w:date="2025-07-19T23:11:00Z">
              <w:r>
                <w:rPr>
                  <w:rFonts w:eastAsia="SimSun"/>
                  <w:b/>
                  <w:sz w:val="18"/>
                  <w:szCs w:val="18"/>
                  <w:lang w:eastAsia="zh-CN"/>
                  <w:rPrChange w:id="1346" w:author="Author" w:date="2025-08-22T15:12:00Z">
                    <w:rPr>
                      <w:rFonts w:ascii="Arial" w:eastAsia="SimSun" w:hAnsi="Arial"/>
                      <w:b/>
                      <w:sz w:val="18"/>
                      <w:szCs w:val="18"/>
                      <w:lang w:eastAsia="zh-CN"/>
                    </w:rPr>
                  </w:rPrChange>
                </w:rPr>
                <w:delText>N </w:delText>
              </w:r>
            </w:del>
            <w:ins w:id="1347" w:author="Author" w:date="2025-07-19T23:11:00Z">
              <w:r>
                <w:rPr>
                  <w:rFonts w:eastAsia="SimSun"/>
                  <w:b/>
                  <w:sz w:val="18"/>
                  <w:szCs w:val="18"/>
                  <w:lang w:eastAsia="zh-CN"/>
                  <w:rPrChange w:id="1348" w:author="Author" w:date="2025-08-22T15:12:00Z">
                    <w:rPr>
                      <w:rFonts w:ascii="Arial" w:eastAsia="SimSun" w:hAnsi="Arial"/>
                      <w:b/>
                      <w:sz w:val="18"/>
                      <w:szCs w:val="18"/>
                      <w:lang w:eastAsia="zh-CN"/>
                    </w:rPr>
                  </w:rPrChange>
                </w:rPr>
                <w:t>n </w:t>
              </w:r>
            </w:ins>
            <w:r>
              <w:rPr>
                <w:rFonts w:eastAsia="SimSun"/>
                <w:b/>
                <w:sz w:val="18"/>
                <w:szCs w:val="18"/>
                <w:lang w:eastAsia="zh-CN"/>
                <w:rPrChange w:id="1349" w:author="Author" w:date="2025-08-22T15:12:00Z">
                  <w:rPr>
                    <w:rFonts w:ascii="Arial" w:eastAsia="SimSun" w:hAnsi="Arial"/>
                    <w:b/>
                    <w:sz w:val="18"/>
                    <w:szCs w:val="18"/>
                    <w:lang w:eastAsia="zh-CN"/>
                  </w:rPr>
                </w:rPrChange>
              </w:rPr>
              <w:t>= 51</w:t>
            </w:r>
          </w:p>
        </w:tc>
        <w:tc>
          <w:tcPr>
            <w:tcW w:w="1754" w:type="dxa"/>
            <w:gridSpan w:val="2"/>
            <w:tcBorders>
              <w:top w:val="single" w:sz="8" w:space="0" w:color="auto"/>
              <w:left w:val="nil"/>
              <w:bottom w:val="single" w:sz="8" w:space="0" w:color="auto"/>
              <w:right w:val="nil"/>
            </w:tcBorders>
          </w:tcPr>
          <w:p w14:paraId="47FDB095" w14:textId="77777777" w:rsidR="009700E5" w:rsidRPr="009700E5" w:rsidRDefault="002C033C">
            <w:pPr>
              <w:keepNext/>
              <w:keepLines/>
              <w:spacing w:before="50" w:after="50" w:line="240" w:lineRule="exact"/>
              <w:jc w:val="center"/>
              <w:rPr>
                <w:rFonts w:eastAsia="SimSun"/>
                <w:b/>
                <w:sz w:val="18"/>
                <w:szCs w:val="18"/>
                <w:lang w:eastAsia="zh-CN"/>
                <w:rPrChange w:id="1350" w:author="Author" w:date="2025-08-22T15:12:00Z">
                  <w:rPr>
                    <w:rFonts w:ascii="Arial" w:eastAsia="SimSun" w:hAnsi="Arial"/>
                    <w:b/>
                    <w:sz w:val="18"/>
                    <w:szCs w:val="18"/>
                    <w:lang w:eastAsia="zh-CN"/>
                  </w:rPr>
                </w:rPrChange>
              </w:rPr>
            </w:pPr>
            <w:r>
              <w:rPr>
                <w:rFonts w:eastAsia="SimSun"/>
                <w:b/>
                <w:sz w:val="18"/>
                <w:szCs w:val="18"/>
                <w:lang w:eastAsia="zh-CN"/>
                <w:rPrChange w:id="1351" w:author="Author" w:date="2025-08-22T15:12:00Z">
                  <w:rPr>
                    <w:rFonts w:ascii="Arial" w:eastAsia="SimSun" w:hAnsi="Arial"/>
                    <w:b/>
                    <w:sz w:val="18"/>
                    <w:szCs w:val="18"/>
                    <w:lang w:eastAsia="zh-CN"/>
                  </w:rPr>
                </w:rPrChange>
              </w:rPr>
              <w:t>Tocilizumab 162 mg s.c. týždenne + 26 týždňov postupne znižovanej dávky prednizónu</w:t>
            </w:r>
          </w:p>
          <w:p w14:paraId="6A6C198B" w14:textId="77777777" w:rsidR="009700E5" w:rsidRPr="009700E5" w:rsidRDefault="002C033C">
            <w:pPr>
              <w:keepNext/>
              <w:keepLines/>
              <w:spacing w:before="50" w:after="50" w:line="240" w:lineRule="exact"/>
              <w:jc w:val="center"/>
              <w:rPr>
                <w:rFonts w:eastAsia="SimSun"/>
                <w:b/>
                <w:sz w:val="18"/>
                <w:szCs w:val="18"/>
                <w:lang w:eastAsia="zh-CN"/>
                <w:rPrChange w:id="1352" w:author="Author" w:date="2025-08-22T15:12:00Z">
                  <w:rPr>
                    <w:rFonts w:ascii="Arial" w:eastAsia="SimSun" w:hAnsi="Arial"/>
                    <w:b/>
                    <w:sz w:val="18"/>
                    <w:szCs w:val="18"/>
                    <w:lang w:eastAsia="zh-CN"/>
                  </w:rPr>
                </w:rPrChange>
              </w:rPr>
            </w:pPr>
            <w:del w:id="1353" w:author="Author" w:date="2025-07-19T23:11:00Z">
              <w:r>
                <w:rPr>
                  <w:rFonts w:eastAsia="SimSun"/>
                  <w:b/>
                  <w:sz w:val="18"/>
                  <w:szCs w:val="18"/>
                  <w:lang w:eastAsia="zh-CN"/>
                  <w:rPrChange w:id="1354" w:author="Author" w:date="2025-08-22T15:12:00Z">
                    <w:rPr>
                      <w:rFonts w:ascii="Arial" w:eastAsia="SimSun" w:hAnsi="Arial"/>
                      <w:b/>
                      <w:sz w:val="18"/>
                      <w:szCs w:val="18"/>
                      <w:lang w:eastAsia="zh-CN"/>
                    </w:rPr>
                  </w:rPrChange>
                </w:rPr>
                <w:delText>N </w:delText>
              </w:r>
            </w:del>
            <w:ins w:id="1355" w:author="Author" w:date="2025-07-19T23:11:00Z">
              <w:r>
                <w:rPr>
                  <w:rFonts w:eastAsia="SimSun"/>
                  <w:b/>
                  <w:sz w:val="18"/>
                  <w:szCs w:val="18"/>
                  <w:lang w:eastAsia="zh-CN"/>
                  <w:rPrChange w:id="1356" w:author="Author" w:date="2025-08-22T15:12:00Z">
                    <w:rPr>
                      <w:rFonts w:ascii="Arial" w:eastAsia="SimSun" w:hAnsi="Arial"/>
                      <w:b/>
                      <w:sz w:val="18"/>
                      <w:szCs w:val="18"/>
                      <w:lang w:eastAsia="zh-CN"/>
                    </w:rPr>
                  </w:rPrChange>
                </w:rPr>
                <w:t>n </w:t>
              </w:r>
            </w:ins>
            <w:r>
              <w:rPr>
                <w:rFonts w:eastAsia="SimSun"/>
                <w:b/>
                <w:sz w:val="18"/>
                <w:szCs w:val="18"/>
                <w:lang w:eastAsia="zh-CN"/>
                <w:rPrChange w:id="1357" w:author="Author" w:date="2025-08-22T15:12:00Z">
                  <w:rPr>
                    <w:rFonts w:ascii="Arial" w:eastAsia="SimSun" w:hAnsi="Arial"/>
                    <w:b/>
                    <w:sz w:val="18"/>
                    <w:szCs w:val="18"/>
                    <w:lang w:eastAsia="zh-CN"/>
                  </w:rPr>
                </w:rPrChange>
              </w:rPr>
              <w:t>= 100</w:t>
            </w:r>
          </w:p>
        </w:tc>
        <w:tc>
          <w:tcPr>
            <w:tcW w:w="1508" w:type="dxa"/>
            <w:tcBorders>
              <w:top w:val="single" w:sz="8" w:space="0" w:color="auto"/>
              <w:left w:val="nil"/>
              <w:bottom w:val="single" w:sz="8" w:space="0" w:color="auto"/>
              <w:right w:val="single" w:sz="8" w:space="0" w:color="auto"/>
            </w:tcBorders>
            <w:tcMar>
              <w:top w:w="0" w:type="dxa"/>
              <w:left w:w="57" w:type="dxa"/>
              <w:bottom w:w="0" w:type="dxa"/>
              <w:right w:w="57" w:type="dxa"/>
            </w:tcMar>
          </w:tcPr>
          <w:p w14:paraId="501CEC65" w14:textId="77777777" w:rsidR="009700E5" w:rsidRPr="009700E5" w:rsidRDefault="002C033C">
            <w:pPr>
              <w:keepNext/>
              <w:keepLines/>
              <w:spacing w:before="50" w:after="50" w:line="240" w:lineRule="exact"/>
              <w:jc w:val="center"/>
              <w:rPr>
                <w:rFonts w:eastAsia="SimSun"/>
                <w:b/>
                <w:sz w:val="18"/>
                <w:szCs w:val="18"/>
                <w:lang w:eastAsia="zh-CN"/>
                <w:rPrChange w:id="1358" w:author="Author" w:date="2025-08-22T15:12:00Z">
                  <w:rPr>
                    <w:rFonts w:ascii="Arial" w:eastAsia="SimSun" w:hAnsi="Arial"/>
                    <w:b/>
                    <w:sz w:val="18"/>
                    <w:szCs w:val="18"/>
                    <w:lang w:eastAsia="zh-CN"/>
                  </w:rPr>
                </w:rPrChange>
              </w:rPr>
            </w:pPr>
            <w:r>
              <w:rPr>
                <w:rFonts w:eastAsia="SimSun"/>
                <w:b/>
                <w:sz w:val="18"/>
                <w:szCs w:val="18"/>
                <w:lang w:eastAsia="zh-CN"/>
                <w:rPrChange w:id="1359" w:author="Author" w:date="2025-08-22T15:12:00Z">
                  <w:rPr>
                    <w:rFonts w:ascii="Arial" w:eastAsia="SimSun" w:hAnsi="Arial"/>
                    <w:b/>
                    <w:sz w:val="18"/>
                    <w:szCs w:val="18"/>
                    <w:lang w:eastAsia="zh-CN"/>
                  </w:rPr>
                </w:rPrChange>
              </w:rPr>
              <w:t>Tocilizumab 162 mg s.c. každý druhý týždeň + 26 týždňov postupne znižovanej dávky prednizónu</w:t>
            </w:r>
          </w:p>
          <w:p w14:paraId="00A5C50C" w14:textId="77777777" w:rsidR="009700E5" w:rsidRPr="009700E5" w:rsidRDefault="002C033C">
            <w:pPr>
              <w:keepNext/>
              <w:keepLines/>
              <w:spacing w:before="50" w:after="50" w:line="240" w:lineRule="exact"/>
              <w:jc w:val="center"/>
              <w:rPr>
                <w:rFonts w:eastAsia="SimSun"/>
                <w:b/>
                <w:sz w:val="18"/>
                <w:szCs w:val="18"/>
                <w:lang w:eastAsia="zh-CN"/>
                <w:rPrChange w:id="1360" w:author="Author" w:date="2025-08-22T15:12:00Z">
                  <w:rPr>
                    <w:rFonts w:ascii="Arial" w:eastAsia="SimSun" w:hAnsi="Arial"/>
                    <w:b/>
                    <w:sz w:val="18"/>
                    <w:szCs w:val="18"/>
                    <w:lang w:eastAsia="zh-CN"/>
                  </w:rPr>
                </w:rPrChange>
              </w:rPr>
            </w:pPr>
            <w:ins w:id="1361" w:author="Author" w:date="2025-07-19T23:11:00Z">
              <w:r>
                <w:rPr>
                  <w:rFonts w:eastAsia="SimSun"/>
                  <w:b/>
                  <w:sz w:val="18"/>
                  <w:szCs w:val="18"/>
                  <w:lang w:eastAsia="zh-CN"/>
                  <w:rPrChange w:id="1362" w:author="Author" w:date="2025-08-22T15:12:00Z">
                    <w:rPr>
                      <w:rFonts w:ascii="Arial" w:eastAsia="SimSun" w:hAnsi="Arial"/>
                      <w:b/>
                      <w:sz w:val="18"/>
                      <w:szCs w:val="18"/>
                      <w:lang w:eastAsia="zh-CN"/>
                    </w:rPr>
                  </w:rPrChange>
                </w:rPr>
                <w:t>n</w:t>
              </w:r>
            </w:ins>
            <w:del w:id="1363" w:author="Author" w:date="2025-07-19T23:11:00Z">
              <w:r>
                <w:rPr>
                  <w:rFonts w:eastAsia="SimSun"/>
                  <w:b/>
                  <w:sz w:val="18"/>
                  <w:szCs w:val="18"/>
                  <w:lang w:eastAsia="zh-CN"/>
                  <w:rPrChange w:id="1364" w:author="Author" w:date="2025-08-22T15:12:00Z">
                    <w:rPr>
                      <w:rFonts w:ascii="Arial" w:eastAsia="SimSun" w:hAnsi="Arial"/>
                      <w:b/>
                      <w:sz w:val="18"/>
                      <w:szCs w:val="18"/>
                      <w:lang w:eastAsia="zh-CN"/>
                    </w:rPr>
                  </w:rPrChange>
                </w:rPr>
                <w:delText>N</w:delText>
              </w:r>
            </w:del>
            <w:r>
              <w:rPr>
                <w:rFonts w:eastAsia="SimSun"/>
                <w:b/>
                <w:sz w:val="18"/>
                <w:szCs w:val="18"/>
                <w:lang w:eastAsia="zh-CN"/>
                <w:rPrChange w:id="1365" w:author="Author" w:date="2025-08-22T15:12:00Z">
                  <w:rPr>
                    <w:rFonts w:ascii="Arial" w:eastAsia="SimSun" w:hAnsi="Arial"/>
                    <w:b/>
                    <w:sz w:val="18"/>
                    <w:szCs w:val="18"/>
                    <w:lang w:eastAsia="zh-CN"/>
                  </w:rPr>
                </w:rPrChange>
              </w:rPr>
              <w:t> = 49</w:t>
            </w:r>
          </w:p>
        </w:tc>
      </w:tr>
      <w:tr w:rsidR="009700E5" w14:paraId="2FCFE365" w14:textId="77777777">
        <w:trPr>
          <w:cantSplit/>
          <w:trHeight w:val="340"/>
        </w:trPr>
        <w:tc>
          <w:tcPr>
            <w:tcW w:w="5669" w:type="dxa"/>
            <w:gridSpan w:val="5"/>
            <w:tcBorders>
              <w:top w:val="single" w:sz="4" w:space="0" w:color="auto"/>
              <w:left w:val="single" w:sz="4" w:space="0" w:color="auto"/>
            </w:tcBorders>
            <w:tcMar>
              <w:top w:w="0" w:type="dxa"/>
              <w:left w:w="57" w:type="dxa"/>
              <w:bottom w:w="0" w:type="dxa"/>
              <w:right w:w="57" w:type="dxa"/>
            </w:tcMar>
          </w:tcPr>
          <w:p w14:paraId="7695EB65" w14:textId="77777777" w:rsidR="009700E5" w:rsidRPr="009700E5" w:rsidRDefault="002C033C">
            <w:pPr>
              <w:keepNext/>
              <w:keepLines/>
              <w:spacing w:before="50" w:after="50" w:line="240" w:lineRule="exact"/>
              <w:rPr>
                <w:rFonts w:eastAsia="SimSun"/>
                <w:sz w:val="18"/>
                <w:szCs w:val="18"/>
                <w:lang w:eastAsia="zh-CN"/>
                <w:rPrChange w:id="1366" w:author="Author" w:date="2025-08-22T15:12:00Z">
                  <w:rPr>
                    <w:rFonts w:ascii="Arial" w:eastAsia="SimSun" w:hAnsi="Arial"/>
                    <w:sz w:val="18"/>
                    <w:szCs w:val="18"/>
                    <w:lang w:eastAsia="zh-CN"/>
                  </w:rPr>
                </w:rPrChange>
              </w:rPr>
            </w:pPr>
            <w:r>
              <w:rPr>
                <w:rFonts w:eastAsia="SimSun"/>
                <w:sz w:val="18"/>
                <w:szCs w:val="18"/>
                <w:lang w:eastAsia="zh-CN"/>
                <w:rPrChange w:id="1367" w:author="Author" w:date="2025-08-22T15:12:00Z">
                  <w:rPr>
                    <w:rFonts w:ascii="Arial" w:eastAsia="SimSun" w:hAnsi="Arial"/>
                    <w:sz w:val="18"/>
                    <w:szCs w:val="18"/>
                    <w:lang w:eastAsia="zh-CN"/>
                  </w:rPr>
                </w:rPrChange>
              </w:rPr>
              <w:t xml:space="preserve">Trvanie (dni)                       </w:t>
            </w:r>
          </w:p>
        </w:tc>
        <w:tc>
          <w:tcPr>
            <w:tcW w:w="1754" w:type="dxa"/>
            <w:gridSpan w:val="2"/>
            <w:tcBorders>
              <w:top w:val="single" w:sz="4" w:space="0" w:color="auto"/>
              <w:left w:val="nil"/>
              <w:right w:val="nil"/>
            </w:tcBorders>
          </w:tcPr>
          <w:p w14:paraId="707473A8" w14:textId="77777777" w:rsidR="009700E5" w:rsidRPr="009700E5" w:rsidRDefault="009700E5">
            <w:pPr>
              <w:keepNext/>
              <w:keepLines/>
              <w:spacing w:before="50" w:after="50" w:line="240" w:lineRule="exact"/>
              <w:jc w:val="center"/>
              <w:rPr>
                <w:rFonts w:eastAsia="SimSun"/>
                <w:strike/>
                <w:sz w:val="18"/>
                <w:szCs w:val="18"/>
                <w:lang w:eastAsia="zh-CN"/>
                <w:rPrChange w:id="1368" w:author="Author" w:date="2025-08-22T15:12:00Z">
                  <w:rPr>
                    <w:rFonts w:ascii="Arial" w:eastAsia="SimSun" w:hAnsi="Arial"/>
                    <w:strike/>
                    <w:sz w:val="18"/>
                    <w:szCs w:val="18"/>
                    <w:lang w:eastAsia="zh-CN"/>
                  </w:rPr>
                </w:rPrChange>
              </w:rPr>
            </w:pPr>
          </w:p>
        </w:tc>
        <w:tc>
          <w:tcPr>
            <w:tcW w:w="1508" w:type="dxa"/>
            <w:tcBorders>
              <w:top w:val="single" w:sz="4" w:space="0" w:color="auto"/>
              <w:left w:val="nil"/>
              <w:right w:val="single" w:sz="8" w:space="0" w:color="auto"/>
            </w:tcBorders>
            <w:tcMar>
              <w:top w:w="0" w:type="dxa"/>
              <w:left w:w="57" w:type="dxa"/>
              <w:bottom w:w="0" w:type="dxa"/>
              <w:right w:w="57" w:type="dxa"/>
            </w:tcMar>
          </w:tcPr>
          <w:p w14:paraId="3E85D883" w14:textId="77777777" w:rsidR="009700E5" w:rsidRPr="009700E5" w:rsidRDefault="009700E5">
            <w:pPr>
              <w:keepNext/>
              <w:keepLines/>
              <w:spacing w:before="50" w:after="50" w:line="240" w:lineRule="exact"/>
              <w:jc w:val="center"/>
              <w:rPr>
                <w:rFonts w:eastAsia="SimSun"/>
                <w:strike/>
                <w:sz w:val="18"/>
                <w:szCs w:val="18"/>
                <w:lang w:eastAsia="zh-CN"/>
                <w:rPrChange w:id="1369" w:author="Author" w:date="2025-08-22T15:12:00Z">
                  <w:rPr>
                    <w:rFonts w:ascii="Arial" w:eastAsia="SimSun" w:hAnsi="Arial"/>
                    <w:strike/>
                    <w:sz w:val="18"/>
                    <w:szCs w:val="18"/>
                    <w:lang w:eastAsia="zh-CN"/>
                  </w:rPr>
                </w:rPrChange>
              </w:rPr>
            </w:pPr>
          </w:p>
        </w:tc>
      </w:tr>
      <w:tr w:rsidR="009700E5" w14:paraId="664560B7" w14:textId="77777777">
        <w:trPr>
          <w:cantSplit/>
          <w:trHeight w:val="340"/>
        </w:trPr>
        <w:tc>
          <w:tcPr>
            <w:tcW w:w="2835" w:type="dxa"/>
            <w:tcBorders>
              <w:left w:val="single" w:sz="4" w:space="0" w:color="auto"/>
            </w:tcBorders>
            <w:tcMar>
              <w:top w:w="0" w:type="dxa"/>
              <w:left w:w="57" w:type="dxa"/>
              <w:bottom w:w="0" w:type="dxa"/>
              <w:right w:w="57" w:type="dxa"/>
            </w:tcMar>
          </w:tcPr>
          <w:p w14:paraId="5553704F" w14:textId="77777777" w:rsidR="009700E5" w:rsidRPr="009700E5" w:rsidRDefault="002C033C">
            <w:pPr>
              <w:keepNext/>
              <w:keepLines/>
              <w:spacing w:before="50" w:after="50" w:line="240" w:lineRule="exact"/>
              <w:ind w:left="720"/>
              <w:rPr>
                <w:rFonts w:eastAsia="SimSun"/>
                <w:sz w:val="18"/>
                <w:szCs w:val="18"/>
                <w:lang w:eastAsia="zh-CN"/>
                <w:rPrChange w:id="1370" w:author="Author" w:date="2025-08-22T15:12:00Z">
                  <w:rPr>
                    <w:rFonts w:ascii="Arial" w:eastAsia="SimSun" w:hAnsi="Arial"/>
                    <w:sz w:val="18"/>
                    <w:szCs w:val="18"/>
                    <w:lang w:eastAsia="zh-CN"/>
                  </w:rPr>
                </w:rPrChange>
              </w:rPr>
            </w:pPr>
            <w:r>
              <w:rPr>
                <w:rFonts w:eastAsia="SimSun"/>
                <w:sz w:val="18"/>
                <w:szCs w:val="18"/>
                <w:lang w:eastAsia="zh-CN"/>
                <w:rPrChange w:id="1371" w:author="Author" w:date="2025-08-22T15:12:00Z">
                  <w:rPr>
                    <w:rFonts w:ascii="Arial" w:eastAsia="SimSun" w:hAnsi="Arial"/>
                    <w:sz w:val="18"/>
                    <w:szCs w:val="18"/>
                    <w:lang w:eastAsia="zh-CN"/>
                  </w:rPr>
                </w:rPrChange>
              </w:rPr>
              <w:t>Priemer (SD)</w:t>
            </w:r>
          </w:p>
        </w:tc>
        <w:tc>
          <w:tcPr>
            <w:tcW w:w="1466" w:type="dxa"/>
            <w:tcMar>
              <w:top w:w="0" w:type="dxa"/>
              <w:left w:w="57" w:type="dxa"/>
              <w:bottom w:w="0" w:type="dxa"/>
              <w:right w:w="57" w:type="dxa"/>
            </w:tcMar>
          </w:tcPr>
          <w:p w14:paraId="7D085FA3" w14:textId="77777777" w:rsidR="009700E5" w:rsidRPr="009700E5" w:rsidRDefault="002C033C">
            <w:pPr>
              <w:keepNext/>
              <w:keepLines/>
              <w:spacing w:before="50" w:after="50" w:line="240" w:lineRule="exact"/>
              <w:jc w:val="center"/>
              <w:rPr>
                <w:rFonts w:eastAsia="SimSun"/>
                <w:sz w:val="18"/>
                <w:szCs w:val="18"/>
                <w:lang w:eastAsia="zh-CN"/>
                <w:rPrChange w:id="1372" w:author="Author" w:date="2025-08-22T15:12:00Z">
                  <w:rPr>
                    <w:rFonts w:ascii="Arial" w:eastAsia="SimSun" w:hAnsi="Arial"/>
                    <w:sz w:val="18"/>
                    <w:szCs w:val="18"/>
                    <w:lang w:eastAsia="zh-CN"/>
                  </w:rPr>
                </w:rPrChange>
              </w:rPr>
            </w:pPr>
            <w:r>
              <w:rPr>
                <w:rFonts w:eastAsia="SimSun"/>
                <w:sz w:val="18"/>
                <w:szCs w:val="18"/>
                <w:lang w:eastAsia="zh-CN"/>
                <w:rPrChange w:id="1373" w:author="Author" w:date="2025-08-22T15:12:00Z">
                  <w:rPr>
                    <w:rFonts w:ascii="Arial" w:eastAsia="SimSun" w:hAnsi="Arial"/>
                    <w:sz w:val="18"/>
                    <w:szCs w:val="18"/>
                    <w:lang w:eastAsia="zh-CN"/>
                  </w:rPr>
                </w:rPrChange>
              </w:rPr>
              <w:t>35,7 (11,5)</w:t>
            </w:r>
          </w:p>
        </w:tc>
        <w:tc>
          <w:tcPr>
            <w:tcW w:w="1350" w:type="dxa"/>
            <w:gridSpan w:val="2"/>
            <w:tcMar>
              <w:top w:w="0" w:type="dxa"/>
              <w:left w:w="57" w:type="dxa"/>
              <w:bottom w:w="0" w:type="dxa"/>
              <w:right w:w="57" w:type="dxa"/>
            </w:tcMar>
          </w:tcPr>
          <w:p w14:paraId="4549E15B" w14:textId="77777777" w:rsidR="009700E5" w:rsidRPr="009700E5" w:rsidRDefault="002C033C">
            <w:pPr>
              <w:keepNext/>
              <w:keepLines/>
              <w:spacing w:before="50" w:after="50" w:line="240" w:lineRule="exact"/>
              <w:jc w:val="center"/>
              <w:rPr>
                <w:rFonts w:eastAsia="SimSun"/>
                <w:sz w:val="18"/>
                <w:szCs w:val="18"/>
                <w:lang w:eastAsia="zh-CN"/>
                <w:rPrChange w:id="1374" w:author="Author" w:date="2025-08-22T15:12:00Z">
                  <w:rPr>
                    <w:rFonts w:ascii="Arial" w:eastAsia="SimSun" w:hAnsi="Arial"/>
                    <w:sz w:val="18"/>
                    <w:szCs w:val="18"/>
                    <w:lang w:eastAsia="zh-CN"/>
                  </w:rPr>
                </w:rPrChange>
              </w:rPr>
            </w:pPr>
            <w:r>
              <w:rPr>
                <w:rFonts w:eastAsia="SimSun"/>
                <w:sz w:val="18"/>
                <w:szCs w:val="18"/>
                <w:lang w:eastAsia="zh-CN"/>
                <w:rPrChange w:id="1375" w:author="Author" w:date="2025-08-22T15:12:00Z">
                  <w:rPr>
                    <w:rFonts w:ascii="Arial" w:eastAsia="SimSun" w:hAnsi="Arial"/>
                    <w:sz w:val="18"/>
                    <w:szCs w:val="18"/>
                    <w:lang w:eastAsia="zh-CN"/>
                  </w:rPr>
                </w:rPrChange>
              </w:rPr>
              <w:t>36,3 (12,5)</w:t>
            </w:r>
          </w:p>
        </w:tc>
        <w:tc>
          <w:tcPr>
            <w:tcW w:w="1754" w:type="dxa"/>
            <w:gridSpan w:val="2"/>
            <w:tcBorders>
              <w:right w:val="nil"/>
            </w:tcBorders>
          </w:tcPr>
          <w:p w14:paraId="3E5744B0" w14:textId="77777777" w:rsidR="009700E5" w:rsidRPr="009700E5" w:rsidRDefault="002C033C">
            <w:pPr>
              <w:keepNext/>
              <w:keepLines/>
              <w:spacing w:before="50" w:after="50" w:line="240" w:lineRule="exact"/>
              <w:jc w:val="center"/>
              <w:rPr>
                <w:rFonts w:eastAsia="SimSun"/>
                <w:sz w:val="18"/>
                <w:szCs w:val="18"/>
                <w:lang w:eastAsia="zh-CN"/>
                <w:rPrChange w:id="1376" w:author="Author" w:date="2025-08-22T15:12:00Z">
                  <w:rPr>
                    <w:rFonts w:ascii="Arial" w:eastAsia="SimSun" w:hAnsi="Arial"/>
                    <w:sz w:val="18"/>
                    <w:szCs w:val="18"/>
                    <w:lang w:eastAsia="zh-CN"/>
                  </w:rPr>
                </w:rPrChange>
              </w:rPr>
            </w:pPr>
            <w:r>
              <w:rPr>
                <w:rFonts w:eastAsia="SimSun"/>
                <w:sz w:val="18"/>
                <w:szCs w:val="18"/>
                <w:lang w:eastAsia="zh-CN"/>
                <w:rPrChange w:id="1377" w:author="Author" w:date="2025-08-22T15:12:00Z">
                  <w:rPr>
                    <w:rFonts w:ascii="Arial" w:eastAsia="SimSun" w:hAnsi="Arial"/>
                    <w:sz w:val="18"/>
                    <w:szCs w:val="18"/>
                    <w:lang w:eastAsia="zh-CN"/>
                  </w:rPr>
                </w:rPrChange>
              </w:rPr>
              <w:t>35,6 (13,2)</w:t>
            </w:r>
          </w:p>
        </w:tc>
        <w:tc>
          <w:tcPr>
            <w:tcW w:w="1526" w:type="dxa"/>
            <w:gridSpan w:val="2"/>
            <w:tcBorders>
              <w:left w:val="nil"/>
              <w:right w:val="single" w:sz="8" w:space="0" w:color="auto"/>
            </w:tcBorders>
            <w:tcMar>
              <w:top w:w="0" w:type="dxa"/>
              <w:left w:w="57" w:type="dxa"/>
              <w:bottom w:w="0" w:type="dxa"/>
              <w:right w:w="57" w:type="dxa"/>
            </w:tcMar>
          </w:tcPr>
          <w:p w14:paraId="34F2EB9B" w14:textId="77777777" w:rsidR="009700E5" w:rsidRPr="009700E5" w:rsidRDefault="002C033C">
            <w:pPr>
              <w:keepNext/>
              <w:keepLines/>
              <w:spacing w:before="50" w:after="50" w:line="240" w:lineRule="exact"/>
              <w:jc w:val="center"/>
              <w:rPr>
                <w:rFonts w:eastAsia="SimSun"/>
                <w:sz w:val="18"/>
                <w:szCs w:val="18"/>
                <w:lang w:eastAsia="zh-CN"/>
                <w:rPrChange w:id="1378" w:author="Author" w:date="2025-08-22T15:12:00Z">
                  <w:rPr>
                    <w:rFonts w:ascii="Arial" w:eastAsia="SimSun" w:hAnsi="Arial"/>
                    <w:sz w:val="18"/>
                    <w:szCs w:val="18"/>
                    <w:lang w:eastAsia="zh-CN"/>
                  </w:rPr>
                </w:rPrChange>
              </w:rPr>
            </w:pPr>
            <w:r>
              <w:rPr>
                <w:rFonts w:eastAsia="SimSun"/>
                <w:sz w:val="18"/>
                <w:szCs w:val="18"/>
                <w:lang w:eastAsia="zh-CN"/>
                <w:rPrChange w:id="1379" w:author="Author" w:date="2025-08-22T15:12:00Z">
                  <w:rPr>
                    <w:rFonts w:ascii="Arial" w:eastAsia="SimSun" w:hAnsi="Arial"/>
                    <w:sz w:val="18"/>
                    <w:szCs w:val="18"/>
                    <w:lang w:eastAsia="zh-CN"/>
                  </w:rPr>
                </w:rPrChange>
              </w:rPr>
              <w:t>37,4 (14,4)</w:t>
            </w:r>
          </w:p>
        </w:tc>
      </w:tr>
      <w:tr w:rsidR="009700E5" w14:paraId="6AF780F5" w14:textId="77777777">
        <w:trPr>
          <w:cantSplit/>
          <w:trHeight w:val="325"/>
        </w:trPr>
        <w:tc>
          <w:tcPr>
            <w:tcW w:w="2835" w:type="dxa"/>
            <w:tcBorders>
              <w:left w:val="single" w:sz="4" w:space="0" w:color="auto"/>
            </w:tcBorders>
            <w:tcMar>
              <w:top w:w="0" w:type="dxa"/>
              <w:left w:w="57" w:type="dxa"/>
              <w:bottom w:w="0" w:type="dxa"/>
              <w:right w:w="57" w:type="dxa"/>
            </w:tcMar>
          </w:tcPr>
          <w:p w14:paraId="0E9C2A4B" w14:textId="77777777" w:rsidR="009700E5" w:rsidRPr="009700E5" w:rsidRDefault="002C033C">
            <w:pPr>
              <w:keepNext/>
              <w:keepLines/>
              <w:spacing w:before="50" w:after="50" w:line="240" w:lineRule="exact"/>
              <w:ind w:left="720"/>
              <w:rPr>
                <w:rFonts w:eastAsia="SimSun"/>
                <w:sz w:val="18"/>
                <w:szCs w:val="18"/>
                <w:lang w:eastAsia="zh-CN"/>
                <w:rPrChange w:id="1380" w:author="Author" w:date="2025-08-22T15:12:00Z">
                  <w:rPr>
                    <w:rFonts w:ascii="Arial" w:eastAsia="SimSun" w:hAnsi="Arial"/>
                    <w:sz w:val="18"/>
                    <w:szCs w:val="18"/>
                    <w:lang w:eastAsia="zh-CN"/>
                  </w:rPr>
                </w:rPrChange>
              </w:rPr>
            </w:pPr>
            <w:r>
              <w:rPr>
                <w:rFonts w:eastAsia="SimSun"/>
                <w:sz w:val="18"/>
                <w:szCs w:val="18"/>
                <w:lang w:eastAsia="zh-CN"/>
                <w:rPrChange w:id="1381" w:author="Author" w:date="2025-08-22T15:12:00Z">
                  <w:rPr>
                    <w:rFonts w:ascii="Arial" w:eastAsia="SimSun" w:hAnsi="Arial"/>
                    <w:sz w:val="18"/>
                    <w:szCs w:val="18"/>
                    <w:lang w:eastAsia="zh-CN"/>
                  </w:rPr>
                </w:rPrChange>
              </w:rPr>
              <w:t>Medián</w:t>
            </w:r>
          </w:p>
        </w:tc>
        <w:tc>
          <w:tcPr>
            <w:tcW w:w="1466" w:type="dxa"/>
            <w:tcMar>
              <w:top w:w="0" w:type="dxa"/>
              <w:left w:w="57" w:type="dxa"/>
              <w:bottom w:w="0" w:type="dxa"/>
              <w:right w:w="57" w:type="dxa"/>
            </w:tcMar>
          </w:tcPr>
          <w:p w14:paraId="180F429C" w14:textId="77777777" w:rsidR="009700E5" w:rsidRPr="009700E5" w:rsidRDefault="002C033C">
            <w:pPr>
              <w:keepNext/>
              <w:keepLines/>
              <w:spacing w:before="50" w:after="50" w:line="240" w:lineRule="exact"/>
              <w:jc w:val="center"/>
              <w:rPr>
                <w:rFonts w:eastAsia="SimSun"/>
                <w:sz w:val="18"/>
                <w:szCs w:val="18"/>
                <w:lang w:eastAsia="zh-CN"/>
                <w:rPrChange w:id="1382" w:author="Author" w:date="2025-08-22T15:12:00Z">
                  <w:rPr>
                    <w:rFonts w:ascii="Arial" w:eastAsia="SimSun" w:hAnsi="Arial"/>
                    <w:sz w:val="18"/>
                    <w:szCs w:val="18"/>
                    <w:lang w:eastAsia="zh-CN"/>
                  </w:rPr>
                </w:rPrChange>
              </w:rPr>
            </w:pPr>
            <w:r>
              <w:rPr>
                <w:rFonts w:eastAsia="SimSun"/>
                <w:sz w:val="18"/>
                <w:szCs w:val="18"/>
                <w:lang w:eastAsia="zh-CN"/>
                <w:rPrChange w:id="1383" w:author="Author" w:date="2025-08-22T15:12:00Z">
                  <w:rPr>
                    <w:rFonts w:ascii="Arial" w:eastAsia="SimSun" w:hAnsi="Arial"/>
                    <w:sz w:val="18"/>
                    <w:szCs w:val="18"/>
                    <w:lang w:eastAsia="zh-CN"/>
                  </w:rPr>
                </w:rPrChange>
              </w:rPr>
              <w:t>42,0</w:t>
            </w:r>
          </w:p>
        </w:tc>
        <w:tc>
          <w:tcPr>
            <w:tcW w:w="1350" w:type="dxa"/>
            <w:gridSpan w:val="2"/>
            <w:tcMar>
              <w:top w:w="0" w:type="dxa"/>
              <w:left w:w="57" w:type="dxa"/>
              <w:bottom w:w="0" w:type="dxa"/>
              <w:right w:w="57" w:type="dxa"/>
            </w:tcMar>
          </w:tcPr>
          <w:p w14:paraId="1C7B1977" w14:textId="77777777" w:rsidR="009700E5" w:rsidRPr="009700E5" w:rsidRDefault="002C033C">
            <w:pPr>
              <w:keepNext/>
              <w:keepLines/>
              <w:spacing w:before="50" w:after="50" w:line="240" w:lineRule="exact"/>
              <w:jc w:val="center"/>
              <w:rPr>
                <w:rFonts w:eastAsia="SimSun"/>
                <w:sz w:val="18"/>
                <w:szCs w:val="18"/>
                <w:lang w:eastAsia="zh-CN"/>
                <w:rPrChange w:id="1384" w:author="Author" w:date="2025-08-22T15:12:00Z">
                  <w:rPr>
                    <w:rFonts w:ascii="Arial" w:eastAsia="SimSun" w:hAnsi="Arial"/>
                    <w:sz w:val="18"/>
                    <w:szCs w:val="18"/>
                    <w:lang w:eastAsia="zh-CN"/>
                  </w:rPr>
                </w:rPrChange>
              </w:rPr>
            </w:pPr>
            <w:r>
              <w:rPr>
                <w:rFonts w:eastAsia="SimSun"/>
                <w:sz w:val="18"/>
                <w:szCs w:val="18"/>
                <w:lang w:eastAsia="zh-CN"/>
                <w:rPrChange w:id="1385" w:author="Author" w:date="2025-08-22T15:12:00Z">
                  <w:rPr>
                    <w:rFonts w:ascii="Arial" w:eastAsia="SimSun" w:hAnsi="Arial"/>
                    <w:sz w:val="18"/>
                    <w:szCs w:val="18"/>
                    <w:lang w:eastAsia="zh-CN"/>
                  </w:rPr>
                </w:rPrChange>
              </w:rPr>
              <w:t>41,0</w:t>
            </w:r>
          </w:p>
        </w:tc>
        <w:tc>
          <w:tcPr>
            <w:tcW w:w="1754" w:type="dxa"/>
            <w:gridSpan w:val="2"/>
            <w:tcBorders>
              <w:right w:val="nil"/>
            </w:tcBorders>
          </w:tcPr>
          <w:p w14:paraId="398CA5F3" w14:textId="77777777" w:rsidR="009700E5" w:rsidRPr="009700E5" w:rsidRDefault="002C033C">
            <w:pPr>
              <w:keepNext/>
              <w:keepLines/>
              <w:spacing w:before="50" w:after="50" w:line="240" w:lineRule="exact"/>
              <w:jc w:val="center"/>
              <w:rPr>
                <w:rFonts w:eastAsia="SimSun"/>
                <w:sz w:val="18"/>
                <w:szCs w:val="18"/>
                <w:lang w:eastAsia="zh-CN"/>
                <w:rPrChange w:id="1386" w:author="Author" w:date="2025-08-22T15:12:00Z">
                  <w:rPr>
                    <w:rFonts w:ascii="Arial" w:eastAsia="SimSun" w:hAnsi="Arial"/>
                    <w:sz w:val="18"/>
                    <w:szCs w:val="18"/>
                    <w:lang w:eastAsia="zh-CN"/>
                  </w:rPr>
                </w:rPrChange>
              </w:rPr>
            </w:pPr>
            <w:r>
              <w:rPr>
                <w:rFonts w:eastAsia="SimSun"/>
                <w:sz w:val="18"/>
                <w:szCs w:val="18"/>
                <w:lang w:eastAsia="zh-CN"/>
                <w:rPrChange w:id="1387" w:author="Author" w:date="2025-08-22T15:12:00Z">
                  <w:rPr>
                    <w:rFonts w:ascii="Arial" w:eastAsia="SimSun" w:hAnsi="Arial"/>
                    <w:sz w:val="18"/>
                    <w:szCs w:val="18"/>
                    <w:lang w:eastAsia="zh-CN"/>
                  </w:rPr>
                </w:rPrChange>
              </w:rPr>
              <w:t>41,0</w:t>
            </w:r>
          </w:p>
        </w:tc>
        <w:tc>
          <w:tcPr>
            <w:tcW w:w="1526" w:type="dxa"/>
            <w:gridSpan w:val="2"/>
            <w:tcBorders>
              <w:left w:val="nil"/>
              <w:right w:val="single" w:sz="8" w:space="0" w:color="auto"/>
            </w:tcBorders>
            <w:tcMar>
              <w:top w:w="0" w:type="dxa"/>
              <w:left w:w="57" w:type="dxa"/>
              <w:bottom w:w="0" w:type="dxa"/>
              <w:right w:w="57" w:type="dxa"/>
            </w:tcMar>
          </w:tcPr>
          <w:p w14:paraId="63C72C33" w14:textId="77777777" w:rsidR="009700E5" w:rsidRPr="009700E5" w:rsidRDefault="002C033C">
            <w:pPr>
              <w:keepNext/>
              <w:keepLines/>
              <w:spacing w:before="50" w:after="50" w:line="240" w:lineRule="exact"/>
              <w:jc w:val="center"/>
              <w:rPr>
                <w:rFonts w:eastAsia="SimSun"/>
                <w:sz w:val="18"/>
                <w:szCs w:val="18"/>
                <w:lang w:eastAsia="zh-CN"/>
                <w:rPrChange w:id="1388" w:author="Author" w:date="2025-08-22T15:12:00Z">
                  <w:rPr>
                    <w:rFonts w:ascii="Arial" w:eastAsia="SimSun" w:hAnsi="Arial"/>
                    <w:sz w:val="18"/>
                    <w:szCs w:val="18"/>
                    <w:lang w:eastAsia="zh-CN"/>
                  </w:rPr>
                </w:rPrChange>
              </w:rPr>
            </w:pPr>
            <w:r>
              <w:rPr>
                <w:rFonts w:eastAsia="SimSun"/>
                <w:sz w:val="18"/>
                <w:szCs w:val="18"/>
                <w:lang w:eastAsia="zh-CN"/>
                <w:rPrChange w:id="1389" w:author="Author" w:date="2025-08-22T15:12:00Z">
                  <w:rPr>
                    <w:rFonts w:ascii="Arial" w:eastAsia="SimSun" w:hAnsi="Arial"/>
                    <w:sz w:val="18"/>
                    <w:szCs w:val="18"/>
                    <w:lang w:eastAsia="zh-CN"/>
                  </w:rPr>
                </w:rPrChange>
              </w:rPr>
              <w:t>42,0</w:t>
            </w:r>
          </w:p>
        </w:tc>
      </w:tr>
      <w:tr w:rsidR="009700E5" w14:paraId="08A417C2" w14:textId="77777777">
        <w:trPr>
          <w:cantSplit/>
          <w:trHeight w:val="355"/>
        </w:trPr>
        <w:tc>
          <w:tcPr>
            <w:tcW w:w="2835" w:type="dxa"/>
            <w:tcBorders>
              <w:left w:val="single" w:sz="4" w:space="0" w:color="auto"/>
              <w:bottom w:val="single" w:sz="4" w:space="0" w:color="auto"/>
            </w:tcBorders>
            <w:tcMar>
              <w:top w:w="0" w:type="dxa"/>
              <w:left w:w="57" w:type="dxa"/>
              <w:bottom w:w="0" w:type="dxa"/>
              <w:right w:w="57" w:type="dxa"/>
            </w:tcMar>
          </w:tcPr>
          <w:p w14:paraId="341B2E71" w14:textId="77777777" w:rsidR="009700E5" w:rsidRPr="009700E5" w:rsidRDefault="002C033C">
            <w:pPr>
              <w:keepNext/>
              <w:keepLines/>
              <w:spacing w:before="50" w:after="50" w:line="240" w:lineRule="exact"/>
              <w:ind w:left="720"/>
              <w:rPr>
                <w:rFonts w:eastAsia="SimSun"/>
                <w:sz w:val="18"/>
                <w:szCs w:val="18"/>
                <w:lang w:eastAsia="zh-CN"/>
                <w:rPrChange w:id="1390" w:author="Author" w:date="2025-08-22T15:12:00Z">
                  <w:rPr>
                    <w:rFonts w:ascii="Arial" w:eastAsia="SimSun" w:hAnsi="Arial"/>
                    <w:sz w:val="18"/>
                    <w:szCs w:val="18"/>
                    <w:lang w:eastAsia="zh-CN"/>
                  </w:rPr>
                </w:rPrChange>
              </w:rPr>
            </w:pPr>
            <w:r>
              <w:rPr>
                <w:rFonts w:eastAsia="SimSun"/>
                <w:sz w:val="18"/>
                <w:szCs w:val="18"/>
                <w:lang w:eastAsia="zh-CN"/>
                <w:rPrChange w:id="1391" w:author="Author" w:date="2025-08-22T15:12:00Z">
                  <w:rPr>
                    <w:rFonts w:ascii="Arial" w:eastAsia="SimSun" w:hAnsi="Arial"/>
                    <w:sz w:val="18"/>
                    <w:szCs w:val="18"/>
                    <w:lang w:eastAsia="zh-CN"/>
                  </w:rPr>
                </w:rPrChange>
              </w:rPr>
              <w:t>Min - Max</w:t>
            </w:r>
          </w:p>
        </w:tc>
        <w:tc>
          <w:tcPr>
            <w:tcW w:w="1466" w:type="dxa"/>
            <w:tcBorders>
              <w:bottom w:val="single" w:sz="4" w:space="0" w:color="auto"/>
            </w:tcBorders>
            <w:tcMar>
              <w:top w:w="0" w:type="dxa"/>
              <w:left w:w="57" w:type="dxa"/>
              <w:bottom w:w="0" w:type="dxa"/>
              <w:right w:w="57" w:type="dxa"/>
            </w:tcMar>
          </w:tcPr>
          <w:p w14:paraId="11D16D36" w14:textId="77777777" w:rsidR="009700E5" w:rsidRPr="009700E5" w:rsidRDefault="002C033C">
            <w:pPr>
              <w:keepNext/>
              <w:keepLines/>
              <w:spacing w:before="50" w:after="50" w:line="240" w:lineRule="exact"/>
              <w:jc w:val="center"/>
              <w:rPr>
                <w:rFonts w:eastAsia="SimSun"/>
                <w:sz w:val="18"/>
                <w:szCs w:val="18"/>
                <w:lang w:eastAsia="zh-CN"/>
                <w:rPrChange w:id="1392" w:author="Author" w:date="2025-08-22T15:12:00Z">
                  <w:rPr>
                    <w:rFonts w:ascii="Arial" w:eastAsia="SimSun" w:hAnsi="Arial"/>
                    <w:sz w:val="18"/>
                    <w:szCs w:val="18"/>
                    <w:lang w:eastAsia="zh-CN"/>
                  </w:rPr>
                </w:rPrChange>
              </w:rPr>
            </w:pPr>
            <w:r>
              <w:rPr>
                <w:rFonts w:eastAsia="SimSun"/>
                <w:sz w:val="18"/>
                <w:szCs w:val="18"/>
                <w:lang w:eastAsia="zh-CN"/>
                <w:rPrChange w:id="1393" w:author="Author" w:date="2025-08-22T15:12:00Z">
                  <w:rPr>
                    <w:rFonts w:ascii="Arial" w:eastAsia="SimSun" w:hAnsi="Arial"/>
                    <w:sz w:val="18"/>
                    <w:szCs w:val="18"/>
                    <w:lang w:eastAsia="zh-CN"/>
                  </w:rPr>
                </w:rPrChange>
              </w:rPr>
              <w:t>6 –63</w:t>
            </w:r>
          </w:p>
        </w:tc>
        <w:tc>
          <w:tcPr>
            <w:tcW w:w="1350" w:type="dxa"/>
            <w:gridSpan w:val="2"/>
            <w:tcBorders>
              <w:bottom w:val="single" w:sz="4" w:space="0" w:color="auto"/>
            </w:tcBorders>
            <w:tcMar>
              <w:top w:w="0" w:type="dxa"/>
              <w:left w:w="57" w:type="dxa"/>
              <w:bottom w:w="0" w:type="dxa"/>
              <w:right w:w="57" w:type="dxa"/>
            </w:tcMar>
          </w:tcPr>
          <w:p w14:paraId="2A576106" w14:textId="77777777" w:rsidR="009700E5" w:rsidRPr="009700E5" w:rsidRDefault="002C033C">
            <w:pPr>
              <w:keepNext/>
              <w:keepLines/>
              <w:spacing w:before="50" w:after="50" w:line="240" w:lineRule="exact"/>
              <w:jc w:val="center"/>
              <w:rPr>
                <w:rFonts w:eastAsia="SimSun"/>
                <w:sz w:val="18"/>
                <w:szCs w:val="18"/>
                <w:lang w:eastAsia="zh-CN"/>
                <w:rPrChange w:id="1394" w:author="Author" w:date="2025-08-22T15:12:00Z">
                  <w:rPr>
                    <w:rFonts w:ascii="Arial" w:eastAsia="SimSun" w:hAnsi="Arial"/>
                    <w:sz w:val="18"/>
                    <w:szCs w:val="18"/>
                    <w:lang w:eastAsia="zh-CN"/>
                  </w:rPr>
                </w:rPrChange>
              </w:rPr>
            </w:pPr>
            <w:r>
              <w:rPr>
                <w:rFonts w:eastAsia="SimSun"/>
                <w:sz w:val="18"/>
                <w:szCs w:val="18"/>
                <w:lang w:eastAsia="zh-CN"/>
                <w:rPrChange w:id="1395" w:author="Author" w:date="2025-08-22T15:12:00Z">
                  <w:rPr>
                    <w:rFonts w:ascii="Arial" w:eastAsia="SimSun" w:hAnsi="Arial"/>
                    <w:sz w:val="18"/>
                    <w:szCs w:val="18"/>
                    <w:lang w:eastAsia="zh-CN"/>
                  </w:rPr>
                </w:rPrChange>
              </w:rPr>
              <w:t>12 – 82</w:t>
            </w:r>
          </w:p>
        </w:tc>
        <w:tc>
          <w:tcPr>
            <w:tcW w:w="1754" w:type="dxa"/>
            <w:gridSpan w:val="2"/>
            <w:tcBorders>
              <w:bottom w:val="single" w:sz="4" w:space="0" w:color="auto"/>
              <w:right w:val="nil"/>
            </w:tcBorders>
          </w:tcPr>
          <w:p w14:paraId="7531E3B1" w14:textId="77777777" w:rsidR="009700E5" w:rsidRPr="009700E5" w:rsidRDefault="002C033C">
            <w:pPr>
              <w:keepNext/>
              <w:keepLines/>
              <w:spacing w:before="50" w:after="50" w:line="240" w:lineRule="exact"/>
              <w:jc w:val="center"/>
              <w:rPr>
                <w:rFonts w:eastAsia="SimSun"/>
                <w:sz w:val="18"/>
                <w:szCs w:val="18"/>
                <w:lang w:eastAsia="zh-CN"/>
                <w:rPrChange w:id="1396" w:author="Author" w:date="2025-08-22T15:12:00Z">
                  <w:rPr>
                    <w:rFonts w:ascii="Arial" w:eastAsia="SimSun" w:hAnsi="Arial"/>
                    <w:sz w:val="18"/>
                    <w:szCs w:val="18"/>
                    <w:lang w:eastAsia="zh-CN"/>
                  </w:rPr>
                </w:rPrChange>
              </w:rPr>
            </w:pPr>
            <w:r>
              <w:rPr>
                <w:rFonts w:eastAsia="SimSun"/>
                <w:sz w:val="18"/>
                <w:szCs w:val="18"/>
                <w:lang w:eastAsia="zh-CN"/>
                <w:rPrChange w:id="1397" w:author="Author" w:date="2025-08-22T15:12:00Z">
                  <w:rPr>
                    <w:rFonts w:ascii="Arial" w:eastAsia="SimSun" w:hAnsi="Arial"/>
                    <w:sz w:val="18"/>
                    <w:szCs w:val="18"/>
                    <w:lang w:eastAsia="zh-CN"/>
                  </w:rPr>
                </w:rPrChange>
              </w:rPr>
              <w:t>1 – 87</w:t>
            </w:r>
          </w:p>
        </w:tc>
        <w:tc>
          <w:tcPr>
            <w:tcW w:w="1526" w:type="dxa"/>
            <w:gridSpan w:val="2"/>
            <w:tcBorders>
              <w:left w:val="nil"/>
              <w:bottom w:val="single" w:sz="4" w:space="0" w:color="auto"/>
              <w:right w:val="single" w:sz="8" w:space="0" w:color="auto"/>
            </w:tcBorders>
            <w:tcMar>
              <w:top w:w="0" w:type="dxa"/>
              <w:left w:w="57" w:type="dxa"/>
              <w:bottom w:w="0" w:type="dxa"/>
              <w:right w:w="57" w:type="dxa"/>
            </w:tcMar>
          </w:tcPr>
          <w:p w14:paraId="15F8E634" w14:textId="77777777" w:rsidR="009700E5" w:rsidRPr="009700E5" w:rsidRDefault="002C033C">
            <w:pPr>
              <w:keepNext/>
              <w:keepLines/>
              <w:spacing w:before="50" w:after="50" w:line="240" w:lineRule="exact"/>
              <w:jc w:val="center"/>
              <w:rPr>
                <w:rFonts w:eastAsia="SimSun"/>
                <w:sz w:val="18"/>
                <w:szCs w:val="18"/>
                <w:lang w:eastAsia="zh-CN"/>
                <w:rPrChange w:id="1398" w:author="Author" w:date="2025-08-22T15:12:00Z">
                  <w:rPr>
                    <w:rFonts w:ascii="Arial" w:eastAsia="SimSun" w:hAnsi="Arial"/>
                    <w:sz w:val="18"/>
                    <w:szCs w:val="18"/>
                    <w:lang w:eastAsia="zh-CN"/>
                  </w:rPr>
                </w:rPrChange>
              </w:rPr>
            </w:pPr>
            <w:r>
              <w:rPr>
                <w:rFonts w:eastAsia="SimSun"/>
                <w:sz w:val="18"/>
                <w:szCs w:val="18"/>
                <w:lang w:eastAsia="zh-CN"/>
                <w:rPrChange w:id="1399" w:author="Author" w:date="2025-08-22T15:12:00Z">
                  <w:rPr>
                    <w:rFonts w:ascii="Arial" w:eastAsia="SimSun" w:hAnsi="Arial"/>
                    <w:sz w:val="18"/>
                    <w:szCs w:val="18"/>
                    <w:lang w:eastAsia="zh-CN"/>
                  </w:rPr>
                </w:rPrChange>
              </w:rPr>
              <w:t>9 – 87</w:t>
            </w:r>
          </w:p>
        </w:tc>
      </w:tr>
    </w:tbl>
    <w:p w14:paraId="1A30302A" w14:textId="77777777" w:rsidR="009700E5" w:rsidRDefault="002C033C">
      <w:pPr>
        <w:rPr>
          <w:sz w:val="18"/>
          <w:szCs w:val="18"/>
        </w:rPr>
      </w:pPr>
      <w:r>
        <w:rPr>
          <w:sz w:val="18"/>
          <w:szCs w:val="18"/>
        </w:rPr>
        <w:t>s.c.</w:t>
      </w:r>
      <w:ins w:id="1400" w:author="Author" w:date="2025-07-21T10:15:00Z">
        <w:r>
          <w:rPr>
            <w:sz w:val="18"/>
            <w:szCs w:val="18"/>
          </w:rPr>
          <w:t> </w:t>
        </w:r>
      </w:ins>
      <w:del w:id="1401" w:author="Author" w:date="2025-07-21T10:15:00Z">
        <w:r>
          <w:rPr>
            <w:sz w:val="18"/>
            <w:szCs w:val="18"/>
          </w:rPr>
          <w:delText xml:space="preserve"> </w:delText>
        </w:r>
      </w:del>
      <w:r>
        <w:rPr>
          <w:sz w:val="18"/>
          <w:szCs w:val="18"/>
        </w:rPr>
        <w:t>=</w:t>
      </w:r>
      <w:ins w:id="1402" w:author="Author" w:date="2025-07-21T10:15:00Z">
        <w:r>
          <w:rPr>
            <w:sz w:val="18"/>
            <w:szCs w:val="18"/>
          </w:rPr>
          <w:t> </w:t>
        </w:r>
      </w:ins>
      <w:del w:id="1403" w:author="Author" w:date="2025-07-21T10:15:00Z">
        <w:r>
          <w:rPr>
            <w:sz w:val="18"/>
            <w:szCs w:val="18"/>
          </w:rPr>
          <w:delText xml:space="preserve"> </w:delText>
        </w:r>
      </w:del>
      <w:r>
        <w:rPr>
          <w:sz w:val="18"/>
          <w:szCs w:val="18"/>
        </w:rPr>
        <w:t>subkutánne</w:t>
      </w:r>
    </w:p>
    <w:p w14:paraId="45B4880F" w14:textId="77777777" w:rsidR="009700E5" w:rsidRDefault="009700E5"/>
    <w:p w14:paraId="39D48842" w14:textId="77777777" w:rsidR="009700E5" w:rsidRDefault="002C033C">
      <w:r>
        <w:t>Primárny cieľový ukazovateľ účinnosti hodnotený na základe pomeru pacientov, ktorí dosiahli trvalú remisiu ochorenia bez steroidov v 52. týždni liečby tocilizumabom plus 26</w:t>
      </w:r>
      <w:r>
        <w:noBreakHyphen/>
        <w:t>týždňovým obdobím postupného znižovania dávky prednizónu v porovnaní so skupinou s placebom plus 26</w:t>
      </w:r>
      <w:r>
        <w:noBreakHyphen/>
        <w:t>týždňové obdobie postupného znižovania dávky prednizónu, bol dosiahnutý (tabuľka 4).</w:t>
      </w:r>
    </w:p>
    <w:p w14:paraId="297C1987" w14:textId="77777777" w:rsidR="009700E5" w:rsidRDefault="009700E5"/>
    <w:p w14:paraId="18EC29CF" w14:textId="77777777" w:rsidR="009700E5" w:rsidRDefault="002C033C">
      <w:r>
        <w:t>Kľúčový sekundárny cieľový ukazovateľ účinnosti, ktorý sa rovnako zakladal na pomere pacientov, ktorí dosiahli pretrvávajúcu remisiu ochorenia v 52. týždni, porovnávajúci skupinu s tocilizumabom plus 26 týždňov postupného znižovania dávky prednizónu a skupinu s placebom plus 52 týždňov postupného znižovania dávky prednizónu, bol rovnako dosiahnutý (tabuľka 4).</w:t>
      </w:r>
    </w:p>
    <w:p w14:paraId="370CB4E7" w14:textId="77777777" w:rsidR="009700E5" w:rsidRDefault="009700E5"/>
    <w:p w14:paraId="7D84DF6D" w14:textId="77777777" w:rsidR="009700E5" w:rsidRDefault="002C033C">
      <w:r>
        <w:t>Štatisticky významný superiórny účinok liečby sa pozoroval v prospech tocilizumabu oproti placebu v dosiahnutí pretrvávajúcej remisie bez steroidov v 52. týždni liečby tocilizumabom plus 26</w:t>
      </w:r>
      <w:r>
        <w:noBreakHyphen/>
        <w:t>týždňové obdobie postupného znižovania dávky prednizónu v porovnaní so skupinou s placebom plus 26</w:t>
      </w:r>
      <w:r>
        <w:noBreakHyphen/>
        <w:t>týždňové obdobie postupného znižovania dávky prednizónu a so skupinou s placebom plus 52</w:t>
      </w:r>
      <w:r>
        <w:noBreakHyphen/>
        <w:t>týždňové obdobie postupného znižovania dávky prednizónu.</w:t>
      </w:r>
    </w:p>
    <w:p w14:paraId="6D7C4CCF" w14:textId="77777777" w:rsidR="009700E5" w:rsidRDefault="009700E5"/>
    <w:p w14:paraId="549B96E9" w14:textId="77777777" w:rsidR="009700E5" w:rsidRDefault="002C033C">
      <w:r>
        <w:t>Percento pacientov, ktorí dosiahli pertrvávajúcu remisiu ochorenia v 52. týždni liečby, je znázornená v tabuľke 4.</w:t>
      </w:r>
    </w:p>
    <w:p w14:paraId="6FF95045" w14:textId="77777777" w:rsidR="009700E5" w:rsidRDefault="009700E5"/>
    <w:p w14:paraId="4A8948EC" w14:textId="77777777" w:rsidR="009700E5" w:rsidRDefault="002C033C">
      <w:pPr>
        <w:keepNext/>
        <w:keepLines/>
        <w:rPr>
          <w:i/>
          <w:u w:val="single"/>
        </w:rPr>
      </w:pPr>
      <w:r>
        <w:rPr>
          <w:i/>
          <w:u w:val="single"/>
        </w:rPr>
        <w:t>Sekundárne cieľové ukazovatele</w:t>
      </w:r>
    </w:p>
    <w:p w14:paraId="0FBF6845" w14:textId="77777777" w:rsidR="009700E5" w:rsidRDefault="002C033C">
      <w:pPr>
        <w:keepNext/>
        <w:keepLines/>
      </w:pPr>
      <w:r>
        <w:t>Pri posudzovaní času do nástupu prvého vzplanutia OBA sa pozorovalo výrazne menšie riziko vzplanutia ochorenia v skupine s tocilizumabom podávaným subkutánne raz za týždeň v porovnaní so skupinou s placebom plus 26 týždňov postupného znižovania prednizónu a so skupinou s placebom plus 52 týždňov postupného znižovania prednizónu, a v skupine s tocilizumabom podávaným subkutánne každý druhý týždeň, v porovnaní so skupinou s placebom plus 26 týždňov postupného znižovania prednizónu (porovnávané pri hladine významnosti 0,01). Tocilizumab podávaný subkutánne raz za týždeň rovnako preukázal klinicky významný pokles rizika vzplanutia ochorenia v porovnaní so skupinou s placebom plus 26 týždňov prednizónu u pacientov, ktorí vstúpili do skúšania s relapsujúcim OBA, rovnako ako aj u pacientov s novým nástupom ochorenia (tabuľka 4).</w:t>
      </w:r>
    </w:p>
    <w:p w14:paraId="3D0FCD13" w14:textId="77777777" w:rsidR="009700E5" w:rsidRDefault="009700E5"/>
    <w:p w14:paraId="223B199C" w14:textId="77777777" w:rsidR="009700E5" w:rsidRDefault="002C033C">
      <w:pPr>
        <w:keepNext/>
        <w:keepLines/>
        <w:rPr>
          <w:i/>
          <w:u w:val="single"/>
        </w:rPr>
      </w:pPr>
      <w:r>
        <w:rPr>
          <w:i/>
          <w:u w:val="single"/>
        </w:rPr>
        <w:t>Kumulatívna dávka glukokortikoidov</w:t>
      </w:r>
    </w:p>
    <w:p w14:paraId="505248FE" w14:textId="77777777" w:rsidR="009700E5" w:rsidRDefault="002C033C">
      <w:pPr>
        <w:keepNext/>
        <w:keepLines/>
      </w:pPr>
      <w:r>
        <w:t>Kumulatívna dávka prednizónu bola v 52. týždni výrazne nižšia v obidvoch skupinách s tocilizumabom v porovnaní s dvoma skupinami s placebom (tabuľka 4). V osobitnej analýze pacientov, ktorí dostávali prednizón ako emergentnú liečbu pri vzplanutí OBA počas prvých 52 týždňov, sa veľkosť kumulatívnej dávky prednizónu významne líšila. Priemerné dávky u pacientov, ktorým bola podávaná emergentná liečba, boli v skupine s tocilizumabom podávaným raz za týždeň v dávke 3 129,75 mg a v skupine s tocilizumabom podávaným každý druhý týždeň v dávke 3 847 mg. V oboch prípadoch bola táto dávka významne nižšia ako v skupinách s placebom plus 26 týždňov postupného znižovania prednizónu, kde bola 4 023,5 mg, a v skupine s placebom plus 52 týždňov postupného znižovania prednizónu, kde bola 5 389,5 mg.</w:t>
      </w:r>
    </w:p>
    <w:p w14:paraId="7FC71182" w14:textId="77777777" w:rsidR="009700E5" w:rsidRDefault="009700E5"/>
    <w:p w14:paraId="12F7B53F" w14:textId="77777777" w:rsidR="009700E5" w:rsidRDefault="002C033C">
      <w:pPr>
        <w:numPr>
          <w:ilvl w:val="12"/>
          <w:numId w:val="0"/>
        </w:numPr>
        <w:ind w:right="-2"/>
        <w:rPr>
          <w:bCs/>
          <w:i/>
          <w:szCs w:val="22"/>
        </w:rPr>
      </w:pPr>
      <w:r>
        <w:rPr>
          <w:bCs/>
          <w:i/>
          <w:szCs w:val="22"/>
        </w:rPr>
        <w:t>Tabuľka 4. Výsledky účinnosti z</w:t>
      </w:r>
      <w:del w:id="1404" w:author="Author" w:date="2026-02-10T15:02:00Z">
        <w:r>
          <w:rPr>
            <w:bCs/>
            <w:i/>
            <w:szCs w:val="22"/>
          </w:rPr>
          <w:delText>o</w:delText>
        </w:r>
      </w:del>
      <w:r>
        <w:rPr>
          <w:bCs/>
          <w:i/>
          <w:szCs w:val="22"/>
        </w:rPr>
        <w:t xml:space="preserve"> </w:t>
      </w:r>
      <w:del w:id="1405" w:author="Author" w:date="2025-07-19T23:11:00Z">
        <w:r>
          <w:rPr>
            <w:bCs/>
            <w:i/>
            <w:szCs w:val="22"/>
          </w:rPr>
          <w:delText xml:space="preserve">štúdie </w:delText>
        </w:r>
      </w:del>
      <w:ins w:id="1406" w:author="Author" w:date="2025-07-21T10:15:00Z">
        <w:r>
          <w:rPr>
            <w:i/>
            <w:rPrChange w:id="1407" w:author="Author" w:date="2025-08-22T15:12:00Z">
              <w:rPr/>
            </w:rPrChange>
          </w:rPr>
          <w:t>klinického</w:t>
        </w:r>
        <w:r>
          <w:rPr>
            <w:bCs/>
            <w:i/>
            <w:szCs w:val="22"/>
          </w:rPr>
          <w:t xml:space="preserve"> </w:t>
        </w:r>
      </w:ins>
      <w:ins w:id="1408" w:author="Author" w:date="2025-07-19T23:11:00Z">
        <w:r>
          <w:rPr>
            <w:bCs/>
            <w:i/>
            <w:szCs w:val="22"/>
          </w:rPr>
          <w:t xml:space="preserve">skúšania </w:t>
        </w:r>
      </w:ins>
      <w:r>
        <w:rPr>
          <w:bCs/>
          <w:i/>
          <w:szCs w:val="22"/>
        </w:rPr>
        <w:t>WA28119</w:t>
      </w:r>
    </w:p>
    <w:p w14:paraId="43F0DFAB" w14:textId="77777777" w:rsidR="009700E5" w:rsidRDefault="009700E5">
      <w:pPr>
        <w:numPr>
          <w:ilvl w:val="12"/>
          <w:numId w:val="0"/>
        </w:numPr>
        <w:ind w:right="-2"/>
        <w:rPr>
          <w:i/>
          <w:szCs w:val="22"/>
        </w:rPr>
      </w:pPr>
    </w:p>
    <w:tbl>
      <w:tblPr>
        <w:tblW w:w="9356" w:type="dxa"/>
        <w:tblInd w:w="-85" w:type="dxa"/>
        <w:tblLayout w:type="fixed"/>
        <w:tblCellMar>
          <w:left w:w="0" w:type="dxa"/>
          <w:right w:w="0" w:type="dxa"/>
        </w:tblCellMar>
        <w:tblLook w:val="04A0" w:firstRow="1" w:lastRow="0" w:firstColumn="1" w:lastColumn="0" w:noHBand="0" w:noVBand="1"/>
      </w:tblPr>
      <w:tblGrid>
        <w:gridCol w:w="2836"/>
        <w:gridCol w:w="425"/>
        <w:gridCol w:w="283"/>
        <w:gridCol w:w="710"/>
        <w:gridCol w:w="1418"/>
        <w:gridCol w:w="1842"/>
        <w:gridCol w:w="1842"/>
      </w:tblGrid>
      <w:tr w:rsidR="009700E5" w14:paraId="6B223883" w14:textId="77777777">
        <w:trPr>
          <w:cantSplit/>
          <w:tblHeader/>
        </w:trPr>
        <w:tc>
          <w:tcPr>
            <w:tcW w:w="2836"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0AC17C4A" w14:textId="77777777" w:rsidR="009700E5" w:rsidRDefault="009700E5">
            <w:pPr>
              <w:spacing w:before="50" w:after="50" w:line="240" w:lineRule="exact"/>
              <w:rPr>
                <w:rFonts w:eastAsia="SimSun"/>
                <w:strike/>
                <w:sz w:val="18"/>
                <w:szCs w:val="18"/>
                <w:lang w:eastAsia="zh-CN"/>
              </w:rPr>
            </w:pPr>
          </w:p>
        </w:tc>
        <w:tc>
          <w:tcPr>
            <w:tcW w:w="1418" w:type="dxa"/>
            <w:gridSpan w:val="3"/>
            <w:tcBorders>
              <w:top w:val="single" w:sz="8" w:space="0" w:color="auto"/>
              <w:left w:val="nil"/>
              <w:bottom w:val="single" w:sz="8" w:space="0" w:color="auto"/>
              <w:right w:val="nil"/>
            </w:tcBorders>
            <w:tcMar>
              <w:top w:w="0" w:type="dxa"/>
              <w:left w:w="57" w:type="dxa"/>
              <w:bottom w:w="0" w:type="dxa"/>
              <w:right w:w="57" w:type="dxa"/>
            </w:tcMar>
          </w:tcPr>
          <w:p w14:paraId="3BC9DC34" w14:textId="77777777" w:rsidR="009700E5" w:rsidRDefault="002C033C">
            <w:pPr>
              <w:spacing w:before="50" w:after="50" w:line="240" w:lineRule="exact"/>
              <w:jc w:val="center"/>
              <w:rPr>
                <w:rFonts w:eastAsia="SimSun"/>
                <w:b/>
                <w:sz w:val="18"/>
                <w:szCs w:val="18"/>
                <w:lang w:eastAsia="zh-CN"/>
              </w:rPr>
            </w:pPr>
            <w:r>
              <w:rPr>
                <w:rFonts w:eastAsia="SimSun"/>
                <w:b/>
                <w:sz w:val="18"/>
                <w:szCs w:val="18"/>
                <w:lang w:eastAsia="zh-CN"/>
              </w:rPr>
              <w:t>Placebo + 26 týždňov postupne znižovanej dávky prednizónu</w:t>
            </w:r>
          </w:p>
          <w:p w14:paraId="4A118F02" w14:textId="77777777" w:rsidR="009700E5" w:rsidRDefault="002C033C">
            <w:pPr>
              <w:spacing w:before="50" w:after="50" w:line="240" w:lineRule="exact"/>
              <w:jc w:val="center"/>
              <w:rPr>
                <w:rFonts w:eastAsia="SimSun"/>
                <w:b/>
                <w:sz w:val="18"/>
                <w:szCs w:val="18"/>
                <w:lang w:eastAsia="zh-CN"/>
              </w:rPr>
            </w:pPr>
            <w:ins w:id="1409" w:author="Author" w:date="2025-07-19T23:12:00Z">
              <w:r>
                <w:rPr>
                  <w:rFonts w:eastAsia="SimSun"/>
                  <w:b/>
                  <w:sz w:val="18"/>
                  <w:szCs w:val="18"/>
                  <w:lang w:eastAsia="zh-CN"/>
                </w:rPr>
                <w:t>n</w:t>
              </w:r>
            </w:ins>
            <w:del w:id="1410" w:author="Author" w:date="2025-07-19T23:12:00Z">
              <w:r>
                <w:rPr>
                  <w:rFonts w:eastAsia="SimSun"/>
                  <w:b/>
                  <w:sz w:val="18"/>
                  <w:szCs w:val="18"/>
                  <w:lang w:eastAsia="zh-CN"/>
                </w:rPr>
                <w:delText>N</w:delText>
              </w:r>
            </w:del>
            <w:r>
              <w:rPr>
                <w:rFonts w:eastAsia="SimSun"/>
                <w:b/>
                <w:sz w:val="18"/>
                <w:szCs w:val="18"/>
                <w:lang w:eastAsia="zh-CN"/>
              </w:rPr>
              <w:t> = 50</w:t>
            </w:r>
          </w:p>
        </w:tc>
        <w:tc>
          <w:tcPr>
            <w:tcW w:w="1418" w:type="dxa"/>
            <w:tcBorders>
              <w:top w:val="single" w:sz="8" w:space="0" w:color="auto"/>
              <w:left w:val="nil"/>
              <w:bottom w:val="single" w:sz="8" w:space="0" w:color="auto"/>
              <w:right w:val="nil"/>
            </w:tcBorders>
            <w:tcMar>
              <w:top w:w="0" w:type="dxa"/>
              <w:left w:w="57" w:type="dxa"/>
              <w:bottom w:w="0" w:type="dxa"/>
              <w:right w:w="57" w:type="dxa"/>
            </w:tcMar>
          </w:tcPr>
          <w:p w14:paraId="1EA80A95" w14:textId="77777777" w:rsidR="009700E5" w:rsidRDefault="002C033C">
            <w:pPr>
              <w:spacing w:before="50" w:after="50" w:line="240" w:lineRule="exact"/>
              <w:jc w:val="center"/>
              <w:rPr>
                <w:rFonts w:eastAsia="SimSun"/>
                <w:b/>
                <w:sz w:val="18"/>
                <w:szCs w:val="18"/>
                <w:lang w:eastAsia="zh-CN"/>
              </w:rPr>
            </w:pPr>
            <w:r>
              <w:rPr>
                <w:rFonts w:eastAsia="SimSun"/>
                <w:b/>
                <w:sz w:val="18"/>
                <w:szCs w:val="18"/>
                <w:lang w:eastAsia="zh-CN"/>
              </w:rPr>
              <w:t>Placebo + 52 týždňov postupne znižovanej dávky prednizónu</w:t>
            </w:r>
          </w:p>
          <w:p w14:paraId="2FAABB37" w14:textId="77777777" w:rsidR="009700E5" w:rsidRDefault="002C033C">
            <w:pPr>
              <w:spacing w:before="50" w:after="50" w:line="240" w:lineRule="exact"/>
              <w:jc w:val="center"/>
              <w:rPr>
                <w:rFonts w:eastAsia="SimSun"/>
                <w:b/>
                <w:sz w:val="18"/>
                <w:szCs w:val="18"/>
                <w:lang w:eastAsia="zh-CN"/>
              </w:rPr>
            </w:pPr>
            <w:ins w:id="1411" w:author="Author" w:date="2025-07-19T23:12:00Z">
              <w:r>
                <w:rPr>
                  <w:rFonts w:eastAsia="SimSun"/>
                  <w:b/>
                  <w:sz w:val="18"/>
                  <w:szCs w:val="18"/>
                  <w:lang w:eastAsia="zh-CN"/>
                </w:rPr>
                <w:t>n</w:t>
              </w:r>
            </w:ins>
            <w:del w:id="1412" w:author="Author" w:date="2025-07-19T23:12:00Z">
              <w:r>
                <w:rPr>
                  <w:rFonts w:eastAsia="SimSun"/>
                  <w:b/>
                  <w:sz w:val="18"/>
                  <w:szCs w:val="18"/>
                  <w:lang w:eastAsia="zh-CN"/>
                </w:rPr>
                <w:delText>N</w:delText>
              </w:r>
            </w:del>
            <w:r>
              <w:rPr>
                <w:rFonts w:eastAsia="SimSun"/>
                <w:b/>
                <w:sz w:val="18"/>
                <w:szCs w:val="18"/>
                <w:lang w:eastAsia="zh-CN"/>
              </w:rPr>
              <w:t> = 51</w:t>
            </w:r>
          </w:p>
        </w:tc>
        <w:tc>
          <w:tcPr>
            <w:tcW w:w="1842" w:type="dxa"/>
            <w:tcBorders>
              <w:top w:val="single" w:sz="8" w:space="0" w:color="auto"/>
              <w:left w:val="nil"/>
              <w:bottom w:val="single" w:sz="8" w:space="0" w:color="auto"/>
              <w:right w:val="nil"/>
            </w:tcBorders>
          </w:tcPr>
          <w:p w14:paraId="43DCF297" w14:textId="77777777" w:rsidR="009700E5" w:rsidRDefault="002C033C">
            <w:pPr>
              <w:spacing w:before="50" w:after="50" w:line="240" w:lineRule="exact"/>
              <w:jc w:val="center"/>
              <w:rPr>
                <w:rFonts w:eastAsia="SimSun"/>
                <w:b/>
                <w:sz w:val="18"/>
                <w:szCs w:val="18"/>
                <w:lang w:eastAsia="zh-CN"/>
              </w:rPr>
            </w:pPr>
            <w:r>
              <w:rPr>
                <w:rFonts w:eastAsia="SimSun"/>
                <w:b/>
                <w:sz w:val="18"/>
                <w:szCs w:val="18"/>
                <w:lang w:eastAsia="zh-CN"/>
              </w:rPr>
              <w:t>Tocilizumab 162 mg s.c. raz za týždeň + 26 týždňov postupne znižovanej dávky prednizónu</w:t>
            </w:r>
          </w:p>
          <w:p w14:paraId="0E535AE2" w14:textId="77777777" w:rsidR="009700E5" w:rsidRDefault="002C033C">
            <w:pPr>
              <w:spacing w:before="50" w:after="50" w:line="240" w:lineRule="exact"/>
              <w:jc w:val="center"/>
              <w:rPr>
                <w:rFonts w:eastAsia="SimSun"/>
                <w:b/>
                <w:sz w:val="18"/>
                <w:szCs w:val="18"/>
                <w:lang w:eastAsia="zh-CN"/>
              </w:rPr>
            </w:pPr>
            <w:ins w:id="1413" w:author="Author" w:date="2025-07-19T23:12:00Z">
              <w:r>
                <w:rPr>
                  <w:rFonts w:eastAsia="SimSun"/>
                  <w:b/>
                  <w:sz w:val="18"/>
                  <w:szCs w:val="18"/>
                  <w:lang w:eastAsia="zh-CN"/>
                </w:rPr>
                <w:t>n</w:t>
              </w:r>
            </w:ins>
            <w:del w:id="1414" w:author="Author" w:date="2025-07-19T23:12:00Z">
              <w:r>
                <w:rPr>
                  <w:rFonts w:eastAsia="SimSun"/>
                  <w:b/>
                  <w:sz w:val="18"/>
                  <w:szCs w:val="18"/>
                  <w:lang w:eastAsia="zh-CN"/>
                </w:rPr>
                <w:delText>N</w:delText>
              </w:r>
            </w:del>
            <w:r>
              <w:rPr>
                <w:rFonts w:eastAsia="SimSun"/>
                <w:b/>
                <w:sz w:val="18"/>
                <w:szCs w:val="18"/>
                <w:lang w:eastAsia="zh-CN"/>
              </w:rPr>
              <w:t> = 100</w:t>
            </w:r>
          </w:p>
        </w:tc>
        <w:tc>
          <w:tcPr>
            <w:tcW w:w="1842" w:type="dxa"/>
            <w:tcBorders>
              <w:top w:val="single" w:sz="8" w:space="0" w:color="auto"/>
              <w:left w:val="nil"/>
              <w:bottom w:val="single" w:sz="8" w:space="0" w:color="auto"/>
              <w:right w:val="single" w:sz="8" w:space="0" w:color="auto"/>
            </w:tcBorders>
            <w:tcMar>
              <w:top w:w="0" w:type="dxa"/>
              <w:left w:w="57" w:type="dxa"/>
              <w:bottom w:w="0" w:type="dxa"/>
              <w:right w:w="57" w:type="dxa"/>
            </w:tcMar>
          </w:tcPr>
          <w:p w14:paraId="2ED24347" w14:textId="77777777" w:rsidR="009700E5" w:rsidRDefault="002C033C">
            <w:pPr>
              <w:spacing w:before="50" w:after="50" w:line="240" w:lineRule="exact"/>
              <w:jc w:val="center"/>
              <w:rPr>
                <w:rFonts w:eastAsia="SimSun"/>
                <w:b/>
                <w:sz w:val="18"/>
                <w:szCs w:val="18"/>
                <w:lang w:eastAsia="zh-CN"/>
              </w:rPr>
            </w:pPr>
            <w:r>
              <w:rPr>
                <w:rFonts w:eastAsia="SimSun"/>
                <w:b/>
                <w:sz w:val="18"/>
                <w:szCs w:val="18"/>
                <w:lang w:eastAsia="zh-CN"/>
              </w:rPr>
              <w:t>Tocilizumab 162 mg s.c. každý druhý týždeň + 26 týždňov postupne znižovanej dávky prednizónu</w:t>
            </w:r>
          </w:p>
          <w:p w14:paraId="536BD6F4" w14:textId="77777777" w:rsidR="009700E5" w:rsidRDefault="002C033C">
            <w:pPr>
              <w:spacing w:before="50" w:after="50" w:line="240" w:lineRule="exact"/>
              <w:jc w:val="center"/>
              <w:rPr>
                <w:rFonts w:eastAsia="SimSun"/>
                <w:b/>
                <w:sz w:val="18"/>
                <w:szCs w:val="18"/>
                <w:lang w:eastAsia="zh-CN"/>
              </w:rPr>
            </w:pPr>
            <w:ins w:id="1415" w:author="Author" w:date="2025-07-19T23:12:00Z">
              <w:r>
                <w:rPr>
                  <w:rFonts w:eastAsia="SimSun"/>
                  <w:b/>
                  <w:sz w:val="18"/>
                  <w:szCs w:val="18"/>
                  <w:lang w:eastAsia="zh-CN"/>
                </w:rPr>
                <w:t>n</w:t>
              </w:r>
            </w:ins>
            <w:del w:id="1416" w:author="Author" w:date="2025-07-19T23:12:00Z">
              <w:r>
                <w:rPr>
                  <w:rFonts w:eastAsia="SimSun"/>
                  <w:b/>
                  <w:sz w:val="18"/>
                  <w:szCs w:val="18"/>
                  <w:lang w:eastAsia="zh-CN"/>
                </w:rPr>
                <w:delText>N</w:delText>
              </w:r>
            </w:del>
            <w:r>
              <w:rPr>
                <w:rFonts w:eastAsia="SimSun"/>
                <w:b/>
                <w:sz w:val="18"/>
                <w:szCs w:val="18"/>
                <w:lang w:eastAsia="zh-CN"/>
              </w:rPr>
              <w:t> = 49</w:t>
            </w:r>
          </w:p>
        </w:tc>
      </w:tr>
      <w:tr w:rsidR="009700E5" w14:paraId="752AA90C" w14:textId="77777777">
        <w:trPr>
          <w:cantSplit/>
        </w:trPr>
        <w:tc>
          <w:tcPr>
            <w:tcW w:w="9356" w:type="dxa"/>
            <w:gridSpan w:val="7"/>
            <w:tcBorders>
              <w:left w:val="single" w:sz="4" w:space="0" w:color="auto"/>
              <w:right w:val="single" w:sz="8" w:space="0" w:color="auto"/>
            </w:tcBorders>
          </w:tcPr>
          <w:p w14:paraId="1ADEECAF" w14:textId="77777777" w:rsidR="009700E5" w:rsidRDefault="002C033C">
            <w:pPr>
              <w:spacing w:before="50" w:after="50" w:line="240" w:lineRule="exact"/>
              <w:rPr>
                <w:rFonts w:eastAsia="SimSun"/>
                <w:b/>
                <w:sz w:val="18"/>
                <w:szCs w:val="18"/>
                <w:lang w:eastAsia="zh-CN"/>
              </w:rPr>
            </w:pPr>
            <w:r>
              <w:rPr>
                <w:rFonts w:eastAsia="SimSun"/>
                <w:b/>
                <w:sz w:val="18"/>
                <w:szCs w:val="18"/>
                <w:lang w:eastAsia="zh-CN"/>
              </w:rPr>
              <w:t xml:space="preserve"> Primárny cieľový ukazovateľ </w:t>
            </w:r>
          </w:p>
        </w:tc>
      </w:tr>
      <w:tr w:rsidR="009700E5" w14:paraId="2ED96C98" w14:textId="77777777">
        <w:trPr>
          <w:cantSplit/>
        </w:trPr>
        <w:tc>
          <w:tcPr>
            <w:tcW w:w="5672" w:type="dxa"/>
            <w:gridSpan w:val="5"/>
            <w:tcBorders>
              <w:top w:val="single" w:sz="4" w:space="0" w:color="auto"/>
              <w:left w:val="single" w:sz="4" w:space="0" w:color="auto"/>
            </w:tcBorders>
            <w:tcMar>
              <w:top w:w="0" w:type="dxa"/>
              <w:left w:w="57" w:type="dxa"/>
              <w:bottom w:w="0" w:type="dxa"/>
              <w:right w:w="57" w:type="dxa"/>
            </w:tcMar>
          </w:tcPr>
          <w:p w14:paraId="00A42966" w14:textId="77777777" w:rsidR="009700E5" w:rsidRDefault="002C033C">
            <w:pPr>
              <w:spacing w:before="50" w:after="50" w:line="240" w:lineRule="exact"/>
              <w:rPr>
                <w:rFonts w:eastAsia="SimSun"/>
                <w:sz w:val="18"/>
                <w:szCs w:val="18"/>
                <w:lang w:eastAsia="zh-CN"/>
              </w:rPr>
            </w:pPr>
            <w:r>
              <w:rPr>
                <w:rFonts w:eastAsia="SimSun"/>
                <w:sz w:val="18"/>
                <w:szCs w:val="18"/>
                <w:lang w:eastAsia="zh-CN"/>
              </w:rPr>
              <w:t xml:space="preserve">****Pretrvávajúca remisia (skupiny s tocilizumabom vs placebo+26)                       </w:t>
            </w:r>
          </w:p>
        </w:tc>
        <w:tc>
          <w:tcPr>
            <w:tcW w:w="1842" w:type="dxa"/>
            <w:tcBorders>
              <w:top w:val="single" w:sz="4" w:space="0" w:color="auto"/>
              <w:left w:val="nil"/>
              <w:right w:val="nil"/>
            </w:tcBorders>
          </w:tcPr>
          <w:p w14:paraId="34D4E13B" w14:textId="77777777" w:rsidR="009700E5" w:rsidRDefault="009700E5">
            <w:pPr>
              <w:spacing w:before="50" w:after="50" w:line="240" w:lineRule="exact"/>
              <w:jc w:val="center"/>
              <w:rPr>
                <w:rFonts w:eastAsia="SimSun"/>
                <w:strike/>
                <w:sz w:val="18"/>
                <w:szCs w:val="18"/>
                <w:lang w:eastAsia="zh-CN"/>
              </w:rPr>
            </w:pPr>
          </w:p>
        </w:tc>
        <w:tc>
          <w:tcPr>
            <w:tcW w:w="1842" w:type="dxa"/>
            <w:tcBorders>
              <w:top w:val="single" w:sz="4" w:space="0" w:color="auto"/>
              <w:left w:val="nil"/>
              <w:right w:val="single" w:sz="8" w:space="0" w:color="auto"/>
            </w:tcBorders>
            <w:tcMar>
              <w:top w:w="0" w:type="dxa"/>
              <w:left w:w="57" w:type="dxa"/>
              <w:bottom w:w="0" w:type="dxa"/>
              <w:right w:w="57" w:type="dxa"/>
            </w:tcMar>
          </w:tcPr>
          <w:p w14:paraId="65D17098" w14:textId="77777777" w:rsidR="009700E5" w:rsidRDefault="009700E5">
            <w:pPr>
              <w:spacing w:before="50" w:after="50" w:line="240" w:lineRule="exact"/>
              <w:jc w:val="center"/>
              <w:rPr>
                <w:rFonts w:eastAsia="SimSun"/>
                <w:strike/>
                <w:sz w:val="18"/>
                <w:szCs w:val="18"/>
                <w:lang w:eastAsia="zh-CN"/>
              </w:rPr>
            </w:pPr>
          </w:p>
        </w:tc>
      </w:tr>
      <w:tr w:rsidR="009700E5" w14:paraId="36301CED" w14:textId="77777777">
        <w:trPr>
          <w:cantSplit/>
        </w:trPr>
        <w:tc>
          <w:tcPr>
            <w:tcW w:w="3261" w:type="dxa"/>
            <w:gridSpan w:val="2"/>
            <w:tcBorders>
              <w:left w:val="single" w:sz="4" w:space="0" w:color="auto"/>
            </w:tcBorders>
            <w:tcMar>
              <w:top w:w="0" w:type="dxa"/>
              <w:left w:w="57" w:type="dxa"/>
              <w:bottom w:w="0" w:type="dxa"/>
              <w:right w:w="57" w:type="dxa"/>
            </w:tcMar>
          </w:tcPr>
          <w:p w14:paraId="6627DEA1" w14:textId="77777777" w:rsidR="009700E5" w:rsidRDefault="002C033C">
            <w:pPr>
              <w:spacing w:before="50" w:after="50" w:line="240" w:lineRule="exact"/>
              <w:ind w:left="720"/>
              <w:rPr>
                <w:rFonts w:eastAsia="SimSun"/>
                <w:sz w:val="18"/>
                <w:szCs w:val="18"/>
                <w:lang w:eastAsia="zh-CN"/>
              </w:rPr>
            </w:pPr>
            <w:r>
              <w:rPr>
                <w:rFonts w:eastAsia="SimSun"/>
                <w:sz w:val="18"/>
                <w:szCs w:val="18"/>
                <w:lang w:eastAsia="zh-CN"/>
              </w:rPr>
              <w:t>Pacienti, ktorí odpovedali na liečbu v 52. týždni, n (%)</w:t>
            </w:r>
          </w:p>
        </w:tc>
        <w:tc>
          <w:tcPr>
            <w:tcW w:w="993" w:type="dxa"/>
            <w:gridSpan w:val="2"/>
            <w:tcMar>
              <w:top w:w="0" w:type="dxa"/>
              <w:left w:w="57" w:type="dxa"/>
              <w:bottom w:w="0" w:type="dxa"/>
              <w:right w:w="57" w:type="dxa"/>
            </w:tcMar>
          </w:tcPr>
          <w:p w14:paraId="2294B768"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7 (14 %)</w:t>
            </w:r>
          </w:p>
        </w:tc>
        <w:tc>
          <w:tcPr>
            <w:tcW w:w="1418" w:type="dxa"/>
            <w:tcMar>
              <w:top w:w="0" w:type="dxa"/>
              <w:left w:w="57" w:type="dxa"/>
              <w:bottom w:w="0" w:type="dxa"/>
              <w:right w:w="57" w:type="dxa"/>
            </w:tcMar>
          </w:tcPr>
          <w:p w14:paraId="3E4CE05B"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9 (17,6 %)</w:t>
            </w:r>
          </w:p>
        </w:tc>
        <w:tc>
          <w:tcPr>
            <w:tcW w:w="1842" w:type="dxa"/>
            <w:tcBorders>
              <w:right w:val="nil"/>
            </w:tcBorders>
          </w:tcPr>
          <w:p w14:paraId="2647D927"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56 (56 %)</w:t>
            </w:r>
          </w:p>
        </w:tc>
        <w:tc>
          <w:tcPr>
            <w:tcW w:w="1842" w:type="dxa"/>
            <w:tcBorders>
              <w:left w:val="nil"/>
              <w:right w:val="single" w:sz="8" w:space="0" w:color="auto"/>
            </w:tcBorders>
            <w:tcMar>
              <w:top w:w="0" w:type="dxa"/>
              <w:left w:w="57" w:type="dxa"/>
              <w:bottom w:w="0" w:type="dxa"/>
              <w:right w:w="57" w:type="dxa"/>
            </w:tcMar>
          </w:tcPr>
          <w:p w14:paraId="2D627BB2"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26 (53,1 %)</w:t>
            </w:r>
          </w:p>
        </w:tc>
      </w:tr>
      <w:tr w:rsidR="009700E5" w14:paraId="732ED0E2" w14:textId="77777777">
        <w:trPr>
          <w:cantSplit/>
        </w:trPr>
        <w:tc>
          <w:tcPr>
            <w:tcW w:w="3261" w:type="dxa"/>
            <w:gridSpan w:val="2"/>
            <w:tcBorders>
              <w:left w:val="single" w:sz="4" w:space="0" w:color="auto"/>
              <w:bottom w:val="single" w:sz="4" w:space="0" w:color="auto"/>
            </w:tcBorders>
            <w:tcMar>
              <w:top w:w="0" w:type="dxa"/>
              <w:left w:w="57" w:type="dxa"/>
              <w:bottom w:w="0" w:type="dxa"/>
              <w:right w:w="57" w:type="dxa"/>
            </w:tcMar>
          </w:tcPr>
          <w:p w14:paraId="6ED291F4" w14:textId="77777777" w:rsidR="009700E5" w:rsidRDefault="002C033C">
            <w:pPr>
              <w:spacing w:before="50" w:after="50" w:line="240" w:lineRule="exact"/>
              <w:ind w:left="720"/>
              <w:rPr>
                <w:rFonts w:eastAsia="SimSun"/>
                <w:sz w:val="18"/>
                <w:szCs w:val="18"/>
                <w:lang w:eastAsia="zh-CN"/>
              </w:rPr>
            </w:pPr>
            <w:r>
              <w:rPr>
                <w:rFonts w:eastAsia="SimSun"/>
                <w:sz w:val="18"/>
                <w:szCs w:val="18"/>
                <w:lang w:eastAsia="zh-CN"/>
              </w:rPr>
              <w:t>Neupravený rozdiel v proporciách</w:t>
            </w:r>
          </w:p>
          <w:p w14:paraId="1F362006" w14:textId="77777777" w:rsidR="009700E5" w:rsidRDefault="002C033C">
            <w:pPr>
              <w:spacing w:before="50" w:after="50" w:line="240" w:lineRule="exact"/>
              <w:ind w:left="720"/>
              <w:rPr>
                <w:rFonts w:eastAsia="SimSun"/>
                <w:sz w:val="18"/>
                <w:szCs w:val="18"/>
                <w:lang w:eastAsia="zh-CN"/>
              </w:rPr>
            </w:pPr>
            <w:r>
              <w:rPr>
                <w:rFonts w:eastAsia="SimSun"/>
                <w:sz w:val="18"/>
                <w:szCs w:val="18"/>
                <w:lang w:eastAsia="zh-CN"/>
              </w:rPr>
              <w:t>(99,5 % IS)</w:t>
            </w:r>
          </w:p>
        </w:tc>
        <w:tc>
          <w:tcPr>
            <w:tcW w:w="993" w:type="dxa"/>
            <w:gridSpan w:val="2"/>
            <w:tcBorders>
              <w:bottom w:val="single" w:sz="4" w:space="0" w:color="auto"/>
            </w:tcBorders>
            <w:tcMar>
              <w:top w:w="0" w:type="dxa"/>
              <w:left w:w="57" w:type="dxa"/>
              <w:bottom w:w="0" w:type="dxa"/>
              <w:right w:w="57" w:type="dxa"/>
            </w:tcMar>
          </w:tcPr>
          <w:p w14:paraId="7A774CAF"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N/A</w:t>
            </w:r>
          </w:p>
        </w:tc>
        <w:tc>
          <w:tcPr>
            <w:tcW w:w="1418" w:type="dxa"/>
            <w:tcBorders>
              <w:bottom w:val="single" w:sz="4" w:space="0" w:color="auto"/>
            </w:tcBorders>
            <w:tcMar>
              <w:top w:w="0" w:type="dxa"/>
              <w:left w:w="57" w:type="dxa"/>
              <w:bottom w:w="0" w:type="dxa"/>
              <w:right w:w="57" w:type="dxa"/>
            </w:tcMar>
          </w:tcPr>
          <w:p w14:paraId="4DC5D2DB"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N/A</w:t>
            </w:r>
          </w:p>
        </w:tc>
        <w:tc>
          <w:tcPr>
            <w:tcW w:w="1842" w:type="dxa"/>
            <w:tcBorders>
              <w:bottom w:val="single" w:sz="4" w:space="0" w:color="auto"/>
              <w:right w:val="nil"/>
            </w:tcBorders>
          </w:tcPr>
          <w:p w14:paraId="3936EA02"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42 %*</w:t>
            </w:r>
          </w:p>
          <w:p w14:paraId="0ABC2F63"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(18,00 ; 66,00)</w:t>
            </w:r>
          </w:p>
        </w:tc>
        <w:tc>
          <w:tcPr>
            <w:tcW w:w="1842" w:type="dxa"/>
            <w:tcBorders>
              <w:left w:val="nil"/>
              <w:bottom w:val="single" w:sz="4" w:space="0" w:color="auto"/>
              <w:right w:val="single" w:sz="8" w:space="0" w:color="auto"/>
            </w:tcBorders>
            <w:tcMar>
              <w:top w:w="0" w:type="dxa"/>
              <w:left w:w="57" w:type="dxa"/>
              <w:bottom w:w="0" w:type="dxa"/>
              <w:right w:w="57" w:type="dxa"/>
            </w:tcMar>
          </w:tcPr>
          <w:p w14:paraId="7072A894"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39,06 %*</w:t>
            </w:r>
          </w:p>
          <w:p w14:paraId="79BA17C5"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(12,46 ; 65,66)</w:t>
            </w:r>
          </w:p>
        </w:tc>
      </w:tr>
      <w:tr w:rsidR="009700E5" w14:paraId="1B42A7AD" w14:textId="77777777">
        <w:trPr>
          <w:cantSplit/>
        </w:trPr>
        <w:tc>
          <w:tcPr>
            <w:tcW w:w="9356" w:type="dxa"/>
            <w:gridSpan w:val="7"/>
            <w:tcBorders>
              <w:top w:val="single" w:sz="4" w:space="0" w:color="auto"/>
              <w:left w:val="single" w:sz="4" w:space="0" w:color="auto"/>
              <w:bottom w:val="single" w:sz="4" w:space="0" w:color="auto"/>
              <w:right w:val="single" w:sz="8" w:space="0" w:color="auto"/>
            </w:tcBorders>
          </w:tcPr>
          <w:p w14:paraId="661052BA" w14:textId="77777777" w:rsidR="009700E5" w:rsidRDefault="002C033C">
            <w:pPr>
              <w:spacing w:before="50" w:after="50" w:line="240" w:lineRule="exact"/>
              <w:rPr>
                <w:rFonts w:eastAsia="SimSun"/>
                <w:b/>
                <w:sz w:val="18"/>
                <w:szCs w:val="18"/>
                <w:lang w:eastAsia="zh-CN"/>
              </w:rPr>
            </w:pPr>
            <w:r>
              <w:rPr>
                <w:rFonts w:eastAsia="SimSun"/>
                <w:b/>
                <w:sz w:val="18"/>
                <w:szCs w:val="18"/>
                <w:lang w:eastAsia="zh-CN"/>
              </w:rPr>
              <w:t xml:space="preserve"> Kľúčový sekundárny cieľový ukazovateľ </w:t>
            </w:r>
          </w:p>
        </w:tc>
      </w:tr>
      <w:tr w:rsidR="009700E5" w14:paraId="26380504" w14:textId="77777777">
        <w:trPr>
          <w:cantSplit/>
        </w:trPr>
        <w:tc>
          <w:tcPr>
            <w:tcW w:w="5672" w:type="dxa"/>
            <w:gridSpan w:val="5"/>
            <w:tcBorders>
              <w:top w:val="single" w:sz="4" w:space="0" w:color="auto"/>
              <w:left w:val="single" w:sz="4" w:space="0" w:color="auto"/>
            </w:tcBorders>
            <w:tcMar>
              <w:top w:w="0" w:type="dxa"/>
              <w:left w:w="57" w:type="dxa"/>
              <w:bottom w:w="0" w:type="dxa"/>
              <w:right w:w="57" w:type="dxa"/>
            </w:tcMar>
          </w:tcPr>
          <w:p w14:paraId="67276638" w14:textId="77777777" w:rsidR="009700E5" w:rsidRDefault="002C033C">
            <w:pPr>
              <w:spacing w:before="50" w:after="50" w:line="240" w:lineRule="exact"/>
              <w:rPr>
                <w:rFonts w:eastAsia="SimSun"/>
                <w:sz w:val="18"/>
                <w:szCs w:val="18"/>
                <w:lang w:eastAsia="zh-CN"/>
              </w:rPr>
            </w:pPr>
            <w:r>
              <w:rPr>
                <w:rFonts w:eastAsia="SimSun"/>
                <w:sz w:val="18"/>
                <w:szCs w:val="18"/>
                <w:lang w:eastAsia="zh-CN"/>
              </w:rPr>
              <w:lastRenderedPageBreak/>
              <w:t xml:space="preserve">Pretrvávajúca remisia (skupiny s tocilizumabom vs placebo+52)                       </w:t>
            </w:r>
          </w:p>
        </w:tc>
        <w:tc>
          <w:tcPr>
            <w:tcW w:w="1842" w:type="dxa"/>
            <w:tcBorders>
              <w:top w:val="single" w:sz="4" w:space="0" w:color="auto"/>
              <w:left w:val="nil"/>
              <w:right w:val="nil"/>
            </w:tcBorders>
          </w:tcPr>
          <w:p w14:paraId="6D897265" w14:textId="77777777" w:rsidR="009700E5" w:rsidRDefault="009700E5">
            <w:pPr>
              <w:spacing w:before="50" w:after="50" w:line="240" w:lineRule="exact"/>
              <w:jc w:val="center"/>
              <w:rPr>
                <w:rFonts w:eastAsia="SimSun"/>
                <w:sz w:val="18"/>
                <w:szCs w:val="18"/>
                <w:lang w:eastAsia="zh-CN"/>
              </w:rPr>
            </w:pPr>
          </w:p>
        </w:tc>
        <w:tc>
          <w:tcPr>
            <w:tcW w:w="1842" w:type="dxa"/>
            <w:tcBorders>
              <w:top w:val="single" w:sz="4" w:space="0" w:color="auto"/>
              <w:left w:val="nil"/>
              <w:right w:val="single" w:sz="8" w:space="0" w:color="auto"/>
            </w:tcBorders>
            <w:tcMar>
              <w:top w:w="0" w:type="dxa"/>
              <w:left w:w="57" w:type="dxa"/>
              <w:bottom w:w="0" w:type="dxa"/>
              <w:right w:w="57" w:type="dxa"/>
            </w:tcMar>
          </w:tcPr>
          <w:p w14:paraId="4CF676CA" w14:textId="77777777" w:rsidR="009700E5" w:rsidRDefault="009700E5">
            <w:pPr>
              <w:spacing w:before="50" w:after="50" w:line="240" w:lineRule="exact"/>
              <w:jc w:val="center"/>
              <w:rPr>
                <w:rFonts w:eastAsia="SimSun"/>
                <w:sz w:val="18"/>
                <w:szCs w:val="18"/>
                <w:lang w:eastAsia="zh-CN"/>
              </w:rPr>
            </w:pPr>
          </w:p>
        </w:tc>
      </w:tr>
      <w:tr w:rsidR="009700E5" w14:paraId="601422E0" w14:textId="77777777">
        <w:trPr>
          <w:cantSplit/>
        </w:trPr>
        <w:tc>
          <w:tcPr>
            <w:tcW w:w="3544" w:type="dxa"/>
            <w:gridSpan w:val="3"/>
            <w:tcBorders>
              <w:left w:val="single" w:sz="4" w:space="0" w:color="auto"/>
            </w:tcBorders>
            <w:tcMar>
              <w:top w:w="0" w:type="dxa"/>
              <w:left w:w="57" w:type="dxa"/>
              <w:bottom w:w="0" w:type="dxa"/>
              <w:right w:w="57" w:type="dxa"/>
            </w:tcMar>
          </w:tcPr>
          <w:p w14:paraId="4E2537EE" w14:textId="77777777" w:rsidR="009700E5" w:rsidRDefault="002C033C">
            <w:pPr>
              <w:spacing w:before="50" w:after="50" w:line="240" w:lineRule="exact"/>
              <w:ind w:left="720"/>
              <w:rPr>
                <w:rFonts w:eastAsia="SimSun"/>
                <w:sz w:val="18"/>
                <w:szCs w:val="18"/>
                <w:lang w:eastAsia="zh-CN"/>
              </w:rPr>
            </w:pPr>
            <w:r>
              <w:rPr>
                <w:rFonts w:eastAsia="SimSun"/>
                <w:sz w:val="18"/>
                <w:szCs w:val="18"/>
                <w:lang w:eastAsia="zh-CN"/>
              </w:rPr>
              <w:t>Pacienti, ktorí odpovedali na liečbu v 52. týždni, n (%)</w:t>
            </w:r>
          </w:p>
        </w:tc>
        <w:tc>
          <w:tcPr>
            <w:tcW w:w="710" w:type="dxa"/>
            <w:tcMar>
              <w:top w:w="0" w:type="dxa"/>
              <w:left w:w="57" w:type="dxa"/>
              <w:bottom w:w="0" w:type="dxa"/>
              <w:right w:w="57" w:type="dxa"/>
            </w:tcMar>
          </w:tcPr>
          <w:p w14:paraId="04DF7843"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7 (14 %)</w:t>
            </w:r>
          </w:p>
        </w:tc>
        <w:tc>
          <w:tcPr>
            <w:tcW w:w="1418" w:type="dxa"/>
            <w:tcMar>
              <w:top w:w="0" w:type="dxa"/>
              <w:left w:w="57" w:type="dxa"/>
              <w:bottom w:w="0" w:type="dxa"/>
              <w:right w:w="57" w:type="dxa"/>
            </w:tcMar>
          </w:tcPr>
          <w:p w14:paraId="0C154ACE"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9 (17,6 %)</w:t>
            </w:r>
          </w:p>
        </w:tc>
        <w:tc>
          <w:tcPr>
            <w:tcW w:w="1842" w:type="dxa"/>
            <w:tcBorders>
              <w:right w:val="nil"/>
            </w:tcBorders>
          </w:tcPr>
          <w:p w14:paraId="27E3779C"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56 (56 %)</w:t>
            </w:r>
          </w:p>
        </w:tc>
        <w:tc>
          <w:tcPr>
            <w:tcW w:w="1842" w:type="dxa"/>
            <w:tcBorders>
              <w:left w:val="nil"/>
              <w:right w:val="single" w:sz="4" w:space="0" w:color="auto"/>
            </w:tcBorders>
            <w:tcMar>
              <w:top w:w="0" w:type="dxa"/>
              <w:left w:w="57" w:type="dxa"/>
              <w:bottom w:w="0" w:type="dxa"/>
              <w:right w:w="57" w:type="dxa"/>
            </w:tcMar>
          </w:tcPr>
          <w:p w14:paraId="5C706D0B"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26 (53,1 %)</w:t>
            </w:r>
          </w:p>
        </w:tc>
      </w:tr>
      <w:tr w:rsidR="009700E5" w14:paraId="1E814D2E" w14:textId="77777777">
        <w:trPr>
          <w:cantSplit/>
        </w:trPr>
        <w:tc>
          <w:tcPr>
            <w:tcW w:w="3544" w:type="dxa"/>
            <w:gridSpan w:val="3"/>
            <w:tcBorders>
              <w:left w:val="single" w:sz="4" w:space="0" w:color="auto"/>
              <w:bottom w:val="single" w:sz="4" w:space="0" w:color="auto"/>
            </w:tcBorders>
            <w:tcMar>
              <w:top w:w="0" w:type="dxa"/>
              <w:left w:w="57" w:type="dxa"/>
              <w:bottom w:w="0" w:type="dxa"/>
              <w:right w:w="57" w:type="dxa"/>
            </w:tcMar>
          </w:tcPr>
          <w:p w14:paraId="7F8ACA15" w14:textId="77777777" w:rsidR="009700E5" w:rsidRDefault="002C033C">
            <w:pPr>
              <w:spacing w:before="50" w:after="50" w:line="240" w:lineRule="exact"/>
              <w:ind w:left="720"/>
              <w:rPr>
                <w:rFonts w:eastAsia="SimSun"/>
                <w:sz w:val="18"/>
                <w:szCs w:val="18"/>
                <w:lang w:eastAsia="zh-CN"/>
              </w:rPr>
            </w:pPr>
            <w:r>
              <w:rPr>
                <w:rFonts w:eastAsia="SimSun"/>
                <w:sz w:val="18"/>
                <w:szCs w:val="18"/>
                <w:lang w:eastAsia="zh-CN"/>
              </w:rPr>
              <w:t xml:space="preserve">Neupravený rozdiel v proporciách </w:t>
            </w:r>
          </w:p>
          <w:p w14:paraId="0A777840" w14:textId="77777777" w:rsidR="009700E5" w:rsidRDefault="002C033C">
            <w:pPr>
              <w:spacing w:before="50" w:after="50" w:line="240" w:lineRule="exact"/>
              <w:ind w:left="720"/>
              <w:rPr>
                <w:rFonts w:eastAsia="SimSun"/>
                <w:sz w:val="18"/>
                <w:szCs w:val="18"/>
                <w:lang w:eastAsia="zh-CN"/>
              </w:rPr>
            </w:pPr>
            <w:r>
              <w:rPr>
                <w:rFonts w:eastAsia="SimSun"/>
                <w:sz w:val="18"/>
                <w:szCs w:val="18"/>
                <w:lang w:eastAsia="zh-CN"/>
              </w:rPr>
              <w:t>(99,5 % IS)</w:t>
            </w:r>
          </w:p>
        </w:tc>
        <w:tc>
          <w:tcPr>
            <w:tcW w:w="710" w:type="dxa"/>
            <w:tcBorders>
              <w:bottom w:val="single" w:sz="4" w:space="0" w:color="auto"/>
            </w:tcBorders>
            <w:tcMar>
              <w:top w:w="0" w:type="dxa"/>
              <w:left w:w="57" w:type="dxa"/>
              <w:bottom w:w="0" w:type="dxa"/>
              <w:right w:w="57" w:type="dxa"/>
            </w:tcMar>
          </w:tcPr>
          <w:p w14:paraId="244CE307"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N/A</w:t>
            </w:r>
          </w:p>
        </w:tc>
        <w:tc>
          <w:tcPr>
            <w:tcW w:w="1418" w:type="dxa"/>
            <w:tcBorders>
              <w:bottom w:val="single" w:sz="4" w:space="0" w:color="auto"/>
            </w:tcBorders>
            <w:tcMar>
              <w:top w:w="0" w:type="dxa"/>
              <w:left w:w="57" w:type="dxa"/>
              <w:bottom w:w="0" w:type="dxa"/>
              <w:right w:w="57" w:type="dxa"/>
            </w:tcMar>
          </w:tcPr>
          <w:p w14:paraId="34AE4ABA"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N/A</w:t>
            </w:r>
          </w:p>
        </w:tc>
        <w:tc>
          <w:tcPr>
            <w:tcW w:w="1842" w:type="dxa"/>
            <w:tcBorders>
              <w:bottom w:val="single" w:sz="4" w:space="0" w:color="auto"/>
              <w:right w:val="nil"/>
            </w:tcBorders>
          </w:tcPr>
          <w:p w14:paraId="1D758A7A"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38,35 %*</w:t>
            </w:r>
          </w:p>
          <w:p w14:paraId="414E3A0B"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(17,89 ; 58,81)</w:t>
            </w:r>
          </w:p>
        </w:tc>
        <w:tc>
          <w:tcPr>
            <w:tcW w:w="1842" w:type="dxa"/>
            <w:tcBorders>
              <w:left w:val="nil"/>
              <w:bottom w:val="single" w:sz="4" w:space="0" w:color="auto"/>
              <w:right w:val="single" w:sz="4" w:space="0" w:color="auto"/>
            </w:tcBorders>
            <w:tcMar>
              <w:top w:w="0" w:type="dxa"/>
              <w:left w:w="57" w:type="dxa"/>
              <w:bottom w:w="0" w:type="dxa"/>
              <w:right w:w="57" w:type="dxa"/>
            </w:tcMar>
          </w:tcPr>
          <w:p w14:paraId="71159C06"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35,41 %**</w:t>
            </w:r>
          </w:p>
          <w:p w14:paraId="650F7ED3"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(10,41 ; 60,41)</w:t>
            </w:r>
          </w:p>
        </w:tc>
      </w:tr>
      <w:tr w:rsidR="009700E5" w14:paraId="4491A0F9" w14:textId="77777777">
        <w:trPr>
          <w:cantSplit/>
        </w:trPr>
        <w:tc>
          <w:tcPr>
            <w:tcW w:w="3544" w:type="dxa"/>
            <w:gridSpan w:val="3"/>
            <w:tcBorders>
              <w:top w:val="single" w:sz="4" w:space="0" w:color="auto"/>
              <w:left w:val="single" w:sz="4" w:space="0" w:color="auto"/>
              <w:bottom w:val="single" w:sz="4" w:space="0" w:color="auto"/>
            </w:tcBorders>
            <w:tcMar>
              <w:top w:w="0" w:type="dxa"/>
              <w:left w:w="57" w:type="dxa"/>
              <w:bottom w:w="0" w:type="dxa"/>
              <w:right w:w="57" w:type="dxa"/>
            </w:tcMar>
          </w:tcPr>
          <w:p w14:paraId="617AA018" w14:textId="77777777" w:rsidR="009700E5" w:rsidRDefault="002C033C">
            <w:pPr>
              <w:spacing w:before="50" w:after="50" w:line="240" w:lineRule="exact"/>
              <w:rPr>
                <w:rFonts w:eastAsia="SimSun"/>
                <w:sz w:val="18"/>
                <w:szCs w:val="18"/>
                <w:lang w:eastAsia="zh-CN"/>
              </w:rPr>
            </w:pPr>
            <w:r>
              <w:rPr>
                <w:rFonts w:eastAsia="SimSun"/>
                <w:b/>
                <w:sz w:val="18"/>
                <w:szCs w:val="18"/>
                <w:lang w:eastAsia="zh-CN"/>
              </w:rPr>
              <w:t>Ďalšie sekundárne cieľové ukazovatele</w:t>
            </w:r>
          </w:p>
        </w:tc>
        <w:tc>
          <w:tcPr>
            <w:tcW w:w="710" w:type="dxa"/>
            <w:tcBorders>
              <w:top w:val="single" w:sz="4" w:space="0" w:color="auto"/>
              <w:bottom w:val="single" w:sz="4" w:space="0" w:color="auto"/>
            </w:tcBorders>
            <w:tcMar>
              <w:top w:w="0" w:type="dxa"/>
              <w:left w:w="57" w:type="dxa"/>
              <w:bottom w:w="0" w:type="dxa"/>
              <w:right w:w="57" w:type="dxa"/>
            </w:tcMar>
          </w:tcPr>
          <w:p w14:paraId="385CB660" w14:textId="77777777" w:rsidR="009700E5" w:rsidRDefault="009700E5">
            <w:pPr>
              <w:spacing w:before="50" w:after="50" w:line="240" w:lineRule="exact"/>
              <w:jc w:val="center"/>
              <w:rPr>
                <w:rFonts w:eastAsia="SimSun"/>
                <w:sz w:val="18"/>
                <w:szCs w:val="18"/>
                <w:lang w:eastAsia="zh-CN"/>
              </w:rPr>
            </w:pPr>
          </w:p>
        </w:tc>
        <w:tc>
          <w:tcPr>
            <w:tcW w:w="1418" w:type="dxa"/>
            <w:tcBorders>
              <w:top w:val="single" w:sz="4" w:space="0" w:color="auto"/>
              <w:bottom w:val="single" w:sz="4" w:space="0" w:color="auto"/>
            </w:tcBorders>
            <w:tcMar>
              <w:top w:w="0" w:type="dxa"/>
              <w:left w:w="57" w:type="dxa"/>
              <w:bottom w:w="0" w:type="dxa"/>
              <w:right w:w="57" w:type="dxa"/>
            </w:tcMar>
          </w:tcPr>
          <w:p w14:paraId="57CD4BCD" w14:textId="77777777" w:rsidR="009700E5" w:rsidRDefault="009700E5">
            <w:pPr>
              <w:spacing w:before="50" w:after="50" w:line="240" w:lineRule="exact"/>
              <w:jc w:val="center"/>
              <w:rPr>
                <w:rFonts w:eastAsia="SimSun"/>
                <w:sz w:val="18"/>
                <w:szCs w:val="18"/>
                <w:lang w:eastAsia="zh-CN"/>
              </w:rPr>
            </w:pPr>
          </w:p>
        </w:tc>
        <w:tc>
          <w:tcPr>
            <w:tcW w:w="1842" w:type="dxa"/>
            <w:tcBorders>
              <w:top w:val="single" w:sz="4" w:space="0" w:color="auto"/>
              <w:bottom w:val="single" w:sz="4" w:space="0" w:color="auto"/>
              <w:right w:val="nil"/>
            </w:tcBorders>
          </w:tcPr>
          <w:p w14:paraId="79E1E9E3" w14:textId="77777777" w:rsidR="009700E5" w:rsidRDefault="009700E5">
            <w:pPr>
              <w:spacing w:before="50" w:after="50" w:line="240" w:lineRule="exact"/>
              <w:jc w:val="center"/>
              <w:rPr>
                <w:rFonts w:eastAsia="SimSun"/>
                <w:sz w:val="18"/>
                <w:szCs w:val="18"/>
                <w:lang w:eastAsia="zh-CN"/>
              </w:rPr>
            </w:pPr>
          </w:p>
        </w:tc>
        <w:tc>
          <w:tcPr>
            <w:tcW w:w="1842" w:type="dxa"/>
            <w:tcBorders>
              <w:top w:val="single" w:sz="4" w:space="0" w:color="auto"/>
              <w:left w:val="nil"/>
              <w:bottom w:val="single" w:sz="4" w:space="0" w:color="auto"/>
              <w:right w:val="single" w:sz="4" w:space="0" w:color="auto"/>
            </w:tcBorders>
            <w:tcMar>
              <w:top w:w="0" w:type="dxa"/>
              <w:left w:w="57" w:type="dxa"/>
              <w:bottom w:w="0" w:type="dxa"/>
              <w:right w:w="57" w:type="dxa"/>
            </w:tcMar>
          </w:tcPr>
          <w:p w14:paraId="6AD69150" w14:textId="77777777" w:rsidR="009700E5" w:rsidRDefault="009700E5">
            <w:pPr>
              <w:spacing w:before="50" w:after="50" w:line="240" w:lineRule="exact"/>
              <w:jc w:val="center"/>
              <w:rPr>
                <w:rFonts w:eastAsia="SimSun"/>
                <w:sz w:val="18"/>
                <w:szCs w:val="18"/>
                <w:lang w:eastAsia="zh-CN"/>
              </w:rPr>
            </w:pPr>
          </w:p>
        </w:tc>
      </w:tr>
      <w:tr w:rsidR="009700E5" w14:paraId="202ECD0D" w14:textId="77777777">
        <w:trPr>
          <w:cantSplit/>
        </w:trPr>
        <w:tc>
          <w:tcPr>
            <w:tcW w:w="3544" w:type="dxa"/>
            <w:gridSpan w:val="3"/>
            <w:tcBorders>
              <w:top w:val="single" w:sz="4" w:space="0" w:color="auto"/>
              <w:left w:val="single" w:sz="4" w:space="0" w:color="auto"/>
            </w:tcBorders>
            <w:tcMar>
              <w:top w:w="0" w:type="dxa"/>
              <w:left w:w="57" w:type="dxa"/>
              <w:bottom w:w="0" w:type="dxa"/>
              <w:right w:w="57" w:type="dxa"/>
            </w:tcMar>
          </w:tcPr>
          <w:p w14:paraId="21D9547D" w14:textId="77777777" w:rsidR="009700E5" w:rsidRDefault="002C033C">
            <w:pPr>
              <w:spacing w:before="50" w:after="50" w:line="240" w:lineRule="exact"/>
              <w:rPr>
                <w:rFonts w:eastAsia="SimSun"/>
                <w:sz w:val="18"/>
                <w:szCs w:val="18"/>
                <w:lang w:eastAsia="zh-CN"/>
              </w:rPr>
            </w:pPr>
            <w:r>
              <w:rPr>
                <w:rFonts w:eastAsia="SimSun"/>
                <w:sz w:val="18"/>
                <w:szCs w:val="18"/>
                <w:lang w:eastAsia="zh-CN"/>
              </w:rPr>
              <w:t>Čas do nástupu prvého vzplanutia OBA¹ (skupiny s tocilizumabom vs placebo+26)</w:t>
            </w:r>
          </w:p>
          <w:p w14:paraId="298B05B2" w14:textId="77777777" w:rsidR="009700E5" w:rsidRDefault="002C033C">
            <w:pPr>
              <w:spacing w:before="50" w:after="50" w:line="240" w:lineRule="exact"/>
              <w:ind w:left="1440"/>
              <w:rPr>
                <w:rFonts w:eastAsia="SimSun"/>
                <w:sz w:val="18"/>
                <w:szCs w:val="18"/>
                <w:lang w:eastAsia="zh-CN"/>
              </w:rPr>
            </w:pPr>
            <w:r>
              <w:rPr>
                <w:rFonts w:eastAsia="SimSun"/>
                <w:sz w:val="18"/>
                <w:szCs w:val="18"/>
                <w:lang w:eastAsia="zh-CN"/>
              </w:rPr>
              <w:t>HR (99 % IS)</w:t>
            </w:r>
          </w:p>
          <w:p w14:paraId="55663FAD" w14:textId="77777777" w:rsidR="009700E5" w:rsidRDefault="002C033C">
            <w:pPr>
              <w:spacing w:before="50" w:after="50" w:line="240" w:lineRule="exact"/>
              <w:ind w:left="-58"/>
              <w:rPr>
                <w:rFonts w:eastAsia="SimSun"/>
                <w:sz w:val="18"/>
                <w:szCs w:val="18"/>
                <w:lang w:eastAsia="zh-CN"/>
              </w:rPr>
            </w:pPr>
            <w:r>
              <w:rPr>
                <w:rFonts w:eastAsia="SimSun"/>
                <w:sz w:val="18"/>
                <w:szCs w:val="18"/>
                <w:lang w:eastAsia="zh-CN"/>
              </w:rPr>
              <w:t xml:space="preserve"> Čas do nástupu prvého vzplanutia OBA ¹ (skupiny s tocilizumabom vs placebo+52)</w:t>
            </w:r>
          </w:p>
          <w:p w14:paraId="4EA5AAA9" w14:textId="77777777" w:rsidR="009700E5" w:rsidRDefault="002C033C">
            <w:pPr>
              <w:spacing w:before="50" w:after="50" w:line="240" w:lineRule="exact"/>
              <w:ind w:left="1440"/>
              <w:rPr>
                <w:rFonts w:eastAsia="SimSun"/>
                <w:sz w:val="18"/>
                <w:szCs w:val="18"/>
                <w:lang w:eastAsia="zh-CN"/>
              </w:rPr>
            </w:pPr>
            <w:r>
              <w:rPr>
                <w:rFonts w:eastAsia="SimSun"/>
                <w:sz w:val="18"/>
                <w:szCs w:val="18"/>
                <w:lang w:eastAsia="zh-CN"/>
              </w:rPr>
              <w:t>HR (99 % IS)</w:t>
            </w:r>
          </w:p>
          <w:p w14:paraId="4490F4EE" w14:textId="77777777" w:rsidR="009700E5" w:rsidRDefault="002C033C">
            <w:pPr>
              <w:spacing w:before="50" w:after="50" w:line="240" w:lineRule="exact"/>
              <w:rPr>
                <w:rFonts w:eastAsia="SimSun"/>
                <w:sz w:val="18"/>
                <w:szCs w:val="18"/>
                <w:lang w:eastAsia="zh-CN"/>
              </w:rPr>
            </w:pPr>
            <w:r>
              <w:rPr>
                <w:rFonts w:eastAsia="SimSun"/>
                <w:sz w:val="18"/>
                <w:szCs w:val="18"/>
                <w:lang w:eastAsia="zh-CN"/>
              </w:rPr>
              <w:t>Čas do nástupu prvého vzplanutia OBA ¹ (pacienti s relapsom ochorenia; skupiny s tocilizumabom vs placebo +26) HR (99 % IS)</w:t>
            </w:r>
          </w:p>
          <w:p w14:paraId="081118A5" w14:textId="77777777" w:rsidR="009700E5" w:rsidRDefault="009700E5">
            <w:pPr>
              <w:spacing w:before="50" w:after="50" w:line="240" w:lineRule="exact"/>
              <w:rPr>
                <w:rFonts w:eastAsia="SimSun"/>
                <w:sz w:val="18"/>
                <w:szCs w:val="18"/>
                <w:lang w:eastAsia="zh-CN"/>
              </w:rPr>
            </w:pPr>
          </w:p>
          <w:p w14:paraId="12EB1EAD" w14:textId="77777777" w:rsidR="009700E5" w:rsidRDefault="002C033C">
            <w:pPr>
              <w:spacing w:before="50" w:after="50" w:line="240" w:lineRule="exact"/>
              <w:rPr>
                <w:rFonts w:eastAsia="SimSun"/>
                <w:sz w:val="18"/>
                <w:szCs w:val="18"/>
                <w:lang w:eastAsia="zh-CN"/>
              </w:rPr>
            </w:pPr>
            <w:r>
              <w:rPr>
                <w:rFonts w:eastAsia="SimSun"/>
                <w:sz w:val="18"/>
                <w:szCs w:val="18"/>
                <w:lang w:eastAsia="zh-CN"/>
              </w:rPr>
              <w:t>Čas do nástupu prvého vzplanutia OBA ¹ (pacienti s relapsom ochorenia; skupiny s tocilizumabom vs placebo + 52) HR (99 % IS)</w:t>
            </w:r>
          </w:p>
          <w:p w14:paraId="6104972E" w14:textId="77777777" w:rsidR="009700E5" w:rsidRDefault="002C033C">
            <w:pPr>
              <w:spacing w:before="50" w:after="50" w:line="240" w:lineRule="exact"/>
              <w:rPr>
                <w:rFonts w:eastAsia="SimSun"/>
                <w:sz w:val="18"/>
                <w:szCs w:val="18"/>
                <w:lang w:eastAsia="zh-CN"/>
              </w:rPr>
            </w:pPr>
            <w:r>
              <w:rPr>
                <w:rFonts w:eastAsia="SimSun"/>
                <w:sz w:val="18"/>
                <w:szCs w:val="18"/>
                <w:lang w:eastAsia="zh-CN"/>
              </w:rPr>
              <w:t>Čas do nástupu prvého vzplanutia OBA ¹ (pacienti s novým nástupom ochorenia; skupiny s tocilizumabom vs placebo +26) HR (99 % IS)</w:t>
            </w:r>
          </w:p>
          <w:p w14:paraId="0828B2BB" w14:textId="77777777" w:rsidR="009700E5" w:rsidRDefault="002C033C">
            <w:pPr>
              <w:spacing w:before="50" w:after="50" w:line="240" w:lineRule="exact"/>
              <w:rPr>
                <w:rFonts w:eastAsia="SimSun"/>
                <w:sz w:val="18"/>
                <w:szCs w:val="18"/>
                <w:lang w:eastAsia="zh-CN"/>
              </w:rPr>
            </w:pPr>
            <w:r>
              <w:rPr>
                <w:rFonts w:eastAsia="SimSun"/>
                <w:sz w:val="18"/>
                <w:szCs w:val="18"/>
                <w:lang w:eastAsia="zh-CN"/>
              </w:rPr>
              <w:t>Čas do nástupu prvého vzplanutia OBA ¹ (pacienti s novým nástupom ochorenia; skupiny s tocilizumabom vs placebo + 52) HR (99 % IS)</w:t>
            </w:r>
          </w:p>
        </w:tc>
        <w:tc>
          <w:tcPr>
            <w:tcW w:w="710" w:type="dxa"/>
            <w:tcBorders>
              <w:top w:val="single" w:sz="4" w:space="0" w:color="auto"/>
            </w:tcBorders>
            <w:tcMar>
              <w:top w:w="0" w:type="dxa"/>
              <w:left w:w="57" w:type="dxa"/>
              <w:bottom w:w="0" w:type="dxa"/>
              <w:right w:w="57" w:type="dxa"/>
            </w:tcMar>
          </w:tcPr>
          <w:p w14:paraId="1C5D5C72"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N/A</w:t>
            </w:r>
          </w:p>
          <w:p w14:paraId="44B030D8" w14:textId="77777777" w:rsidR="009700E5" w:rsidRDefault="009700E5">
            <w:pPr>
              <w:spacing w:before="50" w:after="50" w:line="240" w:lineRule="exact"/>
              <w:jc w:val="center"/>
              <w:rPr>
                <w:rFonts w:eastAsia="SimSun"/>
                <w:sz w:val="18"/>
                <w:szCs w:val="18"/>
                <w:lang w:eastAsia="zh-CN"/>
              </w:rPr>
            </w:pPr>
          </w:p>
          <w:p w14:paraId="364EA77C"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N/A</w:t>
            </w:r>
          </w:p>
          <w:p w14:paraId="027C11CC" w14:textId="77777777" w:rsidR="009700E5" w:rsidRDefault="009700E5">
            <w:pPr>
              <w:spacing w:before="50" w:after="50" w:line="240" w:lineRule="exact"/>
              <w:jc w:val="center"/>
              <w:rPr>
                <w:rFonts w:eastAsia="SimSun"/>
                <w:sz w:val="18"/>
                <w:szCs w:val="18"/>
                <w:lang w:eastAsia="zh-CN"/>
              </w:rPr>
            </w:pPr>
          </w:p>
          <w:p w14:paraId="6CC3791A" w14:textId="77777777" w:rsidR="009700E5" w:rsidRDefault="009700E5">
            <w:pPr>
              <w:spacing w:before="50" w:after="50" w:line="240" w:lineRule="exact"/>
              <w:jc w:val="center"/>
              <w:rPr>
                <w:rFonts w:eastAsia="SimSun"/>
                <w:sz w:val="18"/>
                <w:szCs w:val="18"/>
                <w:lang w:eastAsia="zh-CN"/>
              </w:rPr>
            </w:pPr>
          </w:p>
          <w:p w14:paraId="2209CAEB"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N/A</w:t>
            </w:r>
          </w:p>
          <w:p w14:paraId="6CBA5623" w14:textId="77777777" w:rsidR="009700E5" w:rsidRDefault="009700E5">
            <w:pPr>
              <w:spacing w:before="50" w:after="50" w:line="240" w:lineRule="exact"/>
              <w:jc w:val="center"/>
              <w:rPr>
                <w:rFonts w:eastAsia="SimSun"/>
                <w:sz w:val="18"/>
                <w:szCs w:val="18"/>
                <w:lang w:eastAsia="zh-CN"/>
              </w:rPr>
            </w:pPr>
          </w:p>
          <w:p w14:paraId="43876278" w14:textId="77777777" w:rsidR="009700E5" w:rsidRDefault="002C033C">
            <w:pPr>
              <w:spacing w:before="50" w:after="50" w:line="240" w:lineRule="exact"/>
              <w:rPr>
                <w:rFonts w:eastAsia="SimSun"/>
                <w:sz w:val="18"/>
                <w:szCs w:val="18"/>
                <w:lang w:eastAsia="zh-CN"/>
              </w:rPr>
            </w:pPr>
            <w:r>
              <w:rPr>
                <w:rFonts w:eastAsia="SimSun"/>
                <w:sz w:val="18"/>
                <w:szCs w:val="18"/>
                <w:lang w:eastAsia="zh-CN"/>
              </w:rPr>
              <w:t xml:space="preserve">   N/A</w:t>
            </w:r>
          </w:p>
          <w:p w14:paraId="3BD962D8" w14:textId="77777777" w:rsidR="009700E5" w:rsidRDefault="009700E5">
            <w:pPr>
              <w:spacing w:before="50" w:after="50" w:line="240" w:lineRule="exact"/>
              <w:jc w:val="center"/>
              <w:rPr>
                <w:rFonts w:eastAsia="SimSun"/>
                <w:sz w:val="18"/>
                <w:szCs w:val="18"/>
                <w:lang w:eastAsia="zh-CN"/>
              </w:rPr>
            </w:pPr>
          </w:p>
          <w:p w14:paraId="1DB1DCBA" w14:textId="77777777" w:rsidR="009700E5" w:rsidRDefault="009700E5">
            <w:pPr>
              <w:spacing w:before="50" w:after="50" w:line="240" w:lineRule="exact"/>
              <w:jc w:val="center"/>
              <w:rPr>
                <w:rFonts w:eastAsia="SimSun"/>
                <w:sz w:val="18"/>
                <w:szCs w:val="18"/>
                <w:lang w:eastAsia="zh-CN"/>
              </w:rPr>
            </w:pPr>
          </w:p>
          <w:p w14:paraId="4B6D8065"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N/A</w:t>
            </w:r>
          </w:p>
          <w:p w14:paraId="42E37EB4" w14:textId="77777777" w:rsidR="009700E5" w:rsidRDefault="009700E5">
            <w:pPr>
              <w:spacing w:before="50" w:after="50" w:line="240" w:lineRule="exact"/>
              <w:jc w:val="center"/>
              <w:rPr>
                <w:rFonts w:eastAsia="SimSun"/>
                <w:sz w:val="18"/>
                <w:szCs w:val="18"/>
                <w:lang w:eastAsia="zh-CN"/>
              </w:rPr>
            </w:pPr>
          </w:p>
          <w:p w14:paraId="2C809B54"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N/A</w:t>
            </w:r>
          </w:p>
          <w:p w14:paraId="5CD3BA7C" w14:textId="77777777" w:rsidR="009700E5" w:rsidRDefault="009700E5">
            <w:pPr>
              <w:spacing w:before="50" w:after="50" w:line="240" w:lineRule="exact"/>
              <w:jc w:val="center"/>
              <w:rPr>
                <w:rFonts w:eastAsia="SimSun"/>
                <w:sz w:val="18"/>
                <w:szCs w:val="18"/>
                <w:lang w:eastAsia="zh-CN"/>
              </w:rPr>
            </w:pPr>
          </w:p>
        </w:tc>
        <w:tc>
          <w:tcPr>
            <w:tcW w:w="1418" w:type="dxa"/>
            <w:tcBorders>
              <w:top w:val="single" w:sz="4" w:space="0" w:color="auto"/>
            </w:tcBorders>
            <w:tcMar>
              <w:top w:w="0" w:type="dxa"/>
              <w:left w:w="57" w:type="dxa"/>
              <w:bottom w:w="0" w:type="dxa"/>
              <w:right w:w="57" w:type="dxa"/>
            </w:tcMar>
          </w:tcPr>
          <w:p w14:paraId="41A60023"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N/A</w:t>
            </w:r>
          </w:p>
          <w:p w14:paraId="1860176F" w14:textId="77777777" w:rsidR="009700E5" w:rsidRDefault="009700E5">
            <w:pPr>
              <w:spacing w:before="50" w:after="50" w:line="240" w:lineRule="exact"/>
              <w:jc w:val="center"/>
              <w:rPr>
                <w:rFonts w:eastAsia="SimSun"/>
                <w:sz w:val="18"/>
                <w:szCs w:val="18"/>
                <w:lang w:eastAsia="zh-CN"/>
              </w:rPr>
            </w:pPr>
          </w:p>
          <w:p w14:paraId="396FB333"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N/A</w:t>
            </w:r>
          </w:p>
          <w:p w14:paraId="0D3A7602" w14:textId="77777777" w:rsidR="009700E5" w:rsidRDefault="009700E5">
            <w:pPr>
              <w:spacing w:before="50" w:after="50" w:line="240" w:lineRule="exact"/>
              <w:jc w:val="center"/>
              <w:rPr>
                <w:rFonts w:eastAsia="SimSun"/>
                <w:sz w:val="18"/>
                <w:szCs w:val="18"/>
                <w:lang w:eastAsia="zh-CN"/>
              </w:rPr>
            </w:pPr>
          </w:p>
          <w:p w14:paraId="16CDF356" w14:textId="77777777" w:rsidR="009700E5" w:rsidRDefault="009700E5">
            <w:pPr>
              <w:spacing w:before="50" w:after="50" w:line="240" w:lineRule="exact"/>
              <w:jc w:val="center"/>
              <w:rPr>
                <w:rFonts w:eastAsia="SimSun"/>
                <w:sz w:val="18"/>
                <w:szCs w:val="18"/>
                <w:lang w:eastAsia="zh-CN"/>
              </w:rPr>
            </w:pPr>
          </w:p>
          <w:p w14:paraId="75FCDE17"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N/A</w:t>
            </w:r>
          </w:p>
          <w:p w14:paraId="00E10CE0" w14:textId="77777777" w:rsidR="009700E5" w:rsidRDefault="009700E5">
            <w:pPr>
              <w:spacing w:before="50" w:after="50" w:line="240" w:lineRule="exact"/>
              <w:rPr>
                <w:rFonts w:eastAsia="SimSun"/>
                <w:sz w:val="18"/>
                <w:szCs w:val="18"/>
                <w:lang w:eastAsia="zh-CN"/>
              </w:rPr>
            </w:pPr>
          </w:p>
          <w:p w14:paraId="54B78BDF" w14:textId="77777777" w:rsidR="009700E5" w:rsidRDefault="002C033C">
            <w:pPr>
              <w:spacing w:before="50" w:after="50" w:line="240" w:lineRule="exact"/>
              <w:rPr>
                <w:rFonts w:eastAsia="SimSun"/>
                <w:sz w:val="18"/>
                <w:szCs w:val="18"/>
                <w:lang w:eastAsia="zh-CN"/>
              </w:rPr>
            </w:pPr>
            <w:r>
              <w:rPr>
                <w:rFonts w:eastAsia="SimSun"/>
                <w:sz w:val="18"/>
                <w:szCs w:val="18"/>
                <w:lang w:eastAsia="zh-CN"/>
              </w:rPr>
              <w:t xml:space="preserve">         N/A</w:t>
            </w:r>
          </w:p>
          <w:p w14:paraId="207DC115" w14:textId="77777777" w:rsidR="009700E5" w:rsidRDefault="009700E5">
            <w:pPr>
              <w:spacing w:before="50" w:after="50" w:line="240" w:lineRule="exact"/>
              <w:jc w:val="center"/>
              <w:rPr>
                <w:rFonts w:eastAsia="SimSun"/>
                <w:sz w:val="18"/>
                <w:szCs w:val="18"/>
                <w:lang w:eastAsia="zh-CN"/>
              </w:rPr>
            </w:pPr>
          </w:p>
          <w:p w14:paraId="1365041F" w14:textId="77777777" w:rsidR="009700E5" w:rsidRDefault="009700E5">
            <w:pPr>
              <w:spacing w:before="50" w:after="50" w:line="240" w:lineRule="exact"/>
              <w:jc w:val="center"/>
              <w:rPr>
                <w:rFonts w:eastAsia="SimSun"/>
                <w:sz w:val="18"/>
                <w:szCs w:val="18"/>
                <w:lang w:eastAsia="zh-CN"/>
              </w:rPr>
            </w:pPr>
          </w:p>
          <w:p w14:paraId="255BC34C"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N/A</w:t>
            </w:r>
          </w:p>
          <w:p w14:paraId="4C6010A0" w14:textId="77777777" w:rsidR="009700E5" w:rsidRDefault="009700E5">
            <w:pPr>
              <w:spacing w:before="50" w:after="50" w:line="240" w:lineRule="exact"/>
              <w:rPr>
                <w:rFonts w:eastAsia="SimSun"/>
                <w:sz w:val="18"/>
                <w:szCs w:val="18"/>
                <w:lang w:eastAsia="zh-CN"/>
              </w:rPr>
            </w:pPr>
          </w:p>
          <w:p w14:paraId="1C6AB80C"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 xml:space="preserve">           N/A</w:t>
            </w:r>
          </w:p>
          <w:p w14:paraId="452369BE" w14:textId="77777777" w:rsidR="009700E5" w:rsidRDefault="009700E5">
            <w:pPr>
              <w:spacing w:before="50" w:after="50" w:line="240" w:lineRule="exact"/>
              <w:rPr>
                <w:rFonts w:eastAsia="SimSun"/>
                <w:sz w:val="18"/>
                <w:szCs w:val="18"/>
                <w:lang w:eastAsia="zh-CN"/>
              </w:rPr>
            </w:pPr>
          </w:p>
        </w:tc>
        <w:tc>
          <w:tcPr>
            <w:tcW w:w="1842" w:type="dxa"/>
            <w:tcBorders>
              <w:top w:val="single" w:sz="4" w:space="0" w:color="auto"/>
              <w:right w:val="nil"/>
            </w:tcBorders>
          </w:tcPr>
          <w:p w14:paraId="7A9C7F80"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0,23*</w:t>
            </w:r>
          </w:p>
          <w:p w14:paraId="60D45DC4"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(0,11 ; 0,46)</w:t>
            </w:r>
          </w:p>
          <w:p w14:paraId="4E1E033E"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0,39**</w:t>
            </w:r>
          </w:p>
          <w:p w14:paraId="706F2F99"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 xml:space="preserve">(0,18 ; 0,82) </w:t>
            </w:r>
          </w:p>
          <w:p w14:paraId="7481E4C2" w14:textId="77777777" w:rsidR="009700E5" w:rsidRDefault="009700E5">
            <w:pPr>
              <w:spacing w:before="50" w:after="50" w:line="240" w:lineRule="exact"/>
              <w:jc w:val="center"/>
              <w:rPr>
                <w:rFonts w:eastAsia="SimSun"/>
                <w:sz w:val="18"/>
                <w:szCs w:val="18"/>
                <w:lang w:eastAsia="zh-CN"/>
              </w:rPr>
            </w:pPr>
          </w:p>
          <w:p w14:paraId="3631E123" w14:textId="77777777" w:rsidR="009700E5" w:rsidRDefault="002C033C">
            <w:pPr>
              <w:spacing w:line="240" w:lineRule="exact"/>
              <w:jc w:val="center"/>
              <w:rPr>
                <w:rFonts w:eastAsia="SimSun"/>
                <w:sz w:val="18"/>
                <w:szCs w:val="18"/>
                <w:lang w:eastAsia="zh-CN"/>
              </w:rPr>
            </w:pPr>
            <w:r>
              <w:rPr>
                <w:rFonts w:eastAsia="SimSun"/>
                <w:sz w:val="18"/>
                <w:szCs w:val="18"/>
                <w:lang w:eastAsia="zh-CN"/>
              </w:rPr>
              <w:t>0,23***</w:t>
            </w:r>
          </w:p>
          <w:p w14:paraId="3296BC87" w14:textId="77777777" w:rsidR="009700E5" w:rsidRDefault="002C033C">
            <w:pPr>
              <w:spacing w:line="240" w:lineRule="exact"/>
              <w:jc w:val="center"/>
              <w:rPr>
                <w:rFonts w:eastAsia="SimSun"/>
                <w:sz w:val="18"/>
                <w:szCs w:val="18"/>
                <w:lang w:eastAsia="zh-CN"/>
              </w:rPr>
            </w:pPr>
            <w:r>
              <w:rPr>
                <w:rFonts w:eastAsia="SimSun"/>
                <w:sz w:val="18"/>
                <w:szCs w:val="18"/>
                <w:lang w:eastAsia="zh-CN"/>
              </w:rPr>
              <w:t>(0,09 ; 0,61)</w:t>
            </w:r>
          </w:p>
          <w:p w14:paraId="5BCB6574" w14:textId="77777777" w:rsidR="009700E5" w:rsidRDefault="002C033C">
            <w:pPr>
              <w:spacing w:line="240" w:lineRule="exact"/>
              <w:jc w:val="center"/>
              <w:rPr>
                <w:rFonts w:eastAsia="SimSun"/>
                <w:sz w:val="18"/>
                <w:szCs w:val="18"/>
                <w:lang w:eastAsia="zh-CN"/>
              </w:rPr>
            </w:pPr>
            <w:r>
              <w:rPr>
                <w:rFonts w:eastAsia="SimSun"/>
                <w:sz w:val="18"/>
                <w:szCs w:val="18"/>
                <w:lang w:eastAsia="zh-CN"/>
              </w:rPr>
              <w:t xml:space="preserve">               </w:t>
            </w:r>
          </w:p>
          <w:p w14:paraId="24FFE7E3" w14:textId="77777777" w:rsidR="009700E5" w:rsidRDefault="002C033C">
            <w:pPr>
              <w:spacing w:line="240" w:lineRule="exact"/>
              <w:rPr>
                <w:rFonts w:eastAsia="SimSun"/>
                <w:sz w:val="18"/>
                <w:szCs w:val="18"/>
                <w:lang w:eastAsia="zh-CN"/>
              </w:rPr>
            </w:pPr>
            <w:r>
              <w:rPr>
                <w:rFonts w:eastAsia="SimSun"/>
                <w:sz w:val="18"/>
                <w:szCs w:val="18"/>
                <w:lang w:eastAsia="zh-CN"/>
              </w:rPr>
              <w:t xml:space="preserve">              0,36</w:t>
            </w:r>
          </w:p>
          <w:p w14:paraId="086FB3A7" w14:textId="77777777" w:rsidR="009700E5" w:rsidRDefault="002C033C">
            <w:pPr>
              <w:spacing w:line="240" w:lineRule="exact"/>
              <w:rPr>
                <w:rFonts w:eastAsia="SimSun"/>
                <w:sz w:val="18"/>
                <w:szCs w:val="18"/>
                <w:lang w:eastAsia="zh-CN"/>
              </w:rPr>
            </w:pPr>
            <w:r>
              <w:rPr>
                <w:rFonts w:eastAsia="SimSun"/>
                <w:sz w:val="18"/>
                <w:szCs w:val="18"/>
                <w:lang w:eastAsia="zh-CN"/>
              </w:rPr>
              <w:t xml:space="preserve">          (0,13 ; 1,00)</w:t>
            </w:r>
          </w:p>
          <w:p w14:paraId="404BCC62" w14:textId="77777777" w:rsidR="009700E5" w:rsidRDefault="002C033C">
            <w:pPr>
              <w:spacing w:line="240" w:lineRule="exact"/>
              <w:jc w:val="center"/>
              <w:rPr>
                <w:rFonts w:eastAsia="SimSun"/>
                <w:sz w:val="18"/>
                <w:szCs w:val="18"/>
                <w:lang w:eastAsia="zh-CN"/>
              </w:rPr>
            </w:pPr>
            <w:r>
              <w:rPr>
                <w:rFonts w:eastAsia="SimSun"/>
                <w:sz w:val="18"/>
                <w:szCs w:val="18"/>
                <w:lang w:eastAsia="zh-CN"/>
              </w:rPr>
              <w:t>0,25***</w:t>
            </w:r>
          </w:p>
          <w:p w14:paraId="36ECA6B7" w14:textId="77777777" w:rsidR="009700E5" w:rsidRDefault="002C033C">
            <w:pPr>
              <w:spacing w:line="240" w:lineRule="exact"/>
              <w:jc w:val="center"/>
              <w:rPr>
                <w:rFonts w:eastAsia="SimSun"/>
                <w:sz w:val="18"/>
                <w:szCs w:val="18"/>
                <w:lang w:eastAsia="zh-CN"/>
              </w:rPr>
            </w:pPr>
            <w:r>
              <w:rPr>
                <w:rFonts w:eastAsia="SimSun"/>
                <w:sz w:val="18"/>
                <w:szCs w:val="18"/>
                <w:lang w:eastAsia="zh-CN"/>
              </w:rPr>
              <w:t>(0,09 ; 0,70)</w:t>
            </w:r>
          </w:p>
          <w:p w14:paraId="2FC48F87" w14:textId="77777777" w:rsidR="009700E5" w:rsidRDefault="002C033C">
            <w:pPr>
              <w:spacing w:line="240" w:lineRule="exact"/>
              <w:jc w:val="center"/>
              <w:rPr>
                <w:rFonts w:eastAsia="SimSun"/>
                <w:sz w:val="18"/>
                <w:szCs w:val="18"/>
                <w:lang w:eastAsia="zh-CN"/>
              </w:rPr>
            </w:pPr>
            <w:r>
              <w:rPr>
                <w:rFonts w:eastAsia="SimSun"/>
                <w:sz w:val="18"/>
                <w:szCs w:val="18"/>
                <w:lang w:eastAsia="zh-CN"/>
              </w:rPr>
              <w:t>0,44</w:t>
            </w:r>
          </w:p>
          <w:p w14:paraId="22C2E7BD" w14:textId="77777777" w:rsidR="009700E5" w:rsidRDefault="009700E5">
            <w:pPr>
              <w:spacing w:line="240" w:lineRule="exact"/>
              <w:jc w:val="center"/>
              <w:rPr>
                <w:rFonts w:eastAsia="SimSun"/>
                <w:sz w:val="18"/>
                <w:szCs w:val="18"/>
                <w:lang w:eastAsia="zh-CN"/>
              </w:rPr>
            </w:pPr>
          </w:p>
          <w:p w14:paraId="2A411241" w14:textId="77777777" w:rsidR="009700E5" w:rsidRDefault="002C033C">
            <w:pPr>
              <w:spacing w:line="240" w:lineRule="exact"/>
              <w:jc w:val="center"/>
              <w:rPr>
                <w:rFonts w:eastAsia="SimSun"/>
                <w:sz w:val="18"/>
                <w:szCs w:val="18"/>
                <w:lang w:eastAsia="zh-CN"/>
              </w:rPr>
            </w:pPr>
            <w:r>
              <w:rPr>
                <w:rFonts w:eastAsia="SimSun"/>
                <w:sz w:val="18"/>
                <w:szCs w:val="18"/>
                <w:lang w:eastAsia="zh-CN"/>
              </w:rPr>
              <w:t>(0,14 ; 1,32)</w:t>
            </w:r>
          </w:p>
          <w:p w14:paraId="1D66243A" w14:textId="77777777" w:rsidR="009700E5" w:rsidRDefault="009700E5">
            <w:pPr>
              <w:spacing w:line="240" w:lineRule="exact"/>
              <w:jc w:val="center"/>
              <w:rPr>
                <w:rFonts w:eastAsia="SimSun"/>
                <w:sz w:val="18"/>
                <w:szCs w:val="18"/>
                <w:lang w:eastAsia="zh-CN"/>
              </w:rPr>
            </w:pPr>
          </w:p>
          <w:p w14:paraId="72888C06" w14:textId="77777777" w:rsidR="009700E5" w:rsidRDefault="002C033C">
            <w:pPr>
              <w:spacing w:line="240" w:lineRule="exact"/>
              <w:jc w:val="center"/>
              <w:rPr>
                <w:rFonts w:eastAsia="SimSun"/>
                <w:sz w:val="18"/>
                <w:szCs w:val="18"/>
                <w:lang w:eastAsia="zh-CN"/>
              </w:rPr>
            </w:pPr>
            <w:r>
              <w:rPr>
                <w:rFonts w:eastAsia="SimSun"/>
                <w:sz w:val="18"/>
                <w:szCs w:val="18"/>
                <w:lang w:eastAsia="zh-CN"/>
              </w:rPr>
              <w:t xml:space="preserve"> </w:t>
            </w:r>
          </w:p>
        </w:tc>
        <w:tc>
          <w:tcPr>
            <w:tcW w:w="1842" w:type="dxa"/>
            <w:tcBorders>
              <w:top w:val="single" w:sz="4" w:space="0" w:color="auto"/>
              <w:left w:val="nil"/>
              <w:right w:val="single" w:sz="4" w:space="0" w:color="auto"/>
            </w:tcBorders>
            <w:tcMar>
              <w:top w:w="0" w:type="dxa"/>
              <w:left w:w="57" w:type="dxa"/>
              <w:bottom w:w="0" w:type="dxa"/>
              <w:right w:w="57" w:type="dxa"/>
            </w:tcMar>
          </w:tcPr>
          <w:p w14:paraId="7B70C2E7"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0,28**</w:t>
            </w:r>
          </w:p>
          <w:p w14:paraId="2FF21A85"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(0,12 ; 0,66)</w:t>
            </w:r>
          </w:p>
          <w:p w14:paraId="75F02ADE"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0,48</w:t>
            </w:r>
          </w:p>
          <w:p w14:paraId="19A97C97"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 xml:space="preserve">(0,20 ; 1,16) </w:t>
            </w:r>
          </w:p>
          <w:p w14:paraId="161D5CBD" w14:textId="77777777" w:rsidR="009700E5" w:rsidRDefault="009700E5">
            <w:pPr>
              <w:spacing w:before="50" w:after="50" w:line="240" w:lineRule="exact"/>
              <w:jc w:val="center"/>
              <w:rPr>
                <w:rFonts w:eastAsia="SimSun"/>
                <w:sz w:val="18"/>
                <w:szCs w:val="18"/>
                <w:lang w:eastAsia="zh-CN"/>
              </w:rPr>
            </w:pPr>
          </w:p>
          <w:p w14:paraId="7F7B74C1" w14:textId="77777777" w:rsidR="009700E5" w:rsidRDefault="002C033C">
            <w:pPr>
              <w:spacing w:line="240" w:lineRule="exact"/>
              <w:jc w:val="center"/>
              <w:rPr>
                <w:rFonts w:eastAsia="SimSun"/>
                <w:sz w:val="18"/>
                <w:szCs w:val="18"/>
                <w:lang w:eastAsia="zh-CN"/>
              </w:rPr>
            </w:pPr>
            <w:r>
              <w:rPr>
                <w:rFonts w:eastAsia="SimSun"/>
                <w:sz w:val="18"/>
                <w:szCs w:val="18"/>
                <w:lang w:eastAsia="zh-CN"/>
              </w:rPr>
              <w:t>0,42</w:t>
            </w:r>
          </w:p>
          <w:p w14:paraId="3E3B15DC" w14:textId="77777777" w:rsidR="009700E5" w:rsidRDefault="002C033C">
            <w:pPr>
              <w:spacing w:line="240" w:lineRule="exact"/>
              <w:jc w:val="center"/>
              <w:rPr>
                <w:rFonts w:eastAsia="SimSun"/>
                <w:sz w:val="18"/>
                <w:szCs w:val="18"/>
                <w:lang w:eastAsia="zh-CN"/>
              </w:rPr>
            </w:pPr>
            <w:r>
              <w:rPr>
                <w:rFonts w:eastAsia="SimSun"/>
                <w:sz w:val="18"/>
                <w:szCs w:val="18"/>
                <w:lang w:eastAsia="zh-CN"/>
              </w:rPr>
              <w:t>(0,14 ; 1,28)</w:t>
            </w:r>
          </w:p>
          <w:p w14:paraId="7BC27B99" w14:textId="77777777" w:rsidR="009700E5" w:rsidRDefault="009700E5">
            <w:pPr>
              <w:spacing w:line="240" w:lineRule="exact"/>
              <w:jc w:val="center"/>
              <w:rPr>
                <w:rFonts w:eastAsia="SimSun"/>
                <w:sz w:val="18"/>
                <w:szCs w:val="18"/>
                <w:lang w:eastAsia="zh-CN"/>
              </w:rPr>
            </w:pPr>
          </w:p>
          <w:p w14:paraId="6F0CA540" w14:textId="77777777" w:rsidR="009700E5" w:rsidRDefault="002C033C">
            <w:pPr>
              <w:spacing w:line="240" w:lineRule="exact"/>
              <w:jc w:val="center"/>
              <w:rPr>
                <w:rFonts w:eastAsia="SimSun"/>
                <w:sz w:val="18"/>
                <w:szCs w:val="18"/>
                <w:lang w:eastAsia="zh-CN"/>
              </w:rPr>
            </w:pPr>
            <w:r>
              <w:rPr>
                <w:rFonts w:eastAsia="SimSun"/>
                <w:sz w:val="18"/>
                <w:szCs w:val="18"/>
                <w:lang w:eastAsia="zh-CN"/>
              </w:rPr>
              <w:t>0,67</w:t>
            </w:r>
          </w:p>
          <w:p w14:paraId="532C6E14" w14:textId="77777777" w:rsidR="009700E5" w:rsidRDefault="002C033C">
            <w:pPr>
              <w:spacing w:line="240" w:lineRule="exact"/>
              <w:rPr>
                <w:rFonts w:eastAsia="SimSun"/>
                <w:sz w:val="18"/>
                <w:szCs w:val="18"/>
                <w:lang w:eastAsia="zh-CN"/>
              </w:rPr>
            </w:pPr>
            <w:r>
              <w:rPr>
                <w:rFonts w:eastAsia="SimSun"/>
                <w:sz w:val="18"/>
                <w:szCs w:val="18"/>
                <w:lang w:eastAsia="zh-CN"/>
              </w:rPr>
              <w:t xml:space="preserve">         (0,21 ; 2,10)</w:t>
            </w:r>
          </w:p>
          <w:p w14:paraId="6A87C968" w14:textId="77777777" w:rsidR="009700E5" w:rsidRDefault="002C033C">
            <w:pPr>
              <w:spacing w:line="240" w:lineRule="exact"/>
              <w:jc w:val="center"/>
              <w:rPr>
                <w:rFonts w:eastAsia="SimSun"/>
                <w:sz w:val="18"/>
                <w:szCs w:val="18"/>
                <w:lang w:eastAsia="zh-CN"/>
              </w:rPr>
            </w:pPr>
            <w:r>
              <w:rPr>
                <w:rFonts w:eastAsia="SimSun"/>
                <w:sz w:val="18"/>
                <w:szCs w:val="18"/>
                <w:lang w:eastAsia="zh-CN"/>
              </w:rPr>
              <w:t>0,20***</w:t>
            </w:r>
          </w:p>
          <w:p w14:paraId="76469A4E" w14:textId="77777777" w:rsidR="009700E5" w:rsidRDefault="002C033C">
            <w:pPr>
              <w:spacing w:line="240" w:lineRule="exact"/>
              <w:jc w:val="center"/>
              <w:rPr>
                <w:rFonts w:eastAsia="SimSun"/>
                <w:sz w:val="18"/>
                <w:szCs w:val="18"/>
                <w:lang w:eastAsia="zh-CN"/>
              </w:rPr>
            </w:pPr>
            <w:r>
              <w:rPr>
                <w:rFonts w:eastAsia="SimSun"/>
                <w:sz w:val="18"/>
                <w:szCs w:val="18"/>
                <w:lang w:eastAsia="zh-CN"/>
              </w:rPr>
              <w:t>(0,05 ; 0,76)</w:t>
            </w:r>
          </w:p>
          <w:p w14:paraId="0D9AA863" w14:textId="77777777" w:rsidR="009700E5" w:rsidRDefault="002C033C">
            <w:pPr>
              <w:spacing w:line="240" w:lineRule="exact"/>
              <w:jc w:val="center"/>
              <w:rPr>
                <w:rFonts w:eastAsia="SimSun"/>
                <w:sz w:val="18"/>
                <w:szCs w:val="18"/>
                <w:lang w:eastAsia="zh-CN"/>
              </w:rPr>
            </w:pPr>
            <w:r>
              <w:rPr>
                <w:rFonts w:eastAsia="SimSun"/>
                <w:sz w:val="18"/>
                <w:szCs w:val="18"/>
                <w:lang w:eastAsia="zh-CN"/>
              </w:rPr>
              <w:t>0,35</w:t>
            </w:r>
          </w:p>
          <w:p w14:paraId="013A8FCC" w14:textId="77777777" w:rsidR="009700E5" w:rsidRDefault="009700E5">
            <w:pPr>
              <w:spacing w:line="240" w:lineRule="exact"/>
              <w:jc w:val="center"/>
              <w:rPr>
                <w:rFonts w:eastAsia="SimSun"/>
                <w:sz w:val="18"/>
                <w:szCs w:val="18"/>
                <w:lang w:eastAsia="zh-CN"/>
              </w:rPr>
            </w:pPr>
          </w:p>
          <w:p w14:paraId="3EAB3091" w14:textId="77777777" w:rsidR="009700E5" w:rsidRDefault="002C033C">
            <w:pPr>
              <w:spacing w:line="240" w:lineRule="exact"/>
              <w:jc w:val="center"/>
              <w:rPr>
                <w:rFonts w:eastAsia="SimSun"/>
                <w:sz w:val="18"/>
                <w:szCs w:val="18"/>
                <w:lang w:eastAsia="zh-CN"/>
              </w:rPr>
            </w:pPr>
            <w:r>
              <w:rPr>
                <w:rFonts w:eastAsia="SimSun"/>
                <w:sz w:val="18"/>
                <w:szCs w:val="18"/>
                <w:lang w:eastAsia="zh-CN"/>
              </w:rPr>
              <w:t>(0,09 ; 1,42)</w:t>
            </w:r>
          </w:p>
          <w:p w14:paraId="48731201" w14:textId="77777777" w:rsidR="009700E5" w:rsidRDefault="009700E5">
            <w:pPr>
              <w:spacing w:line="240" w:lineRule="exact"/>
              <w:rPr>
                <w:rFonts w:eastAsia="SimSun"/>
                <w:sz w:val="18"/>
                <w:szCs w:val="18"/>
                <w:lang w:eastAsia="zh-CN"/>
              </w:rPr>
            </w:pPr>
          </w:p>
          <w:p w14:paraId="018681D1" w14:textId="77777777" w:rsidR="009700E5" w:rsidRDefault="002C033C">
            <w:pPr>
              <w:spacing w:line="240" w:lineRule="exact"/>
              <w:jc w:val="center"/>
              <w:rPr>
                <w:rFonts w:eastAsia="SimSun"/>
                <w:sz w:val="18"/>
                <w:szCs w:val="18"/>
                <w:lang w:eastAsia="zh-CN"/>
              </w:rPr>
            </w:pPr>
            <w:r>
              <w:rPr>
                <w:rFonts w:eastAsia="SimSun"/>
                <w:sz w:val="18"/>
                <w:szCs w:val="18"/>
                <w:lang w:eastAsia="zh-CN"/>
              </w:rPr>
              <w:t xml:space="preserve"> </w:t>
            </w:r>
          </w:p>
        </w:tc>
      </w:tr>
      <w:tr w:rsidR="009700E5" w14:paraId="15BA988A" w14:textId="77777777">
        <w:trPr>
          <w:cantSplit/>
        </w:trPr>
        <w:tc>
          <w:tcPr>
            <w:tcW w:w="3544" w:type="dxa"/>
            <w:gridSpan w:val="3"/>
            <w:tcBorders>
              <w:left w:val="single" w:sz="4" w:space="0" w:color="auto"/>
              <w:bottom w:val="single" w:sz="4" w:space="0" w:color="auto"/>
            </w:tcBorders>
            <w:tcMar>
              <w:top w:w="0" w:type="dxa"/>
              <w:left w:w="57" w:type="dxa"/>
              <w:bottom w:w="0" w:type="dxa"/>
              <w:right w:w="57" w:type="dxa"/>
            </w:tcMar>
          </w:tcPr>
          <w:p w14:paraId="3E7D1FF3" w14:textId="77777777" w:rsidR="009700E5" w:rsidRDefault="002C033C">
            <w:pPr>
              <w:spacing w:before="50" w:after="50" w:line="240" w:lineRule="exact"/>
              <w:rPr>
                <w:rFonts w:eastAsia="SimSun"/>
                <w:sz w:val="18"/>
                <w:szCs w:val="18"/>
                <w:lang w:eastAsia="zh-CN"/>
              </w:rPr>
            </w:pPr>
            <w:r>
              <w:rPr>
                <w:rFonts w:eastAsia="SimSun"/>
                <w:sz w:val="18"/>
                <w:szCs w:val="18"/>
                <w:lang w:eastAsia="zh-CN"/>
              </w:rPr>
              <w:t>Kumulatívna dávka glukokortikoidov (mg)</w:t>
            </w:r>
          </w:p>
          <w:p w14:paraId="613F8368" w14:textId="77777777" w:rsidR="009700E5" w:rsidRDefault="002C033C">
            <w:pPr>
              <w:spacing w:before="50" w:after="50" w:line="240" w:lineRule="exact"/>
              <w:ind w:left="720"/>
              <w:rPr>
                <w:rFonts w:eastAsia="SimSun"/>
                <w:sz w:val="18"/>
                <w:szCs w:val="18"/>
                <w:lang w:eastAsia="zh-CN"/>
              </w:rPr>
            </w:pPr>
            <w:r>
              <w:rPr>
                <w:rFonts w:eastAsia="SimSun"/>
                <w:sz w:val="18"/>
                <w:szCs w:val="18"/>
                <w:lang w:eastAsia="zh-CN"/>
              </w:rPr>
              <w:t>medián v 52. týždni (skupiny s tocilizumabom vs placebo+26</w:t>
            </w:r>
            <w:r>
              <w:rPr>
                <w:rFonts w:eastAsia="SimSun"/>
                <w:sz w:val="18"/>
                <w:szCs w:val="18"/>
                <w:vertAlign w:val="superscript"/>
                <w:lang w:eastAsia="zh-CN"/>
              </w:rPr>
              <w:t>2</w:t>
            </w:r>
            <w:r>
              <w:rPr>
                <w:rFonts w:eastAsia="SimSun"/>
                <w:sz w:val="18"/>
                <w:szCs w:val="18"/>
                <w:lang w:eastAsia="zh-CN"/>
              </w:rPr>
              <w:t xml:space="preserve">)                          </w:t>
            </w:r>
          </w:p>
          <w:p w14:paraId="5CA111EF" w14:textId="77777777" w:rsidR="009700E5" w:rsidRDefault="002C033C">
            <w:pPr>
              <w:spacing w:before="50" w:after="50" w:line="240" w:lineRule="exact"/>
              <w:ind w:left="720"/>
              <w:rPr>
                <w:rFonts w:eastAsia="SimSun"/>
                <w:sz w:val="18"/>
                <w:szCs w:val="18"/>
                <w:lang w:eastAsia="zh-CN"/>
              </w:rPr>
            </w:pPr>
            <w:r>
              <w:rPr>
                <w:rFonts w:eastAsia="SimSun"/>
                <w:sz w:val="18"/>
                <w:szCs w:val="18"/>
                <w:lang w:eastAsia="zh-CN"/>
              </w:rPr>
              <w:t>medián v 52. týždni (skupiny s tocilizumabom vs placebo +52</w:t>
            </w:r>
            <w:r>
              <w:rPr>
                <w:rFonts w:eastAsia="SimSun"/>
                <w:sz w:val="18"/>
                <w:szCs w:val="18"/>
                <w:vertAlign w:val="superscript"/>
                <w:lang w:eastAsia="zh-CN"/>
              </w:rPr>
              <w:t>2</w:t>
            </w:r>
            <w:r>
              <w:rPr>
                <w:rFonts w:eastAsia="SimSun"/>
                <w:sz w:val="18"/>
                <w:szCs w:val="18"/>
                <w:lang w:eastAsia="zh-CN"/>
              </w:rPr>
              <w:t xml:space="preserve">)                         </w:t>
            </w:r>
          </w:p>
        </w:tc>
        <w:tc>
          <w:tcPr>
            <w:tcW w:w="710" w:type="dxa"/>
            <w:tcBorders>
              <w:bottom w:val="single" w:sz="4" w:space="0" w:color="auto"/>
            </w:tcBorders>
            <w:tcMar>
              <w:top w:w="0" w:type="dxa"/>
              <w:left w:w="57" w:type="dxa"/>
              <w:bottom w:w="0" w:type="dxa"/>
              <w:right w:w="57" w:type="dxa"/>
            </w:tcMar>
          </w:tcPr>
          <w:p w14:paraId="2A39DFE8" w14:textId="77777777" w:rsidR="009700E5" w:rsidRDefault="009700E5">
            <w:pPr>
              <w:spacing w:before="50" w:after="50" w:line="240" w:lineRule="exact"/>
              <w:jc w:val="center"/>
              <w:rPr>
                <w:rFonts w:eastAsia="SimSun"/>
                <w:sz w:val="18"/>
                <w:szCs w:val="18"/>
                <w:lang w:eastAsia="zh-CN"/>
              </w:rPr>
            </w:pPr>
          </w:p>
          <w:p w14:paraId="094F9835"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3</w:t>
            </w:r>
            <w:ins w:id="1417" w:author="Author" w:date="2025-07-21T10:16:00Z">
              <w:r>
                <w:rPr>
                  <w:rFonts w:eastAsia="SimSun"/>
                  <w:sz w:val="18"/>
                  <w:szCs w:val="18"/>
                  <w:lang w:eastAsia="zh-CN"/>
                </w:rPr>
                <w:t> </w:t>
              </w:r>
            </w:ins>
            <w:r>
              <w:rPr>
                <w:rFonts w:eastAsia="SimSun"/>
                <w:sz w:val="18"/>
                <w:szCs w:val="18"/>
                <w:lang w:eastAsia="zh-CN"/>
              </w:rPr>
              <w:t>296,00</w:t>
            </w:r>
          </w:p>
          <w:p w14:paraId="4D8EE353" w14:textId="77777777" w:rsidR="009700E5" w:rsidRDefault="009700E5">
            <w:pPr>
              <w:spacing w:before="50" w:after="50" w:line="240" w:lineRule="exact"/>
              <w:jc w:val="center"/>
              <w:rPr>
                <w:rFonts w:eastAsia="SimSun"/>
                <w:sz w:val="18"/>
                <w:szCs w:val="18"/>
                <w:lang w:eastAsia="zh-CN"/>
              </w:rPr>
            </w:pPr>
          </w:p>
          <w:p w14:paraId="7DB3B839"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N/A</w:t>
            </w:r>
          </w:p>
        </w:tc>
        <w:tc>
          <w:tcPr>
            <w:tcW w:w="1418" w:type="dxa"/>
            <w:tcBorders>
              <w:bottom w:val="single" w:sz="4" w:space="0" w:color="auto"/>
            </w:tcBorders>
            <w:tcMar>
              <w:top w:w="0" w:type="dxa"/>
              <w:left w:w="57" w:type="dxa"/>
              <w:bottom w:w="0" w:type="dxa"/>
              <w:right w:w="57" w:type="dxa"/>
            </w:tcMar>
          </w:tcPr>
          <w:p w14:paraId="72AF5113" w14:textId="77777777" w:rsidR="009700E5" w:rsidRDefault="009700E5">
            <w:pPr>
              <w:spacing w:before="50" w:after="50" w:line="240" w:lineRule="exact"/>
              <w:jc w:val="center"/>
              <w:rPr>
                <w:rFonts w:eastAsia="SimSun"/>
                <w:sz w:val="18"/>
                <w:szCs w:val="18"/>
                <w:lang w:eastAsia="zh-CN"/>
              </w:rPr>
            </w:pPr>
          </w:p>
          <w:p w14:paraId="4AC6352C"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N/A</w:t>
            </w:r>
          </w:p>
          <w:p w14:paraId="30F2A8C9" w14:textId="77777777" w:rsidR="009700E5" w:rsidRDefault="009700E5">
            <w:pPr>
              <w:spacing w:before="50" w:after="50" w:line="240" w:lineRule="exact"/>
              <w:jc w:val="center"/>
              <w:rPr>
                <w:rFonts w:eastAsia="SimSun"/>
                <w:sz w:val="18"/>
                <w:szCs w:val="18"/>
                <w:lang w:eastAsia="zh-CN"/>
              </w:rPr>
            </w:pPr>
          </w:p>
          <w:p w14:paraId="6841EBA7"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3</w:t>
            </w:r>
            <w:ins w:id="1418" w:author="Author" w:date="2025-07-21T10:16:00Z">
              <w:r>
                <w:rPr>
                  <w:rFonts w:eastAsia="SimSun"/>
                  <w:sz w:val="18"/>
                  <w:szCs w:val="18"/>
                  <w:lang w:eastAsia="zh-CN"/>
                </w:rPr>
                <w:t> </w:t>
              </w:r>
            </w:ins>
            <w:r>
              <w:rPr>
                <w:rFonts w:eastAsia="SimSun"/>
                <w:sz w:val="18"/>
                <w:szCs w:val="18"/>
                <w:lang w:eastAsia="zh-CN"/>
              </w:rPr>
              <w:t>817,50</w:t>
            </w:r>
          </w:p>
        </w:tc>
        <w:tc>
          <w:tcPr>
            <w:tcW w:w="1842" w:type="dxa"/>
            <w:tcBorders>
              <w:bottom w:val="single" w:sz="4" w:space="0" w:color="auto"/>
              <w:right w:val="nil"/>
            </w:tcBorders>
          </w:tcPr>
          <w:p w14:paraId="43FA4E31" w14:textId="77777777" w:rsidR="009700E5" w:rsidRDefault="009700E5">
            <w:pPr>
              <w:spacing w:before="50" w:after="50" w:line="240" w:lineRule="exact"/>
              <w:jc w:val="center"/>
              <w:rPr>
                <w:rFonts w:eastAsia="SimSun"/>
                <w:sz w:val="18"/>
                <w:szCs w:val="18"/>
                <w:lang w:eastAsia="zh-CN"/>
              </w:rPr>
            </w:pPr>
          </w:p>
          <w:p w14:paraId="7496968C"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1</w:t>
            </w:r>
            <w:ins w:id="1419" w:author="Author" w:date="2025-07-21T10:16:00Z">
              <w:r>
                <w:rPr>
                  <w:rFonts w:eastAsia="SimSun"/>
                  <w:sz w:val="18"/>
                  <w:szCs w:val="18"/>
                  <w:lang w:eastAsia="zh-CN"/>
                </w:rPr>
                <w:t> </w:t>
              </w:r>
            </w:ins>
            <w:r>
              <w:rPr>
                <w:rFonts w:eastAsia="SimSun"/>
                <w:sz w:val="18"/>
                <w:szCs w:val="18"/>
                <w:lang w:eastAsia="zh-CN"/>
              </w:rPr>
              <w:t>862,00*</w:t>
            </w:r>
          </w:p>
          <w:p w14:paraId="501A7683" w14:textId="77777777" w:rsidR="009700E5" w:rsidRDefault="009700E5">
            <w:pPr>
              <w:spacing w:before="50" w:after="50" w:line="240" w:lineRule="exact"/>
              <w:jc w:val="center"/>
              <w:rPr>
                <w:rFonts w:eastAsia="SimSun"/>
                <w:sz w:val="18"/>
                <w:szCs w:val="18"/>
                <w:lang w:eastAsia="zh-CN"/>
              </w:rPr>
            </w:pPr>
          </w:p>
          <w:p w14:paraId="224170F5"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1</w:t>
            </w:r>
            <w:ins w:id="1420" w:author="Author" w:date="2025-07-21T10:16:00Z">
              <w:r>
                <w:rPr>
                  <w:rFonts w:eastAsia="SimSun"/>
                  <w:sz w:val="18"/>
                  <w:szCs w:val="18"/>
                  <w:lang w:eastAsia="zh-CN"/>
                </w:rPr>
                <w:t> </w:t>
              </w:r>
            </w:ins>
            <w:r>
              <w:rPr>
                <w:rFonts w:eastAsia="SimSun"/>
                <w:sz w:val="18"/>
                <w:szCs w:val="18"/>
                <w:lang w:eastAsia="zh-CN"/>
              </w:rPr>
              <w:t>862,00*</w:t>
            </w:r>
          </w:p>
        </w:tc>
        <w:tc>
          <w:tcPr>
            <w:tcW w:w="1842" w:type="dxa"/>
            <w:tcBorders>
              <w:left w:val="nil"/>
              <w:bottom w:val="single" w:sz="4" w:space="0" w:color="auto"/>
              <w:right w:val="single" w:sz="4" w:space="0" w:color="auto"/>
            </w:tcBorders>
            <w:tcMar>
              <w:top w:w="0" w:type="dxa"/>
              <w:left w:w="57" w:type="dxa"/>
              <w:bottom w:w="0" w:type="dxa"/>
              <w:right w:w="57" w:type="dxa"/>
            </w:tcMar>
          </w:tcPr>
          <w:p w14:paraId="43973A06" w14:textId="77777777" w:rsidR="009700E5" w:rsidRDefault="009700E5">
            <w:pPr>
              <w:spacing w:before="50" w:after="50" w:line="240" w:lineRule="exact"/>
              <w:jc w:val="center"/>
              <w:rPr>
                <w:rFonts w:eastAsia="SimSun"/>
                <w:sz w:val="18"/>
                <w:szCs w:val="18"/>
                <w:lang w:eastAsia="zh-CN"/>
              </w:rPr>
            </w:pPr>
          </w:p>
          <w:p w14:paraId="1B99DBE9"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1</w:t>
            </w:r>
            <w:ins w:id="1421" w:author="Author" w:date="2025-07-21T10:16:00Z">
              <w:r>
                <w:rPr>
                  <w:rFonts w:eastAsia="SimSun"/>
                  <w:sz w:val="18"/>
                  <w:szCs w:val="18"/>
                  <w:lang w:eastAsia="zh-CN"/>
                </w:rPr>
                <w:t> </w:t>
              </w:r>
            </w:ins>
            <w:r>
              <w:rPr>
                <w:rFonts w:eastAsia="SimSun"/>
                <w:sz w:val="18"/>
                <w:szCs w:val="18"/>
                <w:lang w:eastAsia="zh-CN"/>
              </w:rPr>
              <w:t>862,00*</w:t>
            </w:r>
          </w:p>
          <w:p w14:paraId="78964A6A" w14:textId="77777777" w:rsidR="009700E5" w:rsidRDefault="009700E5">
            <w:pPr>
              <w:spacing w:before="50" w:after="50" w:line="240" w:lineRule="exact"/>
              <w:jc w:val="center"/>
              <w:rPr>
                <w:rFonts w:eastAsia="SimSun"/>
                <w:sz w:val="18"/>
                <w:szCs w:val="18"/>
                <w:lang w:eastAsia="zh-CN"/>
              </w:rPr>
            </w:pPr>
          </w:p>
          <w:p w14:paraId="38B1BD5E"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1</w:t>
            </w:r>
            <w:ins w:id="1422" w:author="Author" w:date="2025-07-21T10:16:00Z">
              <w:r>
                <w:rPr>
                  <w:rFonts w:eastAsia="SimSun"/>
                  <w:sz w:val="18"/>
                  <w:szCs w:val="18"/>
                  <w:lang w:eastAsia="zh-CN"/>
                </w:rPr>
                <w:t> </w:t>
              </w:r>
            </w:ins>
            <w:r>
              <w:rPr>
                <w:rFonts w:eastAsia="SimSun"/>
                <w:sz w:val="18"/>
                <w:szCs w:val="18"/>
                <w:lang w:eastAsia="zh-CN"/>
              </w:rPr>
              <w:t>862,00*</w:t>
            </w:r>
          </w:p>
        </w:tc>
      </w:tr>
      <w:tr w:rsidR="009700E5" w14:paraId="2865F92D" w14:textId="77777777">
        <w:trPr>
          <w:cantSplit/>
        </w:trPr>
        <w:tc>
          <w:tcPr>
            <w:tcW w:w="9356" w:type="dxa"/>
            <w:gridSpan w:val="7"/>
            <w:tcBorders>
              <w:top w:val="single" w:sz="4" w:space="0" w:color="auto"/>
              <w:left w:val="single" w:sz="4" w:space="0" w:color="auto"/>
              <w:bottom w:val="single" w:sz="4" w:space="0" w:color="auto"/>
              <w:right w:val="single" w:sz="8" w:space="0" w:color="auto"/>
            </w:tcBorders>
          </w:tcPr>
          <w:p w14:paraId="327AB45C" w14:textId="77777777" w:rsidR="009700E5" w:rsidRDefault="002C033C">
            <w:pPr>
              <w:keepNext/>
              <w:keepLines/>
              <w:spacing w:before="50" w:after="50" w:line="240" w:lineRule="exact"/>
              <w:rPr>
                <w:rFonts w:eastAsia="SimSun"/>
                <w:b/>
                <w:sz w:val="18"/>
                <w:szCs w:val="18"/>
                <w:lang w:eastAsia="zh-CN"/>
              </w:rPr>
            </w:pPr>
            <w:r>
              <w:rPr>
                <w:rFonts w:eastAsia="SimSun"/>
                <w:b/>
                <w:sz w:val="18"/>
                <w:szCs w:val="18"/>
                <w:lang w:eastAsia="zh-CN"/>
              </w:rPr>
              <w:t xml:space="preserve"> Exploratívne cieľové ukazovatele </w:t>
            </w:r>
          </w:p>
        </w:tc>
      </w:tr>
      <w:tr w:rsidR="009700E5" w14:paraId="2C2BF3AC" w14:textId="77777777">
        <w:trPr>
          <w:cantSplit/>
        </w:trPr>
        <w:tc>
          <w:tcPr>
            <w:tcW w:w="2836" w:type="dxa"/>
            <w:tcBorders>
              <w:top w:val="single" w:sz="4" w:space="0" w:color="auto"/>
              <w:left w:val="single" w:sz="4" w:space="0" w:color="auto"/>
              <w:bottom w:val="single" w:sz="4" w:space="0" w:color="auto"/>
            </w:tcBorders>
            <w:tcMar>
              <w:top w:w="0" w:type="dxa"/>
              <w:left w:w="57" w:type="dxa"/>
              <w:bottom w:w="0" w:type="dxa"/>
              <w:right w:w="57" w:type="dxa"/>
            </w:tcMar>
          </w:tcPr>
          <w:p w14:paraId="6B14FF53" w14:textId="77777777" w:rsidR="009700E5" w:rsidRDefault="002C033C">
            <w:pPr>
              <w:keepNext/>
              <w:keepLines/>
              <w:spacing w:before="50" w:after="50" w:line="240" w:lineRule="exact"/>
              <w:rPr>
                <w:rFonts w:eastAsia="SimSun"/>
                <w:sz w:val="18"/>
                <w:szCs w:val="18"/>
                <w:lang w:eastAsia="zh-CN"/>
              </w:rPr>
            </w:pPr>
            <w:r>
              <w:rPr>
                <w:rFonts w:eastAsia="SimSun"/>
                <w:sz w:val="18"/>
                <w:szCs w:val="18"/>
                <w:lang w:eastAsia="zh-CN"/>
              </w:rPr>
              <w:t>Ročná miera relapsu ochorenia, 52. týždeň</w:t>
            </w:r>
            <w:r>
              <w:rPr>
                <w:rFonts w:eastAsia="SimSun"/>
                <w:sz w:val="18"/>
                <w:szCs w:val="18"/>
                <w:vertAlign w:val="superscript"/>
                <w:lang w:eastAsia="zh-CN"/>
              </w:rPr>
              <w:t>§</w:t>
            </w:r>
          </w:p>
          <w:p w14:paraId="1F93F409" w14:textId="77777777" w:rsidR="009700E5" w:rsidRDefault="002C033C">
            <w:pPr>
              <w:keepNext/>
              <w:keepLines/>
              <w:spacing w:before="50" w:after="50" w:line="240" w:lineRule="exact"/>
              <w:rPr>
                <w:rFonts w:eastAsia="SimSun"/>
                <w:sz w:val="18"/>
                <w:szCs w:val="18"/>
                <w:lang w:eastAsia="zh-CN"/>
              </w:rPr>
            </w:pPr>
            <w:r>
              <w:rPr>
                <w:rFonts w:eastAsia="SimSun"/>
                <w:sz w:val="18"/>
                <w:szCs w:val="18"/>
                <w:lang w:eastAsia="zh-CN"/>
              </w:rPr>
              <w:t xml:space="preserve">               </w:t>
            </w:r>
          </w:p>
          <w:p w14:paraId="0A05D1DE" w14:textId="77777777" w:rsidR="009700E5" w:rsidRDefault="002C033C">
            <w:pPr>
              <w:keepNext/>
              <w:keepLines/>
              <w:spacing w:before="50" w:after="50" w:line="240" w:lineRule="exact"/>
              <w:rPr>
                <w:rFonts w:eastAsia="SimSun"/>
                <w:sz w:val="18"/>
                <w:szCs w:val="18"/>
                <w:lang w:eastAsia="zh-CN"/>
              </w:rPr>
            </w:pPr>
            <w:r>
              <w:rPr>
                <w:rFonts w:eastAsia="SimSun"/>
                <w:sz w:val="18"/>
                <w:szCs w:val="18"/>
                <w:lang w:eastAsia="zh-CN"/>
              </w:rPr>
              <w:t xml:space="preserve">  Priemer (SD)</w:t>
            </w:r>
          </w:p>
        </w:tc>
        <w:tc>
          <w:tcPr>
            <w:tcW w:w="1418" w:type="dxa"/>
            <w:gridSpan w:val="3"/>
            <w:tcBorders>
              <w:top w:val="single" w:sz="4" w:space="0" w:color="auto"/>
              <w:bottom w:val="single" w:sz="4" w:space="0" w:color="auto"/>
            </w:tcBorders>
            <w:tcMar>
              <w:top w:w="0" w:type="dxa"/>
              <w:left w:w="57" w:type="dxa"/>
              <w:bottom w:w="0" w:type="dxa"/>
              <w:right w:w="57" w:type="dxa"/>
            </w:tcMar>
            <w:vAlign w:val="center"/>
          </w:tcPr>
          <w:p w14:paraId="1C50E7E6" w14:textId="77777777" w:rsidR="009700E5" w:rsidRDefault="009700E5">
            <w:pPr>
              <w:keepNext/>
              <w:keepLines/>
              <w:spacing w:before="50" w:after="50" w:line="240" w:lineRule="exact"/>
              <w:jc w:val="center"/>
              <w:rPr>
                <w:rFonts w:eastAsia="SimSun"/>
                <w:sz w:val="18"/>
                <w:szCs w:val="18"/>
                <w:lang w:eastAsia="zh-CN"/>
              </w:rPr>
            </w:pPr>
          </w:p>
          <w:p w14:paraId="66DD2982" w14:textId="77777777" w:rsidR="009700E5" w:rsidRDefault="002C033C">
            <w:pPr>
              <w:keepNext/>
              <w:keepLines/>
              <w:spacing w:before="50" w:after="50" w:line="240" w:lineRule="exact"/>
              <w:jc w:val="center"/>
              <w:rPr>
                <w:rFonts w:eastAsia="SimSun"/>
                <w:sz w:val="18"/>
                <w:szCs w:val="18"/>
                <w:lang w:eastAsia="zh-CN"/>
              </w:rPr>
            </w:pPr>
            <w:r>
              <w:rPr>
                <w:rFonts w:eastAsia="SimSun"/>
                <w:sz w:val="18"/>
                <w:szCs w:val="18"/>
                <w:lang w:eastAsia="zh-CN"/>
              </w:rPr>
              <w:t xml:space="preserve">1,74 </w:t>
            </w:r>
          </w:p>
          <w:p w14:paraId="4D8E60F4" w14:textId="77777777" w:rsidR="009700E5" w:rsidRDefault="002C033C">
            <w:pPr>
              <w:keepNext/>
              <w:keepLines/>
              <w:spacing w:before="50" w:after="50" w:line="240" w:lineRule="exact"/>
              <w:jc w:val="center"/>
              <w:rPr>
                <w:rFonts w:eastAsia="SimSun"/>
                <w:sz w:val="18"/>
                <w:szCs w:val="18"/>
                <w:lang w:eastAsia="zh-CN"/>
              </w:rPr>
            </w:pPr>
            <w:r>
              <w:rPr>
                <w:rFonts w:eastAsia="SimSun"/>
                <w:sz w:val="18"/>
                <w:szCs w:val="18"/>
                <w:lang w:eastAsia="zh-CN"/>
              </w:rPr>
              <w:t>(2,18)</w:t>
            </w:r>
          </w:p>
        </w:tc>
        <w:tc>
          <w:tcPr>
            <w:tcW w:w="1418" w:type="dxa"/>
            <w:tcBorders>
              <w:top w:val="single" w:sz="4" w:space="0" w:color="auto"/>
              <w:bottom w:val="single" w:sz="4" w:space="0" w:color="auto"/>
            </w:tcBorders>
            <w:tcMar>
              <w:top w:w="0" w:type="dxa"/>
              <w:left w:w="57" w:type="dxa"/>
              <w:bottom w:w="0" w:type="dxa"/>
              <w:right w:w="57" w:type="dxa"/>
            </w:tcMar>
            <w:vAlign w:val="center"/>
          </w:tcPr>
          <w:p w14:paraId="6A2A4CBA" w14:textId="77777777" w:rsidR="009700E5" w:rsidRDefault="009700E5">
            <w:pPr>
              <w:keepNext/>
              <w:keepLines/>
              <w:spacing w:before="50" w:after="50" w:line="240" w:lineRule="exact"/>
              <w:jc w:val="center"/>
              <w:rPr>
                <w:rFonts w:eastAsia="SimSun"/>
                <w:sz w:val="18"/>
                <w:szCs w:val="18"/>
                <w:lang w:eastAsia="zh-CN"/>
              </w:rPr>
            </w:pPr>
          </w:p>
          <w:p w14:paraId="73CE5E79" w14:textId="77777777" w:rsidR="009700E5" w:rsidRDefault="002C033C">
            <w:pPr>
              <w:keepNext/>
              <w:keepLines/>
              <w:spacing w:before="50" w:after="50" w:line="240" w:lineRule="exact"/>
              <w:jc w:val="center"/>
              <w:rPr>
                <w:rFonts w:eastAsia="SimSun"/>
                <w:sz w:val="18"/>
                <w:szCs w:val="18"/>
                <w:lang w:eastAsia="zh-CN"/>
              </w:rPr>
            </w:pPr>
            <w:r>
              <w:rPr>
                <w:rFonts w:eastAsia="SimSun"/>
                <w:sz w:val="18"/>
                <w:szCs w:val="18"/>
                <w:lang w:eastAsia="zh-CN"/>
              </w:rPr>
              <w:t xml:space="preserve">1,30 </w:t>
            </w:r>
          </w:p>
          <w:p w14:paraId="4F0B3F2B" w14:textId="77777777" w:rsidR="009700E5" w:rsidRDefault="002C033C">
            <w:pPr>
              <w:keepNext/>
              <w:keepLines/>
              <w:spacing w:before="50" w:after="50" w:line="240" w:lineRule="exact"/>
              <w:jc w:val="center"/>
              <w:rPr>
                <w:rFonts w:eastAsia="SimSun"/>
                <w:sz w:val="18"/>
                <w:szCs w:val="18"/>
                <w:lang w:eastAsia="zh-CN"/>
              </w:rPr>
            </w:pPr>
            <w:r>
              <w:rPr>
                <w:rFonts w:eastAsia="SimSun"/>
                <w:sz w:val="18"/>
                <w:szCs w:val="18"/>
                <w:lang w:eastAsia="zh-CN"/>
              </w:rPr>
              <w:t>(1,84)</w:t>
            </w:r>
          </w:p>
        </w:tc>
        <w:tc>
          <w:tcPr>
            <w:tcW w:w="1842" w:type="dxa"/>
            <w:tcBorders>
              <w:top w:val="single" w:sz="4" w:space="0" w:color="auto"/>
              <w:bottom w:val="single" w:sz="4" w:space="0" w:color="auto"/>
              <w:right w:val="nil"/>
            </w:tcBorders>
            <w:vAlign w:val="center"/>
          </w:tcPr>
          <w:p w14:paraId="7D832E28" w14:textId="77777777" w:rsidR="009700E5" w:rsidRDefault="009700E5">
            <w:pPr>
              <w:keepNext/>
              <w:keepLines/>
              <w:spacing w:before="50" w:after="50" w:line="240" w:lineRule="exact"/>
              <w:jc w:val="center"/>
              <w:rPr>
                <w:rFonts w:eastAsia="SimSun"/>
                <w:sz w:val="18"/>
                <w:szCs w:val="18"/>
                <w:lang w:eastAsia="zh-CN"/>
              </w:rPr>
            </w:pPr>
          </w:p>
          <w:p w14:paraId="2C8EB70F" w14:textId="77777777" w:rsidR="009700E5" w:rsidRDefault="002C033C">
            <w:pPr>
              <w:keepNext/>
              <w:keepLines/>
              <w:spacing w:before="50" w:after="50" w:line="240" w:lineRule="exact"/>
              <w:jc w:val="center"/>
              <w:rPr>
                <w:rFonts w:eastAsia="SimSun"/>
                <w:sz w:val="18"/>
                <w:szCs w:val="18"/>
                <w:lang w:eastAsia="zh-CN"/>
              </w:rPr>
            </w:pPr>
            <w:r>
              <w:rPr>
                <w:rFonts w:eastAsia="SimSun"/>
                <w:sz w:val="18"/>
                <w:szCs w:val="18"/>
                <w:lang w:eastAsia="zh-CN"/>
              </w:rPr>
              <w:t>0,41</w:t>
            </w:r>
          </w:p>
          <w:p w14:paraId="7A117E1B" w14:textId="77777777" w:rsidR="009700E5" w:rsidRDefault="002C033C">
            <w:pPr>
              <w:keepNext/>
              <w:keepLines/>
              <w:spacing w:before="50" w:after="50" w:line="240" w:lineRule="exact"/>
              <w:jc w:val="center"/>
              <w:rPr>
                <w:rFonts w:eastAsia="SimSun"/>
                <w:sz w:val="18"/>
                <w:szCs w:val="18"/>
                <w:lang w:eastAsia="zh-CN"/>
              </w:rPr>
            </w:pPr>
            <w:r>
              <w:rPr>
                <w:rFonts w:eastAsia="SimSun"/>
                <w:sz w:val="18"/>
                <w:szCs w:val="18"/>
                <w:lang w:eastAsia="zh-CN"/>
              </w:rPr>
              <w:t>(0,78)</w:t>
            </w:r>
          </w:p>
        </w:tc>
        <w:tc>
          <w:tcPr>
            <w:tcW w:w="1842" w:type="dxa"/>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
          <w:p w14:paraId="0C1FD2D7" w14:textId="77777777" w:rsidR="009700E5" w:rsidRDefault="009700E5">
            <w:pPr>
              <w:keepNext/>
              <w:keepLines/>
              <w:spacing w:before="50" w:after="50" w:line="240" w:lineRule="exact"/>
              <w:jc w:val="center"/>
              <w:rPr>
                <w:rFonts w:eastAsia="SimSun"/>
                <w:sz w:val="18"/>
                <w:szCs w:val="18"/>
                <w:lang w:eastAsia="zh-CN"/>
              </w:rPr>
            </w:pPr>
          </w:p>
          <w:p w14:paraId="3BE82D7D" w14:textId="77777777" w:rsidR="009700E5" w:rsidRDefault="002C033C">
            <w:pPr>
              <w:keepNext/>
              <w:keepLines/>
              <w:spacing w:before="50" w:after="50" w:line="240" w:lineRule="exact"/>
              <w:jc w:val="center"/>
              <w:rPr>
                <w:rFonts w:eastAsia="SimSun"/>
                <w:sz w:val="18"/>
                <w:szCs w:val="18"/>
                <w:lang w:eastAsia="zh-CN"/>
              </w:rPr>
            </w:pPr>
            <w:r>
              <w:rPr>
                <w:rFonts w:eastAsia="SimSun"/>
                <w:sz w:val="18"/>
                <w:szCs w:val="18"/>
                <w:lang w:eastAsia="zh-CN"/>
              </w:rPr>
              <w:t>0,67</w:t>
            </w:r>
          </w:p>
          <w:p w14:paraId="5525F4C4" w14:textId="77777777" w:rsidR="009700E5" w:rsidRDefault="002C033C">
            <w:pPr>
              <w:keepNext/>
              <w:keepLines/>
              <w:spacing w:before="50" w:after="50" w:line="240" w:lineRule="exact"/>
              <w:jc w:val="center"/>
              <w:rPr>
                <w:rFonts w:eastAsia="SimSun"/>
                <w:sz w:val="18"/>
                <w:szCs w:val="18"/>
                <w:lang w:eastAsia="zh-CN"/>
              </w:rPr>
            </w:pPr>
            <w:r>
              <w:rPr>
                <w:rFonts w:eastAsia="SimSun"/>
                <w:sz w:val="18"/>
                <w:szCs w:val="18"/>
                <w:lang w:eastAsia="zh-CN"/>
              </w:rPr>
              <w:t>(1,10)</w:t>
            </w:r>
          </w:p>
        </w:tc>
      </w:tr>
    </w:tbl>
    <w:p w14:paraId="2D2FD99D" w14:textId="77777777" w:rsidR="009700E5" w:rsidRDefault="002C033C">
      <w:pPr>
        <w:keepNext/>
        <w:keepLines/>
        <w:jc w:val="both"/>
        <w:rPr>
          <w:sz w:val="18"/>
          <w:szCs w:val="18"/>
          <w:lang w:eastAsia="en-US"/>
        </w:rPr>
      </w:pPr>
      <w:r>
        <w:rPr>
          <w:sz w:val="18"/>
          <w:szCs w:val="18"/>
          <w:lang w:eastAsia="en-US"/>
        </w:rPr>
        <w:t>* p &lt; 0,0001</w:t>
      </w:r>
    </w:p>
    <w:p w14:paraId="1FBC247E" w14:textId="77777777" w:rsidR="009700E5" w:rsidRDefault="002C033C">
      <w:pPr>
        <w:keepNext/>
        <w:keepLines/>
        <w:jc w:val="both"/>
        <w:rPr>
          <w:sz w:val="18"/>
          <w:szCs w:val="18"/>
          <w:lang w:eastAsia="en-US"/>
        </w:rPr>
      </w:pPr>
      <w:r>
        <w:rPr>
          <w:sz w:val="18"/>
          <w:szCs w:val="18"/>
          <w:lang w:eastAsia="en-US"/>
        </w:rPr>
        <w:t>** p &lt; 0,005 (prah významnosti primárnych a kľúčových sekundárnych testov superiority)</w:t>
      </w:r>
    </w:p>
    <w:p w14:paraId="0FD0C20E" w14:textId="77777777" w:rsidR="009700E5" w:rsidRDefault="002C033C">
      <w:pPr>
        <w:keepNext/>
        <w:keepLines/>
        <w:jc w:val="both"/>
        <w:rPr>
          <w:sz w:val="18"/>
          <w:szCs w:val="18"/>
          <w:u w:val="single"/>
          <w:lang w:eastAsia="en-US"/>
        </w:rPr>
      </w:pPr>
      <w:r>
        <w:rPr>
          <w:sz w:val="18"/>
          <w:szCs w:val="18"/>
          <w:lang w:eastAsia="en-US"/>
        </w:rPr>
        <w:t>*** popisná p hodnota </w:t>
      </w:r>
      <w:r>
        <w:rPr>
          <w:sz w:val="18"/>
          <w:szCs w:val="18"/>
          <w:u w:val="single"/>
          <w:lang w:eastAsia="en-US"/>
        </w:rPr>
        <w:t>&lt; 0,005</w:t>
      </w:r>
    </w:p>
    <w:p w14:paraId="56B1431D" w14:textId="77777777" w:rsidR="009700E5" w:rsidRDefault="002C033C">
      <w:pPr>
        <w:rPr>
          <w:iCs/>
          <w:sz w:val="18"/>
          <w:szCs w:val="18"/>
          <w:shd w:val="clear" w:color="auto" w:fill="FFFFFF"/>
          <w:lang w:eastAsia="zh-TW"/>
        </w:rPr>
      </w:pPr>
      <w:r>
        <w:rPr>
          <w:sz w:val="18"/>
          <w:szCs w:val="18"/>
          <w:lang w:eastAsia="en-US"/>
        </w:rPr>
        <w:t xml:space="preserve">**** vzplanutie: recidíva prejavov alebo príznakov OBA a/alebo ESR </w:t>
      </w:r>
      <w:r>
        <w:rPr>
          <w:iCs/>
          <w:sz w:val="18"/>
          <w:szCs w:val="18"/>
          <w:shd w:val="clear" w:color="auto" w:fill="FFFFFF"/>
          <w:lang w:eastAsia="zh-TW"/>
        </w:rPr>
        <w:t>≥ 30 mm/h – potrebné zvýšenie dávky prednizónu</w:t>
      </w:r>
    </w:p>
    <w:p w14:paraId="696899EE" w14:textId="77777777" w:rsidR="009700E5" w:rsidRDefault="002C033C">
      <w:pPr>
        <w:rPr>
          <w:iCs/>
          <w:sz w:val="18"/>
          <w:szCs w:val="18"/>
          <w:shd w:val="clear" w:color="auto" w:fill="FFFFFF"/>
          <w:lang w:eastAsia="zh-TW"/>
        </w:rPr>
      </w:pPr>
      <w:r>
        <w:rPr>
          <w:iCs/>
          <w:sz w:val="18"/>
          <w:szCs w:val="18"/>
          <w:shd w:val="clear" w:color="auto" w:fill="FFFFFF"/>
          <w:lang w:eastAsia="zh-TW"/>
        </w:rPr>
        <w:t>Remisia: absencia vzplanutia a návrat CRP do normalizovaných hodnôt</w:t>
      </w:r>
    </w:p>
    <w:p w14:paraId="6CE63CF7" w14:textId="77777777" w:rsidR="009700E5" w:rsidRDefault="002C033C">
      <w:pPr>
        <w:rPr>
          <w:b/>
          <w:bCs/>
          <w:iCs/>
          <w:sz w:val="18"/>
          <w:szCs w:val="18"/>
          <w:shd w:val="clear" w:color="auto" w:fill="FFFFFF"/>
          <w:lang w:eastAsia="zh-TW"/>
        </w:rPr>
      </w:pPr>
      <w:r>
        <w:rPr>
          <w:iCs/>
          <w:sz w:val="18"/>
          <w:szCs w:val="18"/>
          <w:shd w:val="clear" w:color="auto" w:fill="FFFFFF"/>
          <w:lang w:eastAsia="zh-TW"/>
        </w:rPr>
        <w:t>Pretrvávajúca remisia: remisia od 12 </w:t>
      </w:r>
      <w:r>
        <w:rPr>
          <w:iCs/>
          <w:sz w:val="18"/>
          <w:szCs w:val="18"/>
          <w:shd w:val="clear" w:color="auto" w:fill="FFFFFF"/>
          <w:lang w:eastAsia="zh-TW"/>
        </w:rPr>
        <w:noBreakHyphen/>
        <w:t xml:space="preserve"> 52. týždňa </w:t>
      </w:r>
      <w:r>
        <w:rPr>
          <w:b/>
          <w:bCs/>
          <w:iCs/>
          <w:sz w:val="18"/>
          <w:szCs w:val="18"/>
          <w:shd w:val="clear" w:color="auto" w:fill="FFFFFF"/>
          <w:lang w:eastAsia="zh-TW"/>
        </w:rPr>
        <w:t>-</w:t>
      </w:r>
      <w:r>
        <w:rPr>
          <w:iCs/>
          <w:sz w:val="18"/>
          <w:szCs w:val="18"/>
          <w:shd w:val="clear" w:color="auto" w:fill="FFFFFF"/>
          <w:lang w:eastAsia="zh-TW"/>
        </w:rPr>
        <w:t xml:space="preserve"> </w:t>
      </w:r>
      <w:r>
        <w:rPr>
          <w:bCs/>
          <w:iCs/>
          <w:sz w:val="18"/>
          <w:szCs w:val="18"/>
          <w:shd w:val="clear" w:color="auto" w:fill="FFFFFF"/>
          <w:lang w:eastAsia="zh-TW"/>
        </w:rPr>
        <w:t>pacienti musia dodržiavať protokolom stanovené postupné znižovanie dávky prednizónu</w:t>
      </w:r>
    </w:p>
    <w:p w14:paraId="57BDB316" w14:textId="77777777" w:rsidR="009700E5" w:rsidRDefault="002C033C">
      <w:pPr>
        <w:rPr>
          <w:sz w:val="18"/>
          <w:szCs w:val="18"/>
          <w:lang w:eastAsia="en-US"/>
        </w:rPr>
      </w:pPr>
      <w:r>
        <w:rPr>
          <w:sz w:val="18"/>
          <w:szCs w:val="18"/>
          <w:lang w:eastAsia="en-US"/>
        </w:rPr>
        <w:t>¹ analýzy času (v dňoch) medzi klinickou remisiou a prvým vzplanutím ochorenia</w:t>
      </w:r>
    </w:p>
    <w:p w14:paraId="238C2770" w14:textId="77777777" w:rsidR="009700E5" w:rsidRDefault="002C033C">
      <w:pPr>
        <w:rPr>
          <w:sz w:val="18"/>
          <w:szCs w:val="18"/>
          <w:lang w:eastAsia="en-US"/>
        </w:rPr>
      </w:pPr>
      <w:r>
        <w:rPr>
          <w:rFonts w:eastAsia="SimSun"/>
          <w:sz w:val="18"/>
          <w:szCs w:val="18"/>
          <w:vertAlign w:val="superscript"/>
          <w:lang w:eastAsia="zh-CN"/>
        </w:rPr>
        <w:t>2</w:t>
      </w:r>
      <w:r>
        <w:rPr>
          <w:sz w:val="18"/>
          <w:szCs w:val="18"/>
          <w:lang w:eastAsia="en-US"/>
        </w:rPr>
        <w:t xml:space="preserve"> p hodnoty sú stanovené na základe Van Elterenovej analýzy neparametrických údajov</w:t>
      </w:r>
    </w:p>
    <w:p w14:paraId="52D1C25D" w14:textId="77777777" w:rsidR="009700E5" w:rsidRDefault="002C033C">
      <w:pPr>
        <w:jc w:val="both"/>
        <w:rPr>
          <w:sz w:val="18"/>
          <w:szCs w:val="18"/>
          <w:lang w:eastAsia="en-US"/>
        </w:rPr>
      </w:pPr>
      <w:r>
        <w:rPr>
          <w:sz w:val="18"/>
          <w:szCs w:val="18"/>
          <w:vertAlign w:val="superscript"/>
          <w:lang w:eastAsia="en-US"/>
        </w:rPr>
        <w:t>§</w:t>
      </w:r>
      <w:r>
        <w:rPr>
          <w:sz w:val="18"/>
          <w:szCs w:val="18"/>
          <w:lang w:eastAsia="en-US"/>
        </w:rPr>
        <w:t xml:space="preserve"> štatistická analýza sa neuskutočnila</w:t>
      </w:r>
    </w:p>
    <w:p w14:paraId="541A38FC" w14:textId="77777777" w:rsidR="009700E5" w:rsidRDefault="002C033C">
      <w:pPr>
        <w:jc w:val="both"/>
        <w:rPr>
          <w:sz w:val="18"/>
          <w:szCs w:val="18"/>
          <w:lang w:eastAsia="en-US"/>
        </w:rPr>
      </w:pPr>
      <w:r>
        <w:rPr>
          <w:sz w:val="18"/>
          <w:szCs w:val="18"/>
          <w:lang w:eastAsia="en-US"/>
        </w:rPr>
        <w:t>N/A</w:t>
      </w:r>
      <w:ins w:id="1423" w:author="Author" w:date="2025-07-21T10:17:00Z">
        <w:r>
          <w:rPr>
            <w:sz w:val="18"/>
            <w:szCs w:val="18"/>
            <w:lang w:eastAsia="en-US"/>
          </w:rPr>
          <w:t> </w:t>
        </w:r>
      </w:ins>
      <w:r>
        <w:rPr>
          <w:sz w:val="18"/>
          <w:szCs w:val="18"/>
          <w:lang w:eastAsia="en-US"/>
        </w:rPr>
        <w:t>=</w:t>
      </w:r>
      <w:ins w:id="1424" w:author="Author" w:date="2025-07-21T10:17:00Z">
        <w:r>
          <w:rPr>
            <w:sz w:val="18"/>
            <w:szCs w:val="18"/>
            <w:lang w:eastAsia="en-US"/>
          </w:rPr>
          <w:t> </w:t>
        </w:r>
      </w:ins>
      <w:del w:id="1425" w:author="Author" w:date="2025-07-21T10:17:00Z">
        <w:r>
          <w:rPr>
            <w:sz w:val="18"/>
            <w:szCs w:val="18"/>
            <w:lang w:eastAsia="en-US"/>
          </w:rPr>
          <w:delText xml:space="preserve"> </w:delText>
        </w:r>
      </w:del>
      <w:r>
        <w:rPr>
          <w:sz w:val="18"/>
          <w:szCs w:val="18"/>
          <w:lang w:eastAsia="en-US"/>
        </w:rPr>
        <w:t>nehodí sa</w:t>
      </w:r>
    </w:p>
    <w:p w14:paraId="0D08F52A" w14:textId="77777777" w:rsidR="009700E5" w:rsidRDefault="002C033C">
      <w:pPr>
        <w:jc w:val="both"/>
        <w:rPr>
          <w:sz w:val="18"/>
          <w:szCs w:val="18"/>
          <w:lang w:eastAsia="en-US"/>
        </w:rPr>
      </w:pPr>
      <w:r>
        <w:rPr>
          <w:sz w:val="18"/>
          <w:szCs w:val="18"/>
          <w:lang w:eastAsia="en-US"/>
        </w:rPr>
        <w:lastRenderedPageBreak/>
        <w:t>HR</w:t>
      </w:r>
      <w:ins w:id="1426" w:author="Author" w:date="2025-07-21T10:17:00Z">
        <w:r>
          <w:rPr>
            <w:sz w:val="18"/>
            <w:szCs w:val="18"/>
            <w:lang w:eastAsia="en-US"/>
          </w:rPr>
          <w:t> </w:t>
        </w:r>
      </w:ins>
      <w:del w:id="1427" w:author="Author" w:date="2025-07-21T10:17:00Z">
        <w:r>
          <w:rPr>
            <w:sz w:val="18"/>
            <w:szCs w:val="18"/>
            <w:lang w:eastAsia="en-US"/>
          </w:rPr>
          <w:delText xml:space="preserve"> </w:delText>
        </w:r>
      </w:del>
      <w:r>
        <w:rPr>
          <w:sz w:val="18"/>
          <w:szCs w:val="18"/>
          <w:lang w:eastAsia="en-US"/>
        </w:rPr>
        <w:t>=</w:t>
      </w:r>
      <w:ins w:id="1428" w:author="Author" w:date="2025-07-21T10:17:00Z">
        <w:r>
          <w:rPr>
            <w:sz w:val="18"/>
            <w:szCs w:val="18"/>
            <w:lang w:eastAsia="en-US"/>
          </w:rPr>
          <w:t> </w:t>
        </w:r>
      </w:ins>
      <w:del w:id="1429" w:author="Author" w:date="2025-07-21T10:17:00Z">
        <w:r>
          <w:rPr>
            <w:sz w:val="18"/>
            <w:szCs w:val="18"/>
            <w:lang w:eastAsia="en-US"/>
          </w:rPr>
          <w:delText xml:space="preserve"> </w:delText>
        </w:r>
      </w:del>
      <w:r>
        <w:rPr>
          <w:sz w:val="18"/>
          <w:szCs w:val="18"/>
          <w:lang w:eastAsia="en-US"/>
        </w:rPr>
        <w:t>pomer rizika</w:t>
      </w:r>
    </w:p>
    <w:p w14:paraId="2BB20907" w14:textId="77777777" w:rsidR="009700E5" w:rsidRDefault="002C033C">
      <w:pPr>
        <w:rPr>
          <w:sz w:val="18"/>
          <w:szCs w:val="18"/>
          <w:lang w:eastAsia="en-US"/>
        </w:rPr>
      </w:pPr>
      <w:r>
        <w:rPr>
          <w:sz w:val="18"/>
          <w:szCs w:val="18"/>
          <w:lang w:eastAsia="en-US"/>
        </w:rPr>
        <w:t>IS</w:t>
      </w:r>
      <w:ins w:id="1430" w:author="Author" w:date="2025-07-21T10:17:00Z">
        <w:r>
          <w:rPr>
            <w:sz w:val="18"/>
            <w:szCs w:val="18"/>
            <w:lang w:eastAsia="en-US"/>
          </w:rPr>
          <w:t> </w:t>
        </w:r>
      </w:ins>
      <w:del w:id="1431" w:author="Author" w:date="2025-07-21T10:17:00Z">
        <w:r>
          <w:rPr>
            <w:sz w:val="18"/>
            <w:szCs w:val="18"/>
            <w:lang w:eastAsia="en-US"/>
          </w:rPr>
          <w:delText xml:space="preserve"> </w:delText>
        </w:r>
      </w:del>
      <w:r>
        <w:rPr>
          <w:sz w:val="18"/>
          <w:szCs w:val="18"/>
          <w:lang w:eastAsia="en-US"/>
        </w:rPr>
        <w:t>=</w:t>
      </w:r>
      <w:ins w:id="1432" w:author="Author" w:date="2025-07-21T10:17:00Z">
        <w:r>
          <w:rPr>
            <w:sz w:val="18"/>
            <w:szCs w:val="18"/>
            <w:lang w:eastAsia="en-US"/>
          </w:rPr>
          <w:t> </w:t>
        </w:r>
      </w:ins>
      <w:del w:id="1433" w:author="Author" w:date="2025-07-21T10:17:00Z">
        <w:r>
          <w:rPr>
            <w:sz w:val="18"/>
            <w:szCs w:val="18"/>
            <w:lang w:eastAsia="en-US"/>
          </w:rPr>
          <w:delText xml:space="preserve"> </w:delText>
        </w:r>
      </w:del>
      <w:r>
        <w:rPr>
          <w:sz w:val="18"/>
          <w:szCs w:val="18"/>
          <w:lang w:eastAsia="en-US"/>
        </w:rPr>
        <w:t>interval spoľahlivosti</w:t>
      </w:r>
    </w:p>
    <w:p w14:paraId="681110EE" w14:textId="77777777" w:rsidR="009700E5" w:rsidRDefault="002C033C">
      <w:pPr>
        <w:rPr>
          <w:sz w:val="18"/>
          <w:szCs w:val="18"/>
          <w:lang w:eastAsia="en-US"/>
        </w:rPr>
      </w:pPr>
      <w:r>
        <w:rPr>
          <w:sz w:val="18"/>
          <w:szCs w:val="18"/>
          <w:lang w:eastAsia="en-US"/>
        </w:rPr>
        <w:t>s.c.</w:t>
      </w:r>
      <w:ins w:id="1434" w:author="Author" w:date="2025-07-21T10:17:00Z">
        <w:r>
          <w:rPr>
            <w:sz w:val="18"/>
            <w:szCs w:val="18"/>
            <w:lang w:eastAsia="en-US"/>
          </w:rPr>
          <w:t> </w:t>
        </w:r>
      </w:ins>
      <w:del w:id="1435" w:author="Author" w:date="2025-07-21T10:17:00Z">
        <w:r>
          <w:rPr>
            <w:sz w:val="18"/>
            <w:szCs w:val="18"/>
            <w:lang w:eastAsia="en-US"/>
          </w:rPr>
          <w:delText xml:space="preserve"> </w:delText>
        </w:r>
      </w:del>
      <w:r>
        <w:rPr>
          <w:sz w:val="18"/>
          <w:szCs w:val="18"/>
          <w:lang w:eastAsia="en-US"/>
        </w:rPr>
        <w:t>=</w:t>
      </w:r>
      <w:ins w:id="1436" w:author="Author" w:date="2025-07-21T10:17:00Z">
        <w:r>
          <w:rPr>
            <w:sz w:val="18"/>
            <w:szCs w:val="18"/>
            <w:lang w:eastAsia="en-US"/>
          </w:rPr>
          <w:t> </w:t>
        </w:r>
      </w:ins>
      <w:del w:id="1437" w:author="Author" w:date="2025-07-21T10:17:00Z">
        <w:r>
          <w:rPr>
            <w:sz w:val="18"/>
            <w:szCs w:val="18"/>
            <w:lang w:eastAsia="en-US"/>
          </w:rPr>
          <w:delText xml:space="preserve"> </w:delText>
        </w:r>
      </w:del>
      <w:r>
        <w:rPr>
          <w:sz w:val="18"/>
          <w:szCs w:val="18"/>
          <w:lang w:eastAsia="en-US"/>
        </w:rPr>
        <w:t>subkutánne</w:t>
      </w:r>
    </w:p>
    <w:p w14:paraId="71C36DEC" w14:textId="77777777" w:rsidR="009700E5" w:rsidRDefault="009700E5">
      <w:pPr>
        <w:rPr>
          <w:szCs w:val="22"/>
          <w:lang w:eastAsia="en-US"/>
        </w:rPr>
      </w:pPr>
    </w:p>
    <w:p w14:paraId="715CF36A" w14:textId="77777777" w:rsidR="009700E5" w:rsidRDefault="002C033C">
      <w:pPr>
        <w:keepNext/>
        <w:keepLines/>
        <w:spacing w:line="280" w:lineRule="atLeast"/>
        <w:jc w:val="both"/>
        <w:rPr>
          <w:i/>
          <w:szCs w:val="22"/>
          <w:u w:val="single"/>
          <w:lang w:eastAsia="de-DE"/>
        </w:rPr>
      </w:pPr>
      <w:r>
        <w:rPr>
          <w:i/>
          <w:szCs w:val="22"/>
          <w:u w:val="single"/>
          <w:lang w:eastAsia="de-DE"/>
        </w:rPr>
        <w:t>Výsledky týkajúce sa kvality života</w:t>
      </w:r>
    </w:p>
    <w:p w14:paraId="15F30CF1" w14:textId="77777777" w:rsidR="009700E5" w:rsidRDefault="002C033C">
      <w:pPr>
        <w:keepNext/>
        <w:keepLines/>
        <w:rPr>
          <w:lang w:eastAsia="de-DE"/>
        </w:rPr>
      </w:pPr>
      <w:r>
        <w:rPr>
          <w:lang w:eastAsia="de-DE"/>
        </w:rPr>
        <w:t>V</w:t>
      </w:r>
      <w:del w:id="1438" w:author="Author" w:date="2025-07-19T23:12:00Z">
        <w:r>
          <w:rPr>
            <w:lang w:eastAsia="de-DE"/>
          </w:rPr>
          <w:delText xml:space="preserve"> </w:delText>
        </w:r>
      </w:del>
      <w:ins w:id="1439" w:author="Author" w:date="2025-07-19T23:12:00Z">
        <w:r>
          <w:rPr>
            <w:lang w:eastAsia="de-DE"/>
          </w:rPr>
          <w:t> </w:t>
        </w:r>
      </w:ins>
      <w:r>
        <w:rPr>
          <w:lang w:eastAsia="de-DE"/>
        </w:rPr>
        <w:t>klinick</w:t>
      </w:r>
      <w:ins w:id="1440" w:author="Author" w:date="2025-07-19T23:12:00Z">
        <w:r>
          <w:rPr>
            <w:lang w:eastAsia="de-DE"/>
          </w:rPr>
          <w:t xml:space="preserve">om skúšaní </w:t>
        </w:r>
      </w:ins>
      <w:del w:id="1441" w:author="Author" w:date="2025-07-19T23:12:00Z">
        <w:r>
          <w:rPr>
            <w:lang w:eastAsia="de-DE"/>
          </w:rPr>
          <w:delText xml:space="preserve">ej štúdii </w:delText>
        </w:r>
      </w:del>
      <w:r>
        <w:rPr>
          <w:lang w:eastAsia="de-DE"/>
        </w:rPr>
        <w:t>WA28119 boli výsledky skóre SF</w:t>
      </w:r>
      <w:r>
        <w:rPr>
          <w:lang w:eastAsia="de-DE"/>
        </w:rPr>
        <w:noBreakHyphen/>
        <w:t>36 (skrátený formulár) rozdelené na fyzické (PCS) a mentálne (MCS) komponenty. Stredná zmena vo fyzických komponentoch východiskového stavu do 52. týždňa bola vyššia (preukázalo sa výraznejšie zlepšenie) v skupinách s tocilizumabom podávaným raz za týždeň [4,10] a každý druhý týždeň [2,76], ako v oboch skupinách s placebom [placebo + 26 týždňov; -0,28, placebo + 52 týždňov; -1,49], hoci štatisticky významný rozdiel (p=0,0024) sa pozoroval len v porovnaní skupiny s tocilizumabom podávaným raz za týždeň plus 26 týždňov postupného znižovania prednizónu a skupiny s placebom plus 52 týždňov postupného znižovania prednizónu (5,59; 99 % IS: 8,6; 10,32). V prípade mentálnych komponentov bola stredná zmena z východiskového stavu do 52. týždňa vyššia v skupinách s tocilizumabom podávaným raz za týždeň [7,28] a každé dva týždne [6,12], ako v skupine s placebom plus 52 týždňov postupného znižovania dávky prednizónu [2,84] (hoci rozdiely neboli štatisticky významné [týždenná hodnota p = 0,0252 pri podávaní raz za týždeň, p = 0,1468 pri podávaní každý druhý týždeň]) a podobná ako v skupine s placebom plus 26 týždňov postupného znižovania dávky prednizónu [6,67].</w:t>
      </w:r>
    </w:p>
    <w:p w14:paraId="28442E87" w14:textId="77777777" w:rsidR="009700E5" w:rsidRDefault="009700E5">
      <w:pPr>
        <w:rPr>
          <w:i/>
          <w:lang w:eastAsia="de-DE"/>
        </w:rPr>
      </w:pPr>
    </w:p>
    <w:p w14:paraId="5AB9B4A1" w14:textId="77777777" w:rsidR="009700E5" w:rsidRDefault="002C033C">
      <w:pPr>
        <w:rPr>
          <w:lang w:eastAsia="de-DE"/>
        </w:rPr>
      </w:pPr>
      <w:r>
        <w:rPr>
          <w:lang w:eastAsia="de-DE"/>
        </w:rPr>
        <w:t>Celkové hodnotenie aktivity ochorenia pacientom sa posudzovalo na vizuálnej analógovej škále (VAS, visual analogue scale) 0 </w:t>
      </w:r>
      <w:r>
        <w:rPr>
          <w:lang w:eastAsia="de-DE"/>
        </w:rPr>
        <w:noBreakHyphen/>
        <w:t> 100 mm. Stredná zmena v celkovej VAS pacienta bola z východiskového stavu do 52. týždňa nižšia (preukázalo sa výraznejšie zlepšenie) v oboch skupinách s tocilizumabom, podávaným raz za týždeň [-19,0] a každé dva týždne. [-25,3], ako v oboch skupinách s placebom [placebo + 26 týždňov -3,4, placebo + 52 týždňov -7,2], hoci len v skupine s tocilizumabom podávaným každé dva týždne plus 26 týždňov postupného znižovania dávky prednizónu sa preukázal štatisticky významný rozdiel oproti skupine s placebom [placebo + 26 týždňov p=0,0059, a placebo + 52 týždňov p = 0,0081].</w:t>
      </w:r>
    </w:p>
    <w:p w14:paraId="2153582F" w14:textId="77777777" w:rsidR="009700E5" w:rsidRDefault="009700E5">
      <w:pPr>
        <w:rPr>
          <w:lang w:eastAsia="de-DE"/>
        </w:rPr>
      </w:pPr>
    </w:p>
    <w:p w14:paraId="156AD8CC" w14:textId="77777777" w:rsidR="009700E5" w:rsidRDefault="002C033C">
      <w:pPr>
        <w:rPr>
          <w:lang w:eastAsia="de-DE"/>
        </w:rPr>
      </w:pPr>
      <w:r>
        <w:rPr>
          <w:lang w:eastAsia="de-DE"/>
        </w:rPr>
        <w:t>Skóre zmeny v stave únavy z východiskového stavu do 52. týždňa </w:t>
      </w:r>
      <w:r>
        <w:rPr>
          <w:lang w:eastAsia="de-DE"/>
        </w:rPr>
        <w:noBreakHyphen/>
        <w:t> FACIT (Funkčné hodnotenie liečby chronického ochorenia) sa vypočítalo pre všetky skupiny. Skóre strednej zmeny [SD] bolo nasledovné: tocilizumab podávaný raz za týždeň + 26 týždňov 5,61 [10,115], tocilizumab podávaný každý druhý týždeň + 26 týždňov 1,81 [8,836], placebo + 26 týždňov 0,26 [10,702], a placebo + 52 týždňov -1,63 [6,753].</w:t>
      </w:r>
    </w:p>
    <w:p w14:paraId="3F0BB5CB" w14:textId="77777777" w:rsidR="009700E5" w:rsidRDefault="009700E5">
      <w:pPr>
        <w:rPr>
          <w:lang w:eastAsia="de-DE"/>
        </w:rPr>
      </w:pPr>
    </w:p>
    <w:p w14:paraId="3F4A029D" w14:textId="77777777" w:rsidR="009700E5" w:rsidRDefault="002C033C">
      <w:pPr>
        <w:rPr>
          <w:lang w:eastAsia="de-DE"/>
        </w:rPr>
      </w:pPr>
      <w:r>
        <w:rPr>
          <w:lang w:eastAsia="de-DE"/>
        </w:rPr>
        <w:t>Zmeny v skóre EQ5D z východiskového stavu do 52. týždňa boli nasledovné: tocilizumab podávaný raz za týždeň + 26 týždňov 0,10 [0,198], tocilizumab podávaný každý druhý týždeň + 26 týždňov 0,05 [0,215], placebo + 26 týždňov 0,07 [0,293], a placebo + 52 týždňov -0,02 [0,159].</w:t>
      </w:r>
    </w:p>
    <w:p w14:paraId="15532105" w14:textId="77777777" w:rsidR="009700E5" w:rsidRDefault="009700E5">
      <w:pPr>
        <w:rPr>
          <w:lang w:eastAsia="de-DE"/>
        </w:rPr>
      </w:pPr>
    </w:p>
    <w:p w14:paraId="31268A71" w14:textId="77777777" w:rsidR="009700E5" w:rsidRDefault="002C033C">
      <w:r>
        <w:rPr>
          <w:lang w:eastAsia="de-DE"/>
        </w:rPr>
        <w:t>Vyššie skóre signalizuje zlepšenie v oboch hodnoteniach, FACIT</w:t>
      </w:r>
      <w:r>
        <w:rPr>
          <w:lang w:eastAsia="de-DE"/>
        </w:rPr>
        <w:noBreakHyphen/>
        <w:t>únava aj EQ5D.</w:t>
      </w:r>
    </w:p>
    <w:p w14:paraId="2E99F1C9" w14:textId="77777777" w:rsidR="009700E5" w:rsidRDefault="009700E5">
      <w:pPr>
        <w:numPr>
          <w:ilvl w:val="12"/>
          <w:numId w:val="0"/>
        </w:numPr>
        <w:ind w:right="-2"/>
      </w:pPr>
    </w:p>
    <w:p w14:paraId="62DD729A" w14:textId="77777777" w:rsidR="009700E5" w:rsidRDefault="002C033C">
      <w:pPr>
        <w:keepNext/>
        <w:keepLines/>
        <w:numPr>
          <w:ilvl w:val="12"/>
          <w:numId w:val="0"/>
        </w:numPr>
        <w:rPr>
          <w:iCs/>
          <w:u w:val="single"/>
        </w:rPr>
      </w:pPr>
      <w:r>
        <w:rPr>
          <w:iCs/>
          <w:u w:val="single"/>
        </w:rPr>
        <w:t>Intravenózne použitie</w:t>
      </w:r>
    </w:p>
    <w:p w14:paraId="64825BD4" w14:textId="77777777" w:rsidR="009700E5" w:rsidRDefault="002C033C">
      <w:pPr>
        <w:keepNext/>
        <w:keepLines/>
        <w:numPr>
          <w:ilvl w:val="12"/>
          <w:numId w:val="0"/>
        </w:numPr>
        <w:ind w:right="-2"/>
        <w:rPr>
          <w:ins w:id="1442" w:author="Author" w:date="2025-07-21T10:17:00Z"/>
          <w:bCs/>
        </w:rPr>
      </w:pPr>
      <w:r>
        <w:rPr>
          <w:bCs/>
        </w:rPr>
        <w:t>Pacienti s</w:t>
      </w:r>
      <w:del w:id="1443" w:author="Author" w:date="2025-07-21T10:17:00Z">
        <w:r>
          <w:rPr>
            <w:bCs/>
          </w:rPr>
          <w:delText> </w:delText>
        </w:r>
      </w:del>
      <w:ins w:id="1444" w:author="Author" w:date="2025-07-21T10:17:00Z">
        <w:r>
          <w:rPr>
            <w:bCs/>
          </w:rPr>
          <w:t> </w:t>
        </w:r>
      </w:ins>
      <w:r>
        <w:rPr>
          <w:bCs/>
        </w:rPr>
        <w:t>RA</w:t>
      </w:r>
    </w:p>
    <w:p w14:paraId="7809C4B4" w14:textId="77777777" w:rsidR="009700E5" w:rsidRDefault="009700E5">
      <w:pPr>
        <w:keepNext/>
        <w:keepLines/>
        <w:numPr>
          <w:ilvl w:val="12"/>
          <w:numId w:val="0"/>
        </w:numPr>
        <w:ind w:right="-2"/>
        <w:rPr>
          <w:bCs/>
        </w:rPr>
      </w:pPr>
    </w:p>
    <w:p w14:paraId="29CC34CA" w14:textId="77777777" w:rsidR="009700E5" w:rsidRDefault="002C033C">
      <w:pPr>
        <w:keepNext/>
        <w:keepLines/>
        <w:numPr>
          <w:ilvl w:val="12"/>
          <w:numId w:val="0"/>
        </w:numPr>
        <w:rPr>
          <w:i/>
          <w:u w:val="single"/>
        </w:rPr>
      </w:pPr>
      <w:r>
        <w:rPr>
          <w:i/>
          <w:u w:val="single"/>
        </w:rPr>
        <w:t>Klinická účinnosť</w:t>
      </w:r>
    </w:p>
    <w:p w14:paraId="1A11E58E" w14:textId="77777777" w:rsidR="009700E5" w:rsidRDefault="002C033C">
      <w:pPr>
        <w:numPr>
          <w:ilvl w:val="12"/>
          <w:numId w:val="0"/>
        </w:numPr>
      </w:pPr>
      <w:r>
        <w:t xml:space="preserve">Účinnosť </w:t>
      </w:r>
      <w:r>
        <w:rPr>
          <w:lang w:eastAsia="de-DE"/>
        </w:rPr>
        <w:t>tocilizumabu</w:t>
      </w:r>
      <w:r>
        <w:t xml:space="preserve"> v zmierňovaní prejavov a príznakov RA sa hodnotila v piatich randomizovaných, dvojito zaslepených, multicentrických skúšaniach. Do skúšaní I </w:t>
      </w:r>
      <w:r>
        <w:noBreakHyphen/>
        <w:t xml:space="preserve"> V boli zaradení pacienti vo veku </w:t>
      </w:r>
      <w:r>
        <w:sym w:font="Symbol" w:char="F0B3"/>
      </w:r>
      <w:r>
        <w:t> 18 rokov s aktívnou RA diagnostikovanou podľa kritérií American College of Rheumatology (ACR), ktorí mali pred začiatkom liečby minimálne osem bolestivých a šesť opuchnutých kĺbov.</w:t>
      </w:r>
    </w:p>
    <w:p w14:paraId="3BA02698" w14:textId="77777777" w:rsidR="009700E5" w:rsidRDefault="009700E5">
      <w:pPr>
        <w:numPr>
          <w:ilvl w:val="12"/>
          <w:numId w:val="0"/>
        </w:numPr>
        <w:ind w:right="-2"/>
      </w:pPr>
    </w:p>
    <w:p w14:paraId="09F55CEE" w14:textId="77777777" w:rsidR="009700E5" w:rsidRDefault="002C033C">
      <w:pPr>
        <w:numPr>
          <w:ilvl w:val="12"/>
          <w:numId w:val="0"/>
        </w:numPr>
        <w:ind w:right="-2"/>
      </w:pPr>
      <w:r>
        <w:t>V </w:t>
      </w:r>
      <w:del w:id="1445" w:author="Author" w:date="2025-07-19T23:13:00Z">
        <w:r>
          <w:delText>štúdii </w:delText>
        </w:r>
      </w:del>
      <w:ins w:id="1446" w:author="Author" w:date="2025-07-21T10:17:00Z">
        <w:r>
          <w:t xml:space="preserve">klinickom </w:t>
        </w:r>
      </w:ins>
      <w:ins w:id="1447" w:author="Author" w:date="2025-07-19T23:13:00Z">
        <w:r>
          <w:t>skúšaní </w:t>
        </w:r>
      </w:ins>
      <w:r>
        <w:t xml:space="preserve">I sa </w:t>
      </w:r>
      <w:r>
        <w:rPr>
          <w:lang w:eastAsia="de-DE"/>
        </w:rPr>
        <w:t>tocilizumab</w:t>
      </w:r>
      <w:r>
        <w:t xml:space="preserve"> podával intravenózne raz za štyri týždne v monoterapii. V skúšaniach II, III a V sa </w:t>
      </w:r>
      <w:r>
        <w:rPr>
          <w:lang w:eastAsia="de-DE"/>
        </w:rPr>
        <w:t>tocilizumab</w:t>
      </w:r>
      <w:r>
        <w:t xml:space="preserve"> podával intravenózne raz za štyri týždne v kombinácii s MTX, kontrolnú skupinu tvorilo placebo v kombinácii s MTX. V </w:t>
      </w:r>
      <w:del w:id="1448" w:author="Author" w:date="2025-07-19T23:13:00Z">
        <w:r>
          <w:delText>štúdii </w:delText>
        </w:r>
      </w:del>
      <w:ins w:id="1449" w:author="Author" w:date="2025-07-21T10:18:00Z">
        <w:r>
          <w:t xml:space="preserve">klinickom </w:t>
        </w:r>
      </w:ins>
      <w:ins w:id="1450" w:author="Author" w:date="2025-07-19T23:13:00Z">
        <w:r>
          <w:t>skúšaní </w:t>
        </w:r>
      </w:ins>
      <w:r>
        <w:t xml:space="preserve">IV sa </w:t>
      </w:r>
      <w:r>
        <w:rPr>
          <w:lang w:eastAsia="de-DE"/>
        </w:rPr>
        <w:t>tocilizumab</w:t>
      </w:r>
      <w:r>
        <w:t xml:space="preserve"> podával intravenózne raz za 4 týždne v kombinácii s inými DMARD, kontrolnú skupinu tvorilo placebo v kombinácii s inými DMARD. Primárny cieľový ukazovateľ pre každú z piatich skúšaní bol podiel pacientov, ktorí dosiahli odpoveď ACR 20 v 24. týždni.</w:t>
      </w:r>
    </w:p>
    <w:p w14:paraId="24FAC36B" w14:textId="77777777" w:rsidR="009700E5" w:rsidRDefault="009700E5">
      <w:pPr>
        <w:numPr>
          <w:ilvl w:val="12"/>
          <w:numId w:val="0"/>
        </w:numPr>
        <w:ind w:right="-2"/>
      </w:pPr>
    </w:p>
    <w:p w14:paraId="4327B91C" w14:textId="77777777" w:rsidR="009700E5" w:rsidRDefault="002C033C">
      <w:pPr>
        <w:keepNext/>
        <w:keepLines/>
        <w:numPr>
          <w:ilvl w:val="12"/>
          <w:numId w:val="0"/>
        </w:numPr>
      </w:pPr>
      <w:del w:id="1451" w:author="Author" w:date="2025-07-19T23:13:00Z">
        <w:r>
          <w:lastRenderedPageBreak/>
          <w:delText>Štúdia </w:delText>
        </w:r>
      </w:del>
      <w:ins w:id="1452" w:author="Author" w:date="2025-07-21T10:18:00Z">
        <w:r>
          <w:t xml:space="preserve">Klinické </w:t>
        </w:r>
      </w:ins>
      <w:ins w:id="1453" w:author="Author" w:date="2025-07-19T23:13:00Z">
        <w:del w:id="1454" w:author="Author" w:date="2025-07-21T10:18:00Z">
          <w:r>
            <w:delText>S</w:delText>
          </w:r>
        </w:del>
      </w:ins>
      <w:ins w:id="1455" w:author="Author" w:date="2025-07-21T10:18:00Z">
        <w:r>
          <w:t>s</w:t>
        </w:r>
      </w:ins>
      <w:ins w:id="1456" w:author="Author" w:date="2025-07-19T23:13:00Z">
        <w:r>
          <w:t>kúšanie </w:t>
        </w:r>
      </w:ins>
      <w:r>
        <w:t>I hodnotil</w:t>
      </w:r>
      <w:ins w:id="1457" w:author="Author" w:date="2025-07-19T23:14:00Z">
        <w:r>
          <w:t>o</w:t>
        </w:r>
      </w:ins>
      <w:del w:id="1458" w:author="Author" w:date="2025-07-19T23:14:00Z">
        <w:r>
          <w:delText>a</w:delText>
        </w:r>
      </w:del>
      <w:r>
        <w:t xml:space="preserve"> 673 pacientov, ktorí sa v priebehu šiestich mesiacov pred randomizáciou neliečili MTX a ktorí neprerušili predchádzajúcu liečbu MTX kvôli klinicky významným toxickým účinkom alebo nedostatočnej odpovedi na liečbu. Väčšina (67 %) pacientov sa MTX predtým neliečila. Dávky 8 mg/kg </w:t>
      </w:r>
      <w:r>
        <w:rPr>
          <w:lang w:eastAsia="de-DE"/>
        </w:rPr>
        <w:t>tocilizumabu</w:t>
      </w:r>
      <w:r>
        <w:t xml:space="preserve"> sa podávali raz za štyri týždne v monoterapii. Porovnávacia skupina dostávala MTX raz týždenne (dávka titrovaná od 7,5 mg na maximálne 20 mg týždenne počas osemtýždňového obdobia).</w:t>
      </w:r>
    </w:p>
    <w:p w14:paraId="65F54DD2" w14:textId="77777777" w:rsidR="009700E5" w:rsidRDefault="009700E5">
      <w:pPr>
        <w:numPr>
          <w:ilvl w:val="12"/>
          <w:numId w:val="0"/>
        </w:numPr>
        <w:ind w:right="-2"/>
      </w:pPr>
    </w:p>
    <w:p w14:paraId="0EB76BA6" w14:textId="77777777" w:rsidR="009700E5" w:rsidRDefault="002C033C">
      <w:pPr>
        <w:numPr>
          <w:ilvl w:val="12"/>
          <w:numId w:val="0"/>
        </w:numPr>
        <w:ind w:right="-2"/>
      </w:pPr>
      <w:del w:id="1459" w:author="Author" w:date="2025-07-19T23:14:00Z">
        <w:r>
          <w:delText>Štúdia </w:delText>
        </w:r>
      </w:del>
      <w:ins w:id="1460" w:author="Author" w:date="2025-07-21T10:18:00Z">
        <w:r>
          <w:t xml:space="preserve">Klinické </w:t>
        </w:r>
      </w:ins>
      <w:ins w:id="1461" w:author="Author" w:date="2025-07-19T23:14:00Z">
        <w:del w:id="1462" w:author="Author" w:date="2025-07-21T10:18:00Z">
          <w:r>
            <w:delText>S</w:delText>
          </w:r>
        </w:del>
      </w:ins>
      <w:ins w:id="1463" w:author="Author" w:date="2025-07-21T10:18:00Z">
        <w:r>
          <w:t>s</w:t>
        </w:r>
      </w:ins>
      <w:ins w:id="1464" w:author="Author" w:date="2025-07-19T23:14:00Z">
        <w:r>
          <w:t>kúšanie </w:t>
        </w:r>
      </w:ins>
      <w:r>
        <w:t>II, dvojročn</w:t>
      </w:r>
      <w:del w:id="1465" w:author="Author" w:date="2025-07-19T23:14:00Z">
        <w:r>
          <w:delText xml:space="preserve">á štúdia </w:delText>
        </w:r>
      </w:del>
      <w:ins w:id="1466" w:author="Author" w:date="2025-07-19T23:14:00Z">
        <w:r>
          <w:t xml:space="preserve">é klinické skúšanie </w:t>
        </w:r>
      </w:ins>
      <w:r>
        <w:t>s plánovanou analýzou v týždni 24., 52. a v týždni 104, hodnotil</w:t>
      </w:r>
      <w:ins w:id="1467" w:author="Author" w:date="2025-07-19T23:14:00Z">
        <w:r>
          <w:t>o</w:t>
        </w:r>
      </w:ins>
      <w:del w:id="1468" w:author="Author" w:date="2025-07-19T23:14:00Z">
        <w:r>
          <w:delText>a</w:delText>
        </w:r>
      </w:del>
      <w:r>
        <w:t xml:space="preserve"> 1 196 pacientov, ktorí nedosiahli dostatočnú klinickú odpoveď na MTX. Dávky 4 alebo 8 mg/kg </w:t>
      </w:r>
      <w:r>
        <w:rPr>
          <w:lang w:eastAsia="de-DE"/>
        </w:rPr>
        <w:t>tocilizumabu</w:t>
      </w:r>
      <w:r>
        <w:t xml:space="preserve"> alebo placeba sa podávali raz za štyri týždne v zaslepenej fáze liečby trvajúcej 52 týždňov v kombinácii so stabilnou dávkou MTX (10 mg až 25 mg týždenne). Po týždni 52 mohli všetci pacienti pokračovať v otvorenej fáze liečby </w:t>
      </w:r>
      <w:r>
        <w:rPr>
          <w:lang w:eastAsia="de-DE"/>
        </w:rPr>
        <w:t>tocilizumabom</w:t>
      </w:r>
      <w:r>
        <w:t xml:space="preserve"> v dávke 8 mg/kg. Z pacientov, ktorí dokončili </w:t>
      </w:r>
      <w:del w:id="1469" w:author="Author" w:date="2025-07-19T23:14:00Z">
        <w:r>
          <w:delText xml:space="preserve">štúdiu </w:delText>
        </w:r>
      </w:del>
      <w:ins w:id="1470" w:author="Author" w:date="2025-07-21T10:18:00Z">
        <w:r>
          <w:t xml:space="preserve">klinické </w:t>
        </w:r>
      </w:ins>
      <w:ins w:id="1471" w:author="Author" w:date="2025-07-19T23:14:00Z">
        <w:r>
          <w:t xml:space="preserve">skúšanie </w:t>
        </w:r>
      </w:ins>
      <w:r>
        <w:t xml:space="preserve">a ktorí boli pôvodne randomizovaní do skupiny s placebom + MTX, v 2. roku 86 % pacientov pokračovalo v otvorenej fáze liečby </w:t>
      </w:r>
      <w:r>
        <w:rPr>
          <w:lang w:eastAsia="de-DE"/>
        </w:rPr>
        <w:t>tocilizumabom</w:t>
      </w:r>
      <w:r>
        <w:t xml:space="preserve"> v dávke 8 mg/kg. Primárny cieľový ukazovateľ v 24. týždni bol podiel pacientov, ktorí dosiahli odpoveď ACR 20. V 52. a 104. týždni boli prevencia poškodenia kĺbu a zlepšenie fyzických funkcií pridružené ako primárne cieľové ukazovatele.</w:t>
      </w:r>
    </w:p>
    <w:p w14:paraId="2DA98A89" w14:textId="77777777" w:rsidR="009700E5" w:rsidRDefault="009700E5">
      <w:pPr>
        <w:numPr>
          <w:ilvl w:val="12"/>
          <w:numId w:val="0"/>
        </w:numPr>
        <w:ind w:right="-2"/>
      </w:pPr>
    </w:p>
    <w:p w14:paraId="5C346B55" w14:textId="77777777" w:rsidR="009700E5" w:rsidRDefault="002C033C">
      <w:pPr>
        <w:numPr>
          <w:ilvl w:val="12"/>
          <w:numId w:val="0"/>
        </w:numPr>
        <w:ind w:right="-2"/>
      </w:pPr>
      <w:del w:id="1472" w:author="Author" w:date="2025-07-19T23:14:00Z">
        <w:r>
          <w:delText>Štúdia </w:delText>
        </w:r>
      </w:del>
      <w:ins w:id="1473" w:author="Author" w:date="2025-07-21T10:18:00Z">
        <w:r>
          <w:t>Klinické s</w:t>
        </w:r>
      </w:ins>
      <w:ins w:id="1474" w:author="Author" w:date="2025-07-19T23:14:00Z">
        <w:del w:id="1475" w:author="Author" w:date="2025-07-21T10:18:00Z">
          <w:r>
            <w:delText>S</w:delText>
          </w:r>
        </w:del>
        <w:r>
          <w:t>kúšanie </w:t>
        </w:r>
      </w:ins>
      <w:r>
        <w:t>III hodnotil</w:t>
      </w:r>
      <w:ins w:id="1476" w:author="Author" w:date="2025-07-19T23:14:00Z">
        <w:r>
          <w:t>o</w:t>
        </w:r>
      </w:ins>
      <w:del w:id="1477" w:author="Author" w:date="2025-07-19T23:14:00Z">
        <w:r>
          <w:delText>a</w:delText>
        </w:r>
      </w:del>
      <w:r>
        <w:t xml:space="preserve"> 623 pacientov, ktorí nedosiahli dostatočnú klinickú odpoveď na MTX. Dávky 4 alebo 8 mg/kg </w:t>
      </w:r>
      <w:r>
        <w:rPr>
          <w:lang w:eastAsia="de-DE"/>
        </w:rPr>
        <w:t>tocilizumabu</w:t>
      </w:r>
      <w:r>
        <w:t xml:space="preserve"> alebo placeba sa podávali raz za štyri týždne v kombinácii so stabilnou dávkou MTX (10 mg až 25 mg týždenne).</w:t>
      </w:r>
    </w:p>
    <w:p w14:paraId="6206733E" w14:textId="77777777" w:rsidR="009700E5" w:rsidRDefault="009700E5">
      <w:pPr>
        <w:numPr>
          <w:ilvl w:val="12"/>
          <w:numId w:val="0"/>
        </w:numPr>
        <w:ind w:right="-2"/>
      </w:pPr>
    </w:p>
    <w:p w14:paraId="2C8009C9" w14:textId="77777777" w:rsidR="009700E5" w:rsidRDefault="002C033C">
      <w:pPr>
        <w:numPr>
          <w:ilvl w:val="12"/>
          <w:numId w:val="0"/>
        </w:numPr>
        <w:ind w:right="-2"/>
      </w:pPr>
      <w:del w:id="1478" w:author="Author" w:date="2025-07-19T23:14:00Z">
        <w:r>
          <w:delText>Štúdia </w:delText>
        </w:r>
      </w:del>
      <w:ins w:id="1479" w:author="Author" w:date="2025-07-21T10:18:00Z">
        <w:r>
          <w:t>Klinické s</w:t>
        </w:r>
      </w:ins>
      <w:ins w:id="1480" w:author="Author" w:date="2025-07-19T23:14:00Z">
        <w:del w:id="1481" w:author="Author" w:date="2025-07-21T10:18:00Z">
          <w:r>
            <w:delText>S</w:delText>
          </w:r>
        </w:del>
        <w:r>
          <w:t>kúšanie </w:t>
        </w:r>
      </w:ins>
      <w:r>
        <w:t>IV hodnotil</w:t>
      </w:r>
      <w:ins w:id="1482" w:author="Author" w:date="2025-07-19T23:14:00Z">
        <w:r>
          <w:t>o</w:t>
        </w:r>
      </w:ins>
      <w:del w:id="1483" w:author="Author" w:date="2025-07-19T23:14:00Z">
        <w:r>
          <w:delText>a</w:delText>
        </w:r>
      </w:del>
      <w:r>
        <w:t xml:space="preserve"> 1 220 pacientov, ktorí nedosiahli dostatočnú odpoveď na existujúcu reumatologickú liečbu zahŕňajúcu jedno alebo viaceré DMARD. Dávky 8 mg/kg </w:t>
      </w:r>
      <w:r>
        <w:rPr>
          <w:lang w:eastAsia="de-DE"/>
        </w:rPr>
        <w:t>tocilizumabu</w:t>
      </w:r>
      <w:r>
        <w:t xml:space="preserve"> alebo placeba sa podávali raz za štyri týždne v kombinácii so stabilnou dávkou DMARD.</w:t>
      </w:r>
    </w:p>
    <w:p w14:paraId="47042BF3" w14:textId="77777777" w:rsidR="009700E5" w:rsidRDefault="009700E5">
      <w:pPr>
        <w:numPr>
          <w:ilvl w:val="12"/>
          <w:numId w:val="0"/>
        </w:numPr>
        <w:ind w:right="-2"/>
      </w:pPr>
    </w:p>
    <w:p w14:paraId="0616F182" w14:textId="77777777" w:rsidR="009700E5" w:rsidRDefault="002C033C">
      <w:pPr>
        <w:numPr>
          <w:ilvl w:val="12"/>
          <w:numId w:val="0"/>
        </w:numPr>
        <w:ind w:right="-2"/>
      </w:pPr>
      <w:del w:id="1484" w:author="Author" w:date="2025-07-19T23:14:00Z">
        <w:r>
          <w:delText>Štúdia </w:delText>
        </w:r>
      </w:del>
      <w:ins w:id="1485" w:author="Author" w:date="2025-07-21T10:18:00Z">
        <w:r>
          <w:t>Klinické s</w:t>
        </w:r>
      </w:ins>
      <w:ins w:id="1486" w:author="Author" w:date="2025-07-19T23:14:00Z">
        <w:del w:id="1487" w:author="Author" w:date="2025-07-21T10:18:00Z">
          <w:r>
            <w:delText>S</w:delText>
          </w:r>
        </w:del>
        <w:r>
          <w:t>kúš</w:t>
        </w:r>
      </w:ins>
      <w:ins w:id="1488" w:author="Author" w:date="2025-07-19T23:15:00Z">
        <w:r>
          <w:t>anie</w:t>
        </w:r>
      </w:ins>
      <w:ins w:id="1489" w:author="Author" w:date="2025-07-19T23:14:00Z">
        <w:r>
          <w:t> </w:t>
        </w:r>
      </w:ins>
      <w:r>
        <w:t>V hodnotil</w:t>
      </w:r>
      <w:ins w:id="1490" w:author="Author" w:date="2025-07-19T23:15:00Z">
        <w:r>
          <w:t>o</w:t>
        </w:r>
      </w:ins>
      <w:del w:id="1491" w:author="Author" w:date="2025-07-19T23:15:00Z">
        <w:r>
          <w:delText>a</w:delText>
        </w:r>
      </w:del>
      <w:r>
        <w:t xml:space="preserve"> 499 pacientov, ktorí nedosiahli dostatočnú klinickú odpoveď na liečbu jedným alebo viacerými inhibítormi TNF, alebo ktorí takúto liečbu netolerovali. Liečba inhibítorom TNF sa pred randomizáciou ukončila. Dávky 4 alebo 8 mg/kg </w:t>
      </w:r>
      <w:r>
        <w:rPr>
          <w:lang w:eastAsia="de-DE"/>
        </w:rPr>
        <w:t>tocilizumabu</w:t>
      </w:r>
      <w:r>
        <w:t xml:space="preserve"> alebo placeba sa podávali raz za štyri týždne v kombinácii so stabilnou dávkou MTX (10 mg až 25 mg týždenne).</w:t>
      </w:r>
    </w:p>
    <w:p w14:paraId="393BAEBE" w14:textId="77777777" w:rsidR="009700E5" w:rsidRDefault="009700E5">
      <w:pPr>
        <w:numPr>
          <w:ilvl w:val="12"/>
          <w:numId w:val="0"/>
        </w:numPr>
        <w:ind w:right="-2"/>
      </w:pPr>
    </w:p>
    <w:p w14:paraId="41AB7070" w14:textId="77777777" w:rsidR="009700E5" w:rsidRDefault="002C033C">
      <w:pPr>
        <w:numPr>
          <w:ilvl w:val="12"/>
          <w:numId w:val="0"/>
        </w:numPr>
        <w:ind w:right="-2"/>
        <w:rPr>
          <w:i/>
          <w:iCs/>
          <w:u w:val="single"/>
        </w:rPr>
      </w:pPr>
      <w:r>
        <w:rPr>
          <w:i/>
          <w:iCs/>
          <w:u w:val="single"/>
        </w:rPr>
        <w:t>Klinická odpoveď</w:t>
      </w:r>
    </w:p>
    <w:p w14:paraId="6905421D" w14:textId="77777777" w:rsidR="009700E5" w:rsidRDefault="002C033C">
      <w:pPr>
        <w:numPr>
          <w:ilvl w:val="12"/>
          <w:numId w:val="0"/>
        </w:numPr>
        <w:ind w:right="-2"/>
        <w:rPr>
          <w:del w:id="1492" w:author="Author" w:date="2025-07-21T10:19:00Z"/>
        </w:rPr>
      </w:pPr>
      <w:r>
        <w:t xml:space="preserve">Vo všetkých skúšaniach mali pacienti liečení </w:t>
      </w:r>
      <w:r>
        <w:rPr>
          <w:lang w:eastAsia="de-DE"/>
        </w:rPr>
        <w:t>tocilizumabom</w:t>
      </w:r>
      <w:r>
        <w:t xml:space="preserve"> 8 mg/kg štatisticky významne vyššiu mieru odpovede ACR 20, 50, 70 po šiestich mesiacoch oproti kontrolnej skupine (tabuľka 5). V </w:t>
      </w:r>
      <w:del w:id="1493" w:author="Author" w:date="2025-07-19T23:15:00Z">
        <w:r>
          <w:delText>štúdii </w:delText>
        </w:r>
      </w:del>
      <w:ins w:id="1494" w:author="Author" w:date="2025-07-21T10:19:00Z">
        <w:r>
          <w:t xml:space="preserve">klinickom </w:t>
        </w:r>
      </w:ins>
      <w:ins w:id="1495" w:author="Author" w:date="2025-07-19T23:15:00Z">
        <w:r>
          <w:t>skúšaní </w:t>
        </w:r>
      </w:ins>
      <w:r>
        <w:t xml:space="preserve">I sa preukázala vyššia účinnosť </w:t>
      </w:r>
      <w:r>
        <w:rPr>
          <w:lang w:eastAsia="de-DE"/>
        </w:rPr>
        <w:t>tocilizumabu</w:t>
      </w:r>
      <w:r>
        <w:t xml:space="preserve"> 8 mg/kg oproti aktívnej porovnávacej látke </w:t>
      </w:r>
      <w:r>
        <w:noBreakHyphen/>
        <w:t> MTX.</w:t>
      </w:r>
    </w:p>
    <w:p w14:paraId="09C6530A" w14:textId="77777777" w:rsidR="009700E5" w:rsidRDefault="009700E5">
      <w:pPr>
        <w:numPr>
          <w:ilvl w:val="12"/>
          <w:numId w:val="0"/>
        </w:numPr>
        <w:ind w:right="-2"/>
        <w:rPr>
          <w:del w:id="1496" w:author="Author" w:date="2025-07-21T10:19:00Z"/>
        </w:rPr>
      </w:pPr>
    </w:p>
    <w:p w14:paraId="186C6DD1" w14:textId="77777777" w:rsidR="009700E5" w:rsidRDefault="002C033C">
      <w:pPr>
        <w:numPr>
          <w:ilvl w:val="12"/>
          <w:numId w:val="0"/>
        </w:numPr>
        <w:ind w:right="-2"/>
      </w:pPr>
      <w:r>
        <w:t xml:space="preserve">Účinok liečby bol u pacientov podobný nezávisle od prítomnosti reumatoidného faktora, veku, pohlavia, rasy, počtu predchádzajúcich terapií a stavu ochorenia. Účinok nastúpil rýchlo (už v 2. týždni) a stupeň odpovede sa počas liečby neustále zlepšoval. V predĺžených otvorených </w:t>
      </w:r>
      <w:ins w:id="1497" w:author="Author" w:date="2025-07-21T10:19:00Z">
        <w:r>
          <w:t xml:space="preserve">klinických </w:t>
        </w:r>
      </w:ins>
      <w:r>
        <w:t>skúšaniach I </w:t>
      </w:r>
      <w:r>
        <w:noBreakHyphen/>
        <w:t> V sa počas viac ako 3 rokov pozorovali neustále pretrvávajúce odpovede.</w:t>
      </w:r>
    </w:p>
    <w:p w14:paraId="12BDB3D6" w14:textId="77777777" w:rsidR="009700E5" w:rsidRDefault="009700E5">
      <w:pPr>
        <w:numPr>
          <w:ilvl w:val="12"/>
          <w:numId w:val="0"/>
        </w:numPr>
        <w:ind w:right="-2"/>
      </w:pPr>
    </w:p>
    <w:p w14:paraId="12A8C21B" w14:textId="77777777" w:rsidR="009700E5" w:rsidRDefault="002C033C">
      <w:pPr>
        <w:numPr>
          <w:ilvl w:val="12"/>
          <w:numId w:val="0"/>
        </w:numPr>
        <w:ind w:right="-2"/>
      </w:pPr>
      <w:r>
        <w:t xml:space="preserve">Vo všetkých skúšaniach sa u pacientov liečených </w:t>
      </w:r>
      <w:r>
        <w:rPr>
          <w:lang w:eastAsia="de-DE"/>
        </w:rPr>
        <w:t>tocilizumabom</w:t>
      </w:r>
      <w:r>
        <w:t xml:space="preserve"> 8 mg/kg oproti pacientom s placebom a MTX alebo inými DMARD zaznamenalo významné zlepšenie vo všetkých jednotlivých zložkách odpovede ACR zahŕňajúcich: počet bolestivých a opuchnutých kĺbov; celkové hodnotenie pacientmi a lekárom; skóre indexu funkčnej neschopnosti; hodnotenie bolesti a CRP.</w:t>
      </w:r>
    </w:p>
    <w:p w14:paraId="6F2B4379" w14:textId="77777777" w:rsidR="009700E5" w:rsidRDefault="009700E5">
      <w:pPr>
        <w:numPr>
          <w:ilvl w:val="12"/>
          <w:numId w:val="0"/>
        </w:numPr>
        <w:ind w:right="-2"/>
      </w:pPr>
    </w:p>
    <w:p w14:paraId="69C8659A" w14:textId="77777777" w:rsidR="009700E5" w:rsidRDefault="002C033C">
      <w:pPr>
        <w:numPr>
          <w:ilvl w:val="12"/>
          <w:numId w:val="0"/>
        </w:numPr>
      </w:pPr>
      <w:r>
        <w:t>Pacienti v</w:t>
      </w:r>
      <w:ins w:id="1498" w:author="Author" w:date="2025-07-21T10:19:00Z">
        <w:r>
          <w:t> klinických</w:t>
        </w:r>
      </w:ins>
      <w:del w:id="1499" w:author="Author" w:date="2025-07-21T10:19:00Z">
        <w:r>
          <w:delText xml:space="preserve"> </w:delText>
        </w:r>
      </w:del>
      <w:ins w:id="1500" w:author="Author" w:date="2025-07-21T11:30:00Z">
        <w:r>
          <w:t xml:space="preserve"> </w:t>
        </w:r>
      </w:ins>
      <w:r>
        <w:t>skúšaniach I </w:t>
      </w:r>
      <w:r>
        <w:noBreakHyphen/>
        <w:t> V mali pred začiatkom liečby priemerné skóre aktivity ochorenia (DAS28) 6,5 </w:t>
      </w:r>
      <w:r>
        <w:noBreakHyphen/>
        <w:t xml:space="preserve"> 6,8. U pacientov liečených </w:t>
      </w:r>
      <w:r>
        <w:rPr>
          <w:lang w:eastAsia="de-DE"/>
        </w:rPr>
        <w:t>tocilizumabom</w:t>
      </w:r>
      <w:r>
        <w:t xml:space="preserve"> sa v porovnaní s pacientmi v kontrolnej skupine (1,3 </w:t>
      </w:r>
      <w:r>
        <w:noBreakHyphen/>
        <w:t> 2,1) pozorovalo významné zníženie DAS28 oproti východiskovej hodnote (priemerné zlepšenie) o 3,1 </w:t>
      </w:r>
      <w:r>
        <w:noBreakHyphen/>
        <w:t> 3,4. Podiel pacientov, ktorí v 24. týždni dosiahli klinickú remisiu ochorenia podľa DAS28 (DAS28 </w:t>
      </w:r>
      <w:r>
        <w:rPr>
          <w:rFonts w:eastAsia="MS Mincho"/>
          <w:szCs w:val="22"/>
        </w:rPr>
        <w:sym w:font="Symbol" w:char="F03C"/>
      </w:r>
      <w:r>
        <w:t xml:space="preserve"> 2,6), bol významne vyšší u pacientov liečených </w:t>
      </w:r>
      <w:r>
        <w:rPr>
          <w:lang w:eastAsia="de-DE"/>
        </w:rPr>
        <w:t>tocilizumabom</w:t>
      </w:r>
      <w:r>
        <w:t xml:space="preserve"> (28 </w:t>
      </w:r>
      <w:r>
        <w:noBreakHyphen/>
        <w:t> 34 %) v porovnaní s 1 </w:t>
      </w:r>
      <w:r>
        <w:noBreakHyphen/>
        <w:t> 12 % pacientov v kontrolnej skupine. V </w:t>
      </w:r>
      <w:del w:id="1501" w:author="Author" w:date="2025-07-19T23:15:00Z">
        <w:r>
          <w:delText>štúdii </w:delText>
        </w:r>
      </w:del>
      <w:ins w:id="1502" w:author="Author" w:date="2025-07-21T10:19:00Z">
        <w:r>
          <w:t xml:space="preserve">klinickom </w:t>
        </w:r>
      </w:ins>
      <w:ins w:id="1503" w:author="Author" w:date="2025-07-19T23:15:00Z">
        <w:r>
          <w:t>skúšaní </w:t>
        </w:r>
      </w:ins>
      <w:r>
        <w:t>II dosiahlo 65 % pacientov DAS28 </w:t>
      </w:r>
      <w:r>
        <w:rPr>
          <w:rFonts w:eastAsia="MS Mincho"/>
          <w:szCs w:val="22"/>
        </w:rPr>
        <w:sym w:font="Symbol" w:char="F03C"/>
      </w:r>
      <w:r>
        <w:t> 2,6 v 104. týždni, v porovnaní so 48 % pacientov v 52. týždni a s 33 % pacientov v 24. týždni.</w:t>
      </w:r>
    </w:p>
    <w:p w14:paraId="47EEAD78" w14:textId="77777777" w:rsidR="009700E5" w:rsidRDefault="009700E5">
      <w:pPr>
        <w:numPr>
          <w:ilvl w:val="12"/>
          <w:numId w:val="0"/>
        </w:numPr>
        <w:ind w:right="-2"/>
      </w:pPr>
    </w:p>
    <w:p w14:paraId="2A81BD58" w14:textId="77777777" w:rsidR="009700E5" w:rsidRDefault="002C033C">
      <w:pPr>
        <w:keepNext/>
        <w:keepLines/>
        <w:numPr>
          <w:ilvl w:val="12"/>
          <w:numId w:val="0"/>
        </w:numPr>
      </w:pPr>
      <w:r>
        <w:lastRenderedPageBreak/>
        <w:t xml:space="preserve">V súhrnnej analýze </w:t>
      </w:r>
      <w:ins w:id="1504" w:author="Author" w:date="2025-07-21T10:19:00Z">
        <w:r>
          <w:t xml:space="preserve">klinických </w:t>
        </w:r>
      </w:ins>
      <w:r>
        <w:t>skúšaní II, III a IV bol podiel pacientov, ktorí dosiahli odpoveď ACR 20, 50 a 70 významne vyšší (59 % oproti 50 %, 37 % oproti 27 %, 18 % oproti 11 % v uvedenom poradí) v skupine liečenej tocilizumabom 8 mg/kg v kombinácii s DMARD oproti skupine liečenej tocilizumabom 4 mg/kg v kombinácii s DMARD (p </w:t>
      </w:r>
      <w:r>
        <w:rPr>
          <w:rFonts w:eastAsia="MS Mincho"/>
          <w:szCs w:val="22"/>
        </w:rPr>
        <w:sym w:font="Symbol" w:char="F03C"/>
      </w:r>
      <w:r>
        <w:t> 0,03). Podobne bol aj podiel pacientov, ktorí dosiahli remisiu ochorenia podľa DAS28 (DAS28 </w:t>
      </w:r>
      <w:r>
        <w:rPr>
          <w:rFonts w:eastAsia="MS Mincho"/>
          <w:szCs w:val="22"/>
        </w:rPr>
        <w:sym w:font="Symbol" w:char="F03C"/>
      </w:r>
      <w:r>
        <w:t> 2,6), významne vyšší (31 % oproti 16 %) u pacientov liečených tocilizumabom 8 mg/kg v kombinácii s DMARD než u pacientov liečených tocilizumabom 4 mg/kg v kombinácii s DMARD (p </w:t>
      </w:r>
      <w:r>
        <w:rPr>
          <w:rFonts w:eastAsia="MS Mincho"/>
          <w:szCs w:val="22"/>
        </w:rPr>
        <w:sym w:font="Symbol" w:char="F03C"/>
      </w:r>
      <w:r>
        <w:t> 0,0001).</w:t>
      </w:r>
    </w:p>
    <w:p w14:paraId="4E49B042" w14:textId="77777777" w:rsidR="009700E5" w:rsidRDefault="009700E5">
      <w:pPr>
        <w:numPr>
          <w:ilvl w:val="12"/>
          <w:numId w:val="0"/>
        </w:numPr>
        <w:ind w:right="-2"/>
      </w:pPr>
    </w:p>
    <w:p w14:paraId="7BFBC544" w14:textId="77777777" w:rsidR="009700E5" w:rsidRDefault="002C033C">
      <w:pPr>
        <w:keepNext/>
        <w:keepLines/>
        <w:numPr>
          <w:ilvl w:val="12"/>
          <w:numId w:val="0"/>
        </w:numPr>
        <w:ind w:left="1411" w:hanging="1411"/>
        <w:rPr>
          <w:bCs/>
          <w:i/>
        </w:rPr>
      </w:pPr>
      <w:r>
        <w:rPr>
          <w:bCs/>
          <w:i/>
        </w:rPr>
        <w:t>Tabuľka 5.Odpovede ACR v placebom/MTX/DMARD kontrolovaných skúšaniach (% pacientov)</w:t>
      </w:r>
    </w:p>
    <w:p w14:paraId="04CBB41F" w14:textId="77777777" w:rsidR="009700E5" w:rsidRDefault="009700E5">
      <w:pPr>
        <w:keepNext/>
        <w:keepLines/>
        <w:numPr>
          <w:ilvl w:val="12"/>
          <w:numId w:val="0"/>
        </w:numPr>
        <w:ind w:left="1411" w:hanging="1411"/>
        <w:rPr>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861"/>
        <w:gridCol w:w="684"/>
        <w:gridCol w:w="918"/>
        <w:gridCol w:w="793"/>
        <w:gridCol w:w="879"/>
        <w:gridCol w:w="794"/>
        <w:gridCol w:w="906"/>
        <w:gridCol w:w="957"/>
        <w:gridCol w:w="920"/>
        <w:gridCol w:w="792"/>
      </w:tblGrid>
      <w:tr w:rsidR="009700E5" w14:paraId="5756EF1C" w14:textId="77777777">
        <w:trPr>
          <w:cantSplit/>
          <w:trHeight w:val="463"/>
          <w:tblHeader/>
        </w:trPr>
        <w:tc>
          <w:tcPr>
            <w:tcW w:w="314" w:type="pct"/>
          </w:tcPr>
          <w:p w14:paraId="15C9CAD4" w14:textId="77777777" w:rsidR="009700E5" w:rsidRDefault="009700E5">
            <w:pPr>
              <w:keepNext/>
              <w:keepLines/>
              <w:numPr>
                <w:ilvl w:val="12"/>
                <w:numId w:val="0"/>
              </w:numPr>
              <w:ind w:right="-2"/>
              <w:jc w:val="center"/>
              <w:rPr>
                <w:sz w:val="18"/>
                <w:szCs w:val="18"/>
              </w:rPr>
            </w:pPr>
          </w:p>
        </w:tc>
        <w:tc>
          <w:tcPr>
            <w:tcW w:w="815" w:type="pct"/>
            <w:gridSpan w:val="2"/>
            <w:tcBorders>
              <w:bottom w:val="single" w:sz="4" w:space="0" w:color="auto"/>
            </w:tcBorders>
          </w:tcPr>
          <w:p w14:paraId="7976D804" w14:textId="77777777" w:rsidR="009700E5" w:rsidRDefault="002C033C">
            <w:pPr>
              <w:keepNext/>
              <w:keepLines/>
              <w:numPr>
                <w:ilvl w:val="12"/>
                <w:numId w:val="0"/>
              </w:numPr>
              <w:ind w:right="-2"/>
              <w:jc w:val="center"/>
              <w:rPr>
                <w:b/>
                <w:bCs/>
                <w:sz w:val="18"/>
                <w:szCs w:val="18"/>
              </w:rPr>
            </w:pPr>
            <w:del w:id="1505" w:author="Author" w:date="2025-07-19T23:15:00Z">
              <w:r>
                <w:rPr>
                  <w:b/>
                  <w:bCs/>
                  <w:sz w:val="18"/>
                  <w:szCs w:val="18"/>
                </w:rPr>
                <w:delText xml:space="preserve">Štúdia </w:delText>
              </w:r>
            </w:del>
            <w:ins w:id="1506" w:author="Author" w:date="2025-07-21T10:20:00Z">
              <w:r>
                <w:rPr>
                  <w:b/>
                  <w:bCs/>
                  <w:sz w:val="18"/>
                  <w:szCs w:val="18"/>
                </w:rPr>
                <w:t>Klinické s</w:t>
              </w:r>
            </w:ins>
            <w:ins w:id="1507" w:author="Author" w:date="2025-07-19T23:15:00Z">
              <w:del w:id="1508" w:author="Author" w:date="2025-07-21T10:20:00Z">
                <w:r>
                  <w:rPr>
                    <w:b/>
                    <w:bCs/>
                    <w:sz w:val="18"/>
                    <w:szCs w:val="18"/>
                  </w:rPr>
                  <w:delText>S</w:delText>
                </w:r>
              </w:del>
              <w:r>
                <w:rPr>
                  <w:b/>
                  <w:bCs/>
                  <w:sz w:val="18"/>
                  <w:szCs w:val="18"/>
                </w:rPr>
                <w:t xml:space="preserve">kúšanie </w:t>
              </w:r>
            </w:ins>
            <w:r>
              <w:rPr>
                <w:b/>
                <w:bCs/>
                <w:sz w:val="18"/>
                <w:szCs w:val="18"/>
              </w:rPr>
              <w:t>I</w:t>
            </w:r>
          </w:p>
          <w:p w14:paraId="5F4A09B6" w14:textId="77777777" w:rsidR="009700E5" w:rsidRDefault="002C033C">
            <w:pPr>
              <w:keepNext/>
              <w:keepLines/>
              <w:numPr>
                <w:ilvl w:val="12"/>
                <w:numId w:val="0"/>
              </w:numPr>
              <w:ind w:right="-2"/>
              <w:jc w:val="center"/>
              <w:rPr>
                <w:b/>
                <w:bCs/>
                <w:sz w:val="18"/>
                <w:szCs w:val="18"/>
              </w:rPr>
            </w:pPr>
            <w:r>
              <w:rPr>
                <w:b/>
                <w:bCs/>
                <w:sz w:val="18"/>
                <w:szCs w:val="18"/>
              </w:rPr>
              <w:t>AMBITION</w:t>
            </w:r>
          </w:p>
        </w:tc>
        <w:tc>
          <w:tcPr>
            <w:tcW w:w="957" w:type="pct"/>
            <w:gridSpan w:val="2"/>
            <w:tcBorders>
              <w:bottom w:val="single" w:sz="4" w:space="0" w:color="auto"/>
            </w:tcBorders>
          </w:tcPr>
          <w:p w14:paraId="3663797D" w14:textId="77777777" w:rsidR="009700E5" w:rsidRDefault="002C033C">
            <w:pPr>
              <w:keepNext/>
              <w:keepLines/>
              <w:numPr>
                <w:ilvl w:val="12"/>
                <w:numId w:val="0"/>
              </w:numPr>
              <w:ind w:right="-2"/>
              <w:jc w:val="center"/>
              <w:rPr>
                <w:b/>
                <w:bCs/>
                <w:sz w:val="18"/>
                <w:szCs w:val="18"/>
              </w:rPr>
            </w:pPr>
            <w:ins w:id="1509" w:author="Author" w:date="2025-07-21T10:20:00Z">
              <w:r>
                <w:rPr>
                  <w:b/>
                  <w:bCs/>
                  <w:sz w:val="18"/>
                  <w:szCs w:val="18"/>
                </w:rPr>
                <w:t>Klinické s</w:t>
              </w:r>
            </w:ins>
            <w:ins w:id="1510" w:author="Author" w:date="2025-07-19T23:15:00Z">
              <w:del w:id="1511" w:author="Author" w:date="2025-07-21T10:20:00Z">
                <w:r>
                  <w:rPr>
                    <w:b/>
                    <w:bCs/>
                    <w:sz w:val="18"/>
                    <w:szCs w:val="18"/>
                  </w:rPr>
                  <w:delText>S</w:delText>
                </w:r>
              </w:del>
              <w:r>
                <w:rPr>
                  <w:b/>
                  <w:bCs/>
                  <w:sz w:val="18"/>
                  <w:szCs w:val="18"/>
                </w:rPr>
                <w:t>kúšanie</w:t>
              </w:r>
            </w:ins>
            <w:del w:id="1512" w:author="Author" w:date="2025-07-19T23:15:00Z">
              <w:r>
                <w:rPr>
                  <w:b/>
                  <w:bCs/>
                  <w:sz w:val="18"/>
                  <w:szCs w:val="18"/>
                </w:rPr>
                <w:delText>Štúdia</w:delText>
              </w:r>
            </w:del>
            <w:r>
              <w:rPr>
                <w:b/>
                <w:bCs/>
                <w:sz w:val="18"/>
                <w:szCs w:val="18"/>
              </w:rPr>
              <w:t xml:space="preserve"> II</w:t>
            </w:r>
          </w:p>
          <w:p w14:paraId="2138793E" w14:textId="77777777" w:rsidR="009700E5" w:rsidRDefault="002C033C">
            <w:pPr>
              <w:keepNext/>
              <w:keepLines/>
              <w:numPr>
                <w:ilvl w:val="12"/>
                <w:numId w:val="0"/>
              </w:numPr>
              <w:ind w:right="-2"/>
              <w:jc w:val="center"/>
              <w:rPr>
                <w:sz w:val="18"/>
                <w:szCs w:val="18"/>
              </w:rPr>
            </w:pPr>
            <w:r>
              <w:rPr>
                <w:b/>
                <w:bCs/>
                <w:sz w:val="18"/>
                <w:szCs w:val="18"/>
              </w:rPr>
              <w:t>LITHE</w:t>
            </w:r>
          </w:p>
        </w:tc>
        <w:tc>
          <w:tcPr>
            <w:tcW w:w="934" w:type="pct"/>
            <w:gridSpan w:val="2"/>
            <w:tcBorders>
              <w:bottom w:val="single" w:sz="4" w:space="0" w:color="auto"/>
            </w:tcBorders>
          </w:tcPr>
          <w:p w14:paraId="0E900848" w14:textId="77777777" w:rsidR="009700E5" w:rsidRDefault="002C033C">
            <w:pPr>
              <w:keepNext/>
              <w:keepLines/>
              <w:numPr>
                <w:ilvl w:val="12"/>
                <w:numId w:val="0"/>
              </w:numPr>
              <w:ind w:right="-2"/>
              <w:jc w:val="center"/>
              <w:rPr>
                <w:b/>
                <w:bCs/>
                <w:sz w:val="18"/>
                <w:szCs w:val="18"/>
              </w:rPr>
            </w:pPr>
            <w:ins w:id="1513" w:author="Author" w:date="2025-07-21T10:20:00Z">
              <w:r>
                <w:rPr>
                  <w:b/>
                  <w:bCs/>
                  <w:sz w:val="18"/>
                  <w:szCs w:val="18"/>
                </w:rPr>
                <w:t>Klinické s</w:t>
              </w:r>
            </w:ins>
            <w:ins w:id="1514" w:author="Author" w:date="2025-07-19T23:15:00Z">
              <w:del w:id="1515" w:author="Author" w:date="2025-07-21T10:20:00Z">
                <w:r>
                  <w:rPr>
                    <w:b/>
                    <w:bCs/>
                    <w:sz w:val="18"/>
                    <w:szCs w:val="18"/>
                  </w:rPr>
                  <w:delText>S</w:delText>
                </w:r>
              </w:del>
              <w:r>
                <w:rPr>
                  <w:b/>
                  <w:bCs/>
                  <w:sz w:val="18"/>
                  <w:szCs w:val="18"/>
                </w:rPr>
                <w:t>kúšanie</w:t>
              </w:r>
            </w:ins>
            <w:del w:id="1516" w:author="Author" w:date="2025-07-19T23:15:00Z">
              <w:r>
                <w:rPr>
                  <w:b/>
                  <w:bCs/>
                  <w:sz w:val="18"/>
                  <w:szCs w:val="18"/>
                </w:rPr>
                <w:delText>Štúdia</w:delText>
              </w:r>
            </w:del>
            <w:r>
              <w:rPr>
                <w:b/>
                <w:bCs/>
                <w:sz w:val="18"/>
                <w:szCs w:val="18"/>
              </w:rPr>
              <w:t xml:space="preserve"> III</w:t>
            </w:r>
          </w:p>
          <w:p w14:paraId="469A73F1" w14:textId="77777777" w:rsidR="009700E5" w:rsidRDefault="002C033C">
            <w:pPr>
              <w:keepNext/>
              <w:keepLines/>
              <w:numPr>
                <w:ilvl w:val="12"/>
                <w:numId w:val="0"/>
              </w:numPr>
              <w:ind w:right="-2"/>
              <w:jc w:val="center"/>
              <w:rPr>
                <w:sz w:val="18"/>
                <w:szCs w:val="18"/>
              </w:rPr>
            </w:pPr>
            <w:r>
              <w:rPr>
                <w:b/>
                <w:bCs/>
                <w:sz w:val="18"/>
                <w:szCs w:val="18"/>
              </w:rPr>
              <w:t>OPTION</w:t>
            </w:r>
          </w:p>
        </w:tc>
        <w:tc>
          <w:tcPr>
            <w:tcW w:w="1022" w:type="pct"/>
            <w:gridSpan w:val="2"/>
            <w:tcBorders>
              <w:bottom w:val="single" w:sz="4" w:space="0" w:color="auto"/>
            </w:tcBorders>
          </w:tcPr>
          <w:p w14:paraId="2E5ED0D3" w14:textId="77777777" w:rsidR="009700E5" w:rsidRDefault="002C033C">
            <w:pPr>
              <w:keepNext/>
              <w:keepLines/>
              <w:numPr>
                <w:ilvl w:val="12"/>
                <w:numId w:val="0"/>
              </w:numPr>
              <w:ind w:right="-2"/>
              <w:jc w:val="center"/>
              <w:rPr>
                <w:b/>
                <w:bCs/>
                <w:sz w:val="18"/>
                <w:szCs w:val="18"/>
              </w:rPr>
            </w:pPr>
            <w:ins w:id="1517" w:author="Author" w:date="2025-07-21T10:20:00Z">
              <w:r>
                <w:rPr>
                  <w:b/>
                  <w:bCs/>
                  <w:sz w:val="18"/>
                  <w:szCs w:val="18"/>
                </w:rPr>
                <w:t>Klinické s</w:t>
              </w:r>
            </w:ins>
            <w:ins w:id="1518" w:author="Author" w:date="2025-07-19T23:15:00Z">
              <w:del w:id="1519" w:author="Author" w:date="2025-07-21T10:20:00Z">
                <w:r>
                  <w:rPr>
                    <w:b/>
                    <w:bCs/>
                    <w:sz w:val="18"/>
                    <w:szCs w:val="18"/>
                  </w:rPr>
                  <w:delText>S</w:delText>
                </w:r>
              </w:del>
              <w:r>
                <w:rPr>
                  <w:b/>
                  <w:bCs/>
                  <w:sz w:val="18"/>
                  <w:szCs w:val="18"/>
                </w:rPr>
                <w:t>kúšanie</w:t>
              </w:r>
            </w:ins>
            <w:del w:id="1520" w:author="Author" w:date="2025-07-19T23:15:00Z">
              <w:r>
                <w:rPr>
                  <w:b/>
                  <w:bCs/>
                  <w:sz w:val="18"/>
                  <w:szCs w:val="18"/>
                </w:rPr>
                <w:delText>Štúdia</w:delText>
              </w:r>
            </w:del>
            <w:r>
              <w:rPr>
                <w:b/>
                <w:bCs/>
                <w:sz w:val="18"/>
                <w:szCs w:val="18"/>
              </w:rPr>
              <w:t xml:space="preserve"> IV</w:t>
            </w:r>
          </w:p>
          <w:p w14:paraId="067DF431" w14:textId="77777777" w:rsidR="009700E5" w:rsidRDefault="002C033C">
            <w:pPr>
              <w:keepNext/>
              <w:keepLines/>
              <w:numPr>
                <w:ilvl w:val="12"/>
                <w:numId w:val="0"/>
              </w:numPr>
              <w:ind w:right="-2"/>
              <w:jc w:val="center"/>
              <w:rPr>
                <w:b/>
                <w:bCs/>
                <w:sz w:val="18"/>
                <w:szCs w:val="18"/>
              </w:rPr>
            </w:pPr>
            <w:r>
              <w:rPr>
                <w:b/>
                <w:bCs/>
                <w:sz w:val="18"/>
                <w:szCs w:val="18"/>
              </w:rPr>
              <w:t>TOWARD</w:t>
            </w:r>
          </w:p>
        </w:tc>
        <w:tc>
          <w:tcPr>
            <w:tcW w:w="957" w:type="pct"/>
            <w:gridSpan w:val="2"/>
            <w:tcBorders>
              <w:bottom w:val="single" w:sz="4" w:space="0" w:color="auto"/>
            </w:tcBorders>
          </w:tcPr>
          <w:p w14:paraId="290D9E7F" w14:textId="77777777" w:rsidR="009700E5" w:rsidRDefault="002C033C">
            <w:pPr>
              <w:keepNext/>
              <w:keepLines/>
              <w:numPr>
                <w:ilvl w:val="12"/>
                <w:numId w:val="0"/>
              </w:numPr>
              <w:ind w:right="-2"/>
              <w:jc w:val="center"/>
              <w:rPr>
                <w:b/>
                <w:bCs/>
                <w:sz w:val="18"/>
                <w:szCs w:val="18"/>
              </w:rPr>
            </w:pPr>
            <w:ins w:id="1521" w:author="Author" w:date="2025-07-21T10:20:00Z">
              <w:r>
                <w:rPr>
                  <w:b/>
                  <w:bCs/>
                  <w:sz w:val="18"/>
                  <w:szCs w:val="18"/>
                </w:rPr>
                <w:t>Klinické s</w:t>
              </w:r>
            </w:ins>
            <w:ins w:id="1522" w:author="Author" w:date="2025-07-19T23:15:00Z">
              <w:del w:id="1523" w:author="Author" w:date="2025-07-21T10:20:00Z">
                <w:r>
                  <w:rPr>
                    <w:b/>
                    <w:bCs/>
                    <w:sz w:val="18"/>
                    <w:szCs w:val="18"/>
                  </w:rPr>
                  <w:delText>S</w:delText>
                </w:r>
              </w:del>
              <w:r>
                <w:rPr>
                  <w:b/>
                  <w:bCs/>
                  <w:sz w:val="18"/>
                  <w:szCs w:val="18"/>
                </w:rPr>
                <w:t>kúšanie</w:t>
              </w:r>
            </w:ins>
            <w:del w:id="1524" w:author="Author" w:date="2025-07-19T23:15:00Z">
              <w:r>
                <w:rPr>
                  <w:b/>
                  <w:bCs/>
                  <w:sz w:val="18"/>
                  <w:szCs w:val="18"/>
                </w:rPr>
                <w:delText>Štúdia</w:delText>
              </w:r>
            </w:del>
            <w:r>
              <w:rPr>
                <w:b/>
                <w:bCs/>
                <w:sz w:val="18"/>
                <w:szCs w:val="18"/>
              </w:rPr>
              <w:t xml:space="preserve"> V</w:t>
            </w:r>
          </w:p>
          <w:p w14:paraId="0A862570" w14:textId="77777777" w:rsidR="009700E5" w:rsidRDefault="002C033C">
            <w:pPr>
              <w:keepNext/>
              <w:keepLines/>
              <w:numPr>
                <w:ilvl w:val="12"/>
                <w:numId w:val="0"/>
              </w:numPr>
              <w:ind w:right="-2"/>
              <w:jc w:val="center"/>
              <w:rPr>
                <w:b/>
                <w:bCs/>
                <w:sz w:val="18"/>
                <w:szCs w:val="18"/>
              </w:rPr>
            </w:pPr>
            <w:r>
              <w:rPr>
                <w:b/>
                <w:bCs/>
                <w:sz w:val="18"/>
                <w:szCs w:val="18"/>
              </w:rPr>
              <w:t>RADIATE</w:t>
            </w:r>
          </w:p>
        </w:tc>
      </w:tr>
      <w:tr w:rsidR="009700E5" w14:paraId="13C41CD3" w14:textId="77777777">
        <w:trPr>
          <w:cantSplit/>
          <w:trHeight w:val="737"/>
          <w:tblHeader/>
        </w:trPr>
        <w:tc>
          <w:tcPr>
            <w:tcW w:w="314" w:type="pct"/>
          </w:tcPr>
          <w:p w14:paraId="3D1FF291" w14:textId="77777777" w:rsidR="009700E5" w:rsidRDefault="002C033C">
            <w:pPr>
              <w:keepNext/>
              <w:keepLines/>
              <w:numPr>
                <w:ilvl w:val="12"/>
                <w:numId w:val="0"/>
              </w:numPr>
              <w:ind w:right="-2"/>
              <w:jc w:val="center"/>
              <w:rPr>
                <w:sz w:val="18"/>
                <w:szCs w:val="18"/>
              </w:rPr>
            </w:pPr>
            <w:r>
              <w:rPr>
                <w:sz w:val="18"/>
                <w:szCs w:val="18"/>
              </w:rPr>
              <w:t>týž-deň</w:t>
            </w:r>
          </w:p>
        </w:tc>
        <w:tc>
          <w:tcPr>
            <w:tcW w:w="460" w:type="pct"/>
            <w:tcBorders>
              <w:right w:val="single" w:sz="4" w:space="0" w:color="auto"/>
            </w:tcBorders>
          </w:tcPr>
          <w:p w14:paraId="0DA98603" w14:textId="77777777" w:rsidR="009700E5" w:rsidRDefault="002C033C">
            <w:pPr>
              <w:keepNext/>
              <w:keepLines/>
              <w:numPr>
                <w:ilvl w:val="12"/>
                <w:numId w:val="0"/>
              </w:numPr>
              <w:ind w:right="-2"/>
              <w:jc w:val="center"/>
              <w:rPr>
                <w:b/>
                <w:bCs/>
                <w:sz w:val="18"/>
                <w:szCs w:val="18"/>
              </w:rPr>
            </w:pPr>
            <w:r>
              <w:rPr>
                <w:b/>
                <w:bCs/>
                <w:sz w:val="18"/>
                <w:szCs w:val="18"/>
              </w:rPr>
              <w:t>TCZ</w:t>
            </w:r>
          </w:p>
          <w:p w14:paraId="3B86D2B1" w14:textId="77777777" w:rsidR="009700E5" w:rsidRDefault="002C033C">
            <w:pPr>
              <w:keepNext/>
              <w:keepLines/>
              <w:numPr>
                <w:ilvl w:val="12"/>
                <w:numId w:val="0"/>
              </w:numPr>
              <w:ind w:right="-2"/>
              <w:jc w:val="center"/>
              <w:rPr>
                <w:sz w:val="18"/>
                <w:szCs w:val="18"/>
              </w:rPr>
            </w:pPr>
            <w:r>
              <w:rPr>
                <w:b/>
                <w:bCs/>
                <w:sz w:val="18"/>
                <w:szCs w:val="18"/>
              </w:rPr>
              <w:t>8 mg/kg</w:t>
            </w:r>
          </w:p>
        </w:tc>
        <w:tc>
          <w:tcPr>
            <w:tcW w:w="355" w:type="pct"/>
            <w:tcBorders>
              <w:left w:val="single" w:sz="4" w:space="0" w:color="auto"/>
              <w:right w:val="single" w:sz="4" w:space="0" w:color="auto"/>
            </w:tcBorders>
          </w:tcPr>
          <w:p w14:paraId="3E4DB395" w14:textId="77777777" w:rsidR="009700E5" w:rsidRDefault="002C033C">
            <w:pPr>
              <w:keepNext/>
              <w:keepLines/>
              <w:numPr>
                <w:ilvl w:val="12"/>
                <w:numId w:val="0"/>
              </w:numPr>
              <w:ind w:right="-2"/>
              <w:jc w:val="center"/>
              <w:rPr>
                <w:sz w:val="18"/>
                <w:szCs w:val="18"/>
              </w:rPr>
            </w:pPr>
            <w:r>
              <w:rPr>
                <w:b/>
                <w:bCs/>
                <w:sz w:val="18"/>
                <w:szCs w:val="18"/>
              </w:rPr>
              <w:t>MTX</w:t>
            </w:r>
          </w:p>
        </w:tc>
        <w:tc>
          <w:tcPr>
            <w:tcW w:w="513" w:type="pct"/>
            <w:tcBorders>
              <w:left w:val="single" w:sz="4" w:space="0" w:color="auto"/>
              <w:right w:val="single" w:sz="4" w:space="0" w:color="auto"/>
            </w:tcBorders>
          </w:tcPr>
          <w:p w14:paraId="45EF2874" w14:textId="77777777" w:rsidR="009700E5" w:rsidRDefault="002C033C">
            <w:pPr>
              <w:keepNext/>
              <w:keepLines/>
              <w:numPr>
                <w:ilvl w:val="12"/>
                <w:numId w:val="0"/>
              </w:numPr>
              <w:ind w:right="-2"/>
              <w:jc w:val="center"/>
              <w:rPr>
                <w:b/>
                <w:bCs/>
                <w:sz w:val="18"/>
                <w:szCs w:val="18"/>
              </w:rPr>
            </w:pPr>
            <w:r>
              <w:rPr>
                <w:b/>
                <w:bCs/>
                <w:sz w:val="18"/>
                <w:szCs w:val="18"/>
              </w:rPr>
              <w:t>TCZ</w:t>
            </w:r>
          </w:p>
          <w:p w14:paraId="02EFD55E" w14:textId="77777777" w:rsidR="009700E5" w:rsidRDefault="002C033C">
            <w:pPr>
              <w:keepNext/>
              <w:keepLines/>
              <w:numPr>
                <w:ilvl w:val="12"/>
                <w:numId w:val="0"/>
              </w:numPr>
              <w:ind w:right="-2"/>
              <w:jc w:val="center"/>
              <w:rPr>
                <w:b/>
                <w:bCs/>
                <w:sz w:val="18"/>
                <w:szCs w:val="18"/>
              </w:rPr>
            </w:pPr>
            <w:r>
              <w:rPr>
                <w:b/>
                <w:bCs/>
                <w:sz w:val="18"/>
                <w:szCs w:val="18"/>
              </w:rPr>
              <w:t>8 mg/kg + MTX</w:t>
            </w:r>
          </w:p>
        </w:tc>
        <w:tc>
          <w:tcPr>
            <w:tcW w:w="444" w:type="pct"/>
            <w:tcBorders>
              <w:left w:val="single" w:sz="4" w:space="0" w:color="auto"/>
              <w:right w:val="single" w:sz="4" w:space="0" w:color="auto"/>
            </w:tcBorders>
          </w:tcPr>
          <w:p w14:paraId="45D927DA" w14:textId="77777777" w:rsidR="009700E5" w:rsidRDefault="002C033C">
            <w:pPr>
              <w:keepNext/>
              <w:keepLines/>
              <w:numPr>
                <w:ilvl w:val="12"/>
                <w:numId w:val="0"/>
              </w:numPr>
              <w:ind w:right="-2"/>
              <w:jc w:val="center"/>
              <w:rPr>
                <w:sz w:val="18"/>
                <w:szCs w:val="18"/>
              </w:rPr>
            </w:pPr>
            <w:r>
              <w:rPr>
                <w:b/>
                <w:bCs/>
                <w:sz w:val="18"/>
                <w:szCs w:val="18"/>
              </w:rPr>
              <w:t>PBO + MTX</w:t>
            </w:r>
          </w:p>
        </w:tc>
        <w:tc>
          <w:tcPr>
            <w:tcW w:w="491" w:type="pct"/>
            <w:tcBorders>
              <w:left w:val="single" w:sz="4" w:space="0" w:color="auto"/>
              <w:right w:val="single" w:sz="4" w:space="0" w:color="auto"/>
            </w:tcBorders>
          </w:tcPr>
          <w:p w14:paraId="36DAB296" w14:textId="77777777" w:rsidR="009700E5" w:rsidRDefault="002C033C">
            <w:pPr>
              <w:keepNext/>
              <w:keepLines/>
              <w:numPr>
                <w:ilvl w:val="12"/>
                <w:numId w:val="0"/>
              </w:numPr>
              <w:ind w:right="-2"/>
              <w:jc w:val="center"/>
              <w:rPr>
                <w:b/>
                <w:bCs/>
                <w:sz w:val="18"/>
                <w:szCs w:val="18"/>
              </w:rPr>
            </w:pPr>
            <w:r>
              <w:rPr>
                <w:b/>
                <w:bCs/>
                <w:sz w:val="18"/>
                <w:szCs w:val="18"/>
              </w:rPr>
              <w:t>TCZ</w:t>
            </w:r>
          </w:p>
          <w:p w14:paraId="7F01ED8B" w14:textId="77777777" w:rsidR="009700E5" w:rsidRDefault="002C033C">
            <w:pPr>
              <w:keepNext/>
              <w:keepLines/>
              <w:numPr>
                <w:ilvl w:val="12"/>
                <w:numId w:val="0"/>
              </w:numPr>
              <w:ind w:right="-2"/>
              <w:jc w:val="center"/>
              <w:rPr>
                <w:b/>
                <w:bCs/>
                <w:sz w:val="18"/>
                <w:szCs w:val="18"/>
              </w:rPr>
            </w:pPr>
            <w:r>
              <w:rPr>
                <w:b/>
                <w:bCs/>
                <w:sz w:val="18"/>
                <w:szCs w:val="18"/>
              </w:rPr>
              <w:t>8 mg/kg + MTX</w:t>
            </w:r>
          </w:p>
        </w:tc>
        <w:tc>
          <w:tcPr>
            <w:tcW w:w="444" w:type="pct"/>
            <w:tcBorders>
              <w:left w:val="single" w:sz="4" w:space="0" w:color="auto"/>
            </w:tcBorders>
          </w:tcPr>
          <w:p w14:paraId="0802F186" w14:textId="77777777" w:rsidR="009700E5" w:rsidRDefault="002C033C">
            <w:pPr>
              <w:keepNext/>
              <w:keepLines/>
              <w:numPr>
                <w:ilvl w:val="12"/>
                <w:numId w:val="0"/>
              </w:numPr>
              <w:ind w:right="-2"/>
              <w:jc w:val="center"/>
              <w:rPr>
                <w:b/>
                <w:bCs/>
                <w:sz w:val="18"/>
                <w:szCs w:val="18"/>
              </w:rPr>
            </w:pPr>
            <w:r>
              <w:rPr>
                <w:b/>
                <w:bCs/>
                <w:sz w:val="18"/>
                <w:szCs w:val="18"/>
              </w:rPr>
              <w:t>PBO + MTX</w:t>
            </w:r>
          </w:p>
        </w:tc>
        <w:tc>
          <w:tcPr>
            <w:tcW w:w="488" w:type="pct"/>
            <w:tcBorders>
              <w:left w:val="nil"/>
              <w:right w:val="single" w:sz="4" w:space="0" w:color="auto"/>
            </w:tcBorders>
          </w:tcPr>
          <w:p w14:paraId="73F85740" w14:textId="77777777" w:rsidR="009700E5" w:rsidRDefault="002C033C">
            <w:pPr>
              <w:keepNext/>
              <w:keepLines/>
              <w:numPr>
                <w:ilvl w:val="12"/>
                <w:numId w:val="0"/>
              </w:numPr>
              <w:ind w:right="-2"/>
              <w:jc w:val="center"/>
              <w:rPr>
                <w:b/>
                <w:bCs/>
                <w:sz w:val="18"/>
                <w:szCs w:val="18"/>
              </w:rPr>
            </w:pPr>
            <w:r>
              <w:rPr>
                <w:b/>
                <w:bCs/>
                <w:sz w:val="18"/>
                <w:szCs w:val="18"/>
              </w:rPr>
              <w:t>TCZ</w:t>
            </w:r>
          </w:p>
          <w:p w14:paraId="19382D96" w14:textId="77777777" w:rsidR="009700E5" w:rsidRDefault="002C033C">
            <w:pPr>
              <w:keepNext/>
              <w:keepLines/>
              <w:numPr>
                <w:ilvl w:val="12"/>
                <w:numId w:val="0"/>
              </w:numPr>
              <w:ind w:right="-2"/>
              <w:jc w:val="center"/>
              <w:rPr>
                <w:b/>
                <w:bCs/>
                <w:sz w:val="18"/>
                <w:szCs w:val="18"/>
              </w:rPr>
            </w:pPr>
            <w:r>
              <w:rPr>
                <w:b/>
                <w:bCs/>
                <w:sz w:val="18"/>
                <w:szCs w:val="18"/>
              </w:rPr>
              <w:t>8 mg/kg + DMARD</w:t>
            </w:r>
          </w:p>
        </w:tc>
        <w:tc>
          <w:tcPr>
            <w:tcW w:w="534" w:type="pct"/>
            <w:tcBorders>
              <w:left w:val="single" w:sz="4" w:space="0" w:color="auto"/>
            </w:tcBorders>
          </w:tcPr>
          <w:p w14:paraId="1B39865F" w14:textId="77777777" w:rsidR="009700E5" w:rsidRDefault="002C033C">
            <w:pPr>
              <w:keepNext/>
              <w:keepLines/>
              <w:numPr>
                <w:ilvl w:val="12"/>
                <w:numId w:val="0"/>
              </w:numPr>
              <w:ind w:right="-2"/>
              <w:jc w:val="center"/>
              <w:rPr>
                <w:b/>
                <w:bCs/>
                <w:sz w:val="18"/>
                <w:szCs w:val="18"/>
              </w:rPr>
            </w:pPr>
            <w:r>
              <w:rPr>
                <w:b/>
                <w:bCs/>
                <w:sz w:val="18"/>
                <w:szCs w:val="18"/>
              </w:rPr>
              <w:t>PBO + DMARD</w:t>
            </w:r>
          </w:p>
        </w:tc>
        <w:tc>
          <w:tcPr>
            <w:tcW w:w="514" w:type="pct"/>
            <w:tcBorders>
              <w:left w:val="nil"/>
              <w:right w:val="single" w:sz="4" w:space="0" w:color="auto"/>
            </w:tcBorders>
          </w:tcPr>
          <w:p w14:paraId="08E4AACE" w14:textId="77777777" w:rsidR="009700E5" w:rsidRDefault="002C033C">
            <w:pPr>
              <w:keepNext/>
              <w:keepLines/>
              <w:numPr>
                <w:ilvl w:val="12"/>
                <w:numId w:val="0"/>
              </w:numPr>
              <w:ind w:right="-2"/>
              <w:jc w:val="center"/>
              <w:rPr>
                <w:b/>
                <w:bCs/>
                <w:sz w:val="18"/>
                <w:szCs w:val="18"/>
              </w:rPr>
            </w:pPr>
            <w:r>
              <w:rPr>
                <w:b/>
                <w:bCs/>
                <w:sz w:val="18"/>
                <w:szCs w:val="18"/>
              </w:rPr>
              <w:t>TCZ 8 mg/kg + MTX</w:t>
            </w:r>
          </w:p>
        </w:tc>
        <w:tc>
          <w:tcPr>
            <w:tcW w:w="444" w:type="pct"/>
            <w:tcBorders>
              <w:left w:val="single" w:sz="4" w:space="0" w:color="auto"/>
            </w:tcBorders>
          </w:tcPr>
          <w:p w14:paraId="47794E78" w14:textId="77777777" w:rsidR="009700E5" w:rsidRDefault="002C033C">
            <w:pPr>
              <w:keepNext/>
              <w:keepLines/>
              <w:numPr>
                <w:ilvl w:val="12"/>
                <w:numId w:val="0"/>
              </w:numPr>
              <w:ind w:right="-2"/>
              <w:jc w:val="center"/>
              <w:rPr>
                <w:b/>
                <w:bCs/>
                <w:sz w:val="18"/>
                <w:szCs w:val="18"/>
              </w:rPr>
            </w:pPr>
            <w:r>
              <w:rPr>
                <w:b/>
                <w:bCs/>
                <w:sz w:val="18"/>
                <w:szCs w:val="18"/>
              </w:rPr>
              <w:t>PBO + MTX</w:t>
            </w:r>
            <w:r>
              <w:rPr>
                <w:b/>
                <w:bCs/>
                <w:sz w:val="18"/>
                <w:szCs w:val="18"/>
              </w:rPr>
              <w:br/>
            </w:r>
          </w:p>
        </w:tc>
      </w:tr>
      <w:tr w:rsidR="009700E5" w14:paraId="4D2E18B5" w14:textId="77777777">
        <w:trPr>
          <w:cantSplit/>
          <w:trHeight w:val="521"/>
          <w:tblHeader/>
        </w:trPr>
        <w:tc>
          <w:tcPr>
            <w:tcW w:w="314" w:type="pct"/>
          </w:tcPr>
          <w:p w14:paraId="65928C36" w14:textId="77777777" w:rsidR="009700E5" w:rsidRDefault="009700E5">
            <w:pPr>
              <w:keepNext/>
              <w:keepLines/>
              <w:numPr>
                <w:ilvl w:val="12"/>
                <w:numId w:val="0"/>
              </w:numPr>
              <w:ind w:right="-2"/>
              <w:jc w:val="center"/>
              <w:rPr>
                <w:b/>
                <w:bCs/>
                <w:sz w:val="18"/>
                <w:szCs w:val="18"/>
              </w:rPr>
            </w:pPr>
          </w:p>
        </w:tc>
        <w:tc>
          <w:tcPr>
            <w:tcW w:w="460" w:type="pct"/>
            <w:tcBorders>
              <w:right w:val="single" w:sz="4" w:space="0" w:color="auto"/>
            </w:tcBorders>
          </w:tcPr>
          <w:p w14:paraId="4219F159" w14:textId="77777777" w:rsidR="009700E5" w:rsidRDefault="002C033C">
            <w:pPr>
              <w:keepNext/>
              <w:keepLines/>
              <w:numPr>
                <w:ilvl w:val="12"/>
                <w:numId w:val="0"/>
              </w:numPr>
              <w:ind w:right="-2"/>
              <w:jc w:val="center"/>
              <w:rPr>
                <w:b/>
                <w:bCs/>
                <w:sz w:val="18"/>
                <w:szCs w:val="18"/>
              </w:rPr>
            </w:pPr>
            <w:del w:id="1525" w:author="Author" w:date="2025-07-19T23:15:00Z">
              <w:r>
                <w:rPr>
                  <w:b/>
                  <w:bCs/>
                  <w:sz w:val="18"/>
                  <w:szCs w:val="18"/>
                </w:rPr>
                <w:delText>N </w:delText>
              </w:r>
            </w:del>
            <w:ins w:id="1526" w:author="Author" w:date="2025-07-19T23:15:00Z">
              <w:r>
                <w:rPr>
                  <w:b/>
                  <w:bCs/>
                  <w:sz w:val="18"/>
                  <w:szCs w:val="18"/>
                </w:rPr>
                <w:t>n </w:t>
              </w:r>
            </w:ins>
            <w:r>
              <w:rPr>
                <w:b/>
                <w:bCs/>
                <w:sz w:val="18"/>
                <w:szCs w:val="18"/>
              </w:rPr>
              <w:t>= </w:t>
            </w:r>
          </w:p>
          <w:p w14:paraId="784CB53A" w14:textId="77777777" w:rsidR="009700E5" w:rsidRDefault="002C033C">
            <w:pPr>
              <w:keepNext/>
              <w:keepLines/>
              <w:numPr>
                <w:ilvl w:val="12"/>
                <w:numId w:val="0"/>
              </w:numPr>
              <w:ind w:right="-2"/>
              <w:jc w:val="center"/>
              <w:rPr>
                <w:b/>
                <w:bCs/>
                <w:sz w:val="18"/>
                <w:szCs w:val="18"/>
              </w:rPr>
            </w:pPr>
            <w:r>
              <w:rPr>
                <w:b/>
                <w:bCs/>
                <w:sz w:val="18"/>
                <w:szCs w:val="18"/>
              </w:rPr>
              <w:t>286</w:t>
            </w:r>
          </w:p>
        </w:tc>
        <w:tc>
          <w:tcPr>
            <w:tcW w:w="355" w:type="pct"/>
            <w:tcBorders>
              <w:left w:val="single" w:sz="4" w:space="0" w:color="auto"/>
              <w:right w:val="single" w:sz="4" w:space="0" w:color="auto"/>
            </w:tcBorders>
          </w:tcPr>
          <w:p w14:paraId="31D1605E" w14:textId="77777777" w:rsidR="009700E5" w:rsidRDefault="002C033C">
            <w:pPr>
              <w:keepNext/>
              <w:keepLines/>
              <w:numPr>
                <w:ilvl w:val="12"/>
                <w:numId w:val="0"/>
              </w:numPr>
              <w:ind w:right="-2"/>
              <w:jc w:val="center"/>
              <w:rPr>
                <w:b/>
                <w:bCs/>
                <w:sz w:val="18"/>
                <w:szCs w:val="18"/>
              </w:rPr>
            </w:pPr>
            <w:del w:id="1527" w:author="Author" w:date="2025-07-19T23:15:00Z">
              <w:r>
                <w:rPr>
                  <w:b/>
                  <w:bCs/>
                  <w:sz w:val="18"/>
                  <w:szCs w:val="18"/>
                </w:rPr>
                <w:delText>N </w:delText>
              </w:r>
            </w:del>
            <w:ins w:id="1528" w:author="Author" w:date="2025-07-19T23:15:00Z">
              <w:r>
                <w:rPr>
                  <w:b/>
                  <w:bCs/>
                  <w:sz w:val="18"/>
                  <w:szCs w:val="18"/>
                </w:rPr>
                <w:t>n </w:t>
              </w:r>
            </w:ins>
            <w:r>
              <w:rPr>
                <w:b/>
                <w:bCs/>
                <w:sz w:val="18"/>
                <w:szCs w:val="18"/>
              </w:rPr>
              <w:t>= </w:t>
            </w:r>
          </w:p>
          <w:p w14:paraId="486AB803" w14:textId="77777777" w:rsidR="009700E5" w:rsidRDefault="002C033C">
            <w:pPr>
              <w:keepNext/>
              <w:keepLines/>
              <w:numPr>
                <w:ilvl w:val="12"/>
                <w:numId w:val="0"/>
              </w:numPr>
              <w:ind w:right="-2"/>
              <w:jc w:val="center"/>
              <w:rPr>
                <w:b/>
                <w:bCs/>
                <w:sz w:val="18"/>
                <w:szCs w:val="18"/>
              </w:rPr>
            </w:pPr>
            <w:r>
              <w:rPr>
                <w:b/>
                <w:bCs/>
                <w:sz w:val="18"/>
                <w:szCs w:val="18"/>
              </w:rPr>
              <w:t>284</w:t>
            </w:r>
          </w:p>
        </w:tc>
        <w:tc>
          <w:tcPr>
            <w:tcW w:w="513" w:type="pct"/>
            <w:tcBorders>
              <w:left w:val="single" w:sz="4" w:space="0" w:color="auto"/>
              <w:right w:val="single" w:sz="4" w:space="0" w:color="auto"/>
            </w:tcBorders>
          </w:tcPr>
          <w:p w14:paraId="412217F7" w14:textId="77777777" w:rsidR="009700E5" w:rsidRDefault="002C033C">
            <w:pPr>
              <w:keepNext/>
              <w:keepLines/>
              <w:numPr>
                <w:ilvl w:val="12"/>
                <w:numId w:val="0"/>
              </w:numPr>
              <w:ind w:right="-2"/>
              <w:jc w:val="center"/>
              <w:rPr>
                <w:b/>
                <w:bCs/>
                <w:sz w:val="18"/>
                <w:szCs w:val="18"/>
              </w:rPr>
            </w:pPr>
            <w:del w:id="1529" w:author="Author" w:date="2025-07-19T23:16:00Z">
              <w:r>
                <w:rPr>
                  <w:b/>
                  <w:bCs/>
                  <w:sz w:val="18"/>
                  <w:szCs w:val="18"/>
                </w:rPr>
                <w:delText>N </w:delText>
              </w:r>
            </w:del>
            <w:ins w:id="1530" w:author="Author" w:date="2025-07-19T23:16:00Z">
              <w:r>
                <w:rPr>
                  <w:b/>
                  <w:bCs/>
                  <w:sz w:val="18"/>
                  <w:szCs w:val="18"/>
                </w:rPr>
                <w:t>n </w:t>
              </w:r>
            </w:ins>
            <w:r>
              <w:rPr>
                <w:b/>
                <w:bCs/>
                <w:sz w:val="18"/>
                <w:szCs w:val="18"/>
              </w:rPr>
              <w:t>= </w:t>
            </w:r>
          </w:p>
          <w:p w14:paraId="53FE4681" w14:textId="77777777" w:rsidR="009700E5" w:rsidRDefault="002C033C">
            <w:pPr>
              <w:keepNext/>
              <w:keepLines/>
              <w:numPr>
                <w:ilvl w:val="12"/>
                <w:numId w:val="0"/>
              </w:numPr>
              <w:ind w:right="-2"/>
              <w:jc w:val="center"/>
              <w:rPr>
                <w:b/>
                <w:bCs/>
                <w:sz w:val="18"/>
                <w:szCs w:val="18"/>
              </w:rPr>
            </w:pPr>
            <w:r>
              <w:rPr>
                <w:b/>
                <w:bCs/>
                <w:sz w:val="18"/>
                <w:szCs w:val="18"/>
              </w:rPr>
              <w:t>398</w:t>
            </w:r>
          </w:p>
        </w:tc>
        <w:tc>
          <w:tcPr>
            <w:tcW w:w="444" w:type="pct"/>
            <w:tcBorders>
              <w:left w:val="single" w:sz="4" w:space="0" w:color="auto"/>
              <w:right w:val="single" w:sz="4" w:space="0" w:color="auto"/>
            </w:tcBorders>
          </w:tcPr>
          <w:p w14:paraId="5CE3B2A8" w14:textId="77777777" w:rsidR="009700E5" w:rsidRDefault="002C033C">
            <w:pPr>
              <w:keepNext/>
              <w:keepLines/>
              <w:numPr>
                <w:ilvl w:val="12"/>
                <w:numId w:val="0"/>
              </w:numPr>
              <w:ind w:right="-2"/>
              <w:jc w:val="center"/>
              <w:rPr>
                <w:b/>
                <w:bCs/>
                <w:sz w:val="18"/>
                <w:szCs w:val="18"/>
              </w:rPr>
            </w:pPr>
            <w:del w:id="1531" w:author="Author" w:date="2025-07-19T23:16:00Z">
              <w:r>
                <w:rPr>
                  <w:b/>
                  <w:bCs/>
                  <w:sz w:val="18"/>
                  <w:szCs w:val="18"/>
                </w:rPr>
                <w:delText>N </w:delText>
              </w:r>
            </w:del>
            <w:ins w:id="1532" w:author="Author" w:date="2025-07-19T23:16:00Z">
              <w:r>
                <w:rPr>
                  <w:b/>
                  <w:bCs/>
                  <w:sz w:val="18"/>
                  <w:szCs w:val="18"/>
                </w:rPr>
                <w:t>n </w:t>
              </w:r>
            </w:ins>
            <w:r>
              <w:rPr>
                <w:b/>
                <w:bCs/>
                <w:sz w:val="18"/>
                <w:szCs w:val="18"/>
              </w:rPr>
              <w:t>= </w:t>
            </w:r>
          </w:p>
          <w:p w14:paraId="2649B12C" w14:textId="77777777" w:rsidR="009700E5" w:rsidRDefault="002C033C">
            <w:pPr>
              <w:keepNext/>
              <w:keepLines/>
              <w:numPr>
                <w:ilvl w:val="12"/>
                <w:numId w:val="0"/>
              </w:numPr>
              <w:ind w:right="-2"/>
              <w:jc w:val="center"/>
              <w:rPr>
                <w:b/>
                <w:bCs/>
                <w:sz w:val="18"/>
                <w:szCs w:val="18"/>
              </w:rPr>
            </w:pPr>
            <w:r>
              <w:rPr>
                <w:b/>
                <w:bCs/>
                <w:sz w:val="18"/>
                <w:szCs w:val="18"/>
              </w:rPr>
              <w:t>393</w:t>
            </w:r>
          </w:p>
        </w:tc>
        <w:tc>
          <w:tcPr>
            <w:tcW w:w="491" w:type="pct"/>
            <w:tcBorders>
              <w:left w:val="single" w:sz="4" w:space="0" w:color="auto"/>
              <w:right w:val="single" w:sz="4" w:space="0" w:color="auto"/>
            </w:tcBorders>
          </w:tcPr>
          <w:p w14:paraId="741EAC2A" w14:textId="77777777" w:rsidR="009700E5" w:rsidRDefault="002C033C">
            <w:pPr>
              <w:keepNext/>
              <w:keepLines/>
              <w:numPr>
                <w:ilvl w:val="12"/>
                <w:numId w:val="0"/>
              </w:numPr>
              <w:ind w:right="-2"/>
              <w:jc w:val="center"/>
              <w:rPr>
                <w:b/>
                <w:bCs/>
                <w:sz w:val="18"/>
                <w:szCs w:val="18"/>
              </w:rPr>
            </w:pPr>
            <w:del w:id="1533" w:author="Author" w:date="2025-07-19T23:16:00Z">
              <w:r>
                <w:rPr>
                  <w:b/>
                  <w:bCs/>
                  <w:sz w:val="18"/>
                  <w:szCs w:val="18"/>
                </w:rPr>
                <w:delText>N </w:delText>
              </w:r>
            </w:del>
            <w:ins w:id="1534" w:author="Author" w:date="2025-07-19T23:16:00Z">
              <w:r>
                <w:rPr>
                  <w:b/>
                  <w:bCs/>
                  <w:sz w:val="18"/>
                  <w:szCs w:val="18"/>
                </w:rPr>
                <w:t>n </w:t>
              </w:r>
            </w:ins>
            <w:r>
              <w:rPr>
                <w:b/>
                <w:bCs/>
                <w:sz w:val="18"/>
                <w:szCs w:val="18"/>
              </w:rPr>
              <w:t>= </w:t>
            </w:r>
          </w:p>
          <w:p w14:paraId="57BFB686" w14:textId="77777777" w:rsidR="009700E5" w:rsidRDefault="002C033C">
            <w:pPr>
              <w:keepNext/>
              <w:keepLines/>
              <w:numPr>
                <w:ilvl w:val="12"/>
                <w:numId w:val="0"/>
              </w:numPr>
              <w:ind w:right="-2"/>
              <w:jc w:val="center"/>
              <w:rPr>
                <w:b/>
                <w:bCs/>
                <w:sz w:val="18"/>
                <w:szCs w:val="18"/>
              </w:rPr>
            </w:pPr>
            <w:r>
              <w:rPr>
                <w:b/>
                <w:bCs/>
                <w:sz w:val="18"/>
                <w:szCs w:val="18"/>
              </w:rPr>
              <w:t>205</w:t>
            </w:r>
          </w:p>
        </w:tc>
        <w:tc>
          <w:tcPr>
            <w:tcW w:w="444" w:type="pct"/>
            <w:tcBorders>
              <w:left w:val="single" w:sz="4" w:space="0" w:color="auto"/>
            </w:tcBorders>
          </w:tcPr>
          <w:p w14:paraId="70CA28D7" w14:textId="77777777" w:rsidR="009700E5" w:rsidRDefault="002C033C">
            <w:pPr>
              <w:keepNext/>
              <w:keepLines/>
              <w:numPr>
                <w:ilvl w:val="12"/>
                <w:numId w:val="0"/>
              </w:numPr>
              <w:ind w:right="-2"/>
              <w:jc w:val="center"/>
              <w:rPr>
                <w:b/>
                <w:bCs/>
                <w:sz w:val="18"/>
                <w:szCs w:val="18"/>
              </w:rPr>
            </w:pPr>
            <w:del w:id="1535" w:author="Author" w:date="2025-07-19T23:16:00Z">
              <w:r>
                <w:rPr>
                  <w:b/>
                  <w:bCs/>
                  <w:sz w:val="18"/>
                  <w:szCs w:val="18"/>
                </w:rPr>
                <w:delText>N </w:delText>
              </w:r>
            </w:del>
            <w:ins w:id="1536" w:author="Author" w:date="2025-07-19T23:16:00Z">
              <w:r>
                <w:rPr>
                  <w:b/>
                  <w:bCs/>
                  <w:sz w:val="18"/>
                  <w:szCs w:val="18"/>
                </w:rPr>
                <w:t>n </w:t>
              </w:r>
            </w:ins>
            <w:r>
              <w:rPr>
                <w:b/>
                <w:bCs/>
                <w:sz w:val="18"/>
                <w:szCs w:val="18"/>
              </w:rPr>
              <w:t>= </w:t>
            </w:r>
          </w:p>
          <w:p w14:paraId="168DAB1B" w14:textId="77777777" w:rsidR="009700E5" w:rsidRDefault="002C033C">
            <w:pPr>
              <w:keepNext/>
              <w:keepLines/>
              <w:numPr>
                <w:ilvl w:val="12"/>
                <w:numId w:val="0"/>
              </w:numPr>
              <w:ind w:right="-2"/>
              <w:jc w:val="center"/>
              <w:rPr>
                <w:b/>
                <w:bCs/>
                <w:sz w:val="18"/>
                <w:szCs w:val="18"/>
              </w:rPr>
            </w:pPr>
            <w:r>
              <w:rPr>
                <w:b/>
                <w:bCs/>
                <w:sz w:val="18"/>
                <w:szCs w:val="18"/>
              </w:rPr>
              <w:t>204</w:t>
            </w:r>
          </w:p>
        </w:tc>
        <w:tc>
          <w:tcPr>
            <w:tcW w:w="488" w:type="pct"/>
            <w:tcBorders>
              <w:left w:val="nil"/>
              <w:right w:val="single" w:sz="4" w:space="0" w:color="auto"/>
            </w:tcBorders>
          </w:tcPr>
          <w:p w14:paraId="53E9ECF8" w14:textId="77777777" w:rsidR="009700E5" w:rsidRDefault="002C033C">
            <w:pPr>
              <w:keepNext/>
              <w:keepLines/>
              <w:numPr>
                <w:ilvl w:val="12"/>
                <w:numId w:val="0"/>
              </w:numPr>
              <w:ind w:right="-2"/>
              <w:jc w:val="center"/>
              <w:rPr>
                <w:b/>
                <w:bCs/>
                <w:sz w:val="18"/>
                <w:szCs w:val="18"/>
              </w:rPr>
            </w:pPr>
            <w:del w:id="1537" w:author="Author" w:date="2025-07-19T23:16:00Z">
              <w:r>
                <w:rPr>
                  <w:b/>
                  <w:bCs/>
                  <w:sz w:val="18"/>
                  <w:szCs w:val="18"/>
                </w:rPr>
                <w:delText>N </w:delText>
              </w:r>
            </w:del>
            <w:ins w:id="1538" w:author="Author" w:date="2025-07-19T23:16:00Z">
              <w:r>
                <w:rPr>
                  <w:b/>
                  <w:bCs/>
                  <w:sz w:val="18"/>
                  <w:szCs w:val="18"/>
                </w:rPr>
                <w:t>n </w:t>
              </w:r>
            </w:ins>
            <w:r>
              <w:rPr>
                <w:b/>
                <w:bCs/>
                <w:sz w:val="18"/>
                <w:szCs w:val="18"/>
              </w:rPr>
              <w:t>= </w:t>
            </w:r>
          </w:p>
          <w:p w14:paraId="5034CED8" w14:textId="77777777" w:rsidR="009700E5" w:rsidRDefault="002C033C">
            <w:pPr>
              <w:keepNext/>
              <w:keepLines/>
              <w:numPr>
                <w:ilvl w:val="12"/>
                <w:numId w:val="0"/>
              </w:numPr>
              <w:ind w:right="-2"/>
              <w:jc w:val="center"/>
              <w:rPr>
                <w:b/>
                <w:bCs/>
                <w:sz w:val="18"/>
                <w:szCs w:val="18"/>
              </w:rPr>
            </w:pPr>
            <w:r>
              <w:rPr>
                <w:b/>
                <w:bCs/>
                <w:sz w:val="18"/>
                <w:szCs w:val="18"/>
              </w:rPr>
              <w:t>803</w:t>
            </w:r>
          </w:p>
        </w:tc>
        <w:tc>
          <w:tcPr>
            <w:tcW w:w="534" w:type="pct"/>
            <w:tcBorders>
              <w:left w:val="single" w:sz="4" w:space="0" w:color="auto"/>
            </w:tcBorders>
          </w:tcPr>
          <w:p w14:paraId="14F00BC3" w14:textId="77777777" w:rsidR="009700E5" w:rsidRDefault="002C033C">
            <w:pPr>
              <w:keepNext/>
              <w:keepLines/>
              <w:numPr>
                <w:ilvl w:val="12"/>
                <w:numId w:val="0"/>
              </w:numPr>
              <w:ind w:right="-2"/>
              <w:jc w:val="center"/>
              <w:rPr>
                <w:b/>
                <w:bCs/>
                <w:sz w:val="18"/>
                <w:szCs w:val="18"/>
              </w:rPr>
            </w:pPr>
            <w:del w:id="1539" w:author="Author" w:date="2025-07-19T23:16:00Z">
              <w:r>
                <w:rPr>
                  <w:b/>
                  <w:bCs/>
                  <w:sz w:val="18"/>
                  <w:szCs w:val="18"/>
                </w:rPr>
                <w:delText>N </w:delText>
              </w:r>
            </w:del>
            <w:ins w:id="1540" w:author="Author" w:date="2025-07-19T23:16:00Z">
              <w:r>
                <w:rPr>
                  <w:b/>
                  <w:bCs/>
                  <w:sz w:val="18"/>
                  <w:szCs w:val="18"/>
                </w:rPr>
                <w:t>n </w:t>
              </w:r>
            </w:ins>
            <w:r>
              <w:rPr>
                <w:b/>
                <w:bCs/>
                <w:sz w:val="18"/>
                <w:szCs w:val="18"/>
              </w:rPr>
              <w:t>= </w:t>
            </w:r>
          </w:p>
          <w:p w14:paraId="580002C4" w14:textId="77777777" w:rsidR="009700E5" w:rsidRDefault="002C033C">
            <w:pPr>
              <w:keepNext/>
              <w:keepLines/>
              <w:numPr>
                <w:ilvl w:val="12"/>
                <w:numId w:val="0"/>
              </w:numPr>
              <w:ind w:right="-2"/>
              <w:jc w:val="center"/>
              <w:rPr>
                <w:b/>
                <w:bCs/>
                <w:sz w:val="18"/>
                <w:szCs w:val="18"/>
              </w:rPr>
            </w:pPr>
            <w:r>
              <w:rPr>
                <w:b/>
                <w:bCs/>
                <w:sz w:val="18"/>
                <w:szCs w:val="18"/>
              </w:rPr>
              <w:t>413</w:t>
            </w:r>
          </w:p>
        </w:tc>
        <w:tc>
          <w:tcPr>
            <w:tcW w:w="514" w:type="pct"/>
            <w:tcBorders>
              <w:left w:val="nil"/>
              <w:right w:val="single" w:sz="4" w:space="0" w:color="auto"/>
            </w:tcBorders>
          </w:tcPr>
          <w:p w14:paraId="13770B9F" w14:textId="77777777" w:rsidR="009700E5" w:rsidRDefault="002C033C">
            <w:pPr>
              <w:keepNext/>
              <w:keepLines/>
              <w:numPr>
                <w:ilvl w:val="12"/>
                <w:numId w:val="0"/>
              </w:numPr>
              <w:ind w:right="-2"/>
              <w:jc w:val="center"/>
              <w:rPr>
                <w:b/>
                <w:bCs/>
                <w:sz w:val="18"/>
                <w:szCs w:val="18"/>
              </w:rPr>
            </w:pPr>
            <w:del w:id="1541" w:author="Author" w:date="2025-07-19T23:16:00Z">
              <w:r>
                <w:rPr>
                  <w:b/>
                  <w:bCs/>
                  <w:sz w:val="18"/>
                  <w:szCs w:val="18"/>
                </w:rPr>
                <w:delText>N </w:delText>
              </w:r>
            </w:del>
            <w:ins w:id="1542" w:author="Author" w:date="2025-07-19T23:16:00Z">
              <w:r>
                <w:rPr>
                  <w:b/>
                  <w:bCs/>
                  <w:sz w:val="18"/>
                  <w:szCs w:val="18"/>
                </w:rPr>
                <w:t>n </w:t>
              </w:r>
            </w:ins>
            <w:r>
              <w:rPr>
                <w:b/>
                <w:bCs/>
                <w:sz w:val="18"/>
                <w:szCs w:val="18"/>
              </w:rPr>
              <w:t>= </w:t>
            </w:r>
          </w:p>
          <w:p w14:paraId="5905943F" w14:textId="77777777" w:rsidR="009700E5" w:rsidRDefault="002C033C">
            <w:pPr>
              <w:keepNext/>
              <w:keepLines/>
              <w:numPr>
                <w:ilvl w:val="12"/>
                <w:numId w:val="0"/>
              </w:numPr>
              <w:ind w:right="-2"/>
              <w:jc w:val="center"/>
              <w:rPr>
                <w:b/>
                <w:bCs/>
                <w:sz w:val="18"/>
                <w:szCs w:val="18"/>
              </w:rPr>
            </w:pPr>
            <w:r>
              <w:rPr>
                <w:b/>
                <w:bCs/>
                <w:sz w:val="18"/>
                <w:szCs w:val="18"/>
              </w:rPr>
              <w:t>170</w:t>
            </w:r>
          </w:p>
        </w:tc>
        <w:tc>
          <w:tcPr>
            <w:tcW w:w="444" w:type="pct"/>
            <w:tcBorders>
              <w:left w:val="single" w:sz="4" w:space="0" w:color="auto"/>
            </w:tcBorders>
          </w:tcPr>
          <w:p w14:paraId="46152BA6" w14:textId="77777777" w:rsidR="009700E5" w:rsidRDefault="002C033C">
            <w:pPr>
              <w:keepNext/>
              <w:keepLines/>
              <w:numPr>
                <w:ilvl w:val="12"/>
                <w:numId w:val="0"/>
              </w:numPr>
              <w:ind w:right="-2"/>
              <w:jc w:val="center"/>
              <w:rPr>
                <w:b/>
                <w:bCs/>
                <w:sz w:val="18"/>
                <w:szCs w:val="18"/>
              </w:rPr>
            </w:pPr>
            <w:del w:id="1543" w:author="Author" w:date="2025-07-19T23:16:00Z">
              <w:r>
                <w:rPr>
                  <w:b/>
                  <w:bCs/>
                  <w:sz w:val="18"/>
                  <w:szCs w:val="18"/>
                </w:rPr>
                <w:delText>N </w:delText>
              </w:r>
            </w:del>
            <w:ins w:id="1544" w:author="Author" w:date="2025-07-19T23:16:00Z">
              <w:r>
                <w:rPr>
                  <w:b/>
                  <w:bCs/>
                  <w:sz w:val="18"/>
                  <w:szCs w:val="18"/>
                </w:rPr>
                <w:t>n </w:t>
              </w:r>
            </w:ins>
            <w:r>
              <w:rPr>
                <w:b/>
                <w:bCs/>
                <w:sz w:val="18"/>
                <w:szCs w:val="18"/>
              </w:rPr>
              <w:t>= </w:t>
            </w:r>
          </w:p>
          <w:p w14:paraId="35385553" w14:textId="77777777" w:rsidR="009700E5" w:rsidRDefault="002C033C">
            <w:pPr>
              <w:keepNext/>
              <w:keepLines/>
              <w:numPr>
                <w:ilvl w:val="12"/>
                <w:numId w:val="0"/>
              </w:numPr>
              <w:ind w:right="-2"/>
              <w:jc w:val="center"/>
              <w:rPr>
                <w:b/>
                <w:bCs/>
                <w:sz w:val="18"/>
                <w:szCs w:val="18"/>
              </w:rPr>
            </w:pPr>
            <w:r>
              <w:rPr>
                <w:b/>
                <w:bCs/>
                <w:sz w:val="18"/>
                <w:szCs w:val="18"/>
              </w:rPr>
              <w:t>158</w:t>
            </w:r>
          </w:p>
        </w:tc>
      </w:tr>
      <w:tr w:rsidR="009700E5" w14:paraId="7336E6FB" w14:textId="77777777">
        <w:trPr>
          <w:cantSplit/>
        </w:trPr>
        <w:tc>
          <w:tcPr>
            <w:tcW w:w="5000" w:type="pct"/>
            <w:gridSpan w:val="11"/>
          </w:tcPr>
          <w:p w14:paraId="7C76C37F" w14:textId="77777777" w:rsidR="009700E5" w:rsidRDefault="002C033C">
            <w:pPr>
              <w:keepNext/>
              <w:keepLines/>
              <w:numPr>
                <w:ilvl w:val="12"/>
                <w:numId w:val="0"/>
              </w:numPr>
              <w:ind w:right="-2"/>
              <w:jc w:val="center"/>
              <w:rPr>
                <w:b/>
                <w:sz w:val="18"/>
                <w:szCs w:val="18"/>
              </w:rPr>
            </w:pPr>
            <w:r>
              <w:rPr>
                <w:b/>
                <w:sz w:val="18"/>
                <w:szCs w:val="18"/>
              </w:rPr>
              <w:t>ACR 20</w:t>
            </w:r>
          </w:p>
        </w:tc>
      </w:tr>
      <w:tr w:rsidR="009700E5" w14:paraId="79F8EA0D" w14:textId="77777777">
        <w:trPr>
          <w:cantSplit/>
        </w:trPr>
        <w:tc>
          <w:tcPr>
            <w:tcW w:w="314" w:type="pct"/>
            <w:tcBorders>
              <w:right w:val="single" w:sz="4" w:space="0" w:color="auto"/>
            </w:tcBorders>
          </w:tcPr>
          <w:p w14:paraId="1C48112A" w14:textId="77777777" w:rsidR="009700E5" w:rsidRDefault="002C033C">
            <w:pPr>
              <w:keepNext/>
              <w:keepLines/>
              <w:numPr>
                <w:ilvl w:val="12"/>
                <w:numId w:val="0"/>
              </w:numPr>
              <w:ind w:right="-2"/>
              <w:jc w:val="center"/>
              <w:rPr>
                <w:sz w:val="18"/>
                <w:szCs w:val="18"/>
              </w:rPr>
            </w:pPr>
            <w:r>
              <w:rPr>
                <w:sz w:val="18"/>
                <w:szCs w:val="18"/>
              </w:rPr>
              <w:t>24</w:t>
            </w:r>
          </w:p>
        </w:tc>
        <w:tc>
          <w:tcPr>
            <w:tcW w:w="460" w:type="pct"/>
            <w:tcBorders>
              <w:left w:val="single" w:sz="4" w:space="0" w:color="auto"/>
              <w:right w:val="single" w:sz="4" w:space="0" w:color="auto"/>
            </w:tcBorders>
          </w:tcPr>
          <w:p w14:paraId="13C733FB" w14:textId="77777777" w:rsidR="009700E5" w:rsidRDefault="002C033C">
            <w:pPr>
              <w:keepNext/>
              <w:keepLines/>
              <w:numPr>
                <w:ilvl w:val="12"/>
                <w:numId w:val="0"/>
              </w:numPr>
              <w:ind w:right="-2"/>
              <w:jc w:val="center"/>
              <w:rPr>
                <w:sz w:val="18"/>
                <w:szCs w:val="18"/>
              </w:rPr>
            </w:pPr>
            <w:r>
              <w:rPr>
                <w:sz w:val="18"/>
                <w:szCs w:val="18"/>
              </w:rPr>
              <w:t>70 %***</w:t>
            </w:r>
          </w:p>
        </w:tc>
        <w:tc>
          <w:tcPr>
            <w:tcW w:w="355" w:type="pct"/>
            <w:tcBorders>
              <w:left w:val="single" w:sz="4" w:space="0" w:color="auto"/>
              <w:right w:val="single" w:sz="4" w:space="0" w:color="auto"/>
            </w:tcBorders>
          </w:tcPr>
          <w:p w14:paraId="5C21CEBE" w14:textId="77777777" w:rsidR="009700E5" w:rsidRDefault="002C033C">
            <w:pPr>
              <w:keepNext/>
              <w:keepLines/>
              <w:numPr>
                <w:ilvl w:val="12"/>
                <w:numId w:val="0"/>
              </w:numPr>
              <w:ind w:right="-2"/>
              <w:jc w:val="center"/>
              <w:rPr>
                <w:sz w:val="18"/>
                <w:szCs w:val="18"/>
              </w:rPr>
            </w:pPr>
            <w:r>
              <w:rPr>
                <w:sz w:val="18"/>
                <w:szCs w:val="18"/>
              </w:rPr>
              <w:t>52 %</w:t>
            </w:r>
          </w:p>
        </w:tc>
        <w:tc>
          <w:tcPr>
            <w:tcW w:w="513" w:type="pct"/>
            <w:tcBorders>
              <w:left w:val="single" w:sz="4" w:space="0" w:color="auto"/>
              <w:right w:val="single" w:sz="4" w:space="0" w:color="auto"/>
            </w:tcBorders>
          </w:tcPr>
          <w:p w14:paraId="18052F75" w14:textId="77777777" w:rsidR="009700E5" w:rsidRDefault="002C033C">
            <w:pPr>
              <w:keepNext/>
              <w:keepLines/>
              <w:numPr>
                <w:ilvl w:val="12"/>
                <w:numId w:val="0"/>
              </w:numPr>
              <w:ind w:right="-2"/>
              <w:jc w:val="center"/>
              <w:rPr>
                <w:sz w:val="18"/>
                <w:szCs w:val="18"/>
              </w:rPr>
            </w:pPr>
            <w:r>
              <w:rPr>
                <w:sz w:val="18"/>
                <w:szCs w:val="18"/>
              </w:rPr>
              <w:t>56 %***</w:t>
            </w:r>
          </w:p>
        </w:tc>
        <w:tc>
          <w:tcPr>
            <w:tcW w:w="444" w:type="pct"/>
            <w:tcBorders>
              <w:left w:val="single" w:sz="4" w:space="0" w:color="auto"/>
              <w:right w:val="single" w:sz="4" w:space="0" w:color="auto"/>
            </w:tcBorders>
          </w:tcPr>
          <w:p w14:paraId="19FA6C94" w14:textId="77777777" w:rsidR="009700E5" w:rsidRDefault="002C033C">
            <w:pPr>
              <w:keepNext/>
              <w:keepLines/>
              <w:numPr>
                <w:ilvl w:val="12"/>
                <w:numId w:val="0"/>
              </w:numPr>
              <w:ind w:right="-2"/>
              <w:jc w:val="center"/>
              <w:rPr>
                <w:sz w:val="18"/>
                <w:szCs w:val="18"/>
              </w:rPr>
            </w:pPr>
            <w:r>
              <w:rPr>
                <w:sz w:val="18"/>
                <w:szCs w:val="18"/>
              </w:rPr>
              <w:t>27 %</w:t>
            </w:r>
          </w:p>
        </w:tc>
        <w:tc>
          <w:tcPr>
            <w:tcW w:w="491" w:type="pct"/>
            <w:tcBorders>
              <w:left w:val="single" w:sz="4" w:space="0" w:color="auto"/>
              <w:right w:val="single" w:sz="4" w:space="0" w:color="auto"/>
            </w:tcBorders>
          </w:tcPr>
          <w:p w14:paraId="372431C6" w14:textId="77777777" w:rsidR="009700E5" w:rsidRDefault="002C033C">
            <w:pPr>
              <w:keepNext/>
              <w:keepLines/>
              <w:numPr>
                <w:ilvl w:val="12"/>
                <w:numId w:val="0"/>
              </w:numPr>
              <w:ind w:right="-2"/>
              <w:jc w:val="center"/>
              <w:rPr>
                <w:sz w:val="18"/>
                <w:szCs w:val="18"/>
              </w:rPr>
            </w:pPr>
            <w:r>
              <w:rPr>
                <w:sz w:val="18"/>
                <w:szCs w:val="18"/>
              </w:rPr>
              <w:t>59 %***</w:t>
            </w:r>
          </w:p>
        </w:tc>
        <w:tc>
          <w:tcPr>
            <w:tcW w:w="444" w:type="pct"/>
            <w:tcBorders>
              <w:left w:val="single" w:sz="4" w:space="0" w:color="auto"/>
            </w:tcBorders>
          </w:tcPr>
          <w:p w14:paraId="029641C4" w14:textId="77777777" w:rsidR="009700E5" w:rsidRDefault="002C033C">
            <w:pPr>
              <w:keepNext/>
              <w:keepLines/>
              <w:numPr>
                <w:ilvl w:val="12"/>
                <w:numId w:val="0"/>
              </w:numPr>
              <w:ind w:right="-2"/>
              <w:jc w:val="center"/>
              <w:rPr>
                <w:sz w:val="18"/>
                <w:szCs w:val="18"/>
              </w:rPr>
            </w:pPr>
            <w:r>
              <w:rPr>
                <w:sz w:val="18"/>
                <w:szCs w:val="18"/>
              </w:rPr>
              <w:t>26 %</w:t>
            </w:r>
          </w:p>
        </w:tc>
        <w:tc>
          <w:tcPr>
            <w:tcW w:w="488" w:type="pct"/>
            <w:tcBorders>
              <w:left w:val="nil"/>
            </w:tcBorders>
          </w:tcPr>
          <w:p w14:paraId="59659E98" w14:textId="77777777" w:rsidR="009700E5" w:rsidRDefault="002C033C">
            <w:pPr>
              <w:keepNext/>
              <w:keepLines/>
              <w:numPr>
                <w:ilvl w:val="12"/>
                <w:numId w:val="0"/>
              </w:numPr>
              <w:ind w:right="-2"/>
              <w:jc w:val="center"/>
              <w:rPr>
                <w:sz w:val="18"/>
                <w:szCs w:val="18"/>
              </w:rPr>
            </w:pPr>
            <w:r>
              <w:rPr>
                <w:sz w:val="18"/>
                <w:szCs w:val="18"/>
              </w:rPr>
              <w:t>61 %***</w:t>
            </w:r>
          </w:p>
        </w:tc>
        <w:tc>
          <w:tcPr>
            <w:tcW w:w="534" w:type="pct"/>
            <w:tcBorders>
              <w:left w:val="nil"/>
            </w:tcBorders>
          </w:tcPr>
          <w:p w14:paraId="2A821560" w14:textId="77777777" w:rsidR="009700E5" w:rsidRDefault="002C033C">
            <w:pPr>
              <w:keepNext/>
              <w:keepLines/>
              <w:numPr>
                <w:ilvl w:val="12"/>
                <w:numId w:val="0"/>
              </w:numPr>
              <w:ind w:right="-2"/>
              <w:jc w:val="center"/>
              <w:rPr>
                <w:sz w:val="18"/>
                <w:szCs w:val="18"/>
              </w:rPr>
            </w:pPr>
            <w:r>
              <w:rPr>
                <w:sz w:val="18"/>
                <w:szCs w:val="18"/>
              </w:rPr>
              <w:t>24 %</w:t>
            </w:r>
          </w:p>
        </w:tc>
        <w:tc>
          <w:tcPr>
            <w:tcW w:w="514" w:type="pct"/>
            <w:tcBorders>
              <w:left w:val="nil"/>
            </w:tcBorders>
          </w:tcPr>
          <w:p w14:paraId="5B7ABA6C" w14:textId="77777777" w:rsidR="009700E5" w:rsidRDefault="002C033C">
            <w:pPr>
              <w:keepNext/>
              <w:keepLines/>
              <w:numPr>
                <w:ilvl w:val="12"/>
                <w:numId w:val="0"/>
              </w:numPr>
              <w:ind w:right="-2"/>
              <w:jc w:val="center"/>
              <w:rPr>
                <w:sz w:val="18"/>
                <w:szCs w:val="18"/>
              </w:rPr>
            </w:pPr>
            <w:r>
              <w:rPr>
                <w:sz w:val="18"/>
                <w:szCs w:val="18"/>
              </w:rPr>
              <w:t>50 %***</w:t>
            </w:r>
          </w:p>
        </w:tc>
        <w:tc>
          <w:tcPr>
            <w:tcW w:w="444" w:type="pct"/>
            <w:tcBorders>
              <w:left w:val="nil"/>
            </w:tcBorders>
          </w:tcPr>
          <w:p w14:paraId="0E4EA411" w14:textId="77777777" w:rsidR="009700E5" w:rsidRDefault="002C033C">
            <w:pPr>
              <w:keepNext/>
              <w:keepLines/>
              <w:numPr>
                <w:ilvl w:val="12"/>
                <w:numId w:val="0"/>
              </w:numPr>
              <w:ind w:right="-2"/>
              <w:jc w:val="center"/>
              <w:rPr>
                <w:sz w:val="18"/>
                <w:szCs w:val="18"/>
              </w:rPr>
            </w:pPr>
            <w:r>
              <w:rPr>
                <w:sz w:val="18"/>
                <w:szCs w:val="18"/>
              </w:rPr>
              <w:t>10 %</w:t>
            </w:r>
          </w:p>
        </w:tc>
      </w:tr>
      <w:tr w:rsidR="009700E5" w14:paraId="1BDD3BC9" w14:textId="77777777">
        <w:trPr>
          <w:cantSplit/>
        </w:trPr>
        <w:tc>
          <w:tcPr>
            <w:tcW w:w="314" w:type="pct"/>
            <w:tcBorders>
              <w:right w:val="single" w:sz="4" w:space="0" w:color="auto"/>
            </w:tcBorders>
          </w:tcPr>
          <w:p w14:paraId="5D37F8AC" w14:textId="77777777" w:rsidR="009700E5" w:rsidRDefault="002C033C">
            <w:pPr>
              <w:keepNext/>
              <w:keepLines/>
              <w:numPr>
                <w:ilvl w:val="12"/>
                <w:numId w:val="0"/>
              </w:numPr>
              <w:ind w:right="-2"/>
              <w:jc w:val="center"/>
              <w:rPr>
                <w:sz w:val="18"/>
                <w:szCs w:val="18"/>
              </w:rPr>
            </w:pPr>
            <w:r>
              <w:rPr>
                <w:sz w:val="18"/>
                <w:szCs w:val="18"/>
              </w:rPr>
              <w:t>52</w:t>
            </w:r>
          </w:p>
        </w:tc>
        <w:tc>
          <w:tcPr>
            <w:tcW w:w="460" w:type="pct"/>
            <w:tcBorders>
              <w:left w:val="single" w:sz="4" w:space="0" w:color="auto"/>
              <w:right w:val="single" w:sz="4" w:space="0" w:color="auto"/>
            </w:tcBorders>
          </w:tcPr>
          <w:p w14:paraId="474BB361" w14:textId="77777777" w:rsidR="009700E5" w:rsidRDefault="009700E5">
            <w:pPr>
              <w:keepNext/>
              <w:keepLines/>
              <w:numPr>
                <w:ilvl w:val="12"/>
                <w:numId w:val="0"/>
              </w:numPr>
              <w:ind w:right="-2"/>
              <w:jc w:val="center"/>
              <w:rPr>
                <w:sz w:val="18"/>
                <w:szCs w:val="18"/>
              </w:rPr>
            </w:pPr>
          </w:p>
        </w:tc>
        <w:tc>
          <w:tcPr>
            <w:tcW w:w="355" w:type="pct"/>
            <w:tcBorders>
              <w:left w:val="single" w:sz="4" w:space="0" w:color="auto"/>
              <w:right w:val="single" w:sz="4" w:space="0" w:color="auto"/>
            </w:tcBorders>
          </w:tcPr>
          <w:p w14:paraId="3E2D625C" w14:textId="77777777" w:rsidR="009700E5" w:rsidRDefault="009700E5">
            <w:pPr>
              <w:keepNext/>
              <w:keepLines/>
              <w:numPr>
                <w:ilvl w:val="12"/>
                <w:numId w:val="0"/>
              </w:numPr>
              <w:ind w:right="-2"/>
              <w:jc w:val="center"/>
              <w:rPr>
                <w:sz w:val="18"/>
                <w:szCs w:val="18"/>
              </w:rPr>
            </w:pPr>
          </w:p>
        </w:tc>
        <w:tc>
          <w:tcPr>
            <w:tcW w:w="513" w:type="pct"/>
            <w:tcBorders>
              <w:left w:val="single" w:sz="4" w:space="0" w:color="auto"/>
              <w:right w:val="single" w:sz="4" w:space="0" w:color="auto"/>
            </w:tcBorders>
          </w:tcPr>
          <w:p w14:paraId="6E234041" w14:textId="77777777" w:rsidR="009700E5" w:rsidRDefault="002C033C">
            <w:pPr>
              <w:keepNext/>
              <w:keepLines/>
              <w:numPr>
                <w:ilvl w:val="12"/>
                <w:numId w:val="0"/>
              </w:numPr>
              <w:ind w:right="-2"/>
              <w:jc w:val="center"/>
              <w:rPr>
                <w:sz w:val="18"/>
                <w:szCs w:val="18"/>
              </w:rPr>
            </w:pPr>
            <w:r>
              <w:rPr>
                <w:sz w:val="18"/>
                <w:szCs w:val="18"/>
              </w:rPr>
              <w:t>56 %***</w:t>
            </w:r>
          </w:p>
        </w:tc>
        <w:tc>
          <w:tcPr>
            <w:tcW w:w="444" w:type="pct"/>
            <w:tcBorders>
              <w:left w:val="single" w:sz="4" w:space="0" w:color="auto"/>
              <w:right w:val="single" w:sz="4" w:space="0" w:color="auto"/>
            </w:tcBorders>
          </w:tcPr>
          <w:p w14:paraId="5964FFD6" w14:textId="77777777" w:rsidR="009700E5" w:rsidRDefault="002C033C">
            <w:pPr>
              <w:keepNext/>
              <w:keepLines/>
              <w:numPr>
                <w:ilvl w:val="12"/>
                <w:numId w:val="0"/>
              </w:numPr>
              <w:ind w:right="-2"/>
              <w:jc w:val="center"/>
              <w:rPr>
                <w:sz w:val="18"/>
                <w:szCs w:val="18"/>
              </w:rPr>
            </w:pPr>
            <w:r>
              <w:rPr>
                <w:sz w:val="18"/>
                <w:szCs w:val="18"/>
              </w:rPr>
              <w:t>25 %</w:t>
            </w:r>
          </w:p>
        </w:tc>
        <w:tc>
          <w:tcPr>
            <w:tcW w:w="491" w:type="pct"/>
            <w:tcBorders>
              <w:left w:val="single" w:sz="4" w:space="0" w:color="auto"/>
              <w:right w:val="single" w:sz="4" w:space="0" w:color="auto"/>
            </w:tcBorders>
          </w:tcPr>
          <w:p w14:paraId="12B7A942" w14:textId="77777777" w:rsidR="009700E5" w:rsidRDefault="009700E5">
            <w:pPr>
              <w:keepNext/>
              <w:keepLines/>
              <w:numPr>
                <w:ilvl w:val="12"/>
                <w:numId w:val="0"/>
              </w:numPr>
              <w:ind w:right="-2"/>
              <w:jc w:val="center"/>
              <w:rPr>
                <w:sz w:val="18"/>
                <w:szCs w:val="18"/>
              </w:rPr>
            </w:pPr>
          </w:p>
        </w:tc>
        <w:tc>
          <w:tcPr>
            <w:tcW w:w="444" w:type="pct"/>
            <w:tcBorders>
              <w:left w:val="single" w:sz="4" w:space="0" w:color="auto"/>
            </w:tcBorders>
          </w:tcPr>
          <w:p w14:paraId="2AE50DC3" w14:textId="77777777" w:rsidR="009700E5" w:rsidRDefault="009700E5">
            <w:pPr>
              <w:keepNext/>
              <w:keepLines/>
              <w:numPr>
                <w:ilvl w:val="12"/>
                <w:numId w:val="0"/>
              </w:numPr>
              <w:ind w:right="-2"/>
              <w:jc w:val="center"/>
              <w:rPr>
                <w:sz w:val="18"/>
                <w:szCs w:val="18"/>
              </w:rPr>
            </w:pPr>
          </w:p>
        </w:tc>
        <w:tc>
          <w:tcPr>
            <w:tcW w:w="488" w:type="pct"/>
            <w:tcBorders>
              <w:left w:val="nil"/>
            </w:tcBorders>
          </w:tcPr>
          <w:p w14:paraId="304DC1F1" w14:textId="77777777" w:rsidR="009700E5" w:rsidRDefault="009700E5">
            <w:pPr>
              <w:keepNext/>
              <w:keepLines/>
              <w:numPr>
                <w:ilvl w:val="12"/>
                <w:numId w:val="0"/>
              </w:numPr>
              <w:ind w:right="-2"/>
              <w:jc w:val="center"/>
              <w:rPr>
                <w:sz w:val="18"/>
                <w:szCs w:val="18"/>
              </w:rPr>
            </w:pPr>
          </w:p>
        </w:tc>
        <w:tc>
          <w:tcPr>
            <w:tcW w:w="534" w:type="pct"/>
            <w:tcBorders>
              <w:left w:val="nil"/>
            </w:tcBorders>
          </w:tcPr>
          <w:p w14:paraId="3215F4B2" w14:textId="77777777" w:rsidR="009700E5" w:rsidRDefault="009700E5">
            <w:pPr>
              <w:keepNext/>
              <w:keepLines/>
              <w:numPr>
                <w:ilvl w:val="12"/>
                <w:numId w:val="0"/>
              </w:numPr>
              <w:ind w:right="-2"/>
              <w:jc w:val="center"/>
              <w:rPr>
                <w:sz w:val="18"/>
                <w:szCs w:val="18"/>
              </w:rPr>
            </w:pPr>
          </w:p>
        </w:tc>
        <w:tc>
          <w:tcPr>
            <w:tcW w:w="514" w:type="pct"/>
            <w:tcBorders>
              <w:left w:val="nil"/>
            </w:tcBorders>
          </w:tcPr>
          <w:p w14:paraId="0F5928B5" w14:textId="77777777" w:rsidR="009700E5" w:rsidRDefault="009700E5">
            <w:pPr>
              <w:keepNext/>
              <w:keepLines/>
              <w:numPr>
                <w:ilvl w:val="12"/>
                <w:numId w:val="0"/>
              </w:numPr>
              <w:ind w:right="-2"/>
              <w:jc w:val="center"/>
              <w:rPr>
                <w:sz w:val="18"/>
                <w:szCs w:val="18"/>
              </w:rPr>
            </w:pPr>
          </w:p>
        </w:tc>
        <w:tc>
          <w:tcPr>
            <w:tcW w:w="444" w:type="pct"/>
            <w:tcBorders>
              <w:left w:val="nil"/>
            </w:tcBorders>
          </w:tcPr>
          <w:p w14:paraId="6A7B6BA3" w14:textId="77777777" w:rsidR="009700E5" w:rsidRDefault="009700E5">
            <w:pPr>
              <w:keepNext/>
              <w:keepLines/>
              <w:numPr>
                <w:ilvl w:val="12"/>
                <w:numId w:val="0"/>
              </w:numPr>
              <w:ind w:right="-2"/>
              <w:jc w:val="center"/>
              <w:rPr>
                <w:sz w:val="18"/>
                <w:szCs w:val="18"/>
              </w:rPr>
            </w:pPr>
          </w:p>
        </w:tc>
      </w:tr>
      <w:tr w:rsidR="009700E5" w14:paraId="11C5B829" w14:textId="77777777">
        <w:trPr>
          <w:cantSplit/>
        </w:trPr>
        <w:tc>
          <w:tcPr>
            <w:tcW w:w="5000" w:type="pct"/>
            <w:gridSpan w:val="11"/>
          </w:tcPr>
          <w:p w14:paraId="114B5342" w14:textId="77777777" w:rsidR="009700E5" w:rsidRDefault="002C033C">
            <w:pPr>
              <w:keepNext/>
              <w:keepLines/>
              <w:numPr>
                <w:ilvl w:val="12"/>
                <w:numId w:val="0"/>
              </w:numPr>
              <w:ind w:right="-2"/>
              <w:jc w:val="center"/>
              <w:rPr>
                <w:b/>
                <w:sz w:val="18"/>
                <w:szCs w:val="18"/>
              </w:rPr>
            </w:pPr>
            <w:r>
              <w:rPr>
                <w:b/>
                <w:sz w:val="18"/>
                <w:szCs w:val="18"/>
              </w:rPr>
              <w:t>ACR 50</w:t>
            </w:r>
          </w:p>
        </w:tc>
      </w:tr>
      <w:tr w:rsidR="009700E5" w14:paraId="4F2B34A6" w14:textId="77777777">
        <w:trPr>
          <w:cantSplit/>
        </w:trPr>
        <w:tc>
          <w:tcPr>
            <w:tcW w:w="314" w:type="pct"/>
            <w:tcBorders>
              <w:right w:val="single" w:sz="4" w:space="0" w:color="auto"/>
            </w:tcBorders>
          </w:tcPr>
          <w:p w14:paraId="6936C4AC" w14:textId="77777777" w:rsidR="009700E5" w:rsidRDefault="002C033C">
            <w:pPr>
              <w:keepNext/>
              <w:keepLines/>
              <w:numPr>
                <w:ilvl w:val="12"/>
                <w:numId w:val="0"/>
              </w:numPr>
              <w:ind w:right="-2"/>
              <w:jc w:val="center"/>
              <w:rPr>
                <w:sz w:val="18"/>
                <w:szCs w:val="18"/>
              </w:rPr>
            </w:pPr>
            <w:r>
              <w:rPr>
                <w:sz w:val="18"/>
                <w:szCs w:val="18"/>
              </w:rPr>
              <w:t>24</w:t>
            </w:r>
          </w:p>
        </w:tc>
        <w:tc>
          <w:tcPr>
            <w:tcW w:w="460" w:type="pct"/>
            <w:tcBorders>
              <w:left w:val="single" w:sz="4" w:space="0" w:color="auto"/>
              <w:right w:val="single" w:sz="4" w:space="0" w:color="auto"/>
            </w:tcBorders>
          </w:tcPr>
          <w:p w14:paraId="7523FB22" w14:textId="77777777" w:rsidR="009700E5" w:rsidRDefault="002C033C">
            <w:pPr>
              <w:keepNext/>
              <w:keepLines/>
              <w:numPr>
                <w:ilvl w:val="12"/>
                <w:numId w:val="0"/>
              </w:numPr>
              <w:ind w:right="-2"/>
              <w:jc w:val="center"/>
              <w:rPr>
                <w:sz w:val="18"/>
                <w:szCs w:val="18"/>
              </w:rPr>
            </w:pPr>
            <w:r>
              <w:rPr>
                <w:sz w:val="18"/>
                <w:szCs w:val="18"/>
              </w:rPr>
              <w:t>44 %**</w:t>
            </w:r>
          </w:p>
        </w:tc>
        <w:tc>
          <w:tcPr>
            <w:tcW w:w="355" w:type="pct"/>
            <w:tcBorders>
              <w:left w:val="single" w:sz="4" w:space="0" w:color="auto"/>
              <w:right w:val="single" w:sz="4" w:space="0" w:color="auto"/>
            </w:tcBorders>
          </w:tcPr>
          <w:p w14:paraId="006642D6" w14:textId="77777777" w:rsidR="009700E5" w:rsidRDefault="002C033C">
            <w:pPr>
              <w:keepNext/>
              <w:keepLines/>
              <w:numPr>
                <w:ilvl w:val="12"/>
                <w:numId w:val="0"/>
              </w:numPr>
              <w:ind w:right="-2"/>
              <w:jc w:val="center"/>
              <w:rPr>
                <w:sz w:val="18"/>
                <w:szCs w:val="18"/>
              </w:rPr>
            </w:pPr>
            <w:r>
              <w:rPr>
                <w:sz w:val="18"/>
                <w:szCs w:val="18"/>
              </w:rPr>
              <w:t>33 %</w:t>
            </w:r>
          </w:p>
        </w:tc>
        <w:tc>
          <w:tcPr>
            <w:tcW w:w="513" w:type="pct"/>
            <w:tcBorders>
              <w:left w:val="single" w:sz="4" w:space="0" w:color="auto"/>
              <w:right w:val="single" w:sz="4" w:space="0" w:color="auto"/>
            </w:tcBorders>
          </w:tcPr>
          <w:p w14:paraId="6E1ECC67" w14:textId="77777777" w:rsidR="009700E5" w:rsidRDefault="002C033C">
            <w:pPr>
              <w:keepNext/>
              <w:keepLines/>
              <w:numPr>
                <w:ilvl w:val="12"/>
                <w:numId w:val="0"/>
              </w:numPr>
              <w:ind w:right="-2"/>
              <w:jc w:val="center"/>
              <w:rPr>
                <w:sz w:val="18"/>
                <w:szCs w:val="18"/>
              </w:rPr>
            </w:pPr>
            <w:r>
              <w:rPr>
                <w:sz w:val="18"/>
                <w:szCs w:val="18"/>
              </w:rPr>
              <w:t>32 %***</w:t>
            </w:r>
          </w:p>
        </w:tc>
        <w:tc>
          <w:tcPr>
            <w:tcW w:w="444" w:type="pct"/>
            <w:tcBorders>
              <w:left w:val="single" w:sz="4" w:space="0" w:color="auto"/>
              <w:right w:val="single" w:sz="4" w:space="0" w:color="auto"/>
            </w:tcBorders>
          </w:tcPr>
          <w:p w14:paraId="2E948242" w14:textId="77777777" w:rsidR="009700E5" w:rsidRDefault="002C033C">
            <w:pPr>
              <w:keepNext/>
              <w:keepLines/>
              <w:numPr>
                <w:ilvl w:val="12"/>
                <w:numId w:val="0"/>
              </w:numPr>
              <w:ind w:right="-2"/>
              <w:jc w:val="center"/>
              <w:rPr>
                <w:sz w:val="18"/>
                <w:szCs w:val="18"/>
              </w:rPr>
            </w:pPr>
            <w:r>
              <w:rPr>
                <w:sz w:val="18"/>
                <w:szCs w:val="18"/>
              </w:rPr>
              <w:t>10 %</w:t>
            </w:r>
          </w:p>
        </w:tc>
        <w:tc>
          <w:tcPr>
            <w:tcW w:w="491" w:type="pct"/>
            <w:tcBorders>
              <w:left w:val="single" w:sz="4" w:space="0" w:color="auto"/>
              <w:right w:val="single" w:sz="4" w:space="0" w:color="auto"/>
            </w:tcBorders>
          </w:tcPr>
          <w:p w14:paraId="1255E2FD" w14:textId="77777777" w:rsidR="009700E5" w:rsidRDefault="002C033C">
            <w:pPr>
              <w:keepNext/>
              <w:keepLines/>
              <w:numPr>
                <w:ilvl w:val="12"/>
                <w:numId w:val="0"/>
              </w:numPr>
              <w:ind w:right="-2"/>
              <w:jc w:val="center"/>
              <w:rPr>
                <w:sz w:val="18"/>
                <w:szCs w:val="18"/>
              </w:rPr>
            </w:pPr>
            <w:r>
              <w:rPr>
                <w:sz w:val="18"/>
                <w:szCs w:val="18"/>
              </w:rPr>
              <w:t>44 %***</w:t>
            </w:r>
          </w:p>
        </w:tc>
        <w:tc>
          <w:tcPr>
            <w:tcW w:w="444" w:type="pct"/>
            <w:tcBorders>
              <w:left w:val="single" w:sz="4" w:space="0" w:color="auto"/>
            </w:tcBorders>
          </w:tcPr>
          <w:p w14:paraId="03F1C28E" w14:textId="77777777" w:rsidR="009700E5" w:rsidRDefault="002C033C">
            <w:pPr>
              <w:keepNext/>
              <w:keepLines/>
              <w:numPr>
                <w:ilvl w:val="12"/>
                <w:numId w:val="0"/>
              </w:numPr>
              <w:ind w:right="-2"/>
              <w:jc w:val="center"/>
              <w:rPr>
                <w:sz w:val="18"/>
                <w:szCs w:val="18"/>
              </w:rPr>
            </w:pPr>
            <w:r>
              <w:rPr>
                <w:sz w:val="18"/>
                <w:szCs w:val="18"/>
              </w:rPr>
              <w:t>11 %</w:t>
            </w:r>
          </w:p>
        </w:tc>
        <w:tc>
          <w:tcPr>
            <w:tcW w:w="488" w:type="pct"/>
            <w:tcBorders>
              <w:left w:val="nil"/>
            </w:tcBorders>
          </w:tcPr>
          <w:p w14:paraId="6CC16F5D" w14:textId="77777777" w:rsidR="009700E5" w:rsidRDefault="002C033C">
            <w:pPr>
              <w:keepNext/>
              <w:keepLines/>
              <w:numPr>
                <w:ilvl w:val="12"/>
                <w:numId w:val="0"/>
              </w:numPr>
              <w:ind w:right="-2"/>
              <w:jc w:val="center"/>
              <w:rPr>
                <w:sz w:val="18"/>
                <w:szCs w:val="18"/>
              </w:rPr>
            </w:pPr>
            <w:r>
              <w:rPr>
                <w:sz w:val="18"/>
                <w:szCs w:val="18"/>
              </w:rPr>
              <w:t>38 %***</w:t>
            </w:r>
          </w:p>
        </w:tc>
        <w:tc>
          <w:tcPr>
            <w:tcW w:w="534" w:type="pct"/>
            <w:tcBorders>
              <w:left w:val="nil"/>
            </w:tcBorders>
          </w:tcPr>
          <w:p w14:paraId="53DA4250" w14:textId="77777777" w:rsidR="009700E5" w:rsidRDefault="002C033C">
            <w:pPr>
              <w:keepNext/>
              <w:keepLines/>
              <w:numPr>
                <w:ilvl w:val="12"/>
                <w:numId w:val="0"/>
              </w:numPr>
              <w:ind w:right="-2"/>
              <w:jc w:val="center"/>
              <w:rPr>
                <w:sz w:val="18"/>
                <w:szCs w:val="18"/>
              </w:rPr>
            </w:pPr>
            <w:r>
              <w:rPr>
                <w:sz w:val="18"/>
                <w:szCs w:val="18"/>
              </w:rPr>
              <w:t>9 %</w:t>
            </w:r>
          </w:p>
        </w:tc>
        <w:tc>
          <w:tcPr>
            <w:tcW w:w="514" w:type="pct"/>
            <w:tcBorders>
              <w:left w:val="nil"/>
            </w:tcBorders>
          </w:tcPr>
          <w:p w14:paraId="772ED6E5" w14:textId="77777777" w:rsidR="009700E5" w:rsidRDefault="002C033C">
            <w:pPr>
              <w:keepNext/>
              <w:keepLines/>
              <w:numPr>
                <w:ilvl w:val="12"/>
                <w:numId w:val="0"/>
              </w:numPr>
              <w:ind w:right="-2"/>
              <w:jc w:val="center"/>
              <w:rPr>
                <w:sz w:val="18"/>
                <w:szCs w:val="18"/>
              </w:rPr>
            </w:pPr>
            <w:r>
              <w:rPr>
                <w:sz w:val="18"/>
                <w:szCs w:val="18"/>
              </w:rPr>
              <w:t>29 %***</w:t>
            </w:r>
          </w:p>
        </w:tc>
        <w:tc>
          <w:tcPr>
            <w:tcW w:w="444" w:type="pct"/>
            <w:tcBorders>
              <w:left w:val="nil"/>
            </w:tcBorders>
          </w:tcPr>
          <w:p w14:paraId="5AF6F53E" w14:textId="77777777" w:rsidR="009700E5" w:rsidRDefault="002C033C">
            <w:pPr>
              <w:keepNext/>
              <w:keepLines/>
              <w:numPr>
                <w:ilvl w:val="12"/>
                <w:numId w:val="0"/>
              </w:numPr>
              <w:ind w:right="-2"/>
              <w:jc w:val="center"/>
              <w:rPr>
                <w:sz w:val="18"/>
                <w:szCs w:val="18"/>
              </w:rPr>
            </w:pPr>
            <w:r>
              <w:rPr>
                <w:sz w:val="18"/>
                <w:szCs w:val="18"/>
              </w:rPr>
              <w:t>4 %</w:t>
            </w:r>
          </w:p>
        </w:tc>
      </w:tr>
      <w:tr w:rsidR="009700E5" w14:paraId="4DDFA34F" w14:textId="77777777">
        <w:trPr>
          <w:cantSplit/>
        </w:trPr>
        <w:tc>
          <w:tcPr>
            <w:tcW w:w="314" w:type="pct"/>
            <w:tcBorders>
              <w:right w:val="single" w:sz="4" w:space="0" w:color="auto"/>
            </w:tcBorders>
          </w:tcPr>
          <w:p w14:paraId="478F9813" w14:textId="77777777" w:rsidR="009700E5" w:rsidRDefault="002C033C">
            <w:pPr>
              <w:keepNext/>
              <w:keepLines/>
              <w:numPr>
                <w:ilvl w:val="12"/>
                <w:numId w:val="0"/>
              </w:numPr>
              <w:ind w:right="-2"/>
              <w:jc w:val="center"/>
              <w:rPr>
                <w:sz w:val="18"/>
                <w:szCs w:val="18"/>
              </w:rPr>
            </w:pPr>
            <w:r>
              <w:rPr>
                <w:sz w:val="18"/>
                <w:szCs w:val="18"/>
              </w:rPr>
              <w:t>52</w:t>
            </w:r>
          </w:p>
        </w:tc>
        <w:tc>
          <w:tcPr>
            <w:tcW w:w="460" w:type="pct"/>
            <w:tcBorders>
              <w:left w:val="single" w:sz="4" w:space="0" w:color="auto"/>
              <w:right w:val="single" w:sz="4" w:space="0" w:color="auto"/>
            </w:tcBorders>
          </w:tcPr>
          <w:p w14:paraId="6AC9ED96" w14:textId="77777777" w:rsidR="009700E5" w:rsidRDefault="009700E5">
            <w:pPr>
              <w:keepNext/>
              <w:keepLines/>
              <w:numPr>
                <w:ilvl w:val="12"/>
                <w:numId w:val="0"/>
              </w:numPr>
              <w:ind w:right="-2"/>
              <w:jc w:val="center"/>
              <w:rPr>
                <w:sz w:val="18"/>
                <w:szCs w:val="18"/>
              </w:rPr>
            </w:pPr>
          </w:p>
        </w:tc>
        <w:tc>
          <w:tcPr>
            <w:tcW w:w="355" w:type="pct"/>
            <w:tcBorders>
              <w:left w:val="single" w:sz="4" w:space="0" w:color="auto"/>
              <w:right w:val="single" w:sz="4" w:space="0" w:color="auto"/>
            </w:tcBorders>
          </w:tcPr>
          <w:p w14:paraId="5FAC87C7" w14:textId="77777777" w:rsidR="009700E5" w:rsidRDefault="009700E5">
            <w:pPr>
              <w:keepNext/>
              <w:keepLines/>
              <w:numPr>
                <w:ilvl w:val="12"/>
                <w:numId w:val="0"/>
              </w:numPr>
              <w:ind w:right="-2"/>
              <w:jc w:val="center"/>
              <w:rPr>
                <w:sz w:val="18"/>
                <w:szCs w:val="18"/>
              </w:rPr>
            </w:pPr>
          </w:p>
        </w:tc>
        <w:tc>
          <w:tcPr>
            <w:tcW w:w="513" w:type="pct"/>
            <w:tcBorders>
              <w:left w:val="single" w:sz="4" w:space="0" w:color="auto"/>
              <w:right w:val="single" w:sz="4" w:space="0" w:color="auto"/>
            </w:tcBorders>
          </w:tcPr>
          <w:p w14:paraId="78E1D9E5" w14:textId="77777777" w:rsidR="009700E5" w:rsidRDefault="002C033C">
            <w:pPr>
              <w:keepNext/>
              <w:keepLines/>
              <w:numPr>
                <w:ilvl w:val="12"/>
                <w:numId w:val="0"/>
              </w:numPr>
              <w:ind w:right="-2"/>
              <w:jc w:val="center"/>
              <w:rPr>
                <w:sz w:val="18"/>
                <w:szCs w:val="18"/>
              </w:rPr>
            </w:pPr>
            <w:r>
              <w:rPr>
                <w:sz w:val="18"/>
                <w:szCs w:val="18"/>
              </w:rPr>
              <w:t>36 %***</w:t>
            </w:r>
          </w:p>
        </w:tc>
        <w:tc>
          <w:tcPr>
            <w:tcW w:w="444" w:type="pct"/>
            <w:tcBorders>
              <w:left w:val="single" w:sz="4" w:space="0" w:color="auto"/>
              <w:right w:val="single" w:sz="4" w:space="0" w:color="auto"/>
            </w:tcBorders>
          </w:tcPr>
          <w:p w14:paraId="0B712905" w14:textId="77777777" w:rsidR="009700E5" w:rsidRDefault="002C033C">
            <w:pPr>
              <w:keepNext/>
              <w:keepLines/>
              <w:numPr>
                <w:ilvl w:val="12"/>
                <w:numId w:val="0"/>
              </w:numPr>
              <w:ind w:right="-2"/>
              <w:jc w:val="center"/>
              <w:rPr>
                <w:sz w:val="18"/>
                <w:szCs w:val="18"/>
              </w:rPr>
            </w:pPr>
            <w:r>
              <w:rPr>
                <w:sz w:val="18"/>
                <w:szCs w:val="18"/>
              </w:rPr>
              <w:t>10 %</w:t>
            </w:r>
          </w:p>
        </w:tc>
        <w:tc>
          <w:tcPr>
            <w:tcW w:w="491" w:type="pct"/>
            <w:tcBorders>
              <w:left w:val="single" w:sz="4" w:space="0" w:color="auto"/>
              <w:right w:val="single" w:sz="4" w:space="0" w:color="auto"/>
            </w:tcBorders>
          </w:tcPr>
          <w:p w14:paraId="0F3F5DFD" w14:textId="77777777" w:rsidR="009700E5" w:rsidRDefault="009700E5">
            <w:pPr>
              <w:keepNext/>
              <w:keepLines/>
              <w:numPr>
                <w:ilvl w:val="12"/>
                <w:numId w:val="0"/>
              </w:numPr>
              <w:ind w:right="-2"/>
              <w:jc w:val="center"/>
              <w:rPr>
                <w:sz w:val="18"/>
                <w:szCs w:val="18"/>
              </w:rPr>
            </w:pPr>
          </w:p>
        </w:tc>
        <w:tc>
          <w:tcPr>
            <w:tcW w:w="444" w:type="pct"/>
            <w:tcBorders>
              <w:left w:val="single" w:sz="4" w:space="0" w:color="auto"/>
            </w:tcBorders>
          </w:tcPr>
          <w:p w14:paraId="0D057D18" w14:textId="77777777" w:rsidR="009700E5" w:rsidRDefault="009700E5">
            <w:pPr>
              <w:keepNext/>
              <w:keepLines/>
              <w:numPr>
                <w:ilvl w:val="12"/>
                <w:numId w:val="0"/>
              </w:numPr>
              <w:ind w:right="-2"/>
              <w:jc w:val="center"/>
              <w:rPr>
                <w:sz w:val="18"/>
                <w:szCs w:val="18"/>
              </w:rPr>
            </w:pPr>
          </w:p>
        </w:tc>
        <w:tc>
          <w:tcPr>
            <w:tcW w:w="488" w:type="pct"/>
            <w:tcBorders>
              <w:left w:val="nil"/>
            </w:tcBorders>
          </w:tcPr>
          <w:p w14:paraId="269CAE74" w14:textId="77777777" w:rsidR="009700E5" w:rsidRDefault="009700E5">
            <w:pPr>
              <w:keepNext/>
              <w:keepLines/>
              <w:numPr>
                <w:ilvl w:val="12"/>
                <w:numId w:val="0"/>
              </w:numPr>
              <w:ind w:right="-2"/>
              <w:jc w:val="center"/>
              <w:rPr>
                <w:sz w:val="18"/>
                <w:szCs w:val="18"/>
              </w:rPr>
            </w:pPr>
          </w:p>
        </w:tc>
        <w:tc>
          <w:tcPr>
            <w:tcW w:w="534" w:type="pct"/>
            <w:tcBorders>
              <w:left w:val="nil"/>
            </w:tcBorders>
          </w:tcPr>
          <w:p w14:paraId="63DD5C79" w14:textId="77777777" w:rsidR="009700E5" w:rsidRDefault="009700E5">
            <w:pPr>
              <w:keepNext/>
              <w:keepLines/>
              <w:numPr>
                <w:ilvl w:val="12"/>
                <w:numId w:val="0"/>
              </w:numPr>
              <w:ind w:right="-2"/>
              <w:jc w:val="center"/>
              <w:rPr>
                <w:sz w:val="18"/>
                <w:szCs w:val="18"/>
              </w:rPr>
            </w:pPr>
          </w:p>
        </w:tc>
        <w:tc>
          <w:tcPr>
            <w:tcW w:w="514" w:type="pct"/>
            <w:tcBorders>
              <w:left w:val="nil"/>
            </w:tcBorders>
          </w:tcPr>
          <w:p w14:paraId="3E3180F9" w14:textId="77777777" w:rsidR="009700E5" w:rsidRDefault="009700E5">
            <w:pPr>
              <w:keepNext/>
              <w:keepLines/>
              <w:numPr>
                <w:ilvl w:val="12"/>
                <w:numId w:val="0"/>
              </w:numPr>
              <w:ind w:right="-2"/>
              <w:jc w:val="center"/>
              <w:rPr>
                <w:sz w:val="18"/>
                <w:szCs w:val="18"/>
              </w:rPr>
            </w:pPr>
          </w:p>
        </w:tc>
        <w:tc>
          <w:tcPr>
            <w:tcW w:w="444" w:type="pct"/>
            <w:tcBorders>
              <w:left w:val="nil"/>
            </w:tcBorders>
          </w:tcPr>
          <w:p w14:paraId="0C2DA355" w14:textId="77777777" w:rsidR="009700E5" w:rsidRDefault="009700E5">
            <w:pPr>
              <w:keepNext/>
              <w:keepLines/>
              <w:numPr>
                <w:ilvl w:val="12"/>
                <w:numId w:val="0"/>
              </w:numPr>
              <w:ind w:right="-2"/>
              <w:jc w:val="center"/>
              <w:rPr>
                <w:sz w:val="18"/>
                <w:szCs w:val="18"/>
              </w:rPr>
            </w:pPr>
          </w:p>
        </w:tc>
      </w:tr>
      <w:tr w:rsidR="009700E5" w14:paraId="7A07CC39" w14:textId="77777777">
        <w:trPr>
          <w:cantSplit/>
        </w:trPr>
        <w:tc>
          <w:tcPr>
            <w:tcW w:w="5000" w:type="pct"/>
            <w:gridSpan w:val="11"/>
          </w:tcPr>
          <w:p w14:paraId="1788E6B8" w14:textId="77777777" w:rsidR="009700E5" w:rsidRDefault="002C033C">
            <w:pPr>
              <w:keepNext/>
              <w:keepLines/>
              <w:numPr>
                <w:ilvl w:val="12"/>
                <w:numId w:val="0"/>
              </w:numPr>
              <w:ind w:right="-2"/>
              <w:jc w:val="center"/>
              <w:rPr>
                <w:b/>
                <w:sz w:val="18"/>
                <w:szCs w:val="18"/>
              </w:rPr>
            </w:pPr>
            <w:r>
              <w:rPr>
                <w:b/>
                <w:sz w:val="18"/>
                <w:szCs w:val="18"/>
              </w:rPr>
              <w:t>ACR 70</w:t>
            </w:r>
          </w:p>
        </w:tc>
      </w:tr>
      <w:tr w:rsidR="009700E5" w14:paraId="0C7CDE71" w14:textId="77777777">
        <w:trPr>
          <w:cantSplit/>
        </w:trPr>
        <w:tc>
          <w:tcPr>
            <w:tcW w:w="314" w:type="pct"/>
            <w:tcBorders>
              <w:right w:val="single" w:sz="4" w:space="0" w:color="auto"/>
            </w:tcBorders>
          </w:tcPr>
          <w:p w14:paraId="1832AD6E" w14:textId="77777777" w:rsidR="009700E5" w:rsidRDefault="002C033C">
            <w:pPr>
              <w:keepNext/>
              <w:keepLines/>
              <w:numPr>
                <w:ilvl w:val="12"/>
                <w:numId w:val="0"/>
              </w:numPr>
              <w:ind w:right="-2"/>
              <w:jc w:val="center"/>
              <w:rPr>
                <w:sz w:val="18"/>
                <w:szCs w:val="18"/>
              </w:rPr>
            </w:pPr>
            <w:r>
              <w:rPr>
                <w:sz w:val="18"/>
                <w:szCs w:val="18"/>
              </w:rPr>
              <w:t>24</w:t>
            </w:r>
          </w:p>
        </w:tc>
        <w:tc>
          <w:tcPr>
            <w:tcW w:w="460" w:type="pct"/>
            <w:tcBorders>
              <w:left w:val="single" w:sz="4" w:space="0" w:color="auto"/>
              <w:right w:val="single" w:sz="4" w:space="0" w:color="auto"/>
            </w:tcBorders>
          </w:tcPr>
          <w:p w14:paraId="6B341F36" w14:textId="77777777" w:rsidR="009700E5" w:rsidRDefault="002C033C">
            <w:pPr>
              <w:keepNext/>
              <w:keepLines/>
              <w:numPr>
                <w:ilvl w:val="12"/>
                <w:numId w:val="0"/>
              </w:numPr>
              <w:ind w:right="-2"/>
              <w:jc w:val="center"/>
              <w:rPr>
                <w:sz w:val="18"/>
                <w:szCs w:val="18"/>
              </w:rPr>
            </w:pPr>
            <w:r>
              <w:rPr>
                <w:sz w:val="18"/>
                <w:szCs w:val="18"/>
              </w:rPr>
              <w:t>28 %**</w:t>
            </w:r>
          </w:p>
        </w:tc>
        <w:tc>
          <w:tcPr>
            <w:tcW w:w="355" w:type="pct"/>
            <w:tcBorders>
              <w:left w:val="single" w:sz="4" w:space="0" w:color="auto"/>
              <w:right w:val="single" w:sz="4" w:space="0" w:color="auto"/>
            </w:tcBorders>
          </w:tcPr>
          <w:p w14:paraId="499E5B0B" w14:textId="77777777" w:rsidR="009700E5" w:rsidRDefault="002C033C">
            <w:pPr>
              <w:keepNext/>
              <w:keepLines/>
              <w:numPr>
                <w:ilvl w:val="12"/>
                <w:numId w:val="0"/>
              </w:numPr>
              <w:ind w:right="-2"/>
              <w:jc w:val="center"/>
              <w:rPr>
                <w:sz w:val="18"/>
                <w:szCs w:val="18"/>
              </w:rPr>
            </w:pPr>
            <w:r>
              <w:rPr>
                <w:sz w:val="18"/>
                <w:szCs w:val="18"/>
              </w:rPr>
              <w:t>15 %</w:t>
            </w:r>
          </w:p>
        </w:tc>
        <w:tc>
          <w:tcPr>
            <w:tcW w:w="513" w:type="pct"/>
            <w:tcBorders>
              <w:left w:val="single" w:sz="4" w:space="0" w:color="auto"/>
              <w:right w:val="single" w:sz="4" w:space="0" w:color="auto"/>
            </w:tcBorders>
          </w:tcPr>
          <w:p w14:paraId="5B179BB9" w14:textId="77777777" w:rsidR="009700E5" w:rsidRDefault="002C033C">
            <w:pPr>
              <w:keepNext/>
              <w:keepLines/>
              <w:numPr>
                <w:ilvl w:val="12"/>
                <w:numId w:val="0"/>
              </w:numPr>
              <w:ind w:right="-2"/>
              <w:jc w:val="center"/>
              <w:rPr>
                <w:sz w:val="18"/>
                <w:szCs w:val="18"/>
              </w:rPr>
            </w:pPr>
            <w:r>
              <w:rPr>
                <w:sz w:val="18"/>
                <w:szCs w:val="18"/>
              </w:rPr>
              <w:t>13 %***</w:t>
            </w:r>
          </w:p>
        </w:tc>
        <w:tc>
          <w:tcPr>
            <w:tcW w:w="444" w:type="pct"/>
            <w:tcBorders>
              <w:left w:val="single" w:sz="4" w:space="0" w:color="auto"/>
              <w:right w:val="single" w:sz="4" w:space="0" w:color="auto"/>
            </w:tcBorders>
          </w:tcPr>
          <w:p w14:paraId="33BDE32C" w14:textId="77777777" w:rsidR="009700E5" w:rsidRDefault="002C033C">
            <w:pPr>
              <w:keepNext/>
              <w:keepLines/>
              <w:numPr>
                <w:ilvl w:val="12"/>
                <w:numId w:val="0"/>
              </w:numPr>
              <w:ind w:right="-2"/>
              <w:jc w:val="center"/>
              <w:rPr>
                <w:sz w:val="18"/>
                <w:szCs w:val="18"/>
              </w:rPr>
            </w:pPr>
            <w:r>
              <w:rPr>
                <w:sz w:val="18"/>
                <w:szCs w:val="18"/>
              </w:rPr>
              <w:t>2 %</w:t>
            </w:r>
          </w:p>
        </w:tc>
        <w:tc>
          <w:tcPr>
            <w:tcW w:w="491" w:type="pct"/>
            <w:tcBorders>
              <w:left w:val="single" w:sz="4" w:space="0" w:color="auto"/>
              <w:right w:val="single" w:sz="4" w:space="0" w:color="auto"/>
            </w:tcBorders>
          </w:tcPr>
          <w:p w14:paraId="16C0D618" w14:textId="77777777" w:rsidR="009700E5" w:rsidRDefault="002C033C">
            <w:pPr>
              <w:keepNext/>
              <w:keepLines/>
              <w:numPr>
                <w:ilvl w:val="12"/>
                <w:numId w:val="0"/>
              </w:numPr>
              <w:ind w:right="-2"/>
              <w:jc w:val="center"/>
              <w:rPr>
                <w:sz w:val="18"/>
                <w:szCs w:val="18"/>
              </w:rPr>
            </w:pPr>
            <w:r>
              <w:rPr>
                <w:sz w:val="18"/>
                <w:szCs w:val="18"/>
              </w:rPr>
              <w:t>22 %***</w:t>
            </w:r>
          </w:p>
        </w:tc>
        <w:tc>
          <w:tcPr>
            <w:tcW w:w="444" w:type="pct"/>
            <w:tcBorders>
              <w:left w:val="single" w:sz="4" w:space="0" w:color="auto"/>
            </w:tcBorders>
          </w:tcPr>
          <w:p w14:paraId="7EE218A7" w14:textId="77777777" w:rsidR="009700E5" w:rsidRDefault="002C033C">
            <w:pPr>
              <w:keepNext/>
              <w:keepLines/>
              <w:numPr>
                <w:ilvl w:val="12"/>
                <w:numId w:val="0"/>
              </w:numPr>
              <w:ind w:right="-2"/>
              <w:jc w:val="center"/>
              <w:rPr>
                <w:sz w:val="18"/>
                <w:szCs w:val="18"/>
              </w:rPr>
            </w:pPr>
            <w:r>
              <w:rPr>
                <w:sz w:val="18"/>
                <w:szCs w:val="18"/>
              </w:rPr>
              <w:t>2 %</w:t>
            </w:r>
          </w:p>
        </w:tc>
        <w:tc>
          <w:tcPr>
            <w:tcW w:w="488" w:type="pct"/>
            <w:tcBorders>
              <w:left w:val="nil"/>
            </w:tcBorders>
          </w:tcPr>
          <w:p w14:paraId="42D8B8E0" w14:textId="77777777" w:rsidR="009700E5" w:rsidRDefault="002C033C">
            <w:pPr>
              <w:keepNext/>
              <w:keepLines/>
              <w:numPr>
                <w:ilvl w:val="12"/>
                <w:numId w:val="0"/>
              </w:numPr>
              <w:ind w:right="-2"/>
              <w:jc w:val="center"/>
              <w:rPr>
                <w:sz w:val="18"/>
                <w:szCs w:val="18"/>
              </w:rPr>
            </w:pPr>
            <w:r>
              <w:rPr>
                <w:sz w:val="18"/>
                <w:szCs w:val="18"/>
              </w:rPr>
              <w:t>21 %***</w:t>
            </w:r>
          </w:p>
        </w:tc>
        <w:tc>
          <w:tcPr>
            <w:tcW w:w="534" w:type="pct"/>
            <w:tcBorders>
              <w:left w:val="nil"/>
            </w:tcBorders>
          </w:tcPr>
          <w:p w14:paraId="0F394D1C" w14:textId="77777777" w:rsidR="009700E5" w:rsidRDefault="002C033C">
            <w:pPr>
              <w:keepNext/>
              <w:keepLines/>
              <w:numPr>
                <w:ilvl w:val="12"/>
                <w:numId w:val="0"/>
              </w:numPr>
              <w:ind w:right="-2"/>
              <w:jc w:val="center"/>
              <w:rPr>
                <w:sz w:val="18"/>
                <w:szCs w:val="18"/>
              </w:rPr>
            </w:pPr>
            <w:r>
              <w:rPr>
                <w:sz w:val="18"/>
                <w:szCs w:val="18"/>
              </w:rPr>
              <w:t>3 %</w:t>
            </w:r>
          </w:p>
        </w:tc>
        <w:tc>
          <w:tcPr>
            <w:tcW w:w="514" w:type="pct"/>
            <w:tcBorders>
              <w:left w:val="nil"/>
            </w:tcBorders>
          </w:tcPr>
          <w:p w14:paraId="244FD595" w14:textId="77777777" w:rsidR="009700E5" w:rsidRDefault="002C033C">
            <w:pPr>
              <w:keepNext/>
              <w:keepLines/>
              <w:numPr>
                <w:ilvl w:val="12"/>
                <w:numId w:val="0"/>
              </w:numPr>
              <w:ind w:right="-2"/>
              <w:jc w:val="center"/>
              <w:rPr>
                <w:sz w:val="18"/>
                <w:szCs w:val="18"/>
              </w:rPr>
            </w:pPr>
            <w:r>
              <w:rPr>
                <w:sz w:val="18"/>
                <w:szCs w:val="18"/>
              </w:rPr>
              <w:t>12 %**</w:t>
            </w:r>
          </w:p>
        </w:tc>
        <w:tc>
          <w:tcPr>
            <w:tcW w:w="444" w:type="pct"/>
            <w:tcBorders>
              <w:left w:val="nil"/>
            </w:tcBorders>
          </w:tcPr>
          <w:p w14:paraId="25C187A0" w14:textId="77777777" w:rsidR="009700E5" w:rsidRDefault="002C033C">
            <w:pPr>
              <w:keepNext/>
              <w:keepLines/>
              <w:numPr>
                <w:ilvl w:val="12"/>
                <w:numId w:val="0"/>
              </w:numPr>
              <w:ind w:right="-2"/>
              <w:jc w:val="center"/>
              <w:rPr>
                <w:sz w:val="18"/>
                <w:szCs w:val="18"/>
              </w:rPr>
            </w:pPr>
            <w:r>
              <w:rPr>
                <w:sz w:val="18"/>
                <w:szCs w:val="18"/>
              </w:rPr>
              <w:t>1 %</w:t>
            </w:r>
          </w:p>
        </w:tc>
      </w:tr>
      <w:tr w:rsidR="009700E5" w14:paraId="6FFDA56B" w14:textId="77777777">
        <w:trPr>
          <w:cantSplit/>
        </w:trPr>
        <w:tc>
          <w:tcPr>
            <w:tcW w:w="314" w:type="pct"/>
          </w:tcPr>
          <w:p w14:paraId="2D6E5C4F" w14:textId="77777777" w:rsidR="009700E5" w:rsidRDefault="002C033C">
            <w:pPr>
              <w:keepNext/>
              <w:keepLines/>
              <w:numPr>
                <w:ilvl w:val="12"/>
                <w:numId w:val="0"/>
              </w:numPr>
              <w:ind w:right="-2"/>
              <w:jc w:val="center"/>
              <w:rPr>
                <w:sz w:val="18"/>
                <w:szCs w:val="18"/>
              </w:rPr>
            </w:pPr>
            <w:r>
              <w:rPr>
                <w:sz w:val="18"/>
                <w:szCs w:val="18"/>
              </w:rPr>
              <w:t>52</w:t>
            </w:r>
          </w:p>
        </w:tc>
        <w:tc>
          <w:tcPr>
            <w:tcW w:w="460" w:type="pct"/>
            <w:tcBorders>
              <w:right w:val="single" w:sz="4" w:space="0" w:color="auto"/>
            </w:tcBorders>
          </w:tcPr>
          <w:p w14:paraId="7DD81292" w14:textId="77777777" w:rsidR="009700E5" w:rsidRDefault="009700E5">
            <w:pPr>
              <w:keepNext/>
              <w:keepLines/>
              <w:numPr>
                <w:ilvl w:val="12"/>
                <w:numId w:val="0"/>
              </w:numPr>
              <w:ind w:right="-2"/>
              <w:jc w:val="center"/>
              <w:rPr>
                <w:sz w:val="18"/>
                <w:szCs w:val="18"/>
              </w:rPr>
            </w:pPr>
          </w:p>
        </w:tc>
        <w:tc>
          <w:tcPr>
            <w:tcW w:w="355" w:type="pct"/>
            <w:tcBorders>
              <w:left w:val="single" w:sz="4" w:space="0" w:color="auto"/>
            </w:tcBorders>
          </w:tcPr>
          <w:p w14:paraId="654D5D01" w14:textId="77777777" w:rsidR="009700E5" w:rsidRDefault="009700E5">
            <w:pPr>
              <w:keepNext/>
              <w:keepLines/>
              <w:numPr>
                <w:ilvl w:val="12"/>
                <w:numId w:val="0"/>
              </w:numPr>
              <w:ind w:right="-2"/>
              <w:jc w:val="center"/>
              <w:rPr>
                <w:sz w:val="18"/>
                <w:szCs w:val="18"/>
              </w:rPr>
            </w:pPr>
          </w:p>
        </w:tc>
        <w:tc>
          <w:tcPr>
            <w:tcW w:w="513" w:type="pct"/>
            <w:tcBorders>
              <w:right w:val="single" w:sz="4" w:space="0" w:color="auto"/>
            </w:tcBorders>
          </w:tcPr>
          <w:p w14:paraId="63F5D3D7" w14:textId="77777777" w:rsidR="009700E5" w:rsidRDefault="002C033C">
            <w:pPr>
              <w:keepNext/>
              <w:keepLines/>
              <w:numPr>
                <w:ilvl w:val="12"/>
                <w:numId w:val="0"/>
              </w:numPr>
              <w:ind w:right="-2"/>
              <w:jc w:val="center"/>
              <w:rPr>
                <w:sz w:val="18"/>
                <w:szCs w:val="18"/>
              </w:rPr>
            </w:pPr>
            <w:r>
              <w:rPr>
                <w:sz w:val="18"/>
                <w:szCs w:val="18"/>
              </w:rPr>
              <w:t>20 %***</w:t>
            </w:r>
          </w:p>
        </w:tc>
        <w:tc>
          <w:tcPr>
            <w:tcW w:w="444" w:type="pct"/>
            <w:tcBorders>
              <w:left w:val="single" w:sz="4" w:space="0" w:color="auto"/>
            </w:tcBorders>
          </w:tcPr>
          <w:p w14:paraId="68CCCF32" w14:textId="77777777" w:rsidR="009700E5" w:rsidRDefault="002C033C">
            <w:pPr>
              <w:keepNext/>
              <w:keepLines/>
              <w:numPr>
                <w:ilvl w:val="12"/>
                <w:numId w:val="0"/>
              </w:numPr>
              <w:ind w:right="-2"/>
              <w:jc w:val="center"/>
              <w:rPr>
                <w:sz w:val="18"/>
                <w:szCs w:val="18"/>
              </w:rPr>
            </w:pPr>
            <w:r>
              <w:rPr>
                <w:sz w:val="18"/>
                <w:szCs w:val="18"/>
              </w:rPr>
              <w:t>4 %</w:t>
            </w:r>
          </w:p>
        </w:tc>
        <w:tc>
          <w:tcPr>
            <w:tcW w:w="491" w:type="pct"/>
            <w:tcBorders>
              <w:right w:val="single" w:sz="4" w:space="0" w:color="auto"/>
            </w:tcBorders>
          </w:tcPr>
          <w:p w14:paraId="1435A72E" w14:textId="77777777" w:rsidR="009700E5" w:rsidRDefault="009700E5">
            <w:pPr>
              <w:keepNext/>
              <w:keepLines/>
              <w:numPr>
                <w:ilvl w:val="12"/>
                <w:numId w:val="0"/>
              </w:numPr>
              <w:ind w:right="-2"/>
              <w:jc w:val="center"/>
              <w:rPr>
                <w:sz w:val="18"/>
                <w:szCs w:val="18"/>
              </w:rPr>
            </w:pPr>
          </w:p>
        </w:tc>
        <w:tc>
          <w:tcPr>
            <w:tcW w:w="444" w:type="pct"/>
            <w:tcBorders>
              <w:left w:val="single" w:sz="4" w:space="0" w:color="auto"/>
            </w:tcBorders>
          </w:tcPr>
          <w:p w14:paraId="695B4668" w14:textId="77777777" w:rsidR="009700E5" w:rsidRDefault="009700E5">
            <w:pPr>
              <w:keepNext/>
              <w:keepLines/>
              <w:numPr>
                <w:ilvl w:val="12"/>
                <w:numId w:val="0"/>
              </w:numPr>
              <w:ind w:right="-2"/>
              <w:jc w:val="center"/>
              <w:rPr>
                <w:sz w:val="18"/>
                <w:szCs w:val="18"/>
              </w:rPr>
            </w:pPr>
          </w:p>
        </w:tc>
        <w:tc>
          <w:tcPr>
            <w:tcW w:w="488" w:type="pct"/>
            <w:tcBorders>
              <w:left w:val="nil"/>
            </w:tcBorders>
          </w:tcPr>
          <w:p w14:paraId="6DA8F48C" w14:textId="77777777" w:rsidR="009700E5" w:rsidRDefault="009700E5">
            <w:pPr>
              <w:keepNext/>
              <w:keepLines/>
              <w:numPr>
                <w:ilvl w:val="12"/>
                <w:numId w:val="0"/>
              </w:numPr>
              <w:ind w:right="-2"/>
              <w:jc w:val="center"/>
              <w:rPr>
                <w:sz w:val="18"/>
                <w:szCs w:val="18"/>
              </w:rPr>
            </w:pPr>
          </w:p>
        </w:tc>
        <w:tc>
          <w:tcPr>
            <w:tcW w:w="534" w:type="pct"/>
            <w:tcBorders>
              <w:left w:val="nil"/>
            </w:tcBorders>
          </w:tcPr>
          <w:p w14:paraId="05BA86DD" w14:textId="77777777" w:rsidR="009700E5" w:rsidRDefault="009700E5">
            <w:pPr>
              <w:keepNext/>
              <w:keepLines/>
              <w:numPr>
                <w:ilvl w:val="12"/>
                <w:numId w:val="0"/>
              </w:numPr>
              <w:ind w:right="-2"/>
              <w:jc w:val="center"/>
              <w:rPr>
                <w:sz w:val="18"/>
                <w:szCs w:val="18"/>
              </w:rPr>
            </w:pPr>
          </w:p>
        </w:tc>
        <w:tc>
          <w:tcPr>
            <w:tcW w:w="514" w:type="pct"/>
            <w:tcBorders>
              <w:left w:val="nil"/>
            </w:tcBorders>
          </w:tcPr>
          <w:p w14:paraId="5FD48441" w14:textId="77777777" w:rsidR="009700E5" w:rsidRDefault="009700E5">
            <w:pPr>
              <w:keepNext/>
              <w:keepLines/>
              <w:numPr>
                <w:ilvl w:val="12"/>
                <w:numId w:val="0"/>
              </w:numPr>
              <w:ind w:right="-2"/>
              <w:jc w:val="center"/>
              <w:rPr>
                <w:sz w:val="18"/>
                <w:szCs w:val="18"/>
              </w:rPr>
            </w:pPr>
          </w:p>
        </w:tc>
        <w:tc>
          <w:tcPr>
            <w:tcW w:w="444" w:type="pct"/>
            <w:tcBorders>
              <w:left w:val="nil"/>
            </w:tcBorders>
          </w:tcPr>
          <w:p w14:paraId="76E2A5C0" w14:textId="77777777" w:rsidR="009700E5" w:rsidRDefault="009700E5">
            <w:pPr>
              <w:keepNext/>
              <w:keepLines/>
              <w:numPr>
                <w:ilvl w:val="12"/>
                <w:numId w:val="0"/>
              </w:numPr>
              <w:ind w:right="-2"/>
              <w:jc w:val="center"/>
              <w:rPr>
                <w:sz w:val="18"/>
                <w:szCs w:val="18"/>
              </w:rPr>
            </w:pPr>
          </w:p>
        </w:tc>
      </w:tr>
    </w:tbl>
    <w:p w14:paraId="70BFDEA6" w14:textId="77777777" w:rsidR="009700E5" w:rsidRDefault="002C033C">
      <w:pPr>
        <w:keepNext/>
        <w:keepLines/>
        <w:numPr>
          <w:ilvl w:val="12"/>
          <w:numId w:val="0"/>
        </w:numPr>
        <w:ind w:right="-2"/>
        <w:rPr>
          <w:sz w:val="18"/>
          <w:szCs w:val="18"/>
        </w:rPr>
      </w:pPr>
      <w:r>
        <w:rPr>
          <w:sz w:val="18"/>
          <w:szCs w:val="18"/>
        </w:rPr>
        <w:t xml:space="preserve">TCZ </w:t>
      </w:r>
      <w:r>
        <w:rPr>
          <w:sz w:val="18"/>
          <w:szCs w:val="18"/>
        </w:rPr>
        <w:tab/>
      </w:r>
      <w:r>
        <w:rPr>
          <w:sz w:val="18"/>
          <w:szCs w:val="18"/>
        </w:rPr>
        <w:tab/>
        <w:t>- Tocilizumab</w:t>
      </w:r>
    </w:p>
    <w:p w14:paraId="0BCD6BFC" w14:textId="77777777" w:rsidR="009700E5" w:rsidRDefault="002C033C">
      <w:pPr>
        <w:keepNext/>
        <w:keepLines/>
        <w:numPr>
          <w:ilvl w:val="12"/>
          <w:numId w:val="0"/>
        </w:numPr>
        <w:ind w:right="-2"/>
        <w:rPr>
          <w:sz w:val="18"/>
          <w:szCs w:val="18"/>
        </w:rPr>
      </w:pPr>
      <w:r>
        <w:rPr>
          <w:sz w:val="18"/>
          <w:szCs w:val="18"/>
        </w:rPr>
        <w:t>MTX</w:t>
      </w:r>
      <w:r>
        <w:rPr>
          <w:sz w:val="18"/>
          <w:szCs w:val="18"/>
        </w:rPr>
        <w:tab/>
      </w:r>
      <w:r>
        <w:rPr>
          <w:sz w:val="18"/>
          <w:szCs w:val="18"/>
        </w:rPr>
        <w:tab/>
        <w:t>- Metotrexát</w:t>
      </w:r>
    </w:p>
    <w:p w14:paraId="62B468C1" w14:textId="77777777" w:rsidR="009700E5" w:rsidRDefault="002C033C">
      <w:pPr>
        <w:keepNext/>
        <w:keepLines/>
        <w:numPr>
          <w:ilvl w:val="12"/>
          <w:numId w:val="0"/>
        </w:numPr>
        <w:ind w:right="-2"/>
        <w:rPr>
          <w:sz w:val="18"/>
          <w:szCs w:val="18"/>
        </w:rPr>
      </w:pPr>
      <w:r>
        <w:rPr>
          <w:sz w:val="18"/>
          <w:szCs w:val="18"/>
        </w:rPr>
        <w:t>PBO</w:t>
      </w:r>
      <w:r>
        <w:rPr>
          <w:sz w:val="18"/>
          <w:szCs w:val="18"/>
        </w:rPr>
        <w:tab/>
      </w:r>
      <w:r>
        <w:rPr>
          <w:sz w:val="18"/>
          <w:szCs w:val="18"/>
        </w:rPr>
        <w:tab/>
        <w:t>- Placebo</w:t>
      </w:r>
    </w:p>
    <w:p w14:paraId="3E239585" w14:textId="77777777" w:rsidR="009700E5" w:rsidRDefault="002C033C">
      <w:pPr>
        <w:numPr>
          <w:ilvl w:val="12"/>
          <w:numId w:val="0"/>
        </w:numPr>
        <w:ind w:right="-2"/>
        <w:rPr>
          <w:sz w:val="18"/>
          <w:szCs w:val="18"/>
        </w:rPr>
      </w:pPr>
      <w:r>
        <w:rPr>
          <w:sz w:val="18"/>
          <w:szCs w:val="18"/>
        </w:rPr>
        <w:t xml:space="preserve">DMARD </w:t>
      </w:r>
      <w:r>
        <w:rPr>
          <w:sz w:val="18"/>
          <w:szCs w:val="18"/>
        </w:rPr>
        <w:tab/>
        <w:t>- Antireumatikum modifikujúce priebeh choroby</w:t>
      </w:r>
    </w:p>
    <w:p w14:paraId="762BEE3F" w14:textId="77777777" w:rsidR="009700E5" w:rsidRDefault="002C033C">
      <w:pPr>
        <w:numPr>
          <w:ilvl w:val="12"/>
          <w:numId w:val="0"/>
        </w:numPr>
        <w:ind w:right="-2"/>
        <w:rPr>
          <w:sz w:val="18"/>
          <w:szCs w:val="18"/>
        </w:rPr>
      </w:pPr>
      <w:r>
        <w:rPr>
          <w:sz w:val="18"/>
          <w:szCs w:val="18"/>
        </w:rPr>
        <w:t xml:space="preserve">** </w:t>
      </w:r>
      <w:r>
        <w:rPr>
          <w:sz w:val="18"/>
          <w:szCs w:val="18"/>
        </w:rPr>
        <w:tab/>
      </w:r>
      <w:r>
        <w:rPr>
          <w:sz w:val="18"/>
          <w:szCs w:val="18"/>
        </w:rPr>
        <w:tab/>
        <w:t>- p &lt; 0,01, TCZ oproti PBO + MTX/DMARD</w:t>
      </w:r>
    </w:p>
    <w:p w14:paraId="0E5FEC6A" w14:textId="77777777" w:rsidR="009700E5" w:rsidRDefault="002C033C">
      <w:pPr>
        <w:numPr>
          <w:ilvl w:val="12"/>
          <w:numId w:val="0"/>
        </w:numPr>
        <w:ind w:right="-2"/>
        <w:rPr>
          <w:sz w:val="18"/>
          <w:szCs w:val="18"/>
        </w:rPr>
      </w:pPr>
      <w:r>
        <w:rPr>
          <w:sz w:val="18"/>
          <w:szCs w:val="18"/>
        </w:rPr>
        <w:t xml:space="preserve">*** </w:t>
      </w:r>
      <w:r>
        <w:rPr>
          <w:sz w:val="18"/>
          <w:szCs w:val="18"/>
        </w:rPr>
        <w:tab/>
      </w:r>
      <w:r>
        <w:rPr>
          <w:sz w:val="18"/>
          <w:szCs w:val="18"/>
        </w:rPr>
        <w:tab/>
        <w:t>- p &lt; 0,0001, TCZ oproti PBO + MTX/DMARD</w:t>
      </w:r>
    </w:p>
    <w:p w14:paraId="10FD4600" w14:textId="77777777" w:rsidR="009700E5" w:rsidRDefault="009700E5">
      <w:pPr>
        <w:numPr>
          <w:ilvl w:val="12"/>
          <w:numId w:val="0"/>
        </w:numPr>
        <w:ind w:right="-2"/>
      </w:pPr>
    </w:p>
    <w:p w14:paraId="5F7316E9" w14:textId="77777777" w:rsidR="009700E5" w:rsidRDefault="002C033C">
      <w:pPr>
        <w:keepNext/>
        <w:keepLines/>
        <w:rPr>
          <w:i/>
          <w:u w:val="single"/>
        </w:rPr>
      </w:pPr>
      <w:r>
        <w:rPr>
          <w:i/>
          <w:u w:val="single"/>
        </w:rPr>
        <w:t>Významná klinická odpoveď</w:t>
      </w:r>
    </w:p>
    <w:p w14:paraId="5D42C93A" w14:textId="77777777" w:rsidR="009700E5" w:rsidRDefault="002C033C">
      <w:pPr>
        <w:rPr>
          <w:iCs/>
        </w:rPr>
      </w:pPr>
      <w:r>
        <w:rPr>
          <w:iCs/>
        </w:rPr>
        <w:t>Po 2 rokoch liečby tocilizumabom s MTX dosiahlo 14 % pacientov významnú klinickú odpoveď (udržanie ACR 70 odpovede počas 24 týždňov alebo dlhšie).</w:t>
      </w:r>
    </w:p>
    <w:p w14:paraId="662E9514" w14:textId="77777777" w:rsidR="009700E5" w:rsidRDefault="009700E5">
      <w:pPr>
        <w:rPr>
          <w:i/>
        </w:rPr>
      </w:pPr>
    </w:p>
    <w:p w14:paraId="241A0665" w14:textId="77777777" w:rsidR="009700E5" w:rsidRDefault="002C033C">
      <w:pPr>
        <w:rPr>
          <w:i/>
          <w:u w:val="single"/>
        </w:rPr>
      </w:pPr>
      <w:r>
        <w:rPr>
          <w:i/>
          <w:u w:val="single"/>
        </w:rPr>
        <w:t>Rádiografická odpoveď</w:t>
      </w:r>
    </w:p>
    <w:p w14:paraId="15741A46" w14:textId="77777777" w:rsidR="009700E5" w:rsidRDefault="002C033C">
      <w:r>
        <w:t>V </w:t>
      </w:r>
      <w:del w:id="1545" w:author="Author" w:date="2025-07-19T23:17:00Z">
        <w:r>
          <w:delText>štúdii </w:delText>
        </w:r>
      </w:del>
      <w:ins w:id="1546" w:author="Author" w:date="2025-07-21T10:20:00Z">
        <w:r>
          <w:t xml:space="preserve">klinickom </w:t>
        </w:r>
      </w:ins>
      <w:ins w:id="1547" w:author="Author" w:date="2025-07-19T23:17:00Z">
        <w:r>
          <w:t>skúšaní </w:t>
        </w:r>
      </w:ins>
      <w:r>
        <w:t>II sa u pacientov s nedostatočnou odpoveďou na MTX hodnotila inhibícia štrukturálneho poškodenia kĺbov rádiograficky a vyjadrila sa ako zmena v modifikovanom Sharpovom skóre a jeho zložkách </w:t>
      </w:r>
      <w:r>
        <w:noBreakHyphen/>
        <w:t xml:space="preserve"> skóre erózie a skóre zúženia kĺbovej štrbiny. U pacientov liečených </w:t>
      </w:r>
      <w:r>
        <w:rPr>
          <w:iCs/>
        </w:rPr>
        <w:t>tocilizumabom</w:t>
      </w:r>
      <w:r>
        <w:t xml:space="preserve"> sa oproti kontrolnej skupine preukázala inhibícia štrukturálneho poškodenia kĺbov s významne nižšou rádiografickou progresiou ochorenia (tabuľka 6).</w:t>
      </w:r>
    </w:p>
    <w:p w14:paraId="2220B125" w14:textId="77777777" w:rsidR="009700E5" w:rsidRDefault="009700E5">
      <w:pPr>
        <w:outlineLvl w:val="0"/>
      </w:pPr>
    </w:p>
    <w:p w14:paraId="5B389761" w14:textId="77777777" w:rsidR="009700E5" w:rsidRDefault="002C033C">
      <w:pPr>
        <w:keepNext/>
        <w:keepLines/>
        <w:outlineLvl w:val="0"/>
      </w:pPr>
      <w:r>
        <w:t xml:space="preserve">V otvorenej predĺženej fáze </w:t>
      </w:r>
      <w:del w:id="1548" w:author="Author" w:date="2025-07-19T23:17:00Z">
        <w:r>
          <w:delText>štúdie </w:delText>
        </w:r>
      </w:del>
      <w:ins w:id="1549" w:author="Author" w:date="2025-07-21T10:20:00Z">
        <w:r>
          <w:t xml:space="preserve">klinického </w:t>
        </w:r>
      </w:ins>
      <w:ins w:id="1550" w:author="Author" w:date="2025-07-19T23:17:00Z">
        <w:r>
          <w:t>skúšania </w:t>
        </w:r>
      </w:ins>
      <w:r>
        <w:t>II bola inhibícia progresie štrukturálneho poškodenie kĺbu v skupine s </w:t>
      </w:r>
      <w:r>
        <w:rPr>
          <w:iCs/>
        </w:rPr>
        <w:t>tocilizumabom</w:t>
      </w:r>
      <w:r>
        <w:t xml:space="preserve"> a MTX udržiavaná i v druhom roku liečby. Stredná zmena od východiskových hodnôt bola v 104. týždni v celkovom Sharpovom</w:t>
      </w:r>
      <w:r>
        <w:noBreakHyphen/>
        <w:t>Genantovom skóre významne nižšia u pacientov randomizovaných do skupiny s </w:t>
      </w:r>
      <w:r>
        <w:rPr>
          <w:iCs/>
        </w:rPr>
        <w:t>tocilizumabom</w:t>
      </w:r>
      <w:r>
        <w:t xml:space="preserve"> v dávke 8 mg/kg a MTX (p </w:t>
      </w:r>
      <w:r>
        <w:rPr>
          <w:rFonts w:eastAsia="MS Mincho"/>
          <w:szCs w:val="22"/>
        </w:rPr>
        <w:sym w:font="Symbol" w:char="F03C"/>
      </w:r>
      <w:r>
        <w:t> 0,0001) v porovnaní s pacientami, ktorí boli randomizovaní do skupiny s placebom a MTX.</w:t>
      </w:r>
    </w:p>
    <w:p w14:paraId="25145442" w14:textId="77777777" w:rsidR="009700E5" w:rsidRDefault="009700E5"/>
    <w:p w14:paraId="17F130A9" w14:textId="77777777" w:rsidR="009700E5" w:rsidRDefault="002C033C">
      <w:pPr>
        <w:keepNext/>
        <w:keepLines/>
        <w:ind w:left="1418" w:hanging="1418"/>
        <w:rPr>
          <w:bCs/>
          <w:i/>
        </w:rPr>
      </w:pPr>
      <w:r>
        <w:rPr>
          <w:bCs/>
          <w:i/>
        </w:rPr>
        <w:lastRenderedPageBreak/>
        <w:t>Tabuľka 6. Rádiografické priemerné zmeny počas 52 týždňov v </w:t>
      </w:r>
      <w:del w:id="1551" w:author="Author" w:date="2025-07-19T23:17:00Z">
        <w:r>
          <w:rPr>
            <w:bCs/>
            <w:i/>
          </w:rPr>
          <w:delText>štúdii </w:delText>
        </w:r>
      </w:del>
      <w:ins w:id="1552" w:author="Author" w:date="2025-07-21T10:20:00Z">
        <w:r>
          <w:rPr>
            <w:bCs/>
            <w:i/>
          </w:rPr>
          <w:t xml:space="preserve">klinickom </w:t>
        </w:r>
      </w:ins>
      <w:ins w:id="1553" w:author="Author" w:date="2025-07-19T23:17:00Z">
        <w:r>
          <w:rPr>
            <w:bCs/>
            <w:i/>
          </w:rPr>
          <w:t>skúšaní </w:t>
        </w:r>
      </w:ins>
      <w:r>
        <w:rPr>
          <w:bCs/>
          <w:i/>
        </w:rPr>
        <w:t>II</w:t>
      </w:r>
    </w:p>
    <w:p w14:paraId="1AE47E37" w14:textId="77777777" w:rsidR="009700E5" w:rsidRDefault="009700E5">
      <w:pPr>
        <w:keepNext/>
        <w:keepLines/>
        <w:ind w:left="1418" w:hanging="1418"/>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1554" w:author="Author" w:date="2025-07-22T17:56: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3823"/>
        <w:gridCol w:w="2268"/>
        <w:gridCol w:w="2126"/>
        <w:tblGridChange w:id="1555">
          <w:tblGrid>
            <w:gridCol w:w="2358"/>
            <w:gridCol w:w="2790"/>
            <w:gridCol w:w="2610"/>
          </w:tblGrid>
        </w:tblGridChange>
      </w:tblGrid>
      <w:tr w:rsidR="009700E5" w14:paraId="0084632A" w14:textId="77777777" w:rsidTr="009700E5">
        <w:trPr>
          <w:cantSplit/>
          <w:tblHeader/>
          <w:trPrChange w:id="1556" w:author="Author" w:date="2025-07-22T17:56:00Z">
            <w:trPr>
              <w:cantSplit/>
              <w:tblHeader/>
            </w:trPr>
          </w:trPrChange>
        </w:trPr>
        <w:tc>
          <w:tcPr>
            <w:tcW w:w="3823" w:type="dxa"/>
            <w:tcPrChange w:id="1557" w:author="Author" w:date="2025-07-22T17:56:00Z">
              <w:tcPr>
                <w:tcW w:w="2358" w:type="dxa"/>
              </w:tcPr>
            </w:tcPrChange>
          </w:tcPr>
          <w:p w14:paraId="4ACACE02" w14:textId="77777777" w:rsidR="009700E5" w:rsidRDefault="009700E5">
            <w:pPr>
              <w:keepNext/>
              <w:keepLines/>
            </w:pPr>
          </w:p>
        </w:tc>
        <w:tc>
          <w:tcPr>
            <w:tcW w:w="2268" w:type="dxa"/>
            <w:tcPrChange w:id="1558" w:author="Author" w:date="2025-07-22T17:56:00Z">
              <w:tcPr>
                <w:tcW w:w="2790" w:type="dxa"/>
              </w:tcPr>
            </w:tcPrChange>
          </w:tcPr>
          <w:p w14:paraId="614E0E3F" w14:textId="77777777" w:rsidR="009700E5" w:rsidRDefault="002C033C">
            <w:pPr>
              <w:keepNext/>
              <w:keepLines/>
              <w:numPr>
                <w:ilvl w:val="12"/>
                <w:numId w:val="0"/>
              </w:numPr>
              <w:ind w:right="-2"/>
              <w:jc w:val="center"/>
              <w:rPr>
                <w:b/>
                <w:bCs/>
                <w:szCs w:val="22"/>
              </w:rPr>
            </w:pPr>
            <w:r>
              <w:rPr>
                <w:b/>
                <w:bCs/>
                <w:szCs w:val="22"/>
              </w:rPr>
              <w:t>PBO + MTX</w:t>
            </w:r>
          </w:p>
          <w:p w14:paraId="0A8579D5" w14:textId="77777777" w:rsidR="009700E5" w:rsidRDefault="002C033C">
            <w:pPr>
              <w:keepNext/>
              <w:keepLines/>
              <w:numPr>
                <w:ilvl w:val="12"/>
                <w:numId w:val="0"/>
              </w:numPr>
              <w:ind w:right="-2"/>
              <w:jc w:val="center"/>
              <w:rPr>
                <w:b/>
                <w:bCs/>
                <w:szCs w:val="22"/>
              </w:rPr>
            </w:pPr>
            <w:r>
              <w:rPr>
                <w:b/>
                <w:bCs/>
                <w:szCs w:val="22"/>
              </w:rPr>
              <w:t>(+TCZ od 24. týždňa)</w:t>
            </w:r>
          </w:p>
          <w:p w14:paraId="3D9F85EB" w14:textId="77777777" w:rsidR="009700E5" w:rsidRDefault="002C033C">
            <w:pPr>
              <w:keepNext/>
              <w:keepLines/>
              <w:jc w:val="center"/>
              <w:rPr>
                <w:szCs w:val="22"/>
              </w:rPr>
            </w:pPr>
            <w:del w:id="1559" w:author="Author" w:date="2025-07-19T23:17:00Z">
              <w:r>
                <w:rPr>
                  <w:b/>
                  <w:bCs/>
                  <w:szCs w:val="22"/>
                </w:rPr>
                <w:delText>N </w:delText>
              </w:r>
            </w:del>
            <w:ins w:id="1560" w:author="Author" w:date="2025-07-19T23:17:00Z">
              <w:r>
                <w:rPr>
                  <w:b/>
                  <w:bCs/>
                  <w:szCs w:val="22"/>
                </w:rPr>
                <w:t>n </w:t>
              </w:r>
            </w:ins>
            <w:r>
              <w:rPr>
                <w:b/>
                <w:bCs/>
                <w:szCs w:val="22"/>
              </w:rPr>
              <w:t>= 393</w:t>
            </w:r>
          </w:p>
        </w:tc>
        <w:tc>
          <w:tcPr>
            <w:tcW w:w="2126" w:type="dxa"/>
            <w:tcPrChange w:id="1561" w:author="Author" w:date="2025-07-22T17:56:00Z">
              <w:tcPr>
                <w:tcW w:w="2610" w:type="dxa"/>
              </w:tcPr>
            </w:tcPrChange>
          </w:tcPr>
          <w:p w14:paraId="2BE16249" w14:textId="77777777" w:rsidR="009700E5" w:rsidRDefault="002C033C">
            <w:pPr>
              <w:keepNext/>
              <w:keepLines/>
              <w:jc w:val="center"/>
              <w:rPr>
                <w:szCs w:val="22"/>
              </w:rPr>
            </w:pPr>
            <w:r>
              <w:rPr>
                <w:b/>
                <w:bCs/>
                <w:szCs w:val="22"/>
              </w:rPr>
              <w:t>TCZ 8 mg/kg + MTX</w:t>
            </w:r>
            <w:r>
              <w:rPr>
                <w:b/>
                <w:bCs/>
                <w:szCs w:val="22"/>
              </w:rPr>
              <w:br/>
            </w:r>
            <w:del w:id="1562" w:author="Author" w:date="2025-07-19T23:17:00Z">
              <w:r>
                <w:rPr>
                  <w:b/>
                  <w:bCs/>
                  <w:szCs w:val="22"/>
                </w:rPr>
                <w:delText>N </w:delText>
              </w:r>
            </w:del>
            <w:ins w:id="1563" w:author="Author" w:date="2025-07-19T23:17:00Z">
              <w:r>
                <w:rPr>
                  <w:b/>
                  <w:bCs/>
                  <w:szCs w:val="22"/>
                </w:rPr>
                <w:t>n </w:t>
              </w:r>
            </w:ins>
            <w:r>
              <w:rPr>
                <w:b/>
                <w:bCs/>
                <w:szCs w:val="22"/>
              </w:rPr>
              <w:t>= 398</w:t>
            </w:r>
          </w:p>
        </w:tc>
      </w:tr>
      <w:tr w:rsidR="009700E5" w14:paraId="41FB57DC" w14:textId="77777777" w:rsidTr="009700E5">
        <w:trPr>
          <w:cantSplit/>
          <w:trPrChange w:id="1564" w:author="Author" w:date="2025-07-22T17:56:00Z">
            <w:trPr>
              <w:cantSplit/>
            </w:trPr>
          </w:trPrChange>
        </w:trPr>
        <w:tc>
          <w:tcPr>
            <w:tcW w:w="3823" w:type="dxa"/>
            <w:tcPrChange w:id="1565" w:author="Author" w:date="2025-07-22T17:56:00Z">
              <w:tcPr>
                <w:tcW w:w="2358" w:type="dxa"/>
              </w:tcPr>
            </w:tcPrChange>
          </w:tcPr>
          <w:p w14:paraId="71DCF129" w14:textId="77777777" w:rsidR="009700E5" w:rsidRDefault="002C033C">
            <w:pPr>
              <w:keepNext/>
              <w:keepLines/>
            </w:pPr>
            <w:r>
              <w:t>Celkové Sharpovo</w:t>
            </w:r>
            <w:r>
              <w:noBreakHyphen/>
              <w:t>Genantovo skóre</w:t>
            </w:r>
          </w:p>
        </w:tc>
        <w:tc>
          <w:tcPr>
            <w:tcW w:w="2268" w:type="dxa"/>
            <w:tcPrChange w:id="1566" w:author="Author" w:date="2025-07-22T17:56:00Z">
              <w:tcPr>
                <w:tcW w:w="2790" w:type="dxa"/>
              </w:tcPr>
            </w:tcPrChange>
          </w:tcPr>
          <w:p w14:paraId="441CA6DC" w14:textId="77777777" w:rsidR="009700E5" w:rsidRDefault="002C033C">
            <w:pPr>
              <w:keepNext/>
              <w:keepLines/>
              <w:jc w:val="center"/>
            </w:pPr>
            <w:r>
              <w:t>1,13</w:t>
            </w:r>
          </w:p>
        </w:tc>
        <w:tc>
          <w:tcPr>
            <w:tcW w:w="2126" w:type="dxa"/>
            <w:tcPrChange w:id="1567" w:author="Author" w:date="2025-07-22T17:56:00Z">
              <w:tcPr>
                <w:tcW w:w="2610" w:type="dxa"/>
              </w:tcPr>
            </w:tcPrChange>
          </w:tcPr>
          <w:p w14:paraId="1A3A19C5" w14:textId="77777777" w:rsidR="009700E5" w:rsidRDefault="002C033C">
            <w:pPr>
              <w:keepNext/>
              <w:keepLines/>
              <w:jc w:val="center"/>
            </w:pPr>
            <w:r>
              <w:t>0,29*</w:t>
            </w:r>
          </w:p>
        </w:tc>
      </w:tr>
      <w:tr w:rsidR="009700E5" w14:paraId="4E13A804" w14:textId="77777777" w:rsidTr="009700E5">
        <w:trPr>
          <w:cantSplit/>
          <w:trPrChange w:id="1568" w:author="Author" w:date="2025-07-22T17:56:00Z">
            <w:trPr>
              <w:cantSplit/>
            </w:trPr>
          </w:trPrChange>
        </w:trPr>
        <w:tc>
          <w:tcPr>
            <w:tcW w:w="3823" w:type="dxa"/>
            <w:tcPrChange w:id="1569" w:author="Author" w:date="2025-07-22T17:56:00Z">
              <w:tcPr>
                <w:tcW w:w="2358" w:type="dxa"/>
              </w:tcPr>
            </w:tcPrChange>
          </w:tcPr>
          <w:p w14:paraId="62665CB9" w14:textId="77777777" w:rsidR="009700E5" w:rsidRDefault="002C033C">
            <w:pPr>
              <w:keepNext/>
              <w:keepLines/>
            </w:pPr>
            <w:r>
              <w:t>Skóre erózie</w:t>
            </w:r>
          </w:p>
        </w:tc>
        <w:tc>
          <w:tcPr>
            <w:tcW w:w="2268" w:type="dxa"/>
            <w:tcPrChange w:id="1570" w:author="Author" w:date="2025-07-22T17:56:00Z">
              <w:tcPr>
                <w:tcW w:w="2790" w:type="dxa"/>
              </w:tcPr>
            </w:tcPrChange>
          </w:tcPr>
          <w:p w14:paraId="0C002231" w14:textId="77777777" w:rsidR="009700E5" w:rsidRDefault="002C033C">
            <w:pPr>
              <w:keepNext/>
              <w:keepLines/>
              <w:jc w:val="center"/>
            </w:pPr>
            <w:r>
              <w:t>0,71</w:t>
            </w:r>
          </w:p>
        </w:tc>
        <w:tc>
          <w:tcPr>
            <w:tcW w:w="2126" w:type="dxa"/>
            <w:tcPrChange w:id="1571" w:author="Author" w:date="2025-07-22T17:56:00Z">
              <w:tcPr>
                <w:tcW w:w="2610" w:type="dxa"/>
              </w:tcPr>
            </w:tcPrChange>
          </w:tcPr>
          <w:p w14:paraId="7C2C6460" w14:textId="77777777" w:rsidR="009700E5" w:rsidRDefault="002C033C">
            <w:pPr>
              <w:keepNext/>
              <w:keepLines/>
              <w:jc w:val="center"/>
            </w:pPr>
            <w:r>
              <w:t>0,17*</w:t>
            </w:r>
          </w:p>
        </w:tc>
      </w:tr>
      <w:tr w:rsidR="009700E5" w14:paraId="6BE55943" w14:textId="77777777" w:rsidTr="009700E5">
        <w:trPr>
          <w:cantSplit/>
          <w:trPrChange w:id="1572" w:author="Author" w:date="2025-07-22T17:56:00Z">
            <w:trPr>
              <w:cantSplit/>
            </w:trPr>
          </w:trPrChange>
        </w:trPr>
        <w:tc>
          <w:tcPr>
            <w:tcW w:w="3823" w:type="dxa"/>
            <w:tcPrChange w:id="1573" w:author="Author" w:date="2025-07-22T17:56:00Z">
              <w:tcPr>
                <w:tcW w:w="2358" w:type="dxa"/>
              </w:tcPr>
            </w:tcPrChange>
          </w:tcPr>
          <w:p w14:paraId="63218614" w14:textId="77777777" w:rsidR="009700E5" w:rsidRDefault="002C033C">
            <w:pPr>
              <w:keepNext/>
              <w:keepLines/>
            </w:pPr>
            <w:r>
              <w:t>Skóre JSN</w:t>
            </w:r>
          </w:p>
        </w:tc>
        <w:tc>
          <w:tcPr>
            <w:tcW w:w="2268" w:type="dxa"/>
            <w:tcPrChange w:id="1574" w:author="Author" w:date="2025-07-22T17:56:00Z">
              <w:tcPr>
                <w:tcW w:w="2790" w:type="dxa"/>
              </w:tcPr>
            </w:tcPrChange>
          </w:tcPr>
          <w:p w14:paraId="1821AB4C" w14:textId="77777777" w:rsidR="009700E5" w:rsidRDefault="002C033C">
            <w:pPr>
              <w:keepNext/>
              <w:keepLines/>
              <w:jc w:val="center"/>
            </w:pPr>
            <w:r>
              <w:t>0,42</w:t>
            </w:r>
          </w:p>
        </w:tc>
        <w:tc>
          <w:tcPr>
            <w:tcW w:w="2126" w:type="dxa"/>
            <w:tcPrChange w:id="1575" w:author="Author" w:date="2025-07-22T17:56:00Z">
              <w:tcPr>
                <w:tcW w:w="2610" w:type="dxa"/>
              </w:tcPr>
            </w:tcPrChange>
          </w:tcPr>
          <w:p w14:paraId="5EB54A04" w14:textId="77777777" w:rsidR="009700E5" w:rsidRDefault="002C033C">
            <w:pPr>
              <w:keepNext/>
              <w:keepLines/>
              <w:jc w:val="center"/>
            </w:pPr>
            <w:r>
              <w:t>0,12**</w:t>
            </w:r>
          </w:p>
        </w:tc>
      </w:tr>
    </w:tbl>
    <w:p w14:paraId="589E4910" w14:textId="77777777" w:rsidR="009700E5" w:rsidRDefault="002C033C">
      <w:pPr>
        <w:keepNext/>
        <w:keepLines/>
        <w:rPr>
          <w:iCs/>
          <w:sz w:val="18"/>
          <w:szCs w:val="18"/>
        </w:rPr>
      </w:pPr>
      <w:r>
        <w:rPr>
          <w:iCs/>
          <w:sz w:val="18"/>
          <w:szCs w:val="18"/>
        </w:rPr>
        <w:t>PBO</w:t>
      </w:r>
      <w:r>
        <w:rPr>
          <w:iCs/>
          <w:sz w:val="18"/>
          <w:szCs w:val="18"/>
        </w:rPr>
        <w:tab/>
      </w:r>
      <w:r>
        <w:rPr>
          <w:iCs/>
          <w:sz w:val="18"/>
          <w:szCs w:val="18"/>
        </w:rPr>
        <w:tab/>
        <w:t>- Placebo</w:t>
      </w:r>
    </w:p>
    <w:p w14:paraId="4B65D00A" w14:textId="77777777" w:rsidR="009700E5" w:rsidRDefault="002C033C">
      <w:pPr>
        <w:keepNext/>
        <w:keepLines/>
        <w:rPr>
          <w:iCs/>
          <w:sz w:val="18"/>
          <w:szCs w:val="18"/>
        </w:rPr>
      </w:pPr>
      <w:r>
        <w:rPr>
          <w:iCs/>
          <w:sz w:val="18"/>
          <w:szCs w:val="18"/>
        </w:rPr>
        <w:t>MTX</w:t>
      </w:r>
      <w:r>
        <w:rPr>
          <w:iCs/>
          <w:sz w:val="18"/>
          <w:szCs w:val="18"/>
        </w:rPr>
        <w:tab/>
      </w:r>
      <w:r>
        <w:rPr>
          <w:iCs/>
          <w:sz w:val="18"/>
          <w:szCs w:val="18"/>
        </w:rPr>
        <w:tab/>
        <w:t>- Metotrexát</w:t>
      </w:r>
    </w:p>
    <w:p w14:paraId="1BEAF8AF" w14:textId="77777777" w:rsidR="009700E5" w:rsidRDefault="002C033C">
      <w:pPr>
        <w:keepNext/>
        <w:keepLines/>
        <w:rPr>
          <w:iCs/>
          <w:sz w:val="18"/>
          <w:szCs w:val="18"/>
        </w:rPr>
      </w:pPr>
      <w:r>
        <w:rPr>
          <w:iCs/>
          <w:sz w:val="18"/>
          <w:szCs w:val="18"/>
        </w:rPr>
        <w:t>TCZ</w:t>
      </w:r>
      <w:r>
        <w:rPr>
          <w:iCs/>
          <w:sz w:val="18"/>
          <w:szCs w:val="18"/>
        </w:rPr>
        <w:tab/>
      </w:r>
      <w:r>
        <w:rPr>
          <w:iCs/>
          <w:sz w:val="18"/>
          <w:szCs w:val="18"/>
        </w:rPr>
        <w:tab/>
        <w:t>- Tocilizumab</w:t>
      </w:r>
    </w:p>
    <w:p w14:paraId="20531E61" w14:textId="77777777" w:rsidR="009700E5" w:rsidRDefault="002C033C">
      <w:pPr>
        <w:keepNext/>
        <w:keepLines/>
        <w:rPr>
          <w:iCs/>
          <w:sz w:val="18"/>
          <w:szCs w:val="18"/>
        </w:rPr>
      </w:pPr>
      <w:r>
        <w:rPr>
          <w:iCs/>
          <w:sz w:val="18"/>
          <w:szCs w:val="18"/>
        </w:rPr>
        <w:t>JSN</w:t>
      </w:r>
      <w:r>
        <w:rPr>
          <w:iCs/>
          <w:sz w:val="18"/>
          <w:szCs w:val="18"/>
        </w:rPr>
        <w:tab/>
      </w:r>
      <w:r>
        <w:rPr>
          <w:iCs/>
          <w:sz w:val="18"/>
          <w:szCs w:val="18"/>
        </w:rPr>
        <w:tab/>
        <w:t>- Zúženie kĺbovej štrbiny</w:t>
      </w:r>
    </w:p>
    <w:p w14:paraId="2FC129AF" w14:textId="77777777" w:rsidR="009700E5" w:rsidRDefault="002C033C">
      <w:pPr>
        <w:keepNext/>
        <w:keepLines/>
        <w:numPr>
          <w:ilvl w:val="12"/>
          <w:numId w:val="0"/>
        </w:numPr>
        <w:ind w:right="-2"/>
        <w:rPr>
          <w:iCs/>
          <w:sz w:val="18"/>
          <w:szCs w:val="18"/>
        </w:rPr>
      </w:pPr>
      <w:r>
        <w:rPr>
          <w:iCs/>
          <w:sz w:val="18"/>
          <w:szCs w:val="18"/>
        </w:rPr>
        <w:t>*</w:t>
      </w:r>
      <w:r>
        <w:rPr>
          <w:iCs/>
          <w:sz w:val="18"/>
          <w:szCs w:val="18"/>
        </w:rPr>
        <w:tab/>
      </w:r>
      <w:r>
        <w:rPr>
          <w:iCs/>
          <w:sz w:val="18"/>
          <w:szCs w:val="18"/>
        </w:rPr>
        <w:tab/>
        <w:t>- p ≤ 0,0001, TCZ oproti PBO + MTX</w:t>
      </w:r>
    </w:p>
    <w:p w14:paraId="2068EC21" w14:textId="77777777" w:rsidR="009700E5" w:rsidRDefault="002C033C">
      <w:pPr>
        <w:numPr>
          <w:ilvl w:val="12"/>
          <w:numId w:val="0"/>
        </w:numPr>
        <w:ind w:right="-2"/>
        <w:rPr>
          <w:iCs/>
          <w:sz w:val="18"/>
          <w:szCs w:val="18"/>
        </w:rPr>
      </w:pPr>
      <w:r>
        <w:rPr>
          <w:iCs/>
          <w:sz w:val="18"/>
          <w:szCs w:val="18"/>
        </w:rPr>
        <w:t>**</w:t>
      </w:r>
      <w:r>
        <w:rPr>
          <w:iCs/>
          <w:sz w:val="18"/>
          <w:szCs w:val="18"/>
        </w:rPr>
        <w:tab/>
      </w:r>
      <w:r>
        <w:rPr>
          <w:iCs/>
          <w:sz w:val="18"/>
          <w:szCs w:val="18"/>
        </w:rPr>
        <w:tab/>
        <w:t>- p &lt; 0,005, TCZ oproti PBO + MTX</w:t>
      </w:r>
    </w:p>
    <w:p w14:paraId="74376163" w14:textId="77777777" w:rsidR="009700E5" w:rsidRDefault="009700E5"/>
    <w:p w14:paraId="0BA00409" w14:textId="77777777" w:rsidR="009700E5" w:rsidRDefault="002C033C">
      <w:pPr>
        <w:outlineLvl w:val="0"/>
      </w:pPr>
      <w:r>
        <w:t xml:space="preserve">Po 1 roku liečby </w:t>
      </w:r>
      <w:r>
        <w:rPr>
          <w:iCs/>
        </w:rPr>
        <w:t>tocilizumabom</w:t>
      </w:r>
      <w:r>
        <w:t xml:space="preserve"> a MTX 85 % pacientov (n = 348) nevykazovalo žiadnu progresiu štrukturálneho poškodenia kĺbov ako je definované v celkovom Sharpovom skóre 0 alebo menej, v porovnaní so 67 % pacientov v skupine s placebom a MTX (n = 290) (p ≤ 0,001). Tieto výsledky pretrvávali i po 2 rokoch liečby (83 %, n = 353). Deväťdesiat tri percent (93 %; n = 271) pacientov nevykazovalo žiadnu progresiu medzi 52. a 104. týždňom.</w:t>
      </w:r>
    </w:p>
    <w:p w14:paraId="14C7847F" w14:textId="77777777" w:rsidR="009700E5" w:rsidRDefault="009700E5">
      <w:pPr>
        <w:rPr>
          <w:iCs/>
        </w:rPr>
      </w:pPr>
    </w:p>
    <w:p w14:paraId="4532AA98" w14:textId="77777777" w:rsidR="009700E5" w:rsidRDefault="002C033C">
      <w:pPr>
        <w:rPr>
          <w:i/>
          <w:u w:val="single"/>
        </w:rPr>
      </w:pPr>
      <w:r>
        <w:rPr>
          <w:i/>
          <w:u w:val="single"/>
        </w:rPr>
        <w:t>Zdravotné výsledky a výsledky týkajúce sa kvality života</w:t>
      </w:r>
    </w:p>
    <w:p w14:paraId="43C7545F" w14:textId="77777777" w:rsidR="009700E5" w:rsidRDefault="002C033C">
      <w:pPr>
        <w:numPr>
          <w:ilvl w:val="12"/>
          <w:numId w:val="0"/>
        </w:numPr>
        <w:ind w:right="-2"/>
      </w:pPr>
      <w:r>
        <w:t xml:space="preserve">Pacienti liečení </w:t>
      </w:r>
      <w:r>
        <w:rPr>
          <w:iCs/>
        </w:rPr>
        <w:t>tocilizumabom</w:t>
      </w:r>
      <w:r>
        <w:t xml:space="preserve"> hlásili zlepšenie vo všetkých výsledkoch hlásených pacientmi (dotazník hodnotiaci zdravie a index funkčnej neschopnosti, </w:t>
      </w:r>
      <w:r>
        <w:noBreakHyphen/>
        <w:t> HAQ</w:t>
      </w:r>
      <w:r>
        <w:noBreakHyphen/>
        <w:t xml:space="preserve">DI), skrátený formulár 36 a dotazník funkčného hodnotenia liečby chronického ochorenia. U pacientov liečených </w:t>
      </w:r>
      <w:r>
        <w:rPr>
          <w:iCs/>
        </w:rPr>
        <w:t>tocilizumabom</w:t>
      </w:r>
      <w:r>
        <w:t xml:space="preserve"> sa oproti pacientom liečeným DMARD pozorovalo štatisticky významné zlepšenie skóre HAQ</w:t>
      </w:r>
      <w:r>
        <w:noBreakHyphen/>
        <w:t xml:space="preserve">DI. V priebehu otvorenej fázy </w:t>
      </w:r>
      <w:del w:id="1576" w:author="Author" w:date="2025-07-19T23:17:00Z">
        <w:r>
          <w:delText>štúdie </w:delText>
        </w:r>
      </w:del>
      <w:ins w:id="1577" w:author="Author" w:date="2025-07-21T10:20:00Z">
        <w:r>
          <w:t xml:space="preserve">klinického </w:t>
        </w:r>
      </w:ins>
      <w:ins w:id="1578" w:author="Author" w:date="2025-07-19T23:17:00Z">
        <w:r>
          <w:t>skúšania </w:t>
        </w:r>
      </w:ins>
      <w:r>
        <w:t>II bolo udržanie zlepšenia fyzických funkcií až počas 2 rokov. V 52. týždni bola stredná zmena v HAQ</w:t>
      </w:r>
      <w:r>
        <w:noBreakHyphen/>
        <w:t xml:space="preserve">DI </w:t>
      </w:r>
      <w:r>
        <w:noBreakHyphen/>
        <w:t>0,58 v skupine s </w:t>
      </w:r>
      <w:r>
        <w:rPr>
          <w:iCs/>
        </w:rPr>
        <w:t>tocilizumabom</w:t>
      </w:r>
      <w:r>
        <w:t xml:space="preserve"> 8 mg/kg a MTX v porovnaní s </w:t>
      </w:r>
      <w:r>
        <w:noBreakHyphen/>
        <w:t>0,39 v skupine s placebom a MTX. Stredná zmena HAQ</w:t>
      </w:r>
      <w:r>
        <w:noBreakHyphen/>
        <w:t>DI bola v skupine s </w:t>
      </w:r>
      <w:r>
        <w:rPr>
          <w:iCs/>
        </w:rPr>
        <w:t>tocilizumabom</w:t>
      </w:r>
      <w:r>
        <w:t xml:space="preserve"> 8 mg/kg a MTX udržovaná aj v 104. týždni (</w:t>
      </w:r>
      <w:r>
        <w:noBreakHyphen/>
        <w:t>0,61).</w:t>
      </w:r>
    </w:p>
    <w:p w14:paraId="50FCA178" w14:textId="77777777" w:rsidR="009700E5" w:rsidRDefault="009700E5">
      <w:pPr>
        <w:outlineLvl w:val="0"/>
        <w:rPr>
          <w:i/>
          <w:sz w:val="18"/>
          <w:szCs w:val="18"/>
        </w:rPr>
      </w:pPr>
    </w:p>
    <w:p w14:paraId="06CB5416" w14:textId="77777777" w:rsidR="009700E5" w:rsidRDefault="002C033C">
      <w:pPr>
        <w:numPr>
          <w:ilvl w:val="12"/>
          <w:numId w:val="0"/>
        </w:numPr>
        <w:ind w:right="-2"/>
        <w:rPr>
          <w:i/>
          <w:u w:val="single"/>
        </w:rPr>
      </w:pPr>
      <w:r>
        <w:rPr>
          <w:i/>
          <w:u w:val="single"/>
        </w:rPr>
        <w:t>Hladiny hemoglobínu</w:t>
      </w:r>
    </w:p>
    <w:p w14:paraId="41657B27" w14:textId="77777777" w:rsidR="009700E5" w:rsidRDefault="002C033C">
      <w:pPr>
        <w:numPr>
          <w:ilvl w:val="12"/>
          <w:numId w:val="0"/>
        </w:numPr>
        <w:ind w:right="-2"/>
      </w:pPr>
      <w:r>
        <w:t xml:space="preserve">Pri liečbe </w:t>
      </w:r>
      <w:r>
        <w:rPr>
          <w:iCs/>
        </w:rPr>
        <w:t>tocilizumabom</w:t>
      </w:r>
      <w:r>
        <w:t xml:space="preserve"> sa oproti liečbe DMARD v 24. týždni pozorovalo štatisticky významné zlepšenie hladín hemoglobínu (p </w:t>
      </w:r>
      <w:r>
        <w:rPr>
          <w:rFonts w:eastAsia="MS Mincho"/>
          <w:szCs w:val="22"/>
        </w:rPr>
        <w:sym w:font="Symbol" w:char="F03C"/>
      </w:r>
      <w:r>
        <w:t> 0,0001). Priemerné hodnoty hladín hemoglobínu sa zvýšili do 2. týždňa a udržali sa v referenčnom rozpätí až do 24. týždňa.</w:t>
      </w:r>
    </w:p>
    <w:p w14:paraId="6D32529E" w14:textId="77777777" w:rsidR="009700E5" w:rsidRDefault="009700E5">
      <w:pPr>
        <w:numPr>
          <w:ilvl w:val="12"/>
          <w:numId w:val="0"/>
        </w:numPr>
        <w:ind w:right="-2"/>
      </w:pPr>
    </w:p>
    <w:p w14:paraId="3E98743B" w14:textId="77777777" w:rsidR="009700E5" w:rsidRDefault="002C033C">
      <w:pPr>
        <w:numPr>
          <w:ilvl w:val="12"/>
          <w:numId w:val="0"/>
        </w:numPr>
        <w:ind w:right="-2"/>
        <w:rPr>
          <w:i/>
          <w:u w:val="single"/>
        </w:rPr>
      </w:pPr>
      <w:r>
        <w:rPr>
          <w:i/>
          <w:u w:val="single"/>
        </w:rPr>
        <w:t>Tocilizumab verzus adalimumab v monoterapii</w:t>
      </w:r>
    </w:p>
    <w:p w14:paraId="79AFC695" w14:textId="77777777" w:rsidR="009700E5" w:rsidRDefault="002C033C">
      <w:pPr>
        <w:numPr>
          <w:ilvl w:val="12"/>
          <w:numId w:val="0"/>
        </w:numPr>
        <w:ind w:right="-2"/>
      </w:pPr>
      <w:del w:id="1579" w:author="Author" w:date="2025-07-19T23:17:00Z">
        <w:r>
          <w:delText xml:space="preserve">Štúdia </w:delText>
        </w:r>
      </w:del>
      <w:ins w:id="1580" w:author="Author" w:date="2025-07-21T10:21:00Z">
        <w:r>
          <w:t>Klinické s</w:t>
        </w:r>
      </w:ins>
      <w:ins w:id="1581" w:author="Author" w:date="2025-07-19T23:17:00Z">
        <w:del w:id="1582" w:author="Author" w:date="2025-07-21T10:21:00Z">
          <w:r>
            <w:delText>S</w:delText>
          </w:r>
        </w:del>
        <w:r>
          <w:t xml:space="preserve">kúšanie </w:t>
        </w:r>
      </w:ins>
      <w:r>
        <w:t>VI (WA19924), 24</w:t>
      </w:r>
      <w:r>
        <w:noBreakHyphen/>
      </w:r>
      <w:del w:id="1583" w:author="Author" w:date="2025-07-19T23:17:00Z">
        <w:r>
          <w:delText xml:space="preserve">týždňová </w:delText>
        </w:r>
      </w:del>
      <w:ins w:id="1584" w:author="Author" w:date="2025-07-19T23:17:00Z">
        <w:r>
          <w:t xml:space="preserve">týždňové </w:t>
        </w:r>
      </w:ins>
      <w:r>
        <w:t>dvojito zaslepen</w:t>
      </w:r>
      <w:del w:id="1585" w:author="Author" w:date="2025-07-19T23:17:00Z">
        <w:r>
          <w:delText>á štúdia</w:delText>
        </w:r>
      </w:del>
      <w:ins w:id="1586" w:author="Author" w:date="2025-07-19T23:17:00Z">
        <w:r>
          <w:t>é klinické skú</w:t>
        </w:r>
      </w:ins>
      <w:ins w:id="1587" w:author="Author" w:date="2025-07-19T23:18:00Z">
        <w:r>
          <w:t>šanie</w:t>
        </w:r>
      </w:ins>
      <w:r>
        <w:t xml:space="preserve">, </w:t>
      </w:r>
      <w:del w:id="1588" w:author="Author" w:date="2025-07-19T23:18:00Z">
        <w:r>
          <w:delText xml:space="preserve">ktorá </w:delText>
        </w:r>
      </w:del>
      <w:ins w:id="1589" w:author="Author" w:date="2025-07-19T23:18:00Z">
        <w:r>
          <w:t xml:space="preserve">ktoré </w:t>
        </w:r>
      </w:ins>
      <w:del w:id="1590" w:author="Author" w:date="2025-07-19T23:18:00Z">
        <w:r>
          <w:delText xml:space="preserve">porovnávala </w:delText>
        </w:r>
      </w:del>
      <w:ins w:id="1591" w:author="Author" w:date="2025-07-19T23:18:00Z">
        <w:r>
          <w:t xml:space="preserve">porovnávalo </w:t>
        </w:r>
      </w:ins>
      <w:r>
        <w:t xml:space="preserve">monoterapiu </w:t>
      </w:r>
      <w:r>
        <w:rPr>
          <w:iCs/>
        </w:rPr>
        <w:t>tocilizumabom</w:t>
      </w:r>
      <w:r>
        <w:t xml:space="preserve"> s monoterapiou adalimumabom, </w:t>
      </w:r>
      <w:del w:id="1592" w:author="Author" w:date="2025-07-19T23:18:00Z">
        <w:r>
          <w:delText xml:space="preserve">hodnotila </w:delText>
        </w:r>
      </w:del>
      <w:ins w:id="1593" w:author="Author" w:date="2025-07-19T23:18:00Z">
        <w:r>
          <w:t xml:space="preserve">hodnotilo </w:t>
        </w:r>
      </w:ins>
      <w:r>
        <w:t>326 pacientov s RA, ktorí netolerovali MTX alebo kde pokračovanie v liečbe MTX sa považovalo za nevhodné (vrátane nedostatočných respondérov na MTX). Pacienti v skupine s </w:t>
      </w:r>
      <w:r>
        <w:rPr>
          <w:iCs/>
        </w:rPr>
        <w:t>tocilizumabom</w:t>
      </w:r>
      <w:r>
        <w:t xml:space="preserve"> dostávali intravenóznu infúziu tocilizumabu (8 mg/kg) každé 4 týždne a subkutánne injekciu s placebom každé 2 týždne. Pacienti v skupine s adalimumabom dostávali subkutánnu injekciu adalimumabu (40 mg) každé 2 týždne plus intravenóznu infúziu s placebom každé 4 týždne.</w:t>
      </w:r>
    </w:p>
    <w:p w14:paraId="67624973" w14:textId="77777777" w:rsidR="009700E5" w:rsidRDefault="009700E5">
      <w:pPr>
        <w:numPr>
          <w:ilvl w:val="12"/>
          <w:numId w:val="0"/>
        </w:numPr>
        <w:ind w:right="-2"/>
      </w:pPr>
    </w:p>
    <w:p w14:paraId="40A89C6A" w14:textId="77777777" w:rsidR="009700E5" w:rsidRDefault="002C033C">
      <w:pPr>
        <w:numPr>
          <w:ilvl w:val="12"/>
          <w:numId w:val="0"/>
        </w:numPr>
        <w:ind w:right="-2"/>
      </w:pPr>
      <w:r>
        <w:t xml:space="preserve">Pozoroval sa štatistický významný superiórny účinok liečby v prospech </w:t>
      </w:r>
      <w:r>
        <w:rPr>
          <w:iCs/>
        </w:rPr>
        <w:t>tocilizumabu</w:t>
      </w:r>
      <w:r>
        <w:t xml:space="preserve"> v porovnaní s adalimumabom pri kontrole aktivity ochorenia od východiskovej hodnoty po 24. týždeň pre primárny cieľový ukazovateľ zmenu DAS28 a pre všetky sekundárne cieľové ukazovatele (tabuľka 7).</w:t>
      </w:r>
    </w:p>
    <w:p w14:paraId="1F856DF8" w14:textId="77777777" w:rsidR="009700E5" w:rsidRDefault="009700E5">
      <w:pPr>
        <w:numPr>
          <w:ilvl w:val="12"/>
          <w:numId w:val="0"/>
        </w:numPr>
        <w:ind w:right="-2"/>
      </w:pPr>
    </w:p>
    <w:p w14:paraId="5CD8864E" w14:textId="77777777" w:rsidR="009700E5" w:rsidRDefault="002C033C">
      <w:pPr>
        <w:keepNext/>
        <w:keepLines/>
        <w:rPr>
          <w:bCs/>
          <w:i/>
        </w:rPr>
      </w:pPr>
      <w:r>
        <w:rPr>
          <w:bCs/>
          <w:i/>
        </w:rPr>
        <w:lastRenderedPageBreak/>
        <w:t xml:space="preserve">Tabuľka 7. Výsledky účinnosti pre </w:t>
      </w:r>
      <w:del w:id="1594" w:author="Author" w:date="2025-07-19T23:18:00Z">
        <w:r>
          <w:rPr>
            <w:bCs/>
            <w:i/>
          </w:rPr>
          <w:delText xml:space="preserve">štúdiu </w:delText>
        </w:r>
      </w:del>
      <w:ins w:id="1595" w:author="Author" w:date="2025-07-21T10:21:00Z">
        <w:r>
          <w:rPr>
            <w:bCs/>
            <w:i/>
          </w:rPr>
          <w:t xml:space="preserve">klinické </w:t>
        </w:r>
      </w:ins>
      <w:ins w:id="1596" w:author="Author" w:date="2025-07-19T23:18:00Z">
        <w:r>
          <w:rPr>
            <w:bCs/>
            <w:i/>
          </w:rPr>
          <w:t xml:space="preserve">skúšanie </w:t>
        </w:r>
      </w:ins>
      <w:r>
        <w:rPr>
          <w:bCs/>
          <w:i/>
        </w:rPr>
        <w:t>VI (WA19924)</w:t>
      </w:r>
    </w:p>
    <w:p w14:paraId="79A5358D" w14:textId="77777777" w:rsidR="009700E5" w:rsidRDefault="009700E5">
      <w:pPr>
        <w:keepNext/>
        <w:keepLines/>
      </w:pPr>
    </w:p>
    <w:tbl>
      <w:tblPr>
        <w:tblW w:w="8726" w:type="dxa"/>
        <w:tblInd w:w="58" w:type="dxa"/>
        <w:tblLayout w:type="fixed"/>
        <w:tblCellMar>
          <w:left w:w="0" w:type="dxa"/>
          <w:right w:w="0" w:type="dxa"/>
        </w:tblCellMar>
        <w:tblLook w:val="04A0" w:firstRow="1" w:lastRow="0" w:firstColumn="1" w:lastColumn="0" w:noHBand="0" w:noVBand="1"/>
        <w:tblPrChange w:id="1597" w:author="Author" w:date="2025-07-22T17:57:00Z">
          <w:tblPr>
            <w:tblW w:w="7950" w:type="dxa"/>
            <w:tblInd w:w="58" w:type="dxa"/>
            <w:tblLayout w:type="fixed"/>
            <w:tblCellMar>
              <w:left w:w="0" w:type="dxa"/>
              <w:right w:w="0" w:type="dxa"/>
            </w:tblCellMar>
            <w:tblLook w:val="04A0" w:firstRow="1" w:lastRow="0" w:firstColumn="1" w:lastColumn="0" w:noHBand="0" w:noVBand="1"/>
          </w:tblPr>
        </w:tblPrChange>
      </w:tblPr>
      <w:tblGrid>
        <w:gridCol w:w="3906"/>
        <w:gridCol w:w="1560"/>
        <w:gridCol w:w="1842"/>
        <w:gridCol w:w="1418"/>
        <w:tblGridChange w:id="1598">
          <w:tblGrid>
            <w:gridCol w:w="3350"/>
            <w:gridCol w:w="1610"/>
            <w:gridCol w:w="1701"/>
            <w:gridCol w:w="1275"/>
            <w:gridCol w:w="14"/>
          </w:tblGrid>
        </w:tblGridChange>
      </w:tblGrid>
      <w:tr w:rsidR="009700E5" w14:paraId="21954AB2" w14:textId="77777777" w:rsidTr="009700E5">
        <w:trPr>
          <w:cantSplit/>
          <w:trHeight w:val="1003"/>
          <w:trPrChange w:id="1599" w:author="Author" w:date="2025-07-22T17:57:00Z">
            <w:trPr>
              <w:gridAfter w:val="0"/>
              <w:wAfter w:w="14" w:type="dxa"/>
              <w:cantSplit/>
              <w:trHeight w:val="1003"/>
            </w:trPr>
          </w:trPrChange>
        </w:trPr>
        <w:tc>
          <w:tcPr>
            <w:tcW w:w="3906"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Change w:id="1600" w:author="Author" w:date="2025-07-22T17:57:00Z">
              <w:tcPr>
                <w:tcW w:w="3350"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tcPrChange>
          </w:tcPr>
          <w:p w14:paraId="52044C8C" w14:textId="77777777" w:rsidR="009700E5" w:rsidRDefault="009700E5">
            <w:pPr>
              <w:keepNext/>
              <w:keepLines/>
              <w:rPr>
                <w:sz w:val="20"/>
                <w:lang w:eastAsia="zh-TW"/>
              </w:rPr>
            </w:pPr>
          </w:p>
        </w:tc>
        <w:tc>
          <w:tcPr>
            <w:tcW w:w="1560" w:type="dxa"/>
            <w:tcBorders>
              <w:top w:val="single" w:sz="8" w:space="0" w:color="auto"/>
              <w:left w:val="nil"/>
              <w:bottom w:val="single" w:sz="8" w:space="0" w:color="auto"/>
              <w:right w:val="nil"/>
            </w:tcBorders>
            <w:tcMar>
              <w:top w:w="0" w:type="dxa"/>
              <w:left w:w="57" w:type="dxa"/>
              <w:bottom w:w="0" w:type="dxa"/>
              <w:right w:w="57" w:type="dxa"/>
            </w:tcMar>
            <w:vAlign w:val="bottom"/>
            <w:tcPrChange w:id="1601" w:author="Author" w:date="2025-07-22T17:57:00Z">
              <w:tcPr>
                <w:tcW w:w="1610" w:type="dxa"/>
                <w:tcBorders>
                  <w:top w:val="single" w:sz="8" w:space="0" w:color="auto"/>
                  <w:left w:val="nil"/>
                  <w:bottom w:val="single" w:sz="8" w:space="0" w:color="auto"/>
                  <w:right w:val="nil"/>
                </w:tcBorders>
                <w:tcMar>
                  <w:top w:w="0" w:type="dxa"/>
                  <w:left w:w="57" w:type="dxa"/>
                  <w:bottom w:w="0" w:type="dxa"/>
                  <w:right w:w="57" w:type="dxa"/>
                </w:tcMar>
                <w:vAlign w:val="bottom"/>
              </w:tcPr>
            </w:tcPrChange>
          </w:tcPr>
          <w:p w14:paraId="09F9671C" w14:textId="77777777" w:rsidR="009700E5" w:rsidRDefault="002C033C">
            <w:pPr>
              <w:keepNext/>
              <w:keepLines/>
              <w:spacing w:before="50" w:after="50" w:line="240" w:lineRule="exact"/>
              <w:jc w:val="center"/>
              <w:rPr>
                <w:rFonts w:eastAsia="SimSun"/>
                <w:b/>
                <w:sz w:val="20"/>
                <w:lang w:eastAsia="zh-CN"/>
              </w:rPr>
            </w:pPr>
            <w:r>
              <w:rPr>
                <w:rFonts w:eastAsia="SimSun"/>
                <w:b/>
                <w:sz w:val="20"/>
                <w:lang w:eastAsia="zh-CN"/>
              </w:rPr>
              <w:t>ADA + placebo (i.v.)</w:t>
            </w:r>
          </w:p>
          <w:p w14:paraId="3FF56541" w14:textId="77777777" w:rsidR="009700E5" w:rsidRDefault="002C033C">
            <w:pPr>
              <w:keepNext/>
              <w:keepLines/>
              <w:spacing w:before="50" w:after="50" w:line="240" w:lineRule="exact"/>
              <w:jc w:val="center"/>
              <w:rPr>
                <w:rFonts w:eastAsia="SimSun"/>
                <w:b/>
                <w:sz w:val="20"/>
                <w:lang w:eastAsia="zh-CN"/>
              </w:rPr>
            </w:pPr>
            <w:del w:id="1602" w:author="Author" w:date="2025-07-19T23:18:00Z">
              <w:r>
                <w:rPr>
                  <w:rFonts w:eastAsia="SimSun"/>
                  <w:b/>
                  <w:sz w:val="20"/>
                  <w:lang w:eastAsia="zh-CN"/>
                </w:rPr>
                <w:delText xml:space="preserve">N </w:delText>
              </w:r>
            </w:del>
            <w:ins w:id="1603" w:author="Author" w:date="2025-07-19T23:18:00Z">
              <w:r>
                <w:rPr>
                  <w:rFonts w:eastAsia="SimSun"/>
                  <w:b/>
                  <w:sz w:val="20"/>
                  <w:lang w:eastAsia="zh-CN"/>
                </w:rPr>
                <w:t xml:space="preserve">n </w:t>
              </w:r>
            </w:ins>
            <w:r>
              <w:rPr>
                <w:rFonts w:eastAsia="SimSun"/>
                <w:b/>
                <w:sz w:val="20"/>
                <w:lang w:eastAsia="zh-CN"/>
              </w:rPr>
              <w:t>= 162</w:t>
            </w:r>
          </w:p>
        </w:tc>
        <w:tc>
          <w:tcPr>
            <w:tcW w:w="1842" w:type="dxa"/>
            <w:tcBorders>
              <w:top w:val="single" w:sz="8" w:space="0" w:color="auto"/>
              <w:left w:val="nil"/>
              <w:bottom w:val="single" w:sz="8" w:space="0" w:color="auto"/>
              <w:right w:val="nil"/>
            </w:tcBorders>
            <w:tcMar>
              <w:top w:w="0" w:type="dxa"/>
              <w:left w:w="57" w:type="dxa"/>
              <w:bottom w:w="0" w:type="dxa"/>
              <w:right w:w="57" w:type="dxa"/>
            </w:tcMar>
            <w:vAlign w:val="bottom"/>
            <w:tcPrChange w:id="1604" w:author="Author" w:date="2025-07-22T17:57:00Z">
              <w:tcPr>
                <w:tcW w:w="1701" w:type="dxa"/>
                <w:tcBorders>
                  <w:top w:val="single" w:sz="8" w:space="0" w:color="auto"/>
                  <w:left w:val="nil"/>
                  <w:bottom w:val="single" w:sz="8" w:space="0" w:color="auto"/>
                  <w:right w:val="nil"/>
                </w:tcBorders>
                <w:tcMar>
                  <w:top w:w="0" w:type="dxa"/>
                  <w:left w:w="57" w:type="dxa"/>
                  <w:bottom w:w="0" w:type="dxa"/>
                  <w:right w:w="57" w:type="dxa"/>
                </w:tcMar>
                <w:vAlign w:val="bottom"/>
              </w:tcPr>
            </w:tcPrChange>
          </w:tcPr>
          <w:p w14:paraId="443A3E69" w14:textId="77777777" w:rsidR="009700E5" w:rsidRDefault="002C033C">
            <w:pPr>
              <w:keepNext/>
              <w:keepLines/>
              <w:spacing w:before="50" w:after="50" w:line="240" w:lineRule="exact"/>
              <w:jc w:val="center"/>
              <w:rPr>
                <w:rFonts w:eastAsia="SimSun"/>
                <w:b/>
                <w:sz w:val="20"/>
                <w:lang w:eastAsia="zh-CN"/>
              </w:rPr>
            </w:pPr>
            <w:r>
              <w:rPr>
                <w:rFonts w:eastAsia="SimSun"/>
                <w:b/>
                <w:sz w:val="20"/>
                <w:lang w:eastAsia="zh-CN"/>
              </w:rPr>
              <w:t>Tocilizumab + placebo (s.c.)</w:t>
            </w:r>
          </w:p>
          <w:p w14:paraId="09792D25" w14:textId="77777777" w:rsidR="009700E5" w:rsidRDefault="002C033C">
            <w:pPr>
              <w:keepNext/>
              <w:keepLines/>
              <w:spacing w:before="50" w:after="50" w:line="240" w:lineRule="exact"/>
              <w:jc w:val="center"/>
              <w:rPr>
                <w:rFonts w:eastAsia="SimSun"/>
                <w:b/>
                <w:sz w:val="20"/>
                <w:lang w:eastAsia="zh-CN"/>
              </w:rPr>
            </w:pPr>
            <w:del w:id="1605" w:author="Author" w:date="2025-07-19T23:18:00Z">
              <w:r>
                <w:rPr>
                  <w:rFonts w:eastAsia="SimSun"/>
                  <w:b/>
                  <w:sz w:val="20"/>
                  <w:lang w:eastAsia="zh-CN"/>
                </w:rPr>
                <w:delText xml:space="preserve">N </w:delText>
              </w:r>
            </w:del>
            <w:ins w:id="1606" w:author="Author" w:date="2025-07-19T23:18:00Z">
              <w:r>
                <w:rPr>
                  <w:rFonts w:eastAsia="SimSun"/>
                  <w:b/>
                  <w:sz w:val="20"/>
                  <w:lang w:eastAsia="zh-CN"/>
                </w:rPr>
                <w:t xml:space="preserve">n </w:t>
              </w:r>
            </w:ins>
            <w:r>
              <w:rPr>
                <w:rFonts w:eastAsia="SimSun"/>
                <w:b/>
                <w:sz w:val="20"/>
                <w:lang w:eastAsia="zh-CN"/>
              </w:rPr>
              <w:t>= 163</w:t>
            </w:r>
          </w:p>
        </w:tc>
        <w:tc>
          <w:tcPr>
            <w:tcW w:w="1418"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Change w:id="1607" w:author="Author" w:date="2025-07-22T17:57:00Z">
              <w:tcPr>
                <w:tcW w:w="1275"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tcPrChange>
          </w:tcPr>
          <w:p w14:paraId="08C5A69B" w14:textId="77777777" w:rsidR="009700E5" w:rsidRDefault="002C033C">
            <w:pPr>
              <w:keepNext/>
              <w:keepLines/>
              <w:spacing w:before="50" w:after="50" w:line="240" w:lineRule="exact"/>
              <w:jc w:val="center"/>
              <w:rPr>
                <w:rFonts w:eastAsia="SimSun"/>
                <w:sz w:val="20"/>
                <w:lang w:eastAsia="zh-CN"/>
              </w:rPr>
            </w:pPr>
            <w:r>
              <w:rPr>
                <w:rFonts w:eastAsia="SimSun"/>
                <w:b/>
                <w:bCs/>
                <w:sz w:val="20"/>
                <w:lang w:eastAsia="zh-CN"/>
                <w:rPrChange w:id="1608" w:author="Author" w:date="2025-08-22T15:12:00Z">
                  <w:rPr>
                    <w:rFonts w:eastAsia="SimSun"/>
                    <w:sz w:val="20"/>
                    <w:lang w:eastAsia="zh-CN"/>
                  </w:rPr>
                </w:rPrChange>
              </w:rPr>
              <w:t>p-hodnota</w:t>
            </w:r>
            <w:r>
              <w:rPr>
                <w:rFonts w:eastAsia="SimSun"/>
                <w:b/>
                <w:bCs/>
                <w:sz w:val="20"/>
                <w:vertAlign w:val="superscript"/>
                <w:lang w:eastAsia="zh-CN"/>
              </w:rPr>
              <w:t>(a</w:t>
            </w:r>
            <w:r>
              <w:rPr>
                <w:rFonts w:eastAsia="SimSun"/>
                <w:b/>
                <w:sz w:val="20"/>
                <w:vertAlign w:val="superscript"/>
                <w:lang w:eastAsia="zh-CN"/>
              </w:rPr>
              <w:t>)</w:t>
            </w:r>
          </w:p>
        </w:tc>
      </w:tr>
      <w:tr w:rsidR="009700E5" w14:paraId="21D732EF" w14:textId="77777777" w:rsidTr="009700E5">
        <w:trPr>
          <w:cantSplit/>
          <w:trPrChange w:id="1609" w:author="Author" w:date="2025-07-22T17:57:00Z">
            <w:trPr>
              <w:cantSplit/>
            </w:trPr>
          </w:trPrChange>
        </w:trPr>
        <w:tc>
          <w:tcPr>
            <w:tcW w:w="8726" w:type="dxa"/>
            <w:gridSpan w:val="4"/>
            <w:tcBorders>
              <w:top w:val="nil"/>
              <w:left w:val="single" w:sz="4" w:space="0" w:color="auto"/>
              <w:bottom w:val="nil"/>
              <w:right w:val="single" w:sz="8" w:space="0" w:color="auto"/>
            </w:tcBorders>
            <w:tcMar>
              <w:top w:w="0" w:type="dxa"/>
              <w:left w:w="57" w:type="dxa"/>
              <w:bottom w:w="0" w:type="dxa"/>
              <w:right w:w="57" w:type="dxa"/>
            </w:tcMar>
            <w:tcPrChange w:id="1610" w:author="Author" w:date="2025-07-22T17:57:00Z">
              <w:tcPr>
                <w:tcW w:w="7950" w:type="dxa"/>
                <w:gridSpan w:val="5"/>
                <w:tcBorders>
                  <w:top w:val="nil"/>
                  <w:left w:val="single" w:sz="4" w:space="0" w:color="auto"/>
                  <w:bottom w:val="nil"/>
                  <w:right w:val="single" w:sz="8" w:space="0" w:color="auto"/>
                </w:tcBorders>
                <w:tcMar>
                  <w:top w:w="0" w:type="dxa"/>
                  <w:left w:w="57" w:type="dxa"/>
                  <w:bottom w:w="0" w:type="dxa"/>
                  <w:right w:w="57" w:type="dxa"/>
                </w:tcMar>
              </w:tcPr>
            </w:tcPrChange>
          </w:tcPr>
          <w:p w14:paraId="775F65F4" w14:textId="77777777" w:rsidR="009700E5" w:rsidRDefault="002C033C">
            <w:pPr>
              <w:keepNext/>
              <w:keepLines/>
              <w:spacing w:before="50" w:after="50" w:line="240" w:lineRule="exact"/>
              <w:rPr>
                <w:rFonts w:eastAsia="SimSun"/>
                <w:sz w:val="20"/>
                <w:lang w:eastAsia="zh-CN"/>
              </w:rPr>
            </w:pPr>
            <w:r>
              <w:rPr>
                <w:rFonts w:eastAsia="SimSun"/>
                <w:b/>
                <w:sz w:val="20"/>
                <w:lang w:eastAsia="zh-CN"/>
              </w:rPr>
              <w:t>Primárny cieľový ukazovateľ – Priemerná zmena od východiskovej hodnoty v 24. týždni</w:t>
            </w:r>
          </w:p>
        </w:tc>
      </w:tr>
      <w:tr w:rsidR="009700E5" w14:paraId="1753678A" w14:textId="77777777" w:rsidTr="009700E5">
        <w:trPr>
          <w:cantSplit/>
          <w:trPrChange w:id="1611" w:author="Author" w:date="2025-07-22T17:57:00Z">
            <w:trPr>
              <w:gridAfter w:val="0"/>
              <w:wAfter w:w="14" w:type="dxa"/>
              <w:cantSplit/>
            </w:trPr>
          </w:trPrChange>
        </w:trPr>
        <w:tc>
          <w:tcPr>
            <w:tcW w:w="3906" w:type="dxa"/>
            <w:tcBorders>
              <w:top w:val="single" w:sz="4" w:space="0" w:color="auto"/>
              <w:left w:val="single" w:sz="4" w:space="0" w:color="auto"/>
              <w:bottom w:val="nil"/>
              <w:right w:val="nil"/>
            </w:tcBorders>
            <w:tcMar>
              <w:top w:w="0" w:type="dxa"/>
              <w:left w:w="57" w:type="dxa"/>
              <w:bottom w:w="0" w:type="dxa"/>
              <w:right w:w="57" w:type="dxa"/>
            </w:tcMar>
            <w:tcPrChange w:id="1612" w:author="Author" w:date="2025-07-22T17:57:00Z">
              <w:tcPr>
                <w:tcW w:w="3350" w:type="dxa"/>
                <w:tcBorders>
                  <w:top w:val="single" w:sz="4" w:space="0" w:color="auto"/>
                  <w:left w:val="single" w:sz="4" w:space="0" w:color="auto"/>
                  <w:bottom w:val="nil"/>
                  <w:right w:val="nil"/>
                </w:tcBorders>
                <w:tcMar>
                  <w:top w:w="0" w:type="dxa"/>
                  <w:left w:w="57" w:type="dxa"/>
                  <w:bottom w:w="0" w:type="dxa"/>
                  <w:right w:w="57" w:type="dxa"/>
                </w:tcMar>
              </w:tcPr>
            </w:tcPrChange>
          </w:tcPr>
          <w:p w14:paraId="57C9C6E0" w14:textId="77777777" w:rsidR="009700E5" w:rsidRDefault="002C033C">
            <w:pPr>
              <w:keepNext/>
              <w:keepLines/>
              <w:spacing w:before="50" w:after="50" w:line="240" w:lineRule="exact"/>
              <w:jc w:val="right"/>
              <w:rPr>
                <w:rFonts w:eastAsia="SimSun"/>
                <w:b/>
                <w:sz w:val="20"/>
                <w:lang w:eastAsia="zh-CN"/>
              </w:rPr>
            </w:pPr>
            <w:r>
              <w:rPr>
                <w:rFonts w:eastAsia="SimSun"/>
                <w:b/>
                <w:sz w:val="20"/>
                <w:lang w:eastAsia="zh-CN"/>
              </w:rPr>
              <w:t xml:space="preserve">DAS28 (upravený priemer) </w:t>
            </w:r>
          </w:p>
        </w:tc>
        <w:tc>
          <w:tcPr>
            <w:tcW w:w="1560" w:type="dxa"/>
            <w:tcBorders>
              <w:top w:val="single" w:sz="4" w:space="0" w:color="auto"/>
              <w:left w:val="nil"/>
              <w:bottom w:val="nil"/>
              <w:right w:val="nil"/>
            </w:tcBorders>
            <w:tcMar>
              <w:top w:w="0" w:type="dxa"/>
              <w:left w:w="57" w:type="dxa"/>
              <w:bottom w:w="0" w:type="dxa"/>
              <w:right w:w="57" w:type="dxa"/>
            </w:tcMar>
            <w:tcPrChange w:id="1613" w:author="Author" w:date="2025-07-22T17:57:00Z">
              <w:tcPr>
                <w:tcW w:w="1610" w:type="dxa"/>
                <w:tcBorders>
                  <w:top w:val="single" w:sz="4" w:space="0" w:color="auto"/>
                  <w:left w:val="nil"/>
                  <w:bottom w:val="nil"/>
                  <w:right w:val="nil"/>
                </w:tcBorders>
                <w:tcMar>
                  <w:top w:w="0" w:type="dxa"/>
                  <w:left w:w="57" w:type="dxa"/>
                  <w:bottom w:w="0" w:type="dxa"/>
                  <w:right w:w="57" w:type="dxa"/>
                </w:tcMar>
              </w:tcPr>
            </w:tcPrChange>
          </w:tcPr>
          <w:p w14:paraId="72DF6739" w14:textId="77777777" w:rsidR="009700E5" w:rsidRDefault="002C033C">
            <w:pPr>
              <w:keepNext/>
              <w:keepLines/>
              <w:spacing w:before="50" w:after="50" w:line="240" w:lineRule="exact"/>
              <w:jc w:val="center"/>
              <w:rPr>
                <w:rFonts w:eastAsia="SimSun"/>
                <w:b/>
                <w:sz w:val="20"/>
                <w:lang w:eastAsia="zh-CN"/>
              </w:rPr>
            </w:pPr>
            <w:r>
              <w:rPr>
                <w:rFonts w:eastAsia="SimSun"/>
                <w:b/>
                <w:sz w:val="20"/>
                <w:lang w:eastAsia="zh-CN"/>
              </w:rPr>
              <w:t>-1,8</w:t>
            </w:r>
          </w:p>
        </w:tc>
        <w:tc>
          <w:tcPr>
            <w:tcW w:w="1842" w:type="dxa"/>
            <w:tcBorders>
              <w:top w:val="single" w:sz="4" w:space="0" w:color="auto"/>
              <w:left w:val="nil"/>
              <w:bottom w:val="nil"/>
              <w:right w:val="nil"/>
            </w:tcBorders>
            <w:tcMar>
              <w:top w:w="0" w:type="dxa"/>
              <w:left w:w="57" w:type="dxa"/>
              <w:bottom w:w="0" w:type="dxa"/>
              <w:right w:w="57" w:type="dxa"/>
            </w:tcMar>
            <w:tcPrChange w:id="1614" w:author="Author" w:date="2025-07-22T17:57:00Z">
              <w:tcPr>
                <w:tcW w:w="1701" w:type="dxa"/>
                <w:tcBorders>
                  <w:top w:val="single" w:sz="4" w:space="0" w:color="auto"/>
                  <w:left w:val="nil"/>
                  <w:bottom w:val="nil"/>
                  <w:right w:val="nil"/>
                </w:tcBorders>
                <w:tcMar>
                  <w:top w:w="0" w:type="dxa"/>
                  <w:left w:w="57" w:type="dxa"/>
                  <w:bottom w:w="0" w:type="dxa"/>
                  <w:right w:w="57" w:type="dxa"/>
                </w:tcMar>
              </w:tcPr>
            </w:tcPrChange>
          </w:tcPr>
          <w:p w14:paraId="7F87EC77" w14:textId="77777777" w:rsidR="009700E5" w:rsidRDefault="002C033C">
            <w:pPr>
              <w:keepNext/>
              <w:keepLines/>
              <w:spacing w:before="50" w:after="50" w:line="240" w:lineRule="exact"/>
              <w:jc w:val="center"/>
              <w:rPr>
                <w:rFonts w:eastAsia="SimSun"/>
                <w:b/>
                <w:sz w:val="20"/>
                <w:lang w:eastAsia="zh-CN"/>
              </w:rPr>
            </w:pPr>
            <w:r>
              <w:rPr>
                <w:rFonts w:eastAsia="SimSun"/>
                <w:b/>
                <w:sz w:val="20"/>
                <w:lang w:eastAsia="zh-CN"/>
              </w:rPr>
              <w:t>-3,3</w:t>
            </w:r>
          </w:p>
        </w:tc>
        <w:tc>
          <w:tcPr>
            <w:tcW w:w="1418" w:type="dxa"/>
            <w:tcBorders>
              <w:top w:val="single" w:sz="4" w:space="0" w:color="auto"/>
              <w:left w:val="nil"/>
              <w:bottom w:val="nil"/>
              <w:right w:val="single" w:sz="8" w:space="0" w:color="auto"/>
            </w:tcBorders>
            <w:tcMar>
              <w:top w:w="0" w:type="dxa"/>
              <w:left w:w="57" w:type="dxa"/>
              <w:bottom w:w="0" w:type="dxa"/>
              <w:right w:w="57" w:type="dxa"/>
            </w:tcMar>
            <w:tcPrChange w:id="1615" w:author="Author" w:date="2025-07-22T17:57:00Z">
              <w:tcPr>
                <w:tcW w:w="1275" w:type="dxa"/>
                <w:tcBorders>
                  <w:top w:val="single" w:sz="4" w:space="0" w:color="auto"/>
                  <w:left w:val="nil"/>
                  <w:bottom w:val="nil"/>
                  <w:right w:val="single" w:sz="8" w:space="0" w:color="auto"/>
                </w:tcBorders>
                <w:tcMar>
                  <w:top w:w="0" w:type="dxa"/>
                  <w:left w:w="57" w:type="dxa"/>
                  <w:bottom w:w="0" w:type="dxa"/>
                  <w:right w:w="57" w:type="dxa"/>
                </w:tcMar>
              </w:tcPr>
            </w:tcPrChange>
          </w:tcPr>
          <w:p w14:paraId="1C878DB0" w14:textId="77777777" w:rsidR="009700E5" w:rsidRDefault="009700E5">
            <w:pPr>
              <w:keepNext/>
              <w:keepLines/>
              <w:spacing w:before="50" w:after="50" w:line="240" w:lineRule="exact"/>
              <w:jc w:val="center"/>
              <w:rPr>
                <w:rFonts w:eastAsia="SimSun"/>
                <w:b/>
                <w:sz w:val="20"/>
                <w:lang w:eastAsia="zh-CN"/>
              </w:rPr>
            </w:pPr>
          </w:p>
        </w:tc>
      </w:tr>
      <w:tr w:rsidR="009700E5" w14:paraId="40C7C2AF" w14:textId="77777777" w:rsidTr="009700E5">
        <w:trPr>
          <w:cantSplit/>
          <w:trPrChange w:id="1616" w:author="Author" w:date="2025-07-22T17:57:00Z">
            <w:trPr>
              <w:gridAfter w:val="0"/>
              <w:wAfter w:w="14" w:type="dxa"/>
              <w:cantSplit/>
            </w:trPr>
          </w:trPrChange>
        </w:trPr>
        <w:tc>
          <w:tcPr>
            <w:tcW w:w="3906" w:type="dxa"/>
            <w:tcBorders>
              <w:top w:val="nil"/>
              <w:left w:val="single" w:sz="4" w:space="0" w:color="auto"/>
              <w:bottom w:val="single" w:sz="4" w:space="0" w:color="auto"/>
              <w:right w:val="nil"/>
            </w:tcBorders>
            <w:tcMar>
              <w:top w:w="0" w:type="dxa"/>
              <w:left w:w="57" w:type="dxa"/>
              <w:bottom w:w="0" w:type="dxa"/>
              <w:right w:w="57" w:type="dxa"/>
            </w:tcMar>
            <w:tcPrChange w:id="1617" w:author="Author" w:date="2025-07-22T17:57:00Z">
              <w:tcPr>
                <w:tcW w:w="3350" w:type="dxa"/>
                <w:tcBorders>
                  <w:top w:val="nil"/>
                  <w:left w:val="single" w:sz="4" w:space="0" w:color="auto"/>
                  <w:bottom w:val="single" w:sz="4" w:space="0" w:color="auto"/>
                  <w:right w:val="nil"/>
                </w:tcBorders>
                <w:tcMar>
                  <w:top w:w="0" w:type="dxa"/>
                  <w:left w:w="57" w:type="dxa"/>
                  <w:bottom w:w="0" w:type="dxa"/>
                  <w:right w:w="57" w:type="dxa"/>
                </w:tcMar>
              </w:tcPr>
            </w:tcPrChange>
          </w:tcPr>
          <w:p w14:paraId="75B7E15C" w14:textId="77777777" w:rsidR="009700E5" w:rsidRDefault="002C033C">
            <w:pPr>
              <w:keepNext/>
              <w:keepLines/>
              <w:spacing w:before="50" w:after="50" w:line="240" w:lineRule="exact"/>
              <w:jc w:val="right"/>
              <w:rPr>
                <w:rFonts w:eastAsia="SimSun"/>
                <w:b/>
                <w:sz w:val="20"/>
                <w:lang w:eastAsia="zh-CN"/>
              </w:rPr>
            </w:pPr>
            <w:r>
              <w:rPr>
                <w:rFonts w:eastAsia="SimSun"/>
                <w:b/>
                <w:sz w:val="20"/>
                <w:lang w:eastAsia="zh-CN"/>
              </w:rPr>
              <w:t>Rozdiel v upravenom priemere (95 % IS)</w:t>
            </w:r>
          </w:p>
        </w:tc>
        <w:tc>
          <w:tcPr>
            <w:tcW w:w="3402" w:type="dxa"/>
            <w:gridSpan w:val="2"/>
            <w:tcBorders>
              <w:top w:val="nil"/>
              <w:left w:val="nil"/>
              <w:bottom w:val="single" w:sz="4" w:space="0" w:color="auto"/>
              <w:right w:val="nil"/>
            </w:tcBorders>
            <w:tcMar>
              <w:top w:w="0" w:type="dxa"/>
              <w:left w:w="57" w:type="dxa"/>
              <w:bottom w:w="0" w:type="dxa"/>
              <w:right w:w="57" w:type="dxa"/>
            </w:tcMar>
            <w:tcPrChange w:id="1618" w:author="Author" w:date="2025-07-22T17:57:00Z">
              <w:tcPr>
                <w:tcW w:w="3311" w:type="dxa"/>
                <w:gridSpan w:val="2"/>
                <w:tcBorders>
                  <w:top w:val="nil"/>
                  <w:left w:val="nil"/>
                  <w:bottom w:val="single" w:sz="4" w:space="0" w:color="auto"/>
                  <w:right w:val="nil"/>
                </w:tcBorders>
                <w:tcMar>
                  <w:top w:w="0" w:type="dxa"/>
                  <w:left w:w="57" w:type="dxa"/>
                  <w:bottom w:w="0" w:type="dxa"/>
                  <w:right w:w="57" w:type="dxa"/>
                </w:tcMar>
              </w:tcPr>
            </w:tcPrChange>
          </w:tcPr>
          <w:p w14:paraId="2A4D8A86" w14:textId="77777777" w:rsidR="009700E5" w:rsidRDefault="002C033C">
            <w:pPr>
              <w:keepNext/>
              <w:keepLines/>
              <w:spacing w:before="50" w:after="50" w:line="240" w:lineRule="exact"/>
              <w:jc w:val="center"/>
              <w:rPr>
                <w:rFonts w:eastAsia="SimSun"/>
                <w:b/>
                <w:sz w:val="20"/>
                <w:lang w:eastAsia="zh-CN"/>
              </w:rPr>
            </w:pPr>
            <w:r>
              <w:rPr>
                <w:rFonts w:eastAsia="SimSun"/>
                <w:b/>
                <w:sz w:val="20"/>
                <w:lang w:eastAsia="zh-CN"/>
              </w:rPr>
              <w:t>-1,5 (-1,8, -1,1)</w:t>
            </w:r>
          </w:p>
        </w:tc>
        <w:tc>
          <w:tcPr>
            <w:tcW w:w="1418" w:type="dxa"/>
            <w:tcBorders>
              <w:top w:val="nil"/>
              <w:left w:val="nil"/>
              <w:bottom w:val="single" w:sz="4" w:space="0" w:color="auto"/>
              <w:right w:val="single" w:sz="8" w:space="0" w:color="auto"/>
            </w:tcBorders>
            <w:tcMar>
              <w:top w:w="0" w:type="dxa"/>
              <w:left w:w="57" w:type="dxa"/>
              <w:bottom w:w="0" w:type="dxa"/>
              <w:right w:w="57" w:type="dxa"/>
            </w:tcMar>
            <w:tcPrChange w:id="1619" w:author="Author" w:date="2025-07-22T17:57:00Z">
              <w:tcPr>
                <w:tcW w:w="1275" w:type="dxa"/>
                <w:tcBorders>
                  <w:top w:val="nil"/>
                  <w:left w:val="nil"/>
                  <w:bottom w:val="single" w:sz="4" w:space="0" w:color="auto"/>
                  <w:right w:val="single" w:sz="8" w:space="0" w:color="auto"/>
                </w:tcBorders>
                <w:tcMar>
                  <w:top w:w="0" w:type="dxa"/>
                  <w:left w:w="57" w:type="dxa"/>
                  <w:bottom w:w="0" w:type="dxa"/>
                  <w:right w:w="57" w:type="dxa"/>
                </w:tcMar>
              </w:tcPr>
            </w:tcPrChange>
          </w:tcPr>
          <w:p w14:paraId="7BC7F325" w14:textId="77777777" w:rsidR="009700E5" w:rsidRDefault="002C033C">
            <w:pPr>
              <w:keepNext/>
              <w:keepLines/>
              <w:spacing w:before="50" w:after="50" w:line="240" w:lineRule="exact"/>
              <w:jc w:val="center"/>
              <w:rPr>
                <w:rFonts w:eastAsia="SimSun"/>
                <w:b/>
                <w:sz w:val="20"/>
                <w:lang w:eastAsia="zh-CN"/>
              </w:rPr>
            </w:pPr>
            <w:r>
              <w:rPr>
                <w:rFonts w:eastAsia="SimSun"/>
                <w:b/>
                <w:sz w:val="20"/>
                <w:lang w:eastAsia="zh-CN"/>
              </w:rPr>
              <w:t>&lt; 0,0001</w:t>
            </w:r>
          </w:p>
        </w:tc>
      </w:tr>
      <w:tr w:rsidR="009700E5" w14:paraId="5AC76674" w14:textId="77777777" w:rsidTr="009700E5">
        <w:trPr>
          <w:cantSplit/>
          <w:trPrChange w:id="1620" w:author="Author" w:date="2025-07-22T17:57:00Z">
            <w:trPr>
              <w:gridAfter w:val="0"/>
              <w:wAfter w:w="14" w:type="dxa"/>
              <w:cantSplit/>
            </w:trPr>
          </w:trPrChange>
        </w:trPr>
        <w:tc>
          <w:tcPr>
            <w:tcW w:w="8726" w:type="dxa"/>
            <w:gridSpan w:val="4"/>
            <w:tcBorders>
              <w:top w:val="nil"/>
              <w:left w:val="single" w:sz="4" w:space="0" w:color="auto"/>
              <w:bottom w:val="single" w:sz="4" w:space="0" w:color="auto"/>
              <w:right w:val="single" w:sz="8" w:space="0" w:color="auto"/>
            </w:tcBorders>
            <w:tcMar>
              <w:top w:w="0" w:type="dxa"/>
              <w:left w:w="57" w:type="dxa"/>
              <w:bottom w:w="0" w:type="dxa"/>
              <w:right w:w="57" w:type="dxa"/>
            </w:tcMar>
            <w:tcPrChange w:id="1621" w:author="Author" w:date="2025-07-22T17:57:00Z">
              <w:tcPr>
                <w:tcW w:w="7936" w:type="dxa"/>
                <w:gridSpan w:val="4"/>
                <w:tcBorders>
                  <w:top w:val="nil"/>
                  <w:left w:val="single" w:sz="4" w:space="0" w:color="auto"/>
                  <w:bottom w:val="single" w:sz="4" w:space="0" w:color="auto"/>
                  <w:right w:val="single" w:sz="8" w:space="0" w:color="auto"/>
                </w:tcBorders>
                <w:tcMar>
                  <w:top w:w="0" w:type="dxa"/>
                  <w:left w:w="57" w:type="dxa"/>
                  <w:bottom w:w="0" w:type="dxa"/>
                  <w:right w:w="57" w:type="dxa"/>
                </w:tcMar>
              </w:tcPr>
            </w:tcPrChange>
          </w:tcPr>
          <w:p w14:paraId="4A84914F" w14:textId="77777777" w:rsidR="009700E5" w:rsidRDefault="002C033C">
            <w:pPr>
              <w:keepNext/>
              <w:keepLines/>
              <w:spacing w:before="50" w:after="50" w:line="240" w:lineRule="exact"/>
              <w:rPr>
                <w:rFonts w:eastAsia="SimSun"/>
                <w:sz w:val="20"/>
                <w:lang w:eastAsia="zh-CN"/>
              </w:rPr>
            </w:pPr>
            <w:r>
              <w:rPr>
                <w:rFonts w:eastAsia="SimSun"/>
                <w:b/>
                <w:sz w:val="20"/>
                <w:lang w:eastAsia="zh-CN"/>
              </w:rPr>
              <w:t>Sekundárne cieľové ukazovatele – Percento respondérov v 24. týždni</w:t>
            </w:r>
            <w:r>
              <w:rPr>
                <w:rFonts w:eastAsia="SimSun"/>
                <w:b/>
                <w:sz w:val="20"/>
                <w:vertAlign w:val="superscript"/>
                <w:lang w:eastAsia="zh-CN"/>
              </w:rPr>
              <w:t>(b)</w:t>
            </w:r>
          </w:p>
        </w:tc>
      </w:tr>
      <w:tr w:rsidR="009700E5" w14:paraId="15F3FFC8" w14:textId="77777777" w:rsidTr="009700E5">
        <w:trPr>
          <w:cantSplit/>
          <w:trPrChange w:id="1622" w:author="Author" w:date="2025-07-22T17:57:00Z">
            <w:trPr>
              <w:gridAfter w:val="0"/>
              <w:wAfter w:w="14" w:type="dxa"/>
              <w:cantSplit/>
            </w:trPr>
          </w:trPrChange>
        </w:trPr>
        <w:tc>
          <w:tcPr>
            <w:tcW w:w="3906" w:type="dxa"/>
            <w:tcBorders>
              <w:top w:val="single" w:sz="4" w:space="0" w:color="auto"/>
              <w:left w:val="single" w:sz="4" w:space="0" w:color="auto"/>
              <w:bottom w:val="nil"/>
              <w:right w:val="nil"/>
            </w:tcBorders>
            <w:tcMar>
              <w:top w:w="0" w:type="dxa"/>
              <w:left w:w="57" w:type="dxa"/>
              <w:bottom w:w="0" w:type="dxa"/>
              <w:right w:w="57" w:type="dxa"/>
            </w:tcMar>
            <w:tcPrChange w:id="1623" w:author="Author" w:date="2025-07-22T17:57:00Z">
              <w:tcPr>
                <w:tcW w:w="3350" w:type="dxa"/>
                <w:tcBorders>
                  <w:top w:val="single" w:sz="4" w:space="0" w:color="auto"/>
                  <w:left w:val="single" w:sz="4" w:space="0" w:color="auto"/>
                  <w:bottom w:val="nil"/>
                  <w:right w:val="nil"/>
                </w:tcBorders>
                <w:tcMar>
                  <w:top w:w="0" w:type="dxa"/>
                  <w:left w:w="57" w:type="dxa"/>
                  <w:bottom w:w="0" w:type="dxa"/>
                  <w:right w:w="57" w:type="dxa"/>
                </w:tcMar>
              </w:tcPr>
            </w:tcPrChange>
          </w:tcPr>
          <w:p w14:paraId="2EB2596B" w14:textId="77777777" w:rsidR="009700E5" w:rsidRDefault="002C033C">
            <w:pPr>
              <w:keepNext/>
              <w:keepLines/>
              <w:spacing w:before="50" w:after="50" w:line="240" w:lineRule="exact"/>
              <w:jc w:val="right"/>
              <w:rPr>
                <w:rFonts w:eastAsia="SimSun"/>
                <w:sz w:val="20"/>
                <w:lang w:eastAsia="zh-CN"/>
              </w:rPr>
            </w:pPr>
            <w:r>
              <w:rPr>
                <w:rFonts w:eastAsia="SimSun"/>
                <w:sz w:val="20"/>
                <w:lang w:eastAsia="zh-CN"/>
              </w:rPr>
              <w:t>DAS28 &lt; 2,6, n (%)</w:t>
            </w:r>
          </w:p>
        </w:tc>
        <w:tc>
          <w:tcPr>
            <w:tcW w:w="1560" w:type="dxa"/>
            <w:tcBorders>
              <w:top w:val="single" w:sz="4" w:space="0" w:color="auto"/>
              <w:left w:val="nil"/>
              <w:bottom w:val="nil"/>
              <w:right w:val="nil"/>
            </w:tcBorders>
            <w:tcMar>
              <w:top w:w="0" w:type="dxa"/>
              <w:left w:w="57" w:type="dxa"/>
              <w:bottom w:w="0" w:type="dxa"/>
              <w:right w:w="57" w:type="dxa"/>
            </w:tcMar>
            <w:tcPrChange w:id="1624" w:author="Author" w:date="2025-07-22T17:57:00Z">
              <w:tcPr>
                <w:tcW w:w="1610" w:type="dxa"/>
                <w:tcBorders>
                  <w:top w:val="single" w:sz="4" w:space="0" w:color="auto"/>
                  <w:left w:val="nil"/>
                  <w:bottom w:val="nil"/>
                  <w:right w:val="nil"/>
                </w:tcBorders>
                <w:tcMar>
                  <w:top w:w="0" w:type="dxa"/>
                  <w:left w:w="57" w:type="dxa"/>
                  <w:bottom w:w="0" w:type="dxa"/>
                  <w:right w:w="57" w:type="dxa"/>
                </w:tcMar>
              </w:tcPr>
            </w:tcPrChange>
          </w:tcPr>
          <w:p w14:paraId="0B1D1938"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17 (10,5)</w:t>
            </w:r>
          </w:p>
        </w:tc>
        <w:tc>
          <w:tcPr>
            <w:tcW w:w="1842" w:type="dxa"/>
            <w:tcBorders>
              <w:top w:val="single" w:sz="4" w:space="0" w:color="auto"/>
              <w:left w:val="nil"/>
              <w:bottom w:val="nil"/>
              <w:right w:val="nil"/>
            </w:tcBorders>
            <w:tcMar>
              <w:top w:w="0" w:type="dxa"/>
              <w:left w:w="57" w:type="dxa"/>
              <w:bottom w:w="0" w:type="dxa"/>
              <w:right w:w="57" w:type="dxa"/>
            </w:tcMar>
            <w:tcPrChange w:id="1625" w:author="Author" w:date="2025-07-22T17:57:00Z">
              <w:tcPr>
                <w:tcW w:w="1701" w:type="dxa"/>
                <w:tcBorders>
                  <w:top w:val="single" w:sz="4" w:space="0" w:color="auto"/>
                  <w:left w:val="nil"/>
                  <w:bottom w:val="nil"/>
                  <w:right w:val="nil"/>
                </w:tcBorders>
                <w:tcMar>
                  <w:top w:w="0" w:type="dxa"/>
                  <w:left w:w="57" w:type="dxa"/>
                  <w:bottom w:w="0" w:type="dxa"/>
                  <w:right w:w="57" w:type="dxa"/>
                </w:tcMar>
              </w:tcPr>
            </w:tcPrChange>
          </w:tcPr>
          <w:p w14:paraId="765D276C"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65 (39,9)</w:t>
            </w:r>
          </w:p>
        </w:tc>
        <w:tc>
          <w:tcPr>
            <w:tcW w:w="1418" w:type="dxa"/>
            <w:tcBorders>
              <w:top w:val="single" w:sz="4" w:space="0" w:color="auto"/>
              <w:left w:val="nil"/>
              <w:bottom w:val="nil"/>
              <w:right w:val="single" w:sz="8" w:space="0" w:color="auto"/>
            </w:tcBorders>
            <w:tcMar>
              <w:top w:w="0" w:type="dxa"/>
              <w:left w:w="57" w:type="dxa"/>
              <w:bottom w:w="0" w:type="dxa"/>
              <w:right w:w="57" w:type="dxa"/>
            </w:tcMar>
            <w:tcPrChange w:id="1626" w:author="Author" w:date="2025-07-22T17:57:00Z">
              <w:tcPr>
                <w:tcW w:w="1275" w:type="dxa"/>
                <w:tcBorders>
                  <w:top w:val="single" w:sz="4" w:space="0" w:color="auto"/>
                  <w:left w:val="nil"/>
                  <w:bottom w:val="nil"/>
                  <w:right w:val="single" w:sz="8" w:space="0" w:color="auto"/>
                </w:tcBorders>
                <w:tcMar>
                  <w:top w:w="0" w:type="dxa"/>
                  <w:left w:w="57" w:type="dxa"/>
                  <w:bottom w:w="0" w:type="dxa"/>
                  <w:right w:w="57" w:type="dxa"/>
                </w:tcMar>
              </w:tcPr>
            </w:tcPrChange>
          </w:tcPr>
          <w:p w14:paraId="6EBE4F45"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&lt; 0,0001</w:t>
            </w:r>
          </w:p>
        </w:tc>
      </w:tr>
      <w:tr w:rsidR="009700E5" w14:paraId="56714338" w14:textId="77777777" w:rsidTr="009700E5">
        <w:trPr>
          <w:cantSplit/>
          <w:trPrChange w:id="1627" w:author="Author" w:date="2025-07-22T17:57:00Z">
            <w:trPr>
              <w:gridAfter w:val="0"/>
              <w:wAfter w:w="14" w:type="dxa"/>
              <w:cantSplit/>
            </w:trPr>
          </w:trPrChange>
        </w:trPr>
        <w:tc>
          <w:tcPr>
            <w:tcW w:w="3906" w:type="dxa"/>
            <w:tcBorders>
              <w:top w:val="nil"/>
              <w:left w:val="single" w:sz="4" w:space="0" w:color="auto"/>
              <w:bottom w:val="nil"/>
              <w:right w:val="nil"/>
            </w:tcBorders>
            <w:tcMar>
              <w:top w:w="0" w:type="dxa"/>
              <w:left w:w="57" w:type="dxa"/>
              <w:bottom w:w="0" w:type="dxa"/>
              <w:right w:w="57" w:type="dxa"/>
            </w:tcMar>
            <w:tcPrChange w:id="1628" w:author="Author" w:date="2025-07-22T17:57:00Z">
              <w:tcPr>
                <w:tcW w:w="3350" w:type="dxa"/>
                <w:tcBorders>
                  <w:top w:val="nil"/>
                  <w:left w:val="single" w:sz="4" w:space="0" w:color="auto"/>
                  <w:bottom w:val="nil"/>
                  <w:right w:val="nil"/>
                </w:tcBorders>
                <w:tcMar>
                  <w:top w:w="0" w:type="dxa"/>
                  <w:left w:w="57" w:type="dxa"/>
                  <w:bottom w:w="0" w:type="dxa"/>
                  <w:right w:w="57" w:type="dxa"/>
                </w:tcMar>
              </w:tcPr>
            </w:tcPrChange>
          </w:tcPr>
          <w:p w14:paraId="4CA85CEB" w14:textId="77777777" w:rsidR="009700E5" w:rsidRDefault="002C033C">
            <w:pPr>
              <w:keepNext/>
              <w:keepLines/>
              <w:spacing w:before="50" w:after="50" w:line="240" w:lineRule="exact"/>
              <w:jc w:val="right"/>
              <w:rPr>
                <w:rFonts w:eastAsia="SimSun"/>
                <w:sz w:val="20"/>
                <w:lang w:eastAsia="zh-CN"/>
              </w:rPr>
            </w:pPr>
            <w:r>
              <w:rPr>
                <w:rFonts w:eastAsia="SimSun"/>
                <w:sz w:val="20"/>
                <w:lang w:eastAsia="zh-CN"/>
              </w:rPr>
              <w:t xml:space="preserve">DAS28 ≤ 3,2, n (%) </w:t>
            </w:r>
          </w:p>
        </w:tc>
        <w:tc>
          <w:tcPr>
            <w:tcW w:w="1560" w:type="dxa"/>
            <w:tcMar>
              <w:top w:w="0" w:type="dxa"/>
              <w:left w:w="57" w:type="dxa"/>
              <w:bottom w:w="0" w:type="dxa"/>
              <w:right w:w="57" w:type="dxa"/>
            </w:tcMar>
            <w:tcPrChange w:id="1629" w:author="Author" w:date="2025-07-22T17:57:00Z">
              <w:tcPr>
                <w:tcW w:w="1610" w:type="dxa"/>
                <w:tcMar>
                  <w:top w:w="0" w:type="dxa"/>
                  <w:left w:w="57" w:type="dxa"/>
                  <w:bottom w:w="0" w:type="dxa"/>
                  <w:right w:w="57" w:type="dxa"/>
                </w:tcMar>
              </w:tcPr>
            </w:tcPrChange>
          </w:tcPr>
          <w:p w14:paraId="7201853A"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32 (19,8)</w:t>
            </w:r>
          </w:p>
        </w:tc>
        <w:tc>
          <w:tcPr>
            <w:tcW w:w="1842" w:type="dxa"/>
            <w:tcMar>
              <w:top w:w="0" w:type="dxa"/>
              <w:left w:w="57" w:type="dxa"/>
              <w:bottom w:w="0" w:type="dxa"/>
              <w:right w:w="57" w:type="dxa"/>
            </w:tcMar>
            <w:tcPrChange w:id="1630" w:author="Author" w:date="2025-07-22T17:57:00Z">
              <w:tcPr>
                <w:tcW w:w="1701" w:type="dxa"/>
                <w:tcMar>
                  <w:top w:w="0" w:type="dxa"/>
                  <w:left w:w="57" w:type="dxa"/>
                  <w:bottom w:w="0" w:type="dxa"/>
                  <w:right w:w="57" w:type="dxa"/>
                </w:tcMar>
              </w:tcPr>
            </w:tcPrChange>
          </w:tcPr>
          <w:p w14:paraId="3F60E474"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84 (51,5)</w:t>
            </w:r>
          </w:p>
        </w:tc>
        <w:tc>
          <w:tcPr>
            <w:tcW w:w="1418" w:type="dxa"/>
            <w:tcBorders>
              <w:top w:val="nil"/>
              <w:left w:val="nil"/>
              <w:bottom w:val="nil"/>
              <w:right w:val="single" w:sz="8" w:space="0" w:color="auto"/>
            </w:tcBorders>
            <w:tcMar>
              <w:top w:w="0" w:type="dxa"/>
              <w:left w:w="57" w:type="dxa"/>
              <w:bottom w:w="0" w:type="dxa"/>
              <w:right w:w="57" w:type="dxa"/>
            </w:tcMar>
            <w:tcPrChange w:id="1631" w:author="Author" w:date="2025-07-22T17:57:00Z">
              <w:tcPr>
                <w:tcW w:w="1275" w:type="dxa"/>
                <w:tcBorders>
                  <w:top w:val="nil"/>
                  <w:left w:val="nil"/>
                  <w:bottom w:val="nil"/>
                  <w:right w:val="single" w:sz="8" w:space="0" w:color="auto"/>
                </w:tcBorders>
                <w:tcMar>
                  <w:top w:w="0" w:type="dxa"/>
                  <w:left w:w="57" w:type="dxa"/>
                  <w:bottom w:w="0" w:type="dxa"/>
                  <w:right w:w="57" w:type="dxa"/>
                </w:tcMar>
              </w:tcPr>
            </w:tcPrChange>
          </w:tcPr>
          <w:p w14:paraId="0328FCA7"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&lt; 0,0001</w:t>
            </w:r>
          </w:p>
        </w:tc>
      </w:tr>
      <w:tr w:rsidR="009700E5" w14:paraId="12D30E29" w14:textId="77777777" w:rsidTr="009700E5">
        <w:trPr>
          <w:cantSplit/>
          <w:trPrChange w:id="1632" w:author="Author" w:date="2025-07-22T17:57:00Z">
            <w:trPr>
              <w:gridAfter w:val="0"/>
              <w:wAfter w:w="14" w:type="dxa"/>
              <w:cantSplit/>
            </w:trPr>
          </w:trPrChange>
        </w:trPr>
        <w:tc>
          <w:tcPr>
            <w:tcW w:w="3906" w:type="dxa"/>
            <w:tcBorders>
              <w:top w:val="nil"/>
              <w:left w:val="single" w:sz="4" w:space="0" w:color="auto"/>
              <w:bottom w:val="nil"/>
              <w:right w:val="nil"/>
            </w:tcBorders>
            <w:tcMar>
              <w:top w:w="0" w:type="dxa"/>
              <w:left w:w="57" w:type="dxa"/>
              <w:bottom w:w="0" w:type="dxa"/>
              <w:right w:w="57" w:type="dxa"/>
            </w:tcMar>
            <w:tcPrChange w:id="1633" w:author="Author" w:date="2025-07-22T17:57:00Z">
              <w:tcPr>
                <w:tcW w:w="3350" w:type="dxa"/>
                <w:tcBorders>
                  <w:top w:val="nil"/>
                  <w:left w:val="single" w:sz="4" w:space="0" w:color="auto"/>
                  <w:bottom w:val="nil"/>
                  <w:right w:val="nil"/>
                </w:tcBorders>
                <w:tcMar>
                  <w:top w:w="0" w:type="dxa"/>
                  <w:left w:w="57" w:type="dxa"/>
                  <w:bottom w:w="0" w:type="dxa"/>
                  <w:right w:w="57" w:type="dxa"/>
                </w:tcMar>
              </w:tcPr>
            </w:tcPrChange>
          </w:tcPr>
          <w:p w14:paraId="522CB029" w14:textId="77777777" w:rsidR="009700E5" w:rsidRDefault="002C033C">
            <w:pPr>
              <w:keepNext/>
              <w:keepLines/>
              <w:spacing w:before="50" w:after="50" w:line="240" w:lineRule="exact"/>
              <w:jc w:val="right"/>
              <w:rPr>
                <w:rFonts w:eastAsia="SimSun"/>
                <w:sz w:val="20"/>
                <w:lang w:eastAsia="zh-CN"/>
              </w:rPr>
            </w:pPr>
            <w:r>
              <w:rPr>
                <w:rFonts w:eastAsia="SimSun"/>
                <w:sz w:val="20"/>
                <w:lang w:eastAsia="zh-CN"/>
              </w:rPr>
              <w:t>ACR 20 odpoveď, n (%)</w:t>
            </w:r>
          </w:p>
        </w:tc>
        <w:tc>
          <w:tcPr>
            <w:tcW w:w="1560" w:type="dxa"/>
            <w:tcMar>
              <w:top w:w="0" w:type="dxa"/>
              <w:left w:w="57" w:type="dxa"/>
              <w:bottom w:w="0" w:type="dxa"/>
              <w:right w:w="57" w:type="dxa"/>
            </w:tcMar>
            <w:tcPrChange w:id="1634" w:author="Author" w:date="2025-07-22T17:57:00Z">
              <w:tcPr>
                <w:tcW w:w="1610" w:type="dxa"/>
                <w:tcMar>
                  <w:top w:w="0" w:type="dxa"/>
                  <w:left w:w="57" w:type="dxa"/>
                  <w:bottom w:w="0" w:type="dxa"/>
                  <w:right w:w="57" w:type="dxa"/>
                </w:tcMar>
              </w:tcPr>
            </w:tcPrChange>
          </w:tcPr>
          <w:p w14:paraId="176EE632"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80 (49,4)</w:t>
            </w:r>
          </w:p>
        </w:tc>
        <w:tc>
          <w:tcPr>
            <w:tcW w:w="1842" w:type="dxa"/>
            <w:tcMar>
              <w:top w:w="0" w:type="dxa"/>
              <w:left w:w="57" w:type="dxa"/>
              <w:bottom w:w="0" w:type="dxa"/>
              <w:right w:w="57" w:type="dxa"/>
            </w:tcMar>
            <w:tcPrChange w:id="1635" w:author="Author" w:date="2025-07-22T17:57:00Z">
              <w:tcPr>
                <w:tcW w:w="1701" w:type="dxa"/>
                <w:tcMar>
                  <w:top w:w="0" w:type="dxa"/>
                  <w:left w:w="57" w:type="dxa"/>
                  <w:bottom w:w="0" w:type="dxa"/>
                  <w:right w:w="57" w:type="dxa"/>
                </w:tcMar>
              </w:tcPr>
            </w:tcPrChange>
          </w:tcPr>
          <w:p w14:paraId="1481C2B7"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106 (65,0)</w:t>
            </w:r>
          </w:p>
        </w:tc>
        <w:tc>
          <w:tcPr>
            <w:tcW w:w="1418" w:type="dxa"/>
            <w:tcBorders>
              <w:top w:val="nil"/>
              <w:left w:val="nil"/>
              <w:bottom w:val="nil"/>
              <w:right w:val="single" w:sz="8" w:space="0" w:color="auto"/>
            </w:tcBorders>
            <w:tcMar>
              <w:top w:w="0" w:type="dxa"/>
              <w:left w:w="57" w:type="dxa"/>
              <w:bottom w:w="0" w:type="dxa"/>
              <w:right w:w="57" w:type="dxa"/>
            </w:tcMar>
            <w:tcPrChange w:id="1636" w:author="Author" w:date="2025-07-22T17:57:00Z">
              <w:tcPr>
                <w:tcW w:w="1275" w:type="dxa"/>
                <w:tcBorders>
                  <w:top w:val="nil"/>
                  <w:left w:val="nil"/>
                  <w:bottom w:val="nil"/>
                  <w:right w:val="single" w:sz="8" w:space="0" w:color="auto"/>
                </w:tcBorders>
                <w:tcMar>
                  <w:top w:w="0" w:type="dxa"/>
                  <w:left w:w="57" w:type="dxa"/>
                  <w:bottom w:w="0" w:type="dxa"/>
                  <w:right w:w="57" w:type="dxa"/>
                </w:tcMar>
              </w:tcPr>
            </w:tcPrChange>
          </w:tcPr>
          <w:p w14:paraId="5117A2F2"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0,0038</w:t>
            </w:r>
          </w:p>
        </w:tc>
      </w:tr>
      <w:tr w:rsidR="009700E5" w14:paraId="2E3B33B5" w14:textId="77777777" w:rsidTr="009700E5">
        <w:trPr>
          <w:cantSplit/>
          <w:trPrChange w:id="1637" w:author="Author" w:date="2025-07-22T17:57:00Z">
            <w:trPr>
              <w:gridAfter w:val="0"/>
              <w:wAfter w:w="14" w:type="dxa"/>
              <w:cantSplit/>
            </w:trPr>
          </w:trPrChange>
        </w:trPr>
        <w:tc>
          <w:tcPr>
            <w:tcW w:w="3906" w:type="dxa"/>
            <w:tcBorders>
              <w:top w:val="nil"/>
              <w:left w:val="single" w:sz="4" w:space="0" w:color="auto"/>
              <w:bottom w:val="nil"/>
              <w:right w:val="nil"/>
            </w:tcBorders>
            <w:tcMar>
              <w:top w:w="0" w:type="dxa"/>
              <w:left w:w="57" w:type="dxa"/>
              <w:bottom w:w="0" w:type="dxa"/>
              <w:right w:w="57" w:type="dxa"/>
            </w:tcMar>
            <w:tcPrChange w:id="1638" w:author="Author" w:date="2025-07-22T17:57:00Z">
              <w:tcPr>
                <w:tcW w:w="3350" w:type="dxa"/>
                <w:tcBorders>
                  <w:top w:val="nil"/>
                  <w:left w:val="single" w:sz="4" w:space="0" w:color="auto"/>
                  <w:bottom w:val="nil"/>
                  <w:right w:val="nil"/>
                </w:tcBorders>
                <w:tcMar>
                  <w:top w:w="0" w:type="dxa"/>
                  <w:left w:w="57" w:type="dxa"/>
                  <w:bottom w:w="0" w:type="dxa"/>
                  <w:right w:w="57" w:type="dxa"/>
                </w:tcMar>
              </w:tcPr>
            </w:tcPrChange>
          </w:tcPr>
          <w:p w14:paraId="45D2F21E" w14:textId="77777777" w:rsidR="009700E5" w:rsidRDefault="002C033C">
            <w:pPr>
              <w:keepNext/>
              <w:keepLines/>
              <w:spacing w:before="50" w:after="50" w:line="240" w:lineRule="exact"/>
              <w:jc w:val="right"/>
              <w:rPr>
                <w:rFonts w:eastAsia="SimSun"/>
                <w:sz w:val="20"/>
                <w:lang w:eastAsia="zh-CN"/>
              </w:rPr>
            </w:pPr>
            <w:r>
              <w:rPr>
                <w:rFonts w:eastAsia="SimSun"/>
                <w:sz w:val="20"/>
                <w:lang w:eastAsia="zh-CN"/>
              </w:rPr>
              <w:t>ACR 50 odpoveď, n (%)</w:t>
            </w:r>
          </w:p>
        </w:tc>
        <w:tc>
          <w:tcPr>
            <w:tcW w:w="1560" w:type="dxa"/>
            <w:tcMar>
              <w:top w:w="0" w:type="dxa"/>
              <w:left w:w="57" w:type="dxa"/>
              <w:bottom w:w="0" w:type="dxa"/>
              <w:right w:w="57" w:type="dxa"/>
            </w:tcMar>
            <w:tcPrChange w:id="1639" w:author="Author" w:date="2025-07-22T17:57:00Z">
              <w:tcPr>
                <w:tcW w:w="1610" w:type="dxa"/>
                <w:tcMar>
                  <w:top w:w="0" w:type="dxa"/>
                  <w:left w:w="57" w:type="dxa"/>
                  <w:bottom w:w="0" w:type="dxa"/>
                  <w:right w:w="57" w:type="dxa"/>
                </w:tcMar>
              </w:tcPr>
            </w:tcPrChange>
          </w:tcPr>
          <w:p w14:paraId="489F3DB8"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45 (27,8)</w:t>
            </w:r>
          </w:p>
        </w:tc>
        <w:tc>
          <w:tcPr>
            <w:tcW w:w="1842" w:type="dxa"/>
            <w:tcMar>
              <w:top w:w="0" w:type="dxa"/>
              <w:left w:w="57" w:type="dxa"/>
              <w:bottom w:w="0" w:type="dxa"/>
              <w:right w:w="57" w:type="dxa"/>
            </w:tcMar>
            <w:tcPrChange w:id="1640" w:author="Author" w:date="2025-07-22T17:57:00Z">
              <w:tcPr>
                <w:tcW w:w="1701" w:type="dxa"/>
                <w:tcMar>
                  <w:top w:w="0" w:type="dxa"/>
                  <w:left w:w="57" w:type="dxa"/>
                  <w:bottom w:w="0" w:type="dxa"/>
                  <w:right w:w="57" w:type="dxa"/>
                </w:tcMar>
              </w:tcPr>
            </w:tcPrChange>
          </w:tcPr>
          <w:p w14:paraId="200F8700"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77 (47,2)</w:t>
            </w:r>
          </w:p>
        </w:tc>
        <w:tc>
          <w:tcPr>
            <w:tcW w:w="1418" w:type="dxa"/>
            <w:tcBorders>
              <w:top w:val="nil"/>
              <w:left w:val="nil"/>
              <w:bottom w:val="nil"/>
              <w:right w:val="single" w:sz="8" w:space="0" w:color="auto"/>
            </w:tcBorders>
            <w:tcMar>
              <w:top w:w="0" w:type="dxa"/>
              <w:left w:w="57" w:type="dxa"/>
              <w:bottom w:w="0" w:type="dxa"/>
              <w:right w:w="57" w:type="dxa"/>
            </w:tcMar>
            <w:tcPrChange w:id="1641" w:author="Author" w:date="2025-07-22T17:57:00Z">
              <w:tcPr>
                <w:tcW w:w="1275" w:type="dxa"/>
                <w:tcBorders>
                  <w:top w:val="nil"/>
                  <w:left w:val="nil"/>
                  <w:bottom w:val="nil"/>
                  <w:right w:val="single" w:sz="8" w:space="0" w:color="auto"/>
                </w:tcBorders>
                <w:tcMar>
                  <w:top w:w="0" w:type="dxa"/>
                  <w:left w:w="57" w:type="dxa"/>
                  <w:bottom w:w="0" w:type="dxa"/>
                  <w:right w:w="57" w:type="dxa"/>
                </w:tcMar>
              </w:tcPr>
            </w:tcPrChange>
          </w:tcPr>
          <w:p w14:paraId="0EBAC599"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0,0002</w:t>
            </w:r>
          </w:p>
        </w:tc>
      </w:tr>
      <w:tr w:rsidR="009700E5" w14:paraId="30EDD093" w14:textId="77777777" w:rsidTr="009700E5">
        <w:trPr>
          <w:cantSplit/>
          <w:trPrChange w:id="1642" w:author="Author" w:date="2025-07-22T17:57:00Z">
            <w:trPr>
              <w:gridAfter w:val="0"/>
              <w:wAfter w:w="14" w:type="dxa"/>
              <w:cantSplit/>
            </w:trPr>
          </w:trPrChange>
        </w:trPr>
        <w:tc>
          <w:tcPr>
            <w:tcW w:w="3906" w:type="dxa"/>
            <w:tcBorders>
              <w:top w:val="nil"/>
              <w:left w:val="single" w:sz="4" w:space="0" w:color="auto"/>
              <w:bottom w:val="single" w:sz="4" w:space="0" w:color="auto"/>
              <w:right w:val="nil"/>
            </w:tcBorders>
            <w:tcMar>
              <w:top w:w="0" w:type="dxa"/>
              <w:left w:w="57" w:type="dxa"/>
              <w:bottom w:w="0" w:type="dxa"/>
              <w:right w:w="57" w:type="dxa"/>
            </w:tcMar>
            <w:tcPrChange w:id="1643" w:author="Author" w:date="2025-07-22T17:57:00Z">
              <w:tcPr>
                <w:tcW w:w="3350" w:type="dxa"/>
                <w:tcBorders>
                  <w:top w:val="nil"/>
                  <w:left w:val="single" w:sz="4" w:space="0" w:color="auto"/>
                  <w:bottom w:val="single" w:sz="4" w:space="0" w:color="auto"/>
                  <w:right w:val="nil"/>
                </w:tcBorders>
                <w:tcMar>
                  <w:top w:w="0" w:type="dxa"/>
                  <w:left w:w="57" w:type="dxa"/>
                  <w:bottom w:w="0" w:type="dxa"/>
                  <w:right w:w="57" w:type="dxa"/>
                </w:tcMar>
              </w:tcPr>
            </w:tcPrChange>
          </w:tcPr>
          <w:p w14:paraId="303B7847" w14:textId="77777777" w:rsidR="009700E5" w:rsidRDefault="002C033C">
            <w:pPr>
              <w:keepNext/>
              <w:keepLines/>
              <w:spacing w:before="50" w:after="50" w:line="240" w:lineRule="exact"/>
              <w:jc w:val="right"/>
              <w:rPr>
                <w:rFonts w:eastAsia="SimSun"/>
                <w:sz w:val="20"/>
                <w:lang w:eastAsia="zh-CN"/>
              </w:rPr>
            </w:pPr>
            <w:r>
              <w:rPr>
                <w:rFonts w:eastAsia="SimSun"/>
                <w:sz w:val="20"/>
                <w:lang w:eastAsia="zh-CN"/>
              </w:rPr>
              <w:t>ACR 70 odpoveď, n (%)</w:t>
            </w:r>
          </w:p>
        </w:tc>
        <w:tc>
          <w:tcPr>
            <w:tcW w:w="1560" w:type="dxa"/>
            <w:tcBorders>
              <w:top w:val="nil"/>
              <w:left w:val="nil"/>
              <w:bottom w:val="single" w:sz="4" w:space="0" w:color="auto"/>
              <w:right w:val="nil"/>
            </w:tcBorders>
            <w:tcMar>
              <w:top w:w="0" w:type="dxa"/>
              <w:left w:w="57" w:type="dxa"/>
              <w:bottom w:w="0" w:type="dxa"/>
              <w:right w:w="57" w:type="dxa"/>
            </w:tcMar>
            <w:tcPrChange w:id="1644" w:author="Author" w:date="2025-07-22T17:57:00Z">
              <w:tcPr>
                <w:tcW w:w="1610" w:type="dxa"/>
                <w:tcBorders>
                  <w:top w:val="nil"/>
                  <w:left w:val="nil"/>
                  <w:bottom w:val="single" w:sz="4" w:space="0" w:color="auto"/>
                  <w:right w:val="nil"/>
                </w:tcBorders>
                <w:tcMar>
                  <w:top w:w="0" w:type="dxa"/>
                  <w:left w:w="57" w:type="dxa"/>
                  <w:bottom w:w="0" w:type="dxa"/>
                  <w:right w:w="57" w:type="dxa"/>
                </w:tcMar>
              </w:tcPr>
            </w:tcPrChange>
          </w:tcPr>
          <w:p w14:paraId="7482073E"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29 (17,9)</w:t>
            </w:r>
          </w:p>
        </w:tc>
        <w:tc>
          <w:tcPr>
            <w:tcW w:w="1842" w:type="dxa"/>
            <w:tcBorders>
              <w:top w:val="nil"/>
              <w:left w:val="nil"/>
              <w:bottom w:val="single" w:sz="4" w:space="0" w:color="auto"/>
              <w:right w:val="nil"/>
            </w:tcBorders>
            <w:tcMar>
              <w:top w:w="0" w:type="dxa"/>
              <w:left w:w="57" w:type="dxa"/>
              <w:bottom w:w="0" w:type="dxa"/>
              <w:right w:w="57" w:type="dxa"/>
            </w:tcMar>
            <w:tcPrChange w:id="1645" w:author="Author" w:date="2025-07-22T17:57:00Z">
              <w:tcPr>
                <w:tcW w:w="1701" w:type="dxa"/>
                <w:tcBorders>
                  <w:top w:val="nil"/>
                  <w:left w:val="nil"/>
                  <w:bottom w:val="single" w:sz="4" w:space="0" w:color="auto"/>
                  <w:right w:val="nil"/>
                </w:tcBorders>
                <w:tcMar>
                  <w:top w:w="0" w:type="dxa"/>
                  <w:left w:w="57" w:type="dxa"/>
                  <w:bottom w:w="0" w:type="dxa"/>
                  <w:right w:w="57" w:type="dxa"/>
                </w:tcMar>
              </w:tcPr>
            </w:tcPrChange>
          </w:tcPr>
          <w:p w14:paraId="3B5CD25B"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53 (32,5)</w:t>
            </w:r>
          </w:p>
        </w:tc>
        <w:tc>
          <w:tcPr>
            <w:tcW w:w="1418" w:type="dxa"/>
            <w:tcBorders>
              <w:top w:val="nil"/>
              <w:left w:val="nil"/>
              <w:bottom w:val="single" w:sz="4" w:space="0" w:color="auto"/>
              <w:right w:val="single" w:sz="8" w:space="0" w:color="auto"/>
            </w:tcBorders>
            <w:tcMar>
              <w:top w:w="0" w:type="dxa"/>
              <w:left w:w="57" w:type="dxa"/>
              <w:bottom w:w="0" w:type="dxa"/>
              <w:right w:w="57" w:type="dxa"/>
            </w:tcMar>
            <w:tcPrChange w:id="1646" w:author="Author" w:date="2025-07-22T17:57:00Z">
              <w:tcPr>
                <w:tcW w:w="1275" w:type="dxa"/>
                <w:tcBorders>
                  <w:top w:val="nil"/>
                  <w:left w:val="nil"/>
                  <w:bottom w:val="single" w:sz="4" w:space="0" w:color="auto"/>
                  <w:right w:val="single" w:sz="8" w:space="0" w:color="auto"/>
                </w:tcBorders>
                <w:tcMar>
                  <w:top w:w="0" w:type="dxa"/>
                  <w:left w:w="57" w:type="dxa"/>
                  <w:bottom w:w="0" w:type="dxa"/>
                  <w:right w:w="57" w:type="dxa"/>
                </w:tcMar>
              </w:tcPr>
            </w:tcPrChange>
          </w:tcPr>
          <w:p w14:paraId="72FEB835"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0,0023</w:t>
            </w:r>
          </w:p>
        </w:tc>
      </w:tr>
    </w:tbl>
    <w:p w14:paraId="2E67730B" w14:textId="77777777" w:rsidR="009700E5" w:rsidRDefault="002C033C">
      <w:pPr>
        <w:rPr>
          <w:rFonts w:eastAsia="SimSun"/>
          <w:bCs/>
          <w:iCs/>
          <w:sz w:val="18"/>
          <w:szCs w:val="18"/>
          <w:lang w:eastAsia="zh-CN"/>
        </w:rPr>
      </w:pPr>
      <w:r>
        <w:rPr>
          <w:rFonts w:eastAsia="SimSun"/>
          <w:bCs/>
          <w:iCs/>
          <w:sz w:val="18"/>
          <w:szCs w:val="18"/>
          <w:vertAlign w:val="superscript"/>
          <w:lang w:eastAsia="zh-CN"/>
        </w:rPr>
        <w:t>a</w:t>
      </w:r>
      <w:r>
        <w:rPr>
          <w:rFonts w:eastAsia="SimSun"/>
          <w:bCs/>
          <w:iCs/>
          <w:sz w:val="18"/>
          <w:szCs w:val="18"/>
          <w:lang w:eastAsia="zh-CN"/>
        </w:rPr>
        <w:t>p hodnota je upravená vzhľadom na oblasť a trvanie RA pre všetky cieľové ukazovatele a tiež východisková hodnota pre všetky pokračujúce cieľové ukazovatele.</w:t>
      </w:r>
      <w:r>
        <w:rPr>
          <w:rFonts w:eastAsia="SimSun"/>
          <w:bCs/>
          <w:iCs/>
          <w:sz w:val="18"/>
          <w:szCs w:val="18"/>
          <w:lang w:eastAsia="zh-CN"/>
        </w:rPr>
        <w:br/>
      </w:r>
      <w:r>
        <w:rPr>
          <w:rFonts w:eastAsia="SimSun"/>
          <w:bCs/>
          <w:iCs/>
          <w:sz w:val="18"/>
          <w:szCs w:val="18"/>
          <w:vertAlign w:val="superscript"/>
          <w:lang w:eastAsia="zh-CN"/>
        </w:rPr>
        <w:t>b</w:t>
      </w:r>
      <w:r>
        <w:rPr>
          <w:rFonts w:eastAsia="SimSun"/>
          <w:bCs/>
          <w:iCs/>
          <w:sz w:val="18"/>
          <w:szCs w:val="18"/>
          <w:lang w:eastAsia="zh-CN"/>
        </w:rPr>
        <w:t xml:space="preserve"> Neodpovedajúci na liečbu použití pre chýbajúce údaje. Multidisciplinárna kontrola použitím Bonferroni-Holm procedúry</w:t>
      </w:r>
    </w:p>
    <w:p w14:paraId="51B52617" w14:textId="77777777" w:rsidR="009700E5" w:rsidRDefault="002C033C">
      <w:pPr>
        <w:rPr>
          <w:rFonts w:eastAsia="SimSun"/>
          <w:bCs/>
          <w:iCs/>
          <w:sz w:val="18"/>
          <w:szCs w:val="18"/>
          <w:lang w:eastAsia="zh-CN"/>
        </w:rPr>
      </w:pPr>
      <w:r>
        <w:rPr>
          <w:rFonts w:eastAsia="SimSun"/>
          <w:bCs/>
          <w:iCs/>
          <w:sz w:val="18"/>
          <w:szCs w:val="18"/>
          <w:lang w:eastAsia="zh-CN"/>
        </w:rPr>
        <w:t>i.v.</w:t>
      </w:r>
      <w:ins w:id="1647" w:author="Author" w:date="2025-07-21T10:21:00Z">
        <w:r>
          <w:rPr>
            <w:rFonts w:eastAsia="SimSun"/>
            <w:bCs/>
            <w:iCs/>
            <w:sz w:val="18"/>
            <w:szCs w:val="18"/>
            <w:lang w:eastAsia="zh-CN"/>
          </w:rPr>
          <w:t> </w:t>
        </w:r>
      </w:ins>
      <w:del w:id="1648" w:author="Author" w:date="2025-07-21T10:21:00Z">
        <w:r>
          <w:rPr>
            <w:rFonts w:eastAsia="SimSun"/>
            <w:bCs/>
            <w:iCs/>
            <w:sz w:val="18"/>
            <w:szCs w:val="18"/>
            <w:lang w:eastAsia="zh-CN"/>
          </w:rPr>
          <w:delText xml:space="preserve"> </w:delText>
        </w:r>
      </w:del>
      <w:r>
        <w:rPr>
          <w:rFonts w:eastAsia="SimSun"/>
          <w:bCs/>
          <w:iCs/>
          <w:sz w:val="18"/>
          <w:szCs w:val="18"/>
          <w:lang w:eastAsia="zh-CN"/>
        </w:rPr>
        <w:t>=</w:t>
      </w:r>
      <w:ins w:id="1649" w:author="Author" w:date="2025-07-21T10:21:00Z">
        <w:r>
          <w:rPr>
            <w:rFonts w:eastAsia="SimSun"/>
            <w:bCs/>
            <w:iCs/>
            <w:sz w:val="18"/>
            <w:szCs w:val="18"/>
            <w:lang w:eastAsia="zh-CN"/>
          </w:rPr>
          <w:t> </w:t>
        </w:r>
      </w:ins>
      <w:del w:id="1650" w:author="Author" w:date="2025-07-21T10:21:00Z">
        <w:r>
          <w:rPr>
            <w:rFonts w:eastAsia="SimSun"/>
            <w:bCs/>
            <w:iCs/>
            <w:sz w:val="18"/>
            <w:szCs w:val="18"/>
            <w:lang w:eastAsia="zh-CN"/>
          </w:rPr>
          <w:delText xml:space="preserve"> </w:delText>
        </w:r>
      </w:del>
      <w:r>
        <w:rPr>
          <w:rFonts w:eastAsia="SimSun"/>
          <w:bCs/>
          <w:iCs/>
          <w:sz w:val="18"/>
          <w:szCs w:val="18"/>
          <w:lang w:eastAsia="zh-CN"/>
        </w:rPr>
        <w:t>intravenózne</w:t>
      </w:r>
    </w:p>
    <w:p w14:paraId="2D8329EE" w14:textId="77777777" w:rsidR="009700E5" w:rsidRDefault="002C033C">
      <w:pPr>
        <w:rPr>
          <w:rFonts w:eastAsia="SimSun"/>
          <w:bCs/>
          <w:iCs/>
          <w:sz w:val="18"/>
          <w:szCs w:val="18"/>
          <w:lang w:eastAsia="zh-CN"/>
        </w:rPr>
      </w:pPr>
      <w:r>
        <w:rPr>
          <w:rFonts w:eastAsia="SimSun"/>
          <w:bCs/>
          <w:iCs/>
          <w:sz w:val="18"/>
          <w:szCs w:val="18"/>
          <w:lang w:eastAsia="zh-CN"/>
        </w:rPr>
        <w:t>s.c.</w:t>
      </w:r>
      <w:ins w:id="1651" w:author="Author" w:date="2025-07-21T10:21:00Z">
        <w:r>
          <w:rPr>
            <w:rFonts w:eastAsia="SimSun"/>
            <w:bCs/>
            <w:iCs/>
            <w:sz w:val="18"/>
            <w:szCs w:val="18"/>
            <w:lang w:eastAsia="zh-CN"/>
          </w:rPr>
          <w:t> </w:t>
        </w:r>
      </w:ins>
      <w:del w:id="1652" w:author="Author" w:date="2025-07-21T10:21:00Z">
        <w:r>
          <w:rPr>
            <w:rFonts w:eastAsia="SimSun"/>
            <w:bCs/>
            <w:iCs/>
            <w:sz w:val="18"/>
            <w:szCs w:val="18"/>
            <w:lang w:eastAsia="zh-CN"/>
          </w:rPr>
          <w:delText xml:space="preserve"> </w:delText>
        </w:r>
      </w:del>
      <w:r>
        <w:rPr>
          <w:rFonts w:eastAsia="SimSun"/>
          <w:bCs/>
          <w:iCs/>
          <w:sz w:val="18"/>
          <w:szCs w:val="18"/>
          <w:lang w:eastAsia="zh-CN"/>
        </w:rPr>
        <w:t>=</w:t>
      </w:r>
      <w:ins w:id="1653" w:author="Author" w:date="2025-07-21T10:21:00Z">
        <w:r>
          <w:rPr>
            <w:rFonts w:eastAsia="SimSun"/>
            <w:bCs/>
            <w:iCs/>
            <w:sz w:val="18"/>
            <w:szCs w:val="18"/>
            <w:lang w:eastAsia="zh-CN"/>
          </w:rPr>
          <w:t> </w:t>
        </w:r>
      </w:ins>
      <w:del w:id="1654" w:author="Author" w:date="2025-07-21T10:21:00Z">
        <w:r>
          <w:rPr>
            <w:rFonts w:eastAsia="SimSun"/>
            <w:bCs/>
            <w:iCs/>
            <w:sz w:val="18"/>
            <w:szCs w:val="18"/>
            <w:lang w:eastAsia="zh-CN"/>
          </w:rPr>
          <w:delText xml:space="preserve"> </w:delText>
        </w:r>
      </w:del>
      <w:r>
        <w:rPr>
          <w:rFonts w:eastAsia="SimSun"/>
          <w:bCs/>
          <w:iCs/>
          <w:sz w:val="18"/>
          <w:szCs w:val="18"/>
          <w:lang w:eastAsia="zh-CN"/>
        </w:rPr>
        <w:t>subkutánne</w:t>
      </w:r>
    </w:p>
    <w:p w14:paraId="1BEC66AE" w14:textId="77777777" w:rsidR="009700E5" w:rsidRDefault="002C033C">
      <w:pPr>
        <w:rPr>
          <w:rFonts w:eastAsia="SimSun"/>
          <w:bCs/>
          <w:iCs/>
          <w:sz w:val="18"/>
          <w:szCs w:val="18"/>
          <w:lang w:eastAsia="zh-CN"/>
        </w:rPr>
      </w:pPr>
      <w:r>
        <w:rPr>
          <w:rFonts w:eastAsia="SimSun"/>
          <w:bCs/>
          <w:iCs/>
          <w:sz w:val="18"/>
          <w:szCs w:val="18"/>
          <w:lang w:eastAsia="zh-CN"/>
        </w:rPr>
        <w:t>ADA</w:t>
      </w:r>
      <w:ins w:id="1655" w:author="Author" w:date="2025-07-21T10:21:00Z">
        <w:r>
          <w:rPr>
            <w:rFonts w:eastAsia="SimSun"/>
            <w:bCs/>
            <w:iCs/>
            <w:sz w:val="18"/>
            <w:szCs w:val="18"/>
            <w:lang w:eastAsia="zh-CN"/>
          </w:rPr>
          <w:t> </w:t>
        </w:r>
      </w:ins>
      <w:del w:id="1656" w:author="Author" w:date="2025-07-21T10:21:00Z">
        <w:r>
          <w:rPr>
            <w:rFonts w:eastAsia="SimSun"/>
            <w:bCs/>
            <w:iCs/>
            <w:sz w:val="18"/>
            <w:szCs w:val="18"/>
            <w:lang w:eastAsia="zh-CN"/>
          </w:rPr>
          <w:delText xml:space="preserve"> </w:delText>
        </w:r>
      </w:del>
      <w:r>
        <w:rPr>
          <w:rFonts w:eastAsia="SimSun"/>
          <w:bCs/>
          <w:iCs/>
          <w:sz w:val="18"/>
          <w:szCs w:val="18"/>
          <w:lang w:eastAsia="zh-CN"/>
        </w:rPr>
        <w:t>=</w:t>
      </w:r>
      <w:ins w:id="1657" w:author="Author" w:date="2025-07-21T10:21:00Z">
        <w:r>
          <w:rPr>
            <w:rFonts w:eastAsia="SimSun"/>
            <w:bCs/>
            <w:iCs/>
            <w:sz w:val="18"/>
            <w:szCs w:val="18"/>
            <w:lang w:eastAsia="zh-CN"/>
          </w:rPr>
          <w:t> </w:t>
        </w:r>
      </w:ins>
      <w:del w:id="1658" w:author="Author" w:date="2025-07-21T10:21:00Z">
        <w:r>
          <w:rPr>
            <w:rFonts w:eastAsia="SimSun"/>
            <w:bCs/>
            <w:iCs/>
            <w:sz w:val="18"/>
            <w:szCs w:val="18"/>
            <w:lang w:eastAsia="zh-CN"/>
          </w:rPr>
          <w:delText xml:space="preserve"> </w:delText>
        </w:r>
      </w:del>
      <w:r>
        <w:rPr>
          <w:rFonts w:eastAsia="SimSun"/>
          <w:bCs/>
          <w:iCs/>
          <w:sz w:val="18"/>
          <w:szCs w:val="18"/>
          <w:lang w:eastAsia="zh-CN"/>
        </w:rPr>
        <w:t>adalimumab</w:t>
      </w:r>
    </w:p>
    <w:p w14:paraId="572BE52B" w14:textId="77777777" w:rsidR="009700E5" w:rsidRDefault="002C033C">
      <w:pPr>
        <w:rPr>
          <w:rFonts w:eastAsia="SimSun"/>
          <w:bCs/>
          <w:iCs/>
          <w:sz w:val="18"/>
          <w:szCs w:val="18"/>
          <w:lang w:eastAsia="zh-CN"/>
        </w:rPr>
      </w:pPr>
      <w:r>
        <w:rPr>
          <w:rFonts w:eastAsia="SimSun"/>
          <w:bCs/>
          <w:iCs/>
          <w:sz w:val="18"/>
          <w:szCs w:val="18"/>
          <w:lang w:eastAsia="zh-CN"/>
        </w:rPr>
        <w:t>TCZ</w:t>
      </w:r>
      <w:ins w:id="1659" w:author="Author" w:date="2025-07-21T10:21:00Z">
        <w:r>
          <w:rPr>
            <w:rFonts w:eastAsia="SimSun"/>
            <w:bCs/>
            <w:iCs/>
            <w:sz w:val="18"/>
            <w:szCs w:val="18"/>
            <w:lang w:eastAsia="zh-CN"/>
          </w:rPr>
          <w:t> </w:t>
        </w:r>
      </w:ins>
      <w:del w:id="1660" w:author="Author" w:date="2025-07-21T10:21:00Z">
        <w:r>
          <w:rPr>
            <w:rFonts w:eastAsia="SimSun"/>
            <w:bCs/>
            <w:iCs/>
            <w:sz w:val="18"/>
            <w:szCs w:val="18"/>
            <w:lang w:eastAsia="zh-CN"/>
          </w:rPr>
          <w:delText xml:space="preserve"> </w:delText>
        </w:r>
      </w:del>
      <w:r>
        <w:rPr>
          <w:rFonts w:eastAsia="SimSun"/>
          <w:bCs/>
          <w:iCs/>
          <w:sz w:val="18"/>
          <w:szCs w:val="18"/>
          <w:lang w:eastAsia="zh-CN"/>
        </w:rPr>
        <w:t>=</w:t>
      </w:r>
      <w:ins w:id="1661" w:author="Author" w:date="2025-07-21T10:21:00Z">
        <w:r>
          <w:rPr>
            <w:rFonts w:eastAsia="SimSun"/>
            <w:bCs/>
            <w:iCs/>
            <w:sz w:val="18"/>
            <w:szCs w:val="18"/>
            <w:lang w:eastAsia="zh-CN"/>
          </w:rPr>
          <w:t> </w:t>
        </w:r>
      </w:ins>
      <w:del w:id="1662" w:author="Author" w:date="2025-07-21T10:21:00Z">
        <w:r>
          <w:rPr>
            <w:rFonts w:eastAsia="SimSun"/>
            <w:bCs/>
            <w:iCs/>
            <w:sz w:val="18"/>
            <w:szCs w:val="18"/>
            <w:lang w:eastAsia="zh-CN"/>
          </w:rPr>
          <w:delText xml:space="preserve"> </w:delText>
        </w:r>
      </w:del>
      <w:r>
        <w:rPr>
          <w:rFonts w:eastAsia="SimSun"/>
          <w:bCs/>
          <w:iCs/>
          <w:sz w:val="18"/>
          <w:szCs w:val="18"/>
          <w:lang w:eastAsia="zh-CN"/>
        </w:rPr>
        <w:t>tocilizumab</w:t>
      </w:r>
    </w:p>
    <w:p w14:paraId="4A039928" w14:textId="77777777" w:rsidR="009700E5" w:rsidRDefault="009700E5"/>
    <w:p w14:paraId="07177B03" w14:textId="77777777" w:rsidR="009700E5" w:rsidRDefault="002C033C">
      <w:pPr>
        <w:numPr>
          <w:ilvl w:val="12"/>
          <w:numId w:val="0"/>
        </w:numPr>
        <w:ind w:right="-2"/>
      </w:pPr>
      <w:r>
        <w:t xml:space="preserve">Celkový klinický profil nežiaducich udalostí bol podobný pri tocilizumabe a adalimumabe. Podiel pacientov so závažnými nežiaducimi udalosťami bol medzi liečebnými skupinami vyvážený (tocilizumab 11,7 % oproti adalimumabu 9,9 %). Nežiaduce reakcie v skupine s tocilizumabom odpovedali známemu bezpečnostnému profilu tocilizumabu a nežiaduce reakcie boli hlásené s podobnou frekvenciou v porovnaní s tabuľkou 1. Vyššia incidencia infekcií a infestácií bola hlásená v skupine s tocilizumabom (48 % oproti 42 %), a to bez rozdielu v incidencii závažných infekcií (3,1 %). Obidve </w:t>
      </w:r>
      <w:del w:id="1663" w:author="Author" w:date="2025-07-21T10:22:00Z">
        <w:r>
          <w:delText xml:space="preserve">skúmané </w:delText>
        </w:r>
      </w:del>
      <w:ins w:id="1664" w:author="Author" w:date="2025-07-21T10:22:00Z">
        <w:r>
          <w:t xml:space="preserve">skúšané </w:t>
        </w:r>
      </w:ins>
      <w:r>
        <w:t>liečby indukovali rovnaké zmeny v laboratórnych bezpečnostných parametroch (poklesy počtu neutrofilov a krvných doštičiek, zvýšenie ALT, AST a lipidov), veľkosť zmien a frekvencie výrazných abnormalít však bola vyššia pri tocilizumabe v porovnaní s adalimumabom. U štyroch (2,5 %) pacientov v skupine s tocilizumabom a dvoch (1,2 %) pacientov v skupine s adalimumabom sa vyskytli poklesy počtu neutrofilov 3. alebo 4. stupňa CTC. U jedenástich (6,8 %) pacientov v skupine s tocilizumabom a piatich (3,1 %) pacientov v skupine s adalimumabom sa vyskytlo zvýšenie ALT 2. alebo vyššieho stupňa CTC. Priemerné zvýšenie LDL od východiskovej hodnoty bolo 0,64 mmol/l (25 mg/dl) u pacientov v skupine s tocilizumabom a 0,19 mmol/l (7 mg/dl) u pacientov v skupine s adalimumabom. Bezpečnosť pozorovaná v skupine s tocilizumabom sa zhodovala so známym bezpečnostných profilom tocilizumabu a nepozorovali sa žiadne nové alebo neočakávané nežiaduce reakcie (pozri tabuľku 1).</w:t>
      </w:r>
    </w:p>
    <w:p w14:paraId="2AD6CFA6" w14:textId="77777777" w:rsidR="009700E5" w:rsidRDefault="009700E5">
      <w:pPr>
        <w:numPr>
          <w:ilvl w:val="12"/>
          <w:numId w:val="0"/>
        </w:numPr>
        <w:ind w:right="-2"/>
        <w:rPr>
          <w:sz w:val="24"/>
          <w:szCs w:val="24"/>
          <w:lang w:eastAsia="zh-TW"/>
        </w:rPr>
      </w:pPr>
    </w:p>
    <w:p w14:paraId="0DE8D791" w14:textId="77777777" w:rsidR="009700E5" w:rsidRDefault="002C033C">
      <w:pPr>
        <w:outlineLvl w:val="0"/>
        <w:rPr>
          <w:b/>
        </w:rPr>
      </w:pPr>
      <w:r>
        <w:rPr>
          <w:b/>
        </w:rPr>
        <w:t>5.2</w:t>
      </w:r>
      <w:r>
        <w:rPr>
          <w:b/>
        </w:rPr>
        <w:tab/>
      </w:r>
      <w:r>
        <w:rPr>
          <w:b/>
          <w:szCs w:val="22"/>
        </w:rPr>
        <w:t>Farmakokinetické vlastnosti</w:t>
      </w:r>
    </w:p>
    <w:p w14:paraId="38A29B5C" w14:textId="77777777" w:rsidR="009700E5" w:rsidRDefault="009700E5">
      <w:pPr>
        <w:outlineLvl w:val="0"/>
      </w:pPr>
    </w:p>
    <w:p w14:paraId="512EEF6A" w14:textId="77777777" w:rsidR="009700E5" w:rsidRDefault="002C033C">
      <w:pPr>
        <w:outlineLvl w:val="0"/>
      </w:pPr>
      <w:r>
        <w:t>Farmakokinetiku tocilizumabu charakterizuje nelineárna eliminácia, ktorá je kombináciou lineárneho klírensu a Michaelisa</w:t>
      </w:r>
      <w:r>
        <w:noBreakHyphen/>
        <w:t xml:space="preserve">Mentenovej eliminácie. Nelineárna časť eliminácie vedie k zvýšenej expozícii, ktorá je </w:t>
      </w:r>
      <w:r>
        <w:rPr>
          <w:iCs/>
        </w:rPr>
        <w:t>vyššia ako dávke úmerná</w:t>
      </w:r>
      <w:r>
        <w:t>. Farmakokinetické parametre tocilizumabu sa postupom času nemenia. Nakoľko je celkový klírens závislý od koncentrácií tocilizumabu v sére, aj polčas eliminácie tocilizumabu je závislý od koncentrácií a jeho dĺžka je rôzna v závislosti od hladiny koncentrácie v sére. Populačná farmakokinetická analýza u všetkých skúmaných populácií pacientov zatiaľ nepreukázala žiaden vzťah medzi zdanlivým klírensom a prítomnosťou protilátok proti lieku.</w:t>
      </w:r>
    </w:p>
    <w:p w14:paraId="10A38AEE" w14:textId="77777777" w:rsidR="009700E5" w:rsidRDefault="009700E5">
      <w:pPr>
        <w:outlineLvl w:val="0"/>
      </w:pPr>
    </w:p>
    <w:p w14:paraId="6D1582A2" w14:textId="77777777" w:rsidR="009700E5" w:rsidRDefault="002C033C">
      <w:pPr>
        <w:keepNext/>
        <w:keepLines/>
        <w:numPr>
          <w:ilvl w:val="12"/>
          <w:numId w:val="0"/>
        </w:numPr>
        <w:ind w:right="-2"/>
        <w:rPr>
          <w:moveFrom w:id="1665" w:author="Author" w:date="2025-07-19T23:19:00Z"/>
          <w:u w:val="single"/>
        </w:rPr>
      </w:pPr>
      <w:moveFromRangeStart w:id="1666" w:author="Author" w:date="2025-07-19T23:19:00Z" w:name="move203859568"/>
      <w:moveFrom w:id="1667" w:author="Author" w:date="2025-07-19T23:19:00Z">
        <w:r>
          <w:rPr>
            <w:u w:val="single"/>
          </w:rPr>
          <w:lastRenderedPageBreak/>
          <w:t>RA</w:t>
        </w:r>
      </w:moveFrom>
    </w:p>
    <w:moveFromRangeEnd w:id="1666"/>
    <w:p w14:paraId="6D416734" w14:textId="77777777" w:rsidR="009700E5" w:rsidRPr="009700E5" w:rsidRDefault="002C033C">
      <w:pPr>
        <w:keepNext/>
        <w:keepLines/>
        <w:numPr>
          <w:ilvl w:val="12"/>
          <w:numId w:val="0"/>
        </w:numPr>
        <w:ind w:right="-2"/>
        <w:rPr>
          <w:u w:val="single"/>
          <w:rPrChange w:id="1668" w:author="Author" w:date="2025-08-22T15:12:00Z">
            <w:rPr>
              <w:i/>
              <w:iCs/>
            </w:rPr>
          </w:rPrChange>
        </w:rPr>
      </w:pPr>
      <w:r>
        <w:rPr>
          <w:u w:val="single"/>
          <w:rPrChange w:id="1669" w:author="Author" w:date="2025-08-22T15:12:00Z">
            <w:rPr>
              <w:i/>
              <w:iCs/>
            </w:rPr>
          </w:rPrChange>
        </w:rPr>
        <w:t>Intravenózne použitie</w:t>
      </w:r>
    </w:p>
    <w:p w14:paraId="01211487" w14:textId="77777777" w:rsidR="009700E5" w:rsidRDefault="002C033C">
      <w:pPr>
        <w:keepNext/>
        <w:keepLines/>
        <w:numPr>
          <w:ilvl w:val="12"/>
          <w:numId w:val="0"/>
        </w:numPr>
        <w:ind w:right="-2"/>
        <w:rPr>
          <w:ins w:id="1670" w:author="Author" w:date="2025-07-24T21:10:00Z"/>
          <w:i/>
          <w:iCs/>
        </w:rPr>
      </w:pPr>
      <w:ins w:id="1671" w:author="Author" w:date="2025-07-19T23:19:00Z">
        <w:r>
          <w:rPr>
            <w:i/>
            <w:iCs/>
            <w:rPrChange w:id="1672" w:author="Author" w:date="2025-08-22T15:12:00Z">
              <w:rPr>
                <w:u w:val="single"/>
              </w:rPr>
            </w:rPrChange>
          </w:rPr>
          <w:t>Pacienti s</w:t>
        </w:r>
        <w:del w:id="1673" w:author="Author" w:date="2025-07-24T21:10:00Z">
          <w:r>
            <w:rPr>
              <w:i/>
              <w:iCs/>
              <w:rPrChange w:id="1674" w:author="Author" w:date="2025-08-22T15:12:00Z">
                <w:rPr>
                  <w:u w:val="single"/>
                </w:rPr>
              </w:rPrChange>
            </w:rPr>
            <w:delText xml:space="preserve"> </w:delText>
          </w:r>
        </w:del>
      </w:ins>
      <w:ins w:id="1675" w:author="Author" w:date="2025-07-24T21:10:00Z">
        <w:r>
          <w:rPr>
            <w:i/>
            <w:iCs/>
          </w:rPr>
          <w:t> </w:t>
        </w:r>
      </w:ins>
      <w:moveToRangeStart w:id="1676" w:author="Author" w:date="2025-07-19T23:19:00Z" w:name="move203859568"/>
      <w:moveTo w:id="1677" w:author="Author" w:date="2025-07-19T23:19:00Z">
        <w:r>
          <w:rPr>
            <w:i/>
            <w:iCs/>
            <w:rPrChange w:id="1678" w:author="Author" w:date="2025-08-22T15:12:00Z">
              <w:rPr>
                <w:u w:val="single"/>
              </w:rPr>
            </w:rPrChange>
          </w:rPr>
          <w:t>RA</w:t>
        </w:r>
      </w:moveTo>
    </w:p>
    <w:p w14:paraId="6D1D4267" w14:textId="77777777" w:rsidR="009700E5" w:rsidRPr="009700E5" w:rsidRDefault="009700E5">
      <w:pPr>
        <w:keepNext/>
        <w:keepLines/>
        <w:numPr>
          <w:ilvl w:val="12"/>
          <w:numId w:val="0"/>
        </w:numPr>
        <w:ind w:right="-2"/>
        <w:rPr>
          <w:moveTo w:id="1679" w:author="Author" w:date="2025-07-19T23:19:00Z"/>
          <w:i/>
          <w:iCs/>
          <w:rPrChange w:id="1680" w:author="Author" w:date="2025-08-22T15:12:00Z">
            <w:rPr>
              <w:moveTo w:id="1681" w:author="Author" w:date="2025-07-19T23:19:00Z"/>
              <w:u w:val="single"/>
            </w:rPr>
          </w:rPrChange>
        </w:rPr>
      </w:pPr>
    </w:p>
    <w:moveToRangeEnd w:id="1676"/>
    <w:p w14:paraId="16894E93" w14:textId="77777777" w:rsidR="009700E5" w:rsidRDefault="002C033C">
      <w:pPr>
        <w:numPr>
          <w:ilvl w:val="12"/>
          <w:numId w:val="0"/>
        </w:numPr>
        <w:ind w:right="-2"/>
        <w:rPr>
          <w:iCs/>
        </w:rPr>
      </w:pPr>
      <w:r>
        <w:rPr>
          <w:iCs/>
        </w:rPr>
        <w:t xml:space="preserve">Farmakokinetika </w:t>
      </w:r>
      <w:r>
        <w:t>tocilizumabu</w:t>
      </w:r>
      <w:r>
        <w:rPr>
          <w:iCs/>
        </w:rPr>
        <w:t xml:space="preserve"> sa stanovila za použitia populačnej farmakokinetickej analýzy údajov z databázy zloženej z 3 552 pacientov s RA liečených dávkou 4 alebo 8 mg/kg </w:t>
      </w:r>
      <w:r>
        <w:t>tocilizumabu</w:t>
      </w:r>
      <w:r>
        <w:rPr>
          <w:iCs/>
        </w:rPr>
        <w:t xml:space="preserve"> podávanou raz za 4 týždne formou jednu hodinu trvajúcej infúzie alebo so 162 mg tocilizumabu podávaného subkutánne buď raz týždenne, alebo každý druhý týždeň počas 24 týždňov.</w:t>
      </w:r>
    </w:p>
    <w:p w14:paraId="2C9824A9" w14:textId="77777777" w:rsidR="009700E5" w:rsidRDefault="009700E5">
      <w:pPr>
        <w:numPr>
          <w:ilvl w:val="12"/>
          <w:numId w:val="0"/>
        </w:numPr>
        <w:ind w:right="-2"/>
        <w:rPr>
          <w:iCs/>
        </w:rPr>
      </w:pPr>
    </w:p>
    <w:p w14:paraId="63C33744" w14:textId="77777777" w:rsidR="009700E5" w:rsidRDefault="002C033C">
      <w:pPr>
        <w:rPr>
          <w:iCs/>
        </w:rPr>
      </w:pPr>
      <w:r>
        <w:rPr>
          <w:iCs/>
        </w:rPr>
        <w:t>Nasledujúce parametre (predpokladaný priemer </w:t>
      </w:r>
      <w:r>
        <w:rPr>
          <w:iCs/>
          <w:szCs w:val="22"/>
        </w:rPr>
        <w:t>±</w:t>
      </w:r>
      <w:r>
        <w:rPr>
          <w:iCs/>
        </w:rPr>
        <w:t> SD, štandardná odchýlka) sa odhadli pre dávku 8 mg/kg tocilizumabu podávanú raz za 4 týždne: plocha pod krivkou pre plazmatickú koncentráciu (AUC) v rovnovážnom stave = 38 000 </w:t>
      </w:r>
      <w:r>
        <w:rPr>
          <w:iCs/>
          <w:szCs w:val="22"/>
        </w:rPr>
        <w:t>±</w:t>
      </w:r>
      <w:r>
        <w:rPr>
          <w:iCs/>
        </w:rPr>
        <w:t> 13 000 h</w:t>
      </w:r>
      <w:ins w:id="1682" w:author="Author" w:date="2025-07-21T10:22:00Z">
        <w:r>
          <w:t> </w:t>
        </w:r>
      </w:ins>
      <w:ins w:id="1683" w:author="Author" w:date="2025-07-19T23:20:00Z">
        <w:del w:id="1684" w:author="Author" w:date="2025-07-21T10:22:00Z">
          <w:r>
            <w:delText xml:space="preserve"> </w:delText>
          </w:r>
        </w:del>
        <w:r>
          <w:rPr>
            <w:szCs w:val="22"/>
          </w:rPr>
          <w:t>×</w:t>
        </w:r>
      </w:ins>
      <w:ins w:id="1685" w:author="Author" w:date="2025-07-21T10:22:00Z">
        <w:r>
          <w:t> </w:t>
        </w:r>
      </w:ins>
      <w:ins w:id="1686" w:author="Author" w:date="2025-07-19T23:20:00Z">
        <w:del w:id="1687" w:author="Author" w:date="2025-07-21T10:22:00Z">
          <w:r>
            <w:rPr>
              <w:szCs w:val="22"/>
            </w:rPr>
            <w:delText xml:space="preserve"> </w:delText>
          </w:r>
        </w:del>
      </w:ins>
      <w:del w:id="1688" w:author="Author" w:date="2025-07-19T23:20:00Z">
        <w:r>
          <w:delText>•</w:delText>
        </w:r>
      </w:del>
      <w:r>
        <w:rPr>
          <w:iCs/>
        </w:rPr>
        <w:t>µg/ml, minimálna koncentrácia (C</w:t>
      </w:r>
      <w:r>
        <w:rPr>
          <w:iCs/>
          <w:vertAlign w:val="subscript"/>
        </w:rPr>
        <w:t>min</w:t>
      </w:r>
      <w:r>
        <w:rPr>
          <w:iCs/>
        </w:rPr>
        <w:t>) =15,9 </w:t>
      </w:r>
      <w:r>
        <w:rPr>
          <w:iCs/>
          <w:szCs w:val="22"/>
        </w:rPr>
        <w:t>±</w:t>
      </w:r>
      <w:r>
        <w:rPr>
          <w:iCs/>
        </w:rPr>
        <w:t> 13,1 </w:t>
      </w:r>
      <w:r>
        <w:rPr>
          <w:iCs/>
        </w:rPr>
        <w:sym w:font="Symbol" w:char="F06D"/>
      </w:r>
      <w:r>
        <w:rPr>
          <w:iCs/>
        </w:rPr>
        <w:t>g/ml a maximálna koncentrácia (C</w:t>
      </w:r>
      <w:r>
        <w:rPr>
          <w:iCs/>
          <w:vertAlign w:val="subscript"/>
        </w:rPr>
        <w:t>max</w:t>
      </w:r>
      <w:r>
        <w:rPr>
          <w:iCs/>
        </w:rPr>
        <w:t>) = 182 </w:t>
      </w:r>
      <w:r>
        <w:rPr>
          <w:iCs/>
          <w:szCs w:val="22"/>
        </w:rPr>
        <w:t>±</w:t>
      </w:r>
      <w:r>
        <w:rPr>
          <w:iCs/>
        </w:rPr>
        <w:t> 50,4 µg/ml a pomer kumulácie v hodnote 1,32 pri AUC a 1,09 pri C</w:t>
      </w:r>
      <w:r>
        <w:rPr>
          <w:iCs/>
          <w:vertAlign w:val="subscript"/>
        </w:rPr>
        <w:t>max</w:t>
      </w:r>
      <w:r>
        <w:rPr>
          <w:iCs/>
        </w:rPr>
        <w:t xml:space="preserve"> bol nízky. Pomer kumulácie bol vyšší pri C</w:t>
      </w:r>
      <w:r>
        <w:rPr>
          <w:iCs/>
          <w:vertAlign w:val="subscript"/>
        </w:rPr>
        <w:t>min</w:t>
      </w:r>
      <w:r>
        <w:rPr>
          <w:iCs/>
        </w:rPr>
        <w:t xml:space="preserve"> (2,49), čo sa očakávalo na základe prispenia nelineárneho klírensu pri nižších koncentráciách. Rovnovážny stav sa dosiahol po podaní prvej dávky pri hodnote C</w:t>
      </w:r>
      <w:r>
        <w:rPr>
          <w:iCs/>
          <w:vertAlign w:val="subscript"/>
        </w:rPr>
        <w:t>max</w:t>
      </w:r>
      <w:r>
        <w:rPr>
          <w:iCs/>
        </w:rPr>
        <w:t>, po 8 týždňoch pri hodnote AUC a po 20 týždňoch pri hodnote C</w:t>
      </w:r>
      <w:r>
        <w:rPr>
          <w:iCs/>
          <w:vertAlign w:val="subscript"/>
        </w:rPr>
        <w:t>min</w:t>
      </w:r>
      <w:r>
        <w:rPr>
          <w:iCs/>
        </w:rPr>
        <w:t>. AUC, C</w:t>
      </w:r>
      <w:r>
        <w:rPr>
          <w:iCs/>
          <w:vertAlign w:val="subscript"/>
        </w:rPr>
        <w:t>min</w:t>
      </w:r>
      <w:r>
        <w:rPr>
          <w:iCs/>
        </w:rPr>
        <w:t xml:space="preserve"> a C</w:t>
      </w:r>
      <w:r>
        <w:rPr>
          <w:iCs/>
          <w:vertAlign w:val="subscript"/>
        </w:rPr>
        <w:t>max</w:t>
      </w:r>
      <w:r>
        <w:rPr>
          <w:iCs/>
        </w:rPr>
        <w:t xml:space="preserve"> tocilizumabu vzrástlo so stúpajúcou telesnou hmotnosťou. Pri telesnej hmotnosti ≥ 100 kg bol predpovedaný priemer </w:t>
      </w:r>
      <w:r>
        <w:t xml:space="preserve">(± SD) AUC tocilizumabu v rovnovážnom stave </w:t>
      </w:r>
      <w:r>
        <w:rPr>
          <w:iCs/>
        </w:rPr>
        <w:t>5</w:t>
      </w:r>
      <w:r>
        <w:t>0</w:t>
      </w:r>
      <w:r>
        <w:rPr>
          <w:iCs/>
        </w:rPr>
        <w:t> </w:t>
      </w:r>
      <w:r>
        <w:t>000</w:t>
      </w:r>
      <w:r>
        <w:rPr>
          <w:iCs/>
        </w:rPr>
        <w:t> </w:t>
      </w:r>
      <w:r>
        <w:t>±</w:t>
      </w:r>
      <w:r>
        <w:rPr>
          <w:iCs/>
        </w:rPr>
        <w:t> </w:t>
      </w:r>
      <w:r>
        <w:t>16</w:t>
      </w:r>
      <w:r>
        <w:rPr>
          <w:iCs/>
        </w:rPr>
        <w:t> </w:t>
      </w:r>
      <w:r>
        <w:t>800 μg</w:t>
      </w:r>
      <w:ins w:id="1689" w:author="Author" w:date="2025-07-21T10:22:00Z">
        <w:r>
          <w:t> </w:t>
        </w:r>
      </w:ins>
      <w:ins w:id="1690" w:author="Author" w:date="2025-07-19T23:20:00Z">
        <w:del w:id="1691" w:author="Author" w:date="2025-07-21T10:22:00Z">
          <w:r>
            <w:delText xml:space="preserve"> </w:delText>
          </w:r>
        </w:del>
        <w:r>
          <w:rPr>
            <w:szCs w:val="22"/>
          </w:rPr>
          <w:t>×</w:t>
        </w:r>
      </w:ins>
      <w:ins w:id="1692" w:author="Author" w:date="2025-07-21T10:22:00Z">
        <w:r>
          <w:t> </w:t>
        </w:r>
      </w:ins>
      <w:ins w:id="1693" w:author="Author" w:date="2025-07-19T23:20:00Z">
        <w:del w:id="1694" w:author="Author" w:date="2025-07-21T10:22:00Z">
          <w:r>
            <w:rPr>
              <w:szCs w:val="22"/>
            </w:rPr>
            <w:delText xml:space="preserve"> </w:delText>
          </w:r>
        </w:del>
      </w:ins>
      <w:del w:id="1695" w:author="Author" w:date="2025-07-19T23:20:00Z">
        <w:r>
          <w:delText>•</w:delText>
        </w:r>
      </w:del>
      <w:r>
        <w:t>h/ml, C</w:t>
      </w:r>
      <w:r>
        <w:rPr>
          <w:vertAlign w:val="subscript"/>
        </w:rPr>
        <w:t>min</w:t>
      </w:r>
      <w:r>
        <w:t xml:space="preserve"> tocilizumabu 24,4</w:t>
      </w:r>
      <w:r>
        <w:rPr>
          <w:iCs/>
        </w:rPr>
        <w:t> </w:t>
      </w:r>
      <w:r>
        <w:t>±</w:t>
      </w:r>
      <w:r>
        <w:rPr>
          <w:iCs/>
        </w:rPr>
        <w:t> </w:t>
      </w:r>
      <w:ins w:id="1696" w:author="Author" w:date="2025-08-19T13:04:00Z">
        <w:r>
          <w:rPr>
            <w:iCs/>
          </w:rPr>
          <w:t>1</w:t>
        </w:r>
      </w:ins>
      <w:r>
        <w:t>7,5 μg/ml a C</w:t>
      </w:r>
      <w:r>
        <w:rPr>
          <w:vertAlign w:val="subscript"/>
        </w:rPr>
        <w:t>max</w:t>
      </w:r>
      <w:r>
        <w:t xml:space="preserve"> tocilizumabu 226</w:t>
      </w:r>
      <w:r>
        <w:rPr>
          <w:iCs/>
        </w:rPr>
        <w:t> </w:t>
      </w:r>
      <w:r>
        <w:t>±</w:t>
      </w:r>
      <w:r>
        <w:rPr>
          <w:iCs/>
        </w:rPr>
        <w:t> </w:t>
      </w:r>
      <w:r>
        <w:t xml:space="preserve">50,3 μg/ml, čo sú vyššie hodnoty, než hodnoty pri priemernej expozícii v súbore pacientov (t.j. celková hmotnosť všetkých pacientov) ako je uvedené vyššie. Krivka odpovede na dávku sa pri tocilizumabe pri vyšších expozíciách splošťuje, čo vedie k nižšiemu nárastu účinnosti pre každé ďalšie zvýšenie koncentrácie, takže u pacientov liečených tocilizumabom dávkou </w:t>
      </w:r>
      <w:r>
        <w:rPr>
          <w:rFonts w:eastAsia="MS Mincho"/>
          <w:szCs w:val="22"/>
        </w:rPr>
        <w:sym w:font="Symbol" w:char="F03E"/>
      </w:r>
      <w:r>
        <w:t> 800 mg nedochádza už k žiadnemu zmysluplnému zvýšeniu účinnosti. Preto sa neodporúčajú dávky, ktoré presahujú 800 mg na infúziu (pozri časť </w:t>
      </w:r>
      <w:r>
        <w:rPr>
          <w:iCs/>
        </w:rPr>
        <w:t>4.2).</w:t>
      </w:r>
    </w:p>
    <w:p w14:paraId="532C1DAB" w14:textId="77777777" w:rsidR="009700E5" w:rsidRDefault="009700E5">
      <w:pPr>
        <w:rPr>
          <w:iCs/>
        </w:rPr>
      </w:pPr>
    </w:p>
    <w:p w14:paraId="5E7B0D86" w14:textId="77777777" w:rsidR="009700E5" w:rsidRDefault="002C033C">
      <w:pPr>
        <w:keepNext/>
        <w:keepLines/>
        <w:numPr>
          <w:ilvl w:val="12"/>
          <w:numId w:val="0"/>
        </w:numPr>
        <w:rPr>
          <w:i/>
        </w:rPr>
      </w:pPr>
      <w:r>
        <w:rPr>
          <w:i/>
          <w:u w:val="single"/>
        </w:rPr>
        <w:t>Distribúcia</w:t>
      </w:r>
    </w:p>
    <w:p w14:paraId="31C2B6CE" w14:textId="77777777" w:rsidR="009700E5" w:rsidRDefault="002C033C">
      <w:pPr>
        <w:keepNext/>
        <w:keepLines/>
        <w:numPr>
          <w:ilvl w:val="12"/>
          <w:numId w:val="0"/>
        </w:numPr>
        <w:rPr>
          <w:iCs/>
        </w:rPr>
      </w:pPr>
      <w:r>
        <w:rPr>
          <w:iCs/>
        </w:rPr>
        <w:t>U pacientov s RA bol distribučný objem centrálneho kompartmentu 3,72 l, distribučný objem periférneho kompartmentu bol 3,35 l, čo malo za následok distribučný objem 7,07 l v rovnovážnom stave.</w:t>
      </w:r>
    </w:p>
    <w:p w14:paraId="15EBD09C" w14:textId="77777777" w:rsidR="009700E5" w:rsidRDefault="009700E5">
      <w:pPr>
        <w:numPr>
          <w:ilvl w:val="12"/>
          <w:numId w:val="0"/>
        </w:numPr>
        <w:ind w:right="-2"/>
        <w:rPr>
          <w:iCs/>
        </w:rPr>
      </w:pPr>
    </w:p>
    <w:p w14:paraId="12AEA6FF" w14:textId="77777777" w:rsidR="009700E5" w:rsidRDefault="002C033C">
      <w:pPr>
        <w:numPr>
          <w:ilvl w:val="12"/>
          <w:numId w:val="0"/>
        </w:numPr>
        <w:rPr>
          <w:i/>
        </w:rPr>
      </w:pPr>
      <w:r>
        <w:rPr>
          <w:i/>
          <w:u w:val="single"/>
        </w:rPr>
        <w:t>Eliminácia</w:t>
      </w:r>
    </w:p>
    <w:p w14:paraId="51495290" w14:textId="77777777" w:rsidR="009700E5" w:rsidRDefault="002C033C">
      <w:pPr>
        <w:numPr>
          <w:ilvl w:val="12"/>
          <w:numId w:val="0"/>
        </w:numPr>
        <w:rPr>
          <w:iCs/>
        </w:rPr>
      </w:pPr>
      <w:r>
        <w:rPr>
          <w:iCs/>
        </w:rPr>
        <w:t xml:space="preserve">Po intravenóznom podaní dávky podlieha </w:t>
      </w:r>
      <w:r>
        <w:t>tocilizumab</w:t>
      </w:r>
      <w:r>
        <w:rPr>
          <w:iCs/>
        </w:rPr>
        <w:t xml:space="preserve"> dvojfázovému vylučovaniu z cirkulácie. Celkový klírens </w:t>
      </w:r>
      <w:r>
        <w:t>tocilizumabu</w:t>
      </w:r>
      <w:r>
        <w:rPr>
          <w:iCs/>
        </w:rPr>
        <w:t xml:space="preserve"> bol závislý od koncentrácie a je súčtom lineárneho a nelineárneho klírensu. Lineárny klírens bol odhadnutý ako parameter v populačnej farmakokinetickej analýze na 9,5 ml/h. Od koncentrácie závislý nelineárny klírens zohráva hlavnú úlohu pri nízkych koncentráciách </w:t>
      </w:r>
      <w:r>
        <w:t>tocilizumabu</w:t>
      </w:r>
      <w:r>
        <w:rPr>
          <w:iCs/>
        </w:rPr>
        <w:t xml:space="preserve">. Keď je cesta nelineárneho klírensu nasýtená, pri vyšších koncentráciách </w:t>
      </w:r>
      <w:r>
        <w:t>tocilizumabu</w:t>
      </w:r>
      <w:r>
        <w:rPr>
          <w:iCs/>
        </w:rPr>
        <w:t xml:space="preserve"> je klírens určovaný hlavne lineárnym klírensom.</w:t>
      </w:r>
    </w:p>
    <w:p w14:paraId="04F1348F" w14:textId="77777777" w:rsidR="009700E5" w:rsidRDefault="009700E5">
      <w:pPr>
        <w:numPr>
          <w:ilvl w:val="12"/>
          <w:numId w:val="0"/>
        </w:numPr>
        <w:rPr>
          <w:iCs/>
        </w:rPr>
      </w:pPr>
    </w:p>
    <w:p w14:paraId="347A080C" w14:textId="77777777" w:rsidR="009700E5" w:rsidRDefault="002C033C">
      <w:pPr>
        <w:numPr>
          <w:ilvl w:val="12"/>
          <w:numId w:val="0"/>
        </w:numPr>
        <w:ind w:right="-2"/>
        <w:rPr>
          <w:iCs/>
        </w:rPr>
      </w:pPr>
      <w:r>
        <w:rPr>
          <w:iCs/>
        </w:rPr>
        <w:t>t</w:t>
      </w:r>
      <w:r>
        <w:rPr>
          <w:iCs/>
          <w:vertAlign w:val="subscript"/>
        </w:rPr>
        <w:t>1/2</w:t>
      </w:r>
      <w:r>
        <w:rPr>
          <w:iCs/>
        </w:rPr>
        <w:t xml:space="preserve"> </w:t>
      </w:r>
      <w:r>
        <w:t>tocilizumabu</w:t>
      </w:r>
      <w:r>
        <w:rPr>
          <w:iCs/>
        </w:rPr>
        <w:t xml:space="preserve"> bol závislý od koncentrácie. V rovnovážnom stave sa po dávke 8 mg/kg podávanej raz za 4 týždne efektívny t</w:t>
      </w:r>
      <w:r>
        <w:rPr>
          <w:iCs/>
          <w:vertAlign w:val="subscript"/>
        </w:rPr>
        <w:t>1/2</w:t>
      </w:r>
      <w:r>
        <w:rPr>
          <w:iCs/>
        </w:rPr>
        <w:t xml:space="preserve"> znižoval so znižujúcimi sa koncentráciami v rámci dávkovacieho intervalu od 18 dní do 6 dní.</w:t>
      </w:r>
    </w:p>
    <w:p w14:paraId="489393BE" w14:textId="77777777" w:rsidR="009700E5" w:rsidRDefault="009700E5">
      <w:pPr>
        <w:outlineLvl w:val="0"/>
      </w:pPr>
    </w:p>
    <w:p w14:paraId="6097C2A1" w14:textId="77777777" w:rsidR="009700E5" w:rsidRDefault="002C033C">
      <w:pPr>
        <w:keepNext/>
        <w:keepLines/>
        <w:outlineLvl w:val="0"/>
        <w:rPr>
          <w:i/>
          <w:iCs/>
          <w:u w:val="single"/>
        </w:rPr>
      </w:pPr>
      <w:r>
        <w:rPr>
          <w:i/>
          <w:iCs/>
          <w:u w:val="single"/>
        </w:rPr>
        <w:t>Linearita</w:t>
      </w:r>
    </w:p>
    <w:p w14:paraId="391275D4" w14:textId="77777777" w:rsidR="009700E5" w:rsidRDefault="002C033C">
      <w:pPr>
        <w:keepNext/>
        <w:keepLines/>
        <w:outlineLvl w:val="0"/>
        <w:rPr>
          <w:iCs/>
        </w:rPr>
      </w:pPr>
      <w:r>
        <w:rPr>
          <w:iCs/>
        </w:rPr>
        <w:t xml:space="preserve">Farmakokinetické parametre </w:t>
      </w:r>
      <w:r>
        <w:t>tocilizumabu</w:t>
      </w:r>
      <w:r>
        <w:rPr>
          <w:iCs/>
        </w:rPr>
        <w:t xml:space="preserve"> sa postupom času nezmenili. Pri dávkach 4 a 8 mg/kg podávaných raz za 4 týždne sa pozorovalo vyššie ako dávke úmerné zvýšenie hodnoty AUC a C</w:t>
      </w:r>
      <w:r>
        <w:rPr>
          <w:iCs/>
          <w:vertAlign w:val="subscript"/>
        </w:rPr>
        <w:t>min</w:t>
      </w:r>
      <w:r>
        <w:rPr>
          <w:iCs/>
        </w:rPr>
        <w:t>. Hodnota C</w:t>
      </w:r>
      <w:r>
        <w:rPr>
          <w:iCs/>
          <w:vertAlign w:val="subscript"/>
        </w:rPr>
        <w:t>max</w:t>
      </w:r>
      <w:r>
        <w:rPr>
          <w:iCs/>
        </w:rPr>
        <w:t xml:space="preserve"> sa zvyšovala úmerne dávke. V rovnovážnom stave bola pri dávke 8 mg/kg predpokladaná hodnota AUC 3,2</w:t>
      </w:r>
      <w:r>
        <w:rPr>
          <w:iCs/>
        </w:rPr>
        <w:noBreakHyphen/>
        <w:t>násobne a hodnota C</w:t>
      </w:r>
      <w:r>
        <w:rPr>
          <w:iCs/>
          <w:vertAlign w:val="subscript"/>
        </w:rPr>
        <w:t>min</w:t>
      </w:r>
      <w:r>
        <w:rPr>
          <w:iCs/>
        </w:rPr>
        <w:t xml:space="preserve"> 30</w:t>
      </w:r>
      <w:r>
        <w:rPr>
          <w:iCs/>
        </w:rPr>
        <w:noBreakHyphen/>
        <w:t>násobne vyššia než pri dávke 4 mg/kg.</w:t>
      </w:r>
    </w:p>
    <w:p w14:paraId="143F099B" w14:textId="77777777" w:rsidR="009700E5" w:rsidRDefault="009700E5">
      <w:pPr>
        <w:outlineLvl w:val="0"/>
      </w:pPr>
    </w:p>
    <w:p w14:paraId="51602CA4" w14:textId="77777777" w:rsidR="009700E5" w:rsidRPr="009700E5" w:rsidRDefault="002C033C">
      <w:pPr>
        <w:keepNext/>
        <w:keepLines/>
        <w:rPr>
          <w:szCs w:val="22"/>
          <w:u w:val="single"/>
          <w:lang w:eastAsia="de-DE"/>
          <w:rPrChange w:id="1697" w:author="Author" w:date="2025-08-22T15:12:00Z">
            <w:rPr>
              <w:i/>
              <w:iCs/>
              <w:szCs w:val="22"/>
              <w:lang w:eastAsia="de-DE"/>
            </w:rPr>
          </w:rPrChange>
        </w:rPr>
      </w:pPr>
      <w:r>
        <w:rPr>
          <w:szCs w:val="22"/>
          <w:u w:val="single"/>
          <w:lang w:eastAsia="de-DE"/>
          <w:rPrChange w:id="1698" w:author="Author" w:date="2025-08-22T15:12:00Z">
            <w:rPr>
              <w:i/>
              <w:iCs/>
              <w:szCs w:val="22"/>
              <w:lang w:eastAsia="de-DE"/>
            </w:rPr>
          </w:rPrChange>
        </w:rPr>
        <w:t>Subkutánne použitie</w:t>
      </w:r>
    </w:p>
    <w:p w14:paraId="719D654B" w14:textId="77777777" w:rsidR="009700E5" w:rsidRDefault="002C033C">
      <w:pPr>
        <w:keepNext/>
        <w:keepLines/>
        <w:rPr>
          <w:ins w:id="1699" w:author="Author" w:date="2025-07-21T10:23:00Z"/>
          <w:i/>
        </w:rPr>
      </w:pPr>
      <w:ins w:id="1700" w:author="Author" w:date="2025-07-19T23:22:00Z">
        <w:r>
          <w:rPr>
            <w:i/>
            <w:rPrChange w:id="1701" w:author="Author" w:date="2025-08-22T15:12:00Z">
              <w:rPr>
                <w:iCs/>
              </w:rPr>
            </w:rPrChange>
          </w:rPr>
          <w:t>Pacienti s</w:t>
        </w:r>
        <w:del w:id="1702" w:author="Author" w:date="2025-07-21T10:23:00Z">
          <w:r>
            <w:rPr>
              <w:i/>
              <w:rPrChange w:id="1703" w:author="Author" w:date="2025-08-22T15:12:00Z">
                <w:rPr>
                  <w:iCs/>
                </w:rPr>
              </w:rPrChange>
            </w:rPr>
            <w:delText> </w:delText>
          </w:r>
        </w:del>
      </w:ins>
      <w:ins w:id="1704" w:author="Author" w:date="2025-07-21T10:23:00Z">
        <w:r>
          <w:rPr>
            <w:i/>
          </w:rPr>
          <w:t> </w:t>
        </w:r>
      </w:ins>
      <w:ins w:id="1705" w:author="Author" w:date="2025-07-19T23:22:00Z">
        <w:r>
          <w:rPr>
            <w:i/>
            <w:rPrChange w:id="1706" w:author="Author" w:date="2025-08-22T15:12:00Z">
              <w:rPr>
                <w:iCs/>
              </w:rPr>
            </w:rPrChange>
          </w:rPr>
          <w:t>RA</w:t>
        </w:r>
      </w:ins>
    </w:p>
    <w:p w14:paraId="3E43E6A8" w14:textId="77777777" w:rsidR="009700E5" w:rsidRPr="009700E5" w:rsidRDefault="009700E5">
      <w:pPr>
        <w:keepNext/>
        <w:keepLines/>
        <w:rPr>
          <w:ins w:id="1707" w:author="Author" w:date="2025-07-19T23:21:00Z"/>
          <w:i/>
          <w:rPrChange w:id="1708" w:author="Author" w:date="2025-08-22T15:12:00Z">
            <w:rPr>
              <w:ins w:id="1709" w:author="Author" w:date="2025-07-19T23:21:00Z"/>
              <w:iCs/>
            </w:rPr>
          </w:rPrChange>
        </w:rPr>
      </w:pPr>
    </w:p>
    <w:p w14:paraId="4DF490F9" w14:textId="77777777" w:rsidR="009700E5" w:rsidRDefault="002C033C">
      <w:pPr>
        <w:keepNext/>
        <w:keepLines/>
        <w:rPr>
          <w:iCs/>
        </w:rPr>
      </w:pPr>
      <w:r>
        <w:rPr>
          <w:iCs/>
        </w:rPr>
        <w:t xml:space="preserve">Farmakokinetika </w:t>
      </w:r>
      <w:r>
        <w:t>tocilizumabu</w:t>
      </w:r>
      <w:r>
        <w:rPr>
          <w:iCs/>
        </w:rPr>
        <w:t xml:space="preserve"> sa stanovila za použitia populačnej farmakokinetickej analýzy údajov z databázy zloženej z 3 552 pacientov s RA liečených dávkou 162 mg podávanou subkutánne každý týždeň, dávkou 162 mg podávanou subkutánne každý druhý týždeň a dávkou 4 alebo 8 mg/kg podávanou intravenózne raz za 4 týždne počas 24 týždňov.</w:t>
      </w:r>
    </w:p>
    <w:p w14:paraId="3A6A8769" w14:textId="77777777" w:rsidR="009700E5" w:rsidRDefault="009700E5">
      <w:pPr>
        <w:rPr>
          <w:iCs/>
        </w:rPr>
      </w:pPr>
    </w:p>
    <w:p w14:paraId="23D990A7" w14:textId="77777777" w:rsidR="009700E5" w:rsidRDefault="002C033C">
      <w:pPr>
        <w:keepNext/>
        <w:keepLines/>
      </w:pPr>
      <w:r>
        <w:rPr>
          <w:iCs/>
        </w:rPr>
        <w:lastRenderedPageBreak/>
        <w:t xml:space="preserve">Farmakokinetické parametre </w:t>
      </w:r>
      <w:r>
        <w:t>tocilizumabu</w:t>
      </w:r>
      <w:r>
        <w:rPr>
          <w:iCs/>
        </w:rPr>
        <w:t xml:space="preserve"> sa postupom času nezmenili. Pri dávke 162 mg podávanej každý týždeň bol predpokladaný priemer </w:t>
      </w:r>
      <w:r>
        <w:t>(± SD) AUC</w:t>
      </w:r>
      <w:r>
        <w:rPr>
          <w:vertAlign w:val="subscript"/>
        </w:rPr>
        <w:t>1. týždeň</w:t>
      </w:r>
      <w:r>
        <w:t xml:space="preserve"> tocilizumabu v rovnovážnom stave 7</w:t>
      </w:r>
      <w:r>
        <w:rPr>
          <w:iCs/>
        </w:rPr>
        <w:t> </w:t>
      </w:r>
      <w:r>
        <w:t>970 ± 3 432 </w:t>
      </w:r>
      <w:r>
        <w:rPr>
          <w:iCs/>
        </w:rPr>
        <w:t>µ</w:t>
      </w:r>
      <w:r>
        <w:t>g</w:t>
      </w:r>
      <w:ins w:id="1710" w:author="Author" w:date="2025-07-21T10:23:00Z">
        <w:r>
          <w:t> </w:t>
        </w:r>
      </w:ins>
      <w:ins w:id="1711" w:author="Author" w:date="2025-07-19T23:22:00Z">
        <w:del w:id="1712" w:author="Author" w:date="2025-07-21T10:23:00Z">
          <w:r>
            <w:delText xml:space="preserve"> </w:delText>
          </w:r>
        </w:del>
        <w:r>
          <w:rPr>
            <w:szCs w:val="22"/>
          </w:rPr>
          <w:t>×</w:t>
        </w:r>
      </w:ins>
      <w:ins w:id="1713" w:author="Author" w:date="2025-07-21T10:23:00Z">
        <w:r>
          <w:t> </w:t>
        </w:r>
      </w:ins>
      <w:ins w:id="1714" w:author="Author" w:date="2025-07-19T23:23:00Z">
        <w:del w:id="1715" w:author="Author" w:date="2025-07-21T10:23:00Z">
          <w:r>
            <w:rPr>
              <w:szCs w:val="22"/>
            </w:rPr>
            <w:delText xml:space="preserve"> </w:delText>
          </w:r>
        </w:del>
      </w:ins>
      <w:del w:id="1716" w:author="Author" w:date="2025-07-19T23:22:00Z">
        <w:r>
          <w:delText>•</w:delText>
        </w:r>
      </w:del>
      <w:r>
        <w:t>h/ml, C</w:t>
      </w:r>
      <w:r>
        <w:rPr>
          <w:vertAlign w:val="subscript"/>
        </w:rPr>
        <w:t>min</w:t>
      </w:r>
      <w:r>
        <w:t xml:space="preserve"> tocilizumabu 43,0 ± 19,8 </w:t>
      </w:r>
      <w:r>
        <w:rPr>
          <w:iCs/>
        </w:rPr>
        <w:t>µ</w:t>
      </w:r>
      <w:r>
        <w:t>g/ml a C</w:t>
      </w:r>
      <w:r>
        <w:rPr>
          <w:vertAlign w:val="subscript"/>
        </w:rPr>
        <w:t xml:space="preserve">max </w:t>
      </w:r>
      <w:r>
        <w:t>tocilizumabu 49,8 ± 21,0 </w:t>
      </w:r>
      <w:r>
        <w:rPr>
          <w:iCs/>
        </w:rPr>
        <w:t>µ</w:t>
      </w:r>
      <w:r>
        <w:t>g/ml. Pomer kumulácie bol pri AUC 6,32, pri C</w:t>
      </w:r>
      <w:r>
        <w:rPr>
          <w:vertAlign w:val="subscript"/>
        </w:rPr>
        <w:t>min</w:t>
      </w:r>
      <w:r>
        <w:t xml:space="preserve"> 6,30 a pri C</w:t>
      </w:r>
      <w:r>
        <w:rPr>
          <w:vertAlign w:val="subscript"/>
        </w:rPr>
        <w:t>max</w:t>
      </w:r>
      <w:r>
        <w:t xml:space="preserve"> 5,27. Rovnovážny stav sa pri AUC, C</w:t>
      </w:r>
      <w:r>
        <w:rPr>
          <w:vertAlign w:val="subscript"/>
        </w:rPr>
        <w:t>min</w:t>
      </w:r>
      <w:r>
        <w:t xml:space="preserve"> a C</w:t>
      </w:r>
      <w:r>
        <w:rPr>
          <w:vertAlign w:val="subscript"/>
        </w:rPr>
        <w:t>max</w:t>
      </w:r>
      <w:r>
        <w:t xml:space="preserve"> dosiahol po 12 týždňoch.</w:t>
      </w:r>
    </w:p>
    <w:p w14:paraId="6C8F1169" w14:textId="77777777" w:rsidR="009700E5" w:rsidRDefault="009700E5">
      <w:pPr>
        <w:rPr>
          <w:iCs/>
        </w:rPr>
      </w:pPr>
    </w:p>
    <w:p w14:paraId="479BD292" w14:textId="77777777" w:rsidR="009700E5" w:rsidRDefault="002C033C">
      <w:r>
        <w:rPr>
          <w:iCs/>
        </w:rPr>
        <w:t xml:space="preserve">Pri dávke 162 mg podávanej každý druhý týždeň bol predpokladaný priemer </w:t>
      </w:r>
      <w:r>
        <w:t>(± SD) AUC</w:t>
      </w:r>
      <w:r>
        <w:rPr>
          <w:vertAlign w:val="subscript"/>
        </w:rPr>
        <w:t>2. týždeň</w:t>
      </w:r>
      <w:r>
        <w:t xml:space="preserve"> tocilizumabu v rovnovážnom stave 3 430 ± 2 660 </w:t>
      </w:r>
      <w:r>
        <w:rPr>
          <w:iCs/>
        </w:rPr>
        <w:t>µ</w:t>
      </w:r>
      <w:r>
        <w:t>g</w:t>
      </w:r>
      <w:ins w:id="1717" w:author="Author" w:date="2025-07-21T10:23:00Z">
        <w:r>
          <w:t> </w:t>
        </w:r>
      </w:ins>
      <w:ins w:id="1718" w:author="Author" w:date="2025-07-19T23:23:00Z">
        <w:del w:id="1719" w:author="Author" w:date="2025-07-21T10:23:00Z">
          <w:r>
            <w:delText xml:space="preserve"> </w:delText>
          </w:r>
        </w:del>
        <w:r>
          <w:rPr>
            <w:szCs w:val="22"/>
          </w:rPr>
          <w:t>×</w:t>
        </w:r>
      </w:ins>
      <w:ins w:id="1720" w:author="Author" w:date="2025-07-21T10:23:00Z">
        <w:r>
          <w:t> </w:t>
        </w:r>
      </w:ins>
      <w:ins w:id="1721" w:author="Author" w:date="2025-07-19T23:23:00Z">
        <w:del w:id="1722" w:author="Author" w:date="2025-07-21T10:23:00Z">
          <w:r>
            <w:rPr>
              <w:szCs w:val="22"/>
            </w:rPr>
            <w:delText xml:space="preserve"> </w:delText>
          </w:r>
        </w:del>
      </w:ins>
      <w:del w:id="1723" w:author="Author" w:date="2025-07-19T23:23:00Z">
        <w:r>
          <w:delText>•</w:delText>
        </w:r>
      </w:del>
      <w:r>
        <w:t>h/ml, C</w:t>
      </w:r>
      <w:r>
        <w:rPr>
          <w:vertAlign w:val="subscript"/>
        </w:rPr>
        <w:t>min</w:t>
      </w:r>
      <w:r>
        <w:t xml:space="preserve"> tocilizumabu 5,7 ± 6,8 </w:t>
      </w:r>
      <w:r>
        <w:rPr>
          <w:iCs/>
        </w:rPr>
        <w:t>µ</w:t>
      </w:r>
      <w:r>
        <w:t>g/ml a C</w:t>
      </w:r>
      <w:r>
        <w:rPr>
          <w:vertAlign w:val="subscript"/>
        </w:rPr>
        <w:t>max</w:t>
      </w:r>
      <w:r>
        <w:t> tocilizumabu 13,2 ± 8,8 </w:t>
      </w:r>
      <w:r>
        <w:rPr>
          <w:iCs/>
        </w:rPr>
        <w:t>µ</w:t>
      </w:r>
      <w:r>
        <w:t>g/ml. Pomer kumulácie bol pri AUC 2,67, pri C</w:t>
      </w:r>
      <w:r>
        <w:rPr>
          <w:vertAlign w:val="subscript"/>
        </w:rPr>
        <w:t>min</w:t>
      </w:r>
      <w:r>
        <w:t xml:space="preserve"> 6,02 a pri C</w:t>
      </w:r>
      <w:r>
        <w:rPr>
          <w:vertAlign w:val="subscript"/>
        </w:rPr>
        <w:t>max</w:t>
      </w:r>
      <w:r>
        <w:t xml:space="preserve"> 2,12. Rovnovážny stav sa pri AUC a C</w:t>
      </w:r>
      <w:r>
        <w:rPr>
          <w:vertAlign w:val="subscript"/>
        </w:rPr>
        <w:t>min</w:t>
      </w:r>
      <w:r>
        <w:t xml:space="preserve"> dosiahol po 12 týždňoch a pri C</w:t>
      </w:r>
      <w:r>
        <w:rPr>
          <w:vertAlign w:val="subscript"/>
        </w:rPr>
        <w:t>max</w:t>
      </w:r>
      <w:r>
        <w:t xml:space="preserve"> po 10 týždňoch.</w:t>
      </w:r>
    </w:p>
    <w:p w14:paraId="3FE9F465" w14:textId="77777777" w:rsidR="009700E5" w:rsidRDefault="009700E5"/>
    <w:p w14:paraId="0D5199DD" w14:textId="77777777" w:rsidR="009700E5" w:rsidRDefault="002C033C">
      <w:pPr>
        <w:rPr>
          <w:i/>
          <w:iCs/>
          <w:szCs w:val="22"/>
          <w:u w:val="single"/>
          <w:lang w:eastAsia="de-DE"/>
        </w:rPr>
      </w:pPr>
      <w:r>
        <w:rPr>
          <w:i/>
          <w:iCs/>
          <w:szCs w:val="22"/>
          <w:u w:val="single"/>
          <w:lang w:eastAsia="de-DE"/>
        </w:rPr>
        <w:t>Absorpcia</w:t>
      </w:r>
    </w:p>
    <w:p w14:paraId="0E887E97" w14:textId="77777777" w:rsidR="009700E5" w:rsidRDefault="002C033C">
      <w:pPr>
        <w:rPr>
          <w:szCs w:val="22"/>
          <w:lang w:eastAsia="de-DE"/>
        </w:rPr>
      </w:pPr>
      <w:r>
        <w:rPr>
          <w:szCs w:val="22"/>
          <w:lang w:eastAsia="de-DE"/>
        </w:rPr>
        <w:t xml:space="preserve">Po subkutánnom podávaní pacientom s RA bol čas do dosiahnutia maximálnej sérovej koncentrácie </w:t>
      </w:r>
      <w:r>
        <w:t>tocilizumabu</w:t>
      </w:r>
      <w:r>
        <w:rPr>
          <w:szCs w:val="22"/>
          <w:lang w:eastAsia="de-DE"/>
        </w:rPr>
        <w:t xml:space="preserve"> (</w:t>
      </w:r>
      <w:r>
        <w:rPr>
          <w:iCs/>
          <w:szCs w:val="22"/>
          <w:lang w:eastAsia="de-DE"/>
        </w:rPr>
        <w:t>t</w:t>
      </w:r>
      <w:r>
        <w:rPr>
          <w:iCs/>
          <w:szCs w:val="22"/>
          <w:vertAlign w:val="subscript"/>
          <w:lang w:eastAsia="de-DE"/>
        </w:rPr>
        <w:t>max</w:t>
      </w:r>
      <w:r>
        <w:rPr>
          <w:iCs/>
          <w:szCs w:val="22"/>
          <w:lang w:eastAsia="de-DE"/>
        </w:rPr>
        <w:t>)</w:t>
      </w:r>
      <w:r>
        <w:rPr>
          <w:szCs w:val="22"/>
          <w:lang w:eastAsia="de-DE"/>
        </w:rPr>
        <w:t xml:space="preserve"> 2,8 dňa. Biologická dostupnosť subkutánnej formy bola 79 %.</w:t>
      </w:r>
    </w:p>
    <w:p w14:paraId="256D2F63" w14:textId="77777777" w:rsidR="009700E5" w:rsidRDefault="009700E5">
      <w:pPr>
        <w:rPr>
          <w:szCs w:val="22"/>
          <w:lang w:eastAsia="de-DE"/>
        </w:rPr>
      </w:pPr>
    </w:p>
    <w:p w14:paraId="68BFBC35" w14:textId="77777777" w:rsidR="009700E5" w:rsidRDefault="002C033C">
      <w:pPr>
        <w:rPr>
          <w:i/>
          <w:iCs/>
          <w:szCs w:val="22"/>
          <w:u w:val="single"/>
          <w:lang w:eastAsia="de-DE"/>
        </w:rPr>
      </w:pPr>
      <w:r>
        <w:rPr>
          <w:i/>
          <w:iCs/>
          <w:szCs w:val="22"/>
          <w:u w:val="single"/>
          <w:lang w:eastAsia="de-DE"/>
        </w:rPr>
        <w:t>Eliminácia</w:t>
      </w:r>
    </w:p>
    <w:p w14:paraId="1EA435E4" w14:textId="77777777" w:rsidR="009700E5" w:rsidRDefault="002C033C">
      <w:r>
        <w:rPr>
          <w:szCs w:val="22"/>
          <w:lang w:eastAsia="de-DE"/>
        </w:rPr>
        <w:t xml:space="preserve">Pri subkutánnom podávaní u pacientov s RA je </w:t>
      </w:r>
      <w:del w:id="1724" w:author="Author" w:date="2025-07-19T23:25:00Z">
        <w:r>
          <w:rPr>
            <w:szCs w:val="22"/>
            <w:lang w:eastAsia="de-DE"/>
          </w:rPr>
          <w:delText xml:space="preserve">efektívny </w:delText>
        </w:r>
      </w:del>
      <w:ins w:id="1725" w:author="Author" w:date="2026-02-19T08:37:00Z">
        <w:r>
          <w:rPr>
            <w:szCs w:val="22"/>
            <w:lang w:eastAsia="de-DE"/>
          </w:rPr>
          <w:t>zdanlivý</w:t>
        </w:r>
      </w:ins>
      <w:ins w:id="1726" w:author="Author" w:date="2025-08-19T13:10:00Z">
        <w:r>
          <w:rPr>
            <w:szCs w:val="22"/>
            <w:lang w:eastAsia="de-DE"/>
          </w:rPr>
          <w:t xml:space="preserve">, </w:t>
        </w:r>
      </w:ins>
      <w:ins w:id="1727" w:author="Author" w:date="2025-07-21T10:24:00Z">
        <w:r>
          <w:rPr>
            <w:szCs w:val="22"/>
            <w:lang w:eastAsia="de-DE"/>
          </w:rPr>
          <w:t>od</w:t>
        </w:r>
      </w:ins>
      <w:ins w:id="1728" w:author="Author" w:date="2025-07-19T23:25:00Z">
        <w:del w:id="1729" w:author="Author" w:date="2025-07-21T10:24:00Z">
          <w:r>
            <w:rPr>
              <w:szCs w:val="22"/>
              <w:lang w:eastAsia="de-DE"/>
            </w:rPr>
            <w:delText>na</w:delText>
          </w:r>
        </w:del>
        <w:r>
          <w:rPr>
            <w:szCs w:val="22"/>
            <w:lang w:eastAsia="de-DE"/>
          </w:rPr>
          <w:t xml:space="preserve"> koncentráci</w:t>
        </w:r>
      </w:ins>
      <w:ins w:id="1730" w:author="Author" w:date="2025-07-21T10:24:00Z">
        <w:r>
          <w:rPr>
            <w:szCs w:val="22"/>
            <w:lang w:eastAsia="de-DE"/>
          </w:rPr>
          <w:t>e</w:t>
        </w:r>
      </w:ins>
      <w:ins w:id="1731" w:author="Author" w:date="2025-07-19T23:25:00Z">
        <w:del w:id="1732" w:author="Author" w:date="2025-07-21T10:24:00Z">
          <w:r>
            <w:rPr>
              <w:szCs w:val="22"/>
              <w:lang w:eastAsia="de-DE"/>
            </w:rPr>
            <w:delText>i</w:delText>
          </w:r>
        </w:del>
        <w:r>
          <w:rPr>
            <w:szCs w:val="22"/>
            <w:lang w:eastAsia="de-DE"/>
          </w:rPr>
          <w:t xml:space="preserve"> závislý </w:t>
        </w:r>
      </w:ins>
      <w:r>
        <w:t>t</w:t>
      </w:r>
      <w:r>
        <w:rPr>
          <w:vertAlign w:val="subscript"/>
        </w:rPr>
        <w:t>1/2</w:t>
      </w:r>
      <w:r>
        <w:t xml:space="preserve"> po dosiahnutí rovnovážneho stavu</w:t>
      </w:r>
      <w:r>
        <w:rPr>
          <w:szCs w:val="22"/>
          <w:lang w:eastAsia="de-DE"/>
        </w:rPr>
        <w:t xml:space="preserve"> </w:t>
      </w:r>
      <w:r>
        <w:t xml:space="preserve">až 13 dní </w:t>
      </w:r>
      <w:r>
        <w:rPr>
          <w:szCs w:val="22"/>
          <w:lang w:eastAsia="de-DE"/>
        </w:rPr>
        <w:t>pri dávke 162 mg podávanej každý týždeň</w:t>
      </w:r>
      <w:r>
        <w:t xml:space="preserve"> </w:t>
      </w:r>
      <w:r>
        <w:rPr>
          <w:szCs w:val="22"/>
          <w:lang w:eastAsia="de-DE"/>
        </w:rPr>
        <w:t>a 5 dní pri dávke 162 mg podávanej každý druhý týždeň.</w:t>
      </w:r>
    </w:p>
    <w:p w14:paraId="1CB4303D" w14:textId="77777777" w:rsidR="009700E5" w:rsidRDefault="009700E5">
      <w:pPr>
        <w:rPr>
          <w:szCs w:val="22"/>
          <w:lang w:eastAsia="de-DE"/>
        </w:rPr>
      </w:pPr>
      <w:bookmarkStart w:id="1733" w:name="_Hlk523990511"/>
    </w:p>
    <w:p w14:paraId="47AB67C8" w14:textId="77777777" w:rsidR="009700E5" w:rsidRPr="009700E5" w:rsidRDefault="002C033C">
      <w:pPr>
        <w:keepNext/>
        <w:keepLines/>
        <w:numPr>
          <w:ilvl w:val="12"/>
          <w:numId w:val="0"/>
        </w:numPr>
        <w:rPr>
          <w:moveTo w:id="1734" w:author="Author" w:date="2025-07-19T23:23:00Z"/>
          <w:iCs/>
          <w:szCs w:val="22"/>
          <w:u w:val="single"/>
          <w:rPrChange w:id="1735" w:author="Author" w:date="2025-08-22T15:12:00Z">
            <w:rPr>
              <w:moveTo w:id="1736" w:author="Author" w:date="2025-07-19T23:23:00Z"/>
              <w:i/>
              <w:szCs w:val="22"/>
            </w:rPr>
          </w:rPrChange>
        </w:rPr>
      </w:pPr>
      <w:moveToRangeStart w:id="1737" w:author="Author" w:date="2025-07-19T23:23:00Z" w:name="move203859811"/>
      <w:moveTo w:id="1738" w:author="Author" w:date="2025-07-19T23:23:00Z">
        <w:r>
          <w:rPr>
            <w:iCs/>
            <w:szCs w:val="22"/>
            <w:u w:val="single"/>
            <w:rPrChange w:id="1739" w:author="Author" w:date="2025-08-22T15:12:00Z">
              <w:rPr>
                <w:i/>
                <w:szCs w:val="22"/>
              </w:rPr>
            </w:rPrChange>
          </w:rPr>
          <w:t>Subkutánne použitie</w:t>
        </w:r>
      </w:moveTo>
    </w:p>
    <w:moveToRangeEnd w:id="1737"/>
    <w:p w14:paraId="15B93269" w14:textId="77777777" w:rsidR="009700E5" w:rsidRDefault="002C033C">
      <w:pPr>
        <w:keepNext/>
        <w:keepLines/>
        <w:numPr>
          <w:ilvl w:val="12"/>
          <w:numId w:val="0"/>
        </w:numPr>
        <w:rPr>
          <w:ins w:id="1740" w:author="Author" w:date="2025-07-19T23:26:00Z"/>
          <w:i/>
          <w:szCs w:val="22"/>
        </w:rPr>
      </w:pPr>
      <w:r>
        <w:rPr>
          <w:i/>
          <w:szCs w:val="22"/>
          <w:rPrChange w:id="1741" w:author="Author" w:date="2025-08-22T15:12:00Z">
            <w:rPr>
              <w:iCs/>
              <w:szCs w:val="22"/>
              <w:u w:val="single"/>
            </w:rPr>
          </w:rPrChange>
        </w:rPr>
        <w:t>Pacienti so sJIA</w:t>
      </w:r>
    </w:p>
    <w:p w14:paraId="7CCF95F2" w14:textId="77777777" w:rsidR="009700E5" w:rsidRPr="009700E5" w:rsidRDefault="009700E5">
      <w:pPr>
        <w:keepNext/>
        <w:keepLines/>
        <w:numPr>
          <w:ilvl w:val="12"/>
          <w:numId w:val="0"/>
        </w:numPr>
        <w:rPr>
          <w:i/>
          <w:szCs w:val="22"/>
          <w:rPrChange w:id="1742" w:author="Author" w:date="2025-08-22T15:12:00Z">
            <w:rPr>
              <w:iCs/>
              <w:szCs w:val="22"/>
              <w:u w:val="single"/>
            </w:rPr>
          </w:rPrChange>
        </w:rPr>
      </w:pPr>
    </w:p>
    <w:p w14:paraId="42B860C5" w14:textId="77777777" w:rsidR="009700E5" w:rsidRDefault="002C033C">
      <w:pPr>
        <w:keepNext/>
        <w:keepLines/>
        <w:numPr>
          <w:ilvl w:val="12"/>
          <w:numId w:val="0"/>
        </w:numPr>
        <w:rPr>
          <w:moveFrom w:id="1743" w:author="Author" w:date="2025-07-19T23:23:00Z"/>
          <w:i/>
          <w:szCs w:val="22"/>
        </w:rPr>
      </w:pPr>
      <w:moveFromRangeStart w:id="1744" w:author="Author" w:date="2025-07-19T23:23:00Z" w:name="move203859811"/>
      <w:moveFrom w:id="1745" w:author="Author" w:date="2025-07-19T23:23:00Z">
        <w:r>
          <w:rPr>
            <w:i/>
            <w:szCs w:val="22"/>
          </w:rPr>
          <w:t>Subkutánne použitie</w:t>
        </w:r>
      </w:moveFrom>
    </w:p>
    <w:moveFromRangeEnd w:id="1744"/>
    <w:p w14:paraId="36654926" w14:textId="77777777" w:rsidR="009700E5" w:rsidRDefault="002C033C">
      <w:pPr>
        <w:keepNext/>
        <w:keepLines/>
        <w:numPr>
          <w:ilvl w:val="12"/>
          <w:numId w:val="0"/>
        </w:numPr>
        <w:rPr>
          <w:iCs/>
        </w:rPr>
      </w:pPr>
      <w:r>
        <w:rPr>
          <w:iCs/>
        </w:rPr>
        <w:t xml:space="preserve">Farmakokinetika </w:t>
      </w:r>
      <w:r>
        <w:t>tocilizumabu</w:t>
      </w:r>
      <w:r>
        <w:rPr>
          <w:iCs/>
        </w:rPr>
        <w:t xml:space="preserve"> u pacientov so sJIA bola charakterizovaná pomocou populačnej farmakokinetickej analýzy zahŕňajúcej 140 pacientov, ktorí boli liečení dávkou 8 mg/kg intravenózne raz za 2 týždne (Q2W) (pacienti s telesnou hmotnosťou ≥ 30 kg), 12 mg/kg intravenózne raz za 2 týždne (pacienti s telesnou hmotnosťou nižšou ako 30 kg), 162 mg subkutánne raz za týždeň (pacienti s telesnou hmotnosťou ≥ 30 kg), 162 mg subkutánne každých 10 dní alebo raz za 2 týždne (pacienti s telesnou hmotnosťou nižšou ako 30 kg).</w:t>
      </w:r>
    </w:p>
    <w:p w14:paraId="66B3F9A4" w14:textId="77777777" w:rsidR="009700E5" w:rsidRDefault="009700E5">
      <w:pPr>
        <w:numPr>
          <w:ilvl w:val="12"/>
          <w:numId w:val="0"/>
        </w:numPr>
        <w:rPr>
          <w:iCs/>
        </w:rPr>
      </w:pPr>
    </w:p>
    <w:p w14:paraId="217CE352" w14:textId="77777777" w:rsidR="009700E5" w:rsidRDefault="002C033C">
      <w:r>
        <w:rPr>
          <w:iCs/>
          <w:szCs w:val="22"/>
        </w:rPr>
        <w:t xml:space="preserve">K dispozícii sú obmedzené údaje týkajúce sa expozícií po subkutánnom podávaní </w:t>
      </w:r>
      <w:r>
        <w:t>tocilizumabu</w:t>
      </w:r>
      <w:r>
        <w:rPr>
          <w:iCs/>
          <w:szCs w:val="22"/>
        </w:rPr>
        <w:t xml:space="preserve"> u pacientov so sJIA mladších ako 2 roky, ktorí mali telesnú hmotnosť nižšiu ako 10 kg.</w:t>
      </w:r>
    </w:p>
    <w:p w14:paraId="4F2972FE" w14:textId="77777777" w:rsidR="009700E5" w:rsidRDefault="002C033C">
      <w:pPr>
        <w:rPr>
          <w:iCs/>
          <w:szCs w:val="22"/>
        </w:rPr>
      </w:pPr>
      <w:r>
        <w:t xml:space="preserve">Pri podávaní tocilizumabu subkutánne musia mať pacienti </w:t>
      </w:r>
      <w:r>
        <w:rPr>
          <w:iCs/>
          <w:szCs w:val="22"/>
        </w:rPr>
        <w:t>so sJIA</w:t>
      </w:r>
      <w:r>
        <w:t xml:space="preserve"> minimálnu telesnú hmotnosť 10 kg </w:t>
      </w:r>
      <w:r>
        <w:rPr>
          <w:iCs/>
          <w:szCs w:val="22"/>
        </w:rPr>
        <w:t>(pozri časť 4.2).</w:t>
      </w:r>
    </w:p>
    <w:p w14:paraId="042D4894" w14:textId="77777777" w:rsidR="009700E5" w:rsidRDefault="009700E5">
      <w:pPr>
        <w:numPr>
          <w:ilvl w:val="12"/>
          <w:numId w:val="0"/>
        </w:numPr>
        <w:ind w:right="-2"/>
        <w:rPr>
          <w:iCs/>
        </w:rPr>
      </w:pPr>
    </w:p>
    <w:p w14:paraId="5846021F" w14:textId="77777777" w:rsidR="009700E5" w:rsidRDefault="002C033C">
      <w:pPr>
        <w:keepNext/>
        <w:keepLines/>
        <w:numPr>
          <w:ilvl w:val="12"/>
          <w:numId w:val="0"/>
        </w:numPr>
        <w:ind w:right="-2"/>
        <w:rPr>
          <w:bCs/>
          <w:i/>
          <w:szCs w:val="22"/>
        </w:rPr>
      </w:pPr>
      <w:r>
        <w:rPr>
          <w:bCs/>
          <w:i/>
          <w:szCs w:val="22"/>
        </w:rPr>
        <w:t>Tabuľka 8. Predpokladaný priemer ± SD FK parametrov v rovnovážnom stave po subkutánnom podávaní u pacientov so sJIA</w:t>
      </w:r>
    </w:p>
    <w:p w14:paraId="10CC4D7C" w14:textId="77777777" w:rsidR="009700E5" w:rsidRDefault="009700E5">
      <w:pPr>
        <w:keepNext/>
        <w:keepLines/>
        <w:numPr>
          <w:ilvl w:val="12"/>
          <w:numId w:val="0"/>
        </w:numPr>
        <w:ind w:right="-2"/>
        <w:rPr>
          <w:bCs/>
          <w:i/>
          <w:szCs w:val="22"/>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9700E5" w14:paraId="66B7F42E" w14:textId="77777777">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08C548F2" w14:textId="77777777" w:rsidR="009700E5" w:rsidRDefault="002C033C">
            <w:pPr>
              <w:pStyle w:val="TextTi9"/>
              <w:keepNext/>
              <w:spacing w:after="120"/>
              <w:rPr>
                <w:rFonts w:ascii="Times New Roman" w:hAnsi="Times New Roman"/>
                <w:sz w:val="20"/>
                <w:szCs w:val="20"/>
              </w:rPr>
            </w:pPr>
            <w:r>
              <w:rPr>
                <w:rFonts w:ascii="Times New Roman" w:hAnsi="Times New Roman"/>
                <w:b/>
                <w:sz w:val="20"/>
                <w:szCs w:val="20"/>
              </w:rPr>
              <w:t>FK parameter tocilizumabu</w:t>
            </w:r>
          </w:p>
        </w:tc>
        <w:tc>
          <w:tcPr>
            <w:tcW w:w="2977" w:type="dxa"/>
            <w:tcBorders>
              <w:top w:val="single" w:sz="4" w:space="0" w:color="auto"/>
              <w:left w:val="single" w:sz="4" w:space="0" w:color="auto"/>
              <w:bottom w:val="single" w:sz="4" w:space="0" w:color="auto"/>
              <w:right w:val="single" w:sz="4" w:space="0" w:color="auto"/>
            </w:tcBorders>
            <w:hideMark/>
          </w:tcPr>
          <w:p w14:paraId="138C168D" w14:textId="77777777" w:rsidR="009700E5" w:rsidRDefault="002C033C">
            <w:pPr>
              <w:pStyle w:val="TextTi9"/>
              <w:keepNext/>
              <w:spacing w:after="120"/>
              <w:jc w:val="center"/>
              <w:rPr>
                <w:rFonts w:ascii="Times New Roman" w:hAnsi="Times New Roman"/>
                <w:b/>
                <w:sz w:val="20"/>
                <w:szCs w:val="20"/>
              </w:rPr>
            </w:pPr>
            <w:r>
              <w:rPr>
                <w:rFonts w:ascii="Times New Roman" w:hAnsi="Times New Roman"/>
                <w:b/>
                <w:sz w:val="20"/>
                <w:szCs w:val="20"/>
              </w:rPr>
              <w:t>162 mg QW</w:t>
            </w:r>
          </w:p>
          <w:p w14:paraId="0049E044" w14:textId="77777777" w:rsidR="009700E5" w:rsidRDefault="002C033C">
            <w:pPr>
              <w:pStyle w:val="TextTi9"/>
              <w:keepNext/>
              <w:spacing w:after="120"/>
              <w:jc w:val="center"/>
              <w:rPr>
                <w:rFonts w:ascii="Times New Roman" w:hAnsi="Times New Roman"/>
                <w:b/>
                <w:sz w:val="20"/>
                <w:szCs w:val="20"/>
              </w:rPr>
            </w:pPr>
            <w:r>
              <w:rPr>
                <w:rFonts w:ascii="Times New Roman" w:hAnsi="Times New Roman"/>
                <w:b/>
                <w:sz w:val="20"/>
                <w:szCs w:val="20"/>
              </w:rPr>
              <w:t>≥ 30 kg</w:t>
            </w:r>
          </w:p>
        </w:tc>
        <w:tc>
          <w:tcPr>
            <w:tcW w:w="2977" w:type="dxa"/>
            <w:tcBorders>
              <w:top w:val="single" w:sz="4" w:space="0" w:color="auto"/>
              <w:left w:val="single" w:sz="4" w:space="0" w:color="auto"/>
              <w:bottom w:val="single" w:sz="4" w:space="0" w:color="auto"/>
              <w:right w:val="single" w:sz="4" w:space="0" w:color="auto"/>
            </w:tcBorders>
            <w:hideMark/>
          </w:tcPr>
          <w:p w14:paraId="2D2D374B" w14:textId="77777777" w:rsidR="009700E5" w:rsidRDefault="002C033C">
            <w:pPr>
              <w:pStyle w:val="TextTi9"/>
              <w:keepNext/>
              <w:spacing w:after="120"/>
              <w:jc w:val="center"/>
              <w:rPr>
                <w:rFonts w:ascii="Times New Roman" w:hAnsi="Times New Roman"/>
                <w:b/>
                <w:sz w:val="20"/>
                <w:szCs w:val="20"/>
              </w:rPr>
            </w:pPr>
            <w:r>
              <w:rPr>
                <w:rFonts w:ascii="Times New Roman" w:hAnsi="Times New Roman"/>
                <w:b/>
                <w:sz w:val="20"/>
                <w:szCs w:val="20"/>
              </w:rPr>
              <w:t>162 mg Q2W</w:t>
            </w:r>
          </w:p>
          <w:p w14:paraId="3AAF00A1" w14:textId="77777777" w:rsidR="009700E5" w:rsidRDefault="002C033C">
            <w:pPr>
              <w:pStyle w:val="TextTi9"/>
              <w:keepNext/>
              <w:spacing w:after="120"/>
              <w:jc w:val="center"/>
              <w:rPr>
                <w:rFonts w:ascii="Times New Roman" w:hAnsi="Times New Roman"/>
                <w:b/>
                <w:sz w:val="20"/>
                <w:szCs w:val="20"/>
              </w:rPr>
            </w:pPr>
            <w:r>
              <w:rPr>
                <w:rFonts w:ascii="Times New Roman" w:hAnsi="Times New Roman"/>
                <w:b/>
                <w:sz w:val="20"/>
                <w:szCs w:val="20"/>
              </w:rPr>
              <w:t>menej ako 30 kg</w:t>
            </w:r>
          </w:p>
        </w:tc>
      </w:tr>
      <w:tr w:rsidR="009700E5" w14:paraId="373A7D05" w14:textId="77777777">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3A1F84CB" w14:textId="77777777" w:rsidR="009700E5" w:rsidRDefault="002C033C">
            <w:pPr>
              <w:pStyle w:val="TextTi9"/>
              <w:keepNext/>
              <w:spacing w:after="120"/>
              <w:rPr>
                <w:rFonts w:ascii="Times New Roman" w:hAnsi="Times New Roman"/>
                <w:sz w:val="20"/>
                <w:szCs w:val="20"/>
              </w:rPr>
            </w:pPr>
            <w:r>
              <w:rPr>
                <w:rFonts w:ascii="Times New Roman" w:hAnsi="Times New Roman"/>
                <w:sz w:val="20"/>
                <w:szCs w:val="20"/>
              </w:rPr>
              <w:t>C</w:t>
            </w:r>
            <w:r>
              <w:rPr>
                <w:rFonts w:ascii="Times New Roman" w:hAnsi="Times New Roman"/>
                <w:sz w:val="20"/>
                <w:szCs w:val="20"/>
                <w:vertAlign w:val="subscript"/>
              </w:rPr>
              <w:t>max</w:t>
            </w:r>
            <w:r>
              <w:rPr>
                <w:rFonts w:ascii="Times New Roman" w:hAnsi="Times New Roman"/>
                <w:sz w:val="20"/>
                <w:szCs w:val="20"/>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663631CA" w14:textId="77777777" w:rsidR="009700E5" w:rsidRDefault="002C033C">
            <w:pPr>
              <w:pStyle w:val="TextTi9"/>
              <w:keepNext/>
              <w:spacing w:after="120"/>
              <w:jc w:val="center"/>
              <w:rPr>
                <w:rFonts w:ascii="Times New Roman" w:hAnsi="Times New Roman"/>
                <w:sz w:val="20"/>
                <w:szCs w:val="20"/>
              </w:rPr>
            </w:pPr>
            <w:r>
              <w:rPr>
                <w:rFonts w:ascii="Times New Roman" w:hAnsi="Times New Roman"/>
                <w:sz w:val="20"/>
                <w:szCs w:val="20"/>
              </w:rPr>
              <w:t>99,8 ± 46,2</w:t>
            </w:r>
          </w:p>
        </w:tc>
        <w:tc>
          <w:tcPr>
            <w:tcW w:w="2977" w:type="dxa"/>
            <w:tcBorders>
              <w:top w:val="single" w:sz="4" w:space="0" w:color="auto"/>
              <w:left w:val="single" w:sz="4" w:space="0" w:color="auto"/>
              <w:bottom w:val="single" w:sz="4" w:space="0" w:color="auto"/>
              <w:right w:val="single" w:sz="4" w:space="0" w:color="auto"/>
            </w:tcBorders>
            <w:hideMark/>
          </w:tcPr>
          <w:p w14:paraId="48210E9D" w14:textId="77777777" w:rsidR="009700E5" w:rsidRDefault="002C033C">
            <w:pPr>
              <w:pStyle w:val="TextTi9"/>
              <w:keepNext/>
              <w:spacing w:after="120"/>
              <w:jc w:val="center"/>
              <w:rPr>
                <w:rFonts w:ascii="Times New Roman" w:hAnsi="Times New Roman"/>
                <w:sz w:val="20"/>
                <w:szCs w:val="20"/>
              </w:rPr>
            </w:pPr>
            <w:r>
              <w:rPr>
                <w:rFonts w:ascii="Times New Roman" w:hAnsi="Times New Roman"/>
                <w:sz w:val="20"/>
                <w:szCs w:val="20"/>
              </w:rPr>
              <w:t>134 ± 58,6</w:t>
            </w:r>
          </w:p>
        </w:tc>
      </w:tr>
      <w:tr w:rsidR="009700E5" w14:paraId="286877D5" w14:textId="77777777">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59DAF671" w14:textId="77777777" w:rsidR="009700E5" w:rsidRDefault="002C033C">
            <w:pPr>
              <w:pStyle w:val="TextTi9"/>
              <w:keepNext/>
              <w:spacing w:after="120"/>
              <w:rPr>
                <w:rFonts w:ascii="Times New Roman" w:hAnsi="Times New Roman"/>
                <w:sz w:val="20"/>
                <w:szCs w:val="20"/>
              </w:rPr>
            </w:pPr>
            <w:r>
              <w:rPr>
                <w:rFonts w:ascii="Times New Roman" w:hAnsi="Times New Roman"/>
                <w:sz w:val="20"/>
                <w:szCs w:val="20"/>
              </w:rPr>
              <w:t>C</w:t>
            </w:r>
            <w:r>
              <w:rPr>
                <w:rFonts w:ascii="Times New Roman" w:hAnsi="Times New Roman"/>
                <w:sz w:val="20"/>
                <w:szCs w:val="20"/>
                <w:vertAlign w:val="subscript"/>
              </w:rPr>
              <w:t>min</w:t>
            </w:r>
            <w:r>
              <w:rPr>
                <w:rFonts w:ascii="Times New Roman" w:hAnsi="Times New Roman"/>
                <w:sz w:val="20"/>
                <w:szCs w:val="20"/>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402D2DC9" w14:textId="77777777" w:rsidR="009700E5" w:rsidRDefault="002C033C">
            <w:pPr>
              <w:pStyle w:val="TextTi9"/>
              <w:keepNext/>
              <w:spacing w:after="120"/>
              <w:jc w:val="center"/>
              <w:rPr>
                <w:rFonts w:ascii="Times New Roman" w:hAnsi="Times New Roman"/>
                <w:sz w:val="20"/>
                <w:szCs w:val="20"/>
              </w:rPr>
            </w:pPr>
            <w:r>
              <w:rPr>
                <w:rFonts w:ascii="Times New Roman" w:hAnsi="Times New Roman"/>
                <w:sz w:val="20"/>
                <w:szCs w:val="20"/>
              </w:rPr>
              <w:t>79,2 ± 35,6</w:t>
            </w:r>
          </w:p>
        </w:tc>
        <w:tc>
          <w:tcPr>
            <w:tcW w:w="2977" w:type="dxa"/>
            <w:tcBorders>
              <w:top w:val="single" w:sz="4" w:space="0" w:color="auto"/>
              <w:left w:val="single" w:sz="4" w:space="0" w:color="auto"/>
              <w:bottom w:val="single" w:sz="4" w:space="0" w:color="auto"/>
              <w:right w:val="single" w:sz="4" w:space="0" w:color="auto"/>
            </w:tcBorders>
            <w:hideMark/>
          </w:tcPr>
          <w:p w14:paraId="20423E9B" w14:textId="77777777" w:rsidR="009700E5" w:rsidRDefault="002C033C">
            <w:pPr>
              <w:pStyle w:val="TextTi9"/>
              <w:keepNext/>
              <w:spacing w:after="120"/>
              <w:jc w:val="center"/>
              <w:rPr>
                <w:rFonts w:ascii="Times New Roman" w:hAnsi="Times New Roman"/>
                <w:sz w:val="20"/>
                <w:szCs w:val="20"/>
              </w:rPr>
            </w:pPr>
            <w:r>
              <w:rPr>
                <w:rFonts w:ascii="Times New Roman" w:hAnsi="Times New Roman"/>
                <w:sz w:val="20"/>
                <w:szCs w:val="20"/>
              </w:rPr>
              <w:t>65,9 ± 31,3</w:t>
            </w:r>
          </w:p>
        </w:tc>
      </w:tr>
      <w:tr w:rsidR="009700E5" w14:paraId="3FBE22B9" w14:textId="77777777">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4AC9F0B5" w14:textId="77777777" w:rsidR="009700E5" w:rsidRDefault="002C033C">
            <w:pPr>
              <w:pStyle w:val="TextTi9"/>
              <w:keepNext/>
              <w:spacing w:after="120"/>
              <w:rPr>
                <w:rFonts w:ascii="Times New Roman" w:hAnsi="Times New Roman"/>
                <w:sz w:val="20"/>
                <w:szCs w:val="20"/>
              </w:rPr>
            </w:pPr>
            <w:r>
              <w:rPr>
                <w:rFonts w:ascii="Times New Roman" w:hAnsi="Times New Roman"/>
                <w:sz w:val="20"/>
                <w:szCs w:val="20"/>
              </w:rPr>
              <w:t>C</w:t>
            </w:r>
            <w:r>
              <w:rPr>
                <w:rFonts w:ascii="Times New Roman" w:hAnsi="Times New Roman"/>
                <w:sz w:val="20"/>
                <w:szCs w:val="20"/>
                <w:vertAlign w:val="subscript"/>
              </w:rPr>
              <w:t>mean</w:t>
            </w:r>
            <w:r>
              <w:rPr>
                <w:rFonts w:ascii="Times New Roman" w:hAnsi="Times New Roman"/>
                <w:sz w:val="20"/>
                <w:szCs w:val="20"/>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402430C9" w14:textId="77777777" w:rsidR="009700E5" w:rsidRDefault="002C033C">
            <w:pPr>
              <w:pStyle w:val="TextTi9"/>
              <w:keepNext/>
              <w:spacing w:after="120"/>
              <w:jc w:val="center"/>
              <w:rPr>
                <w:rFonts w:ascii="Times New Roman" w:hAnsi="Times New Roman"/>
                <w:sz w:val="20"/>
                <w:szCs w:val="20"/>
              </w:rPr>
            </w:pPr>
            <w:r>
              <w:rPr>
                <w:rFonts w:ascii="Times New Roman" w:hAnsi="Times New Roman"/>
                <w:sz w:val="20"/>
                <w:szCs w:val="20"/>
              </w:rPr>
              <w:t>91,3 ± 40,4</w:t>
            </w:r>
          </w:p>
        </w:tc>
        <w:tc>
          <w:tcPr>
            <w:tcW w:w="2977" w:type="dxa"/>
            <w:tcBorders>
              <w:top w:val="single" w:sz="4" w:space="0" w:color="auto"/>
              <w:left w:val="single" w:sz="4" w:space="0" w:color="auto"/>
              <w:bottom w:val="single" w:sz="4" w:space="0" w:color="auto"/>
              <w:right w:val="single" w:sz="4" w:space="0" w:color="auto"/>
            </w:tcBorders>
            <w:hideMark/>
          </w:tcPr>
          <w:p w14:paraId="4770717A" w14:textId="77777777" w:rsidR="009700E5" w:rsidRDefault="002C033C">
            <w:pPr>
              <w:pStyle w:val="TextTi9"/>
              <w:keepNext/>
              <w:spacing w:after="120"/>
              <w:jc w:val="center"/>
              <w:rPr>
                <w:rFonts w:ascii="Times New Roman" w:hAnsi="Times New Roman"/>
                <w:sz w:val="20"/>
                <w:szCs w:val="20"/>
              </w:rPr>
            </w:pPr>
            <w:r>
              <w:rPr>
                <w:rFonts w:ascii="Times New Roman" w:hAnsi="Times New Roman"/>
                <w:sz w:val="20"/>
                <w:szCs w:val="20"/>
              </w:rPr>
              <w:t>101 ± 43,2</w:t>
            </w:r>
          </w:p>
        </w:tc>
      </w:tr>
      <w:tr w:rsidR="009700E5" w14:paraId="34E986CA" w14:textId="77777777">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7C46DF08" w14:textId="77777777" w:rsidR="009700E5" w:rsidRDefault="002C033C">
            <w:pPr>
              <w:pStyle w:val="TextTi9"/>
              <w:keepNext/>
              <w:spacing w:after="120"/>
              <w:rPr>
                <w:rFonts w:ascii="Times New Roman" w:hAnsi="Times New Roman"/>
                <w:sz w:val="20"/>
                <w:szCs w:val="20"/>
              </w:rPr>
            </w:pPr>
            <w:r>
              <w:rPr>
                <w:rFonts w:ascii="Times New Roman" w:hAnsi="Times New Roman"/>
                <w:sz w:val="20"/>
                <w:szCs w:val="20"/>
              </w:rPr>
              <w:t>Kumulácia z hľadiska C</w:t>
            </w:r>
            <w:r>
              <w:rPr>
                <w:rFonts w:ascii="Times New Roman" w:hAnsi="Times New Roman"/>
                <w:sz w:val="20"/>
                <w:szCs w:val="20"/>
                <w:vertAlign w:val="subscript"/>
              </w:rPr>
              <w:t>max</w:t>
            </w:r>
          </w:p>
        </w:tc>
        <w:tc>
          <w:tcPr>
            <w:tcW w:w="2977" w:type="dxa"/>
            <w:tcBorders>
              <w:top w:val="single" w:sz="4" w:space="0" w:color="auto"/>
              <w:left w:val="single" w:sz="4" w:space="0" w:color="auto"/>
              <w:bottom w:val="single" w:sz="4" w:space="0" w:color="auto"/>
              <w:right w:val="single" w:sz="4" w:space="0" w:color="auto"/>
            </w:tcBorders>
          </w:tcPr>
          <w:p w14:paraId="45E72F37" w14:textId="77777777" w:rsidR="009700E5" w:rsidRDefault="002C033C">
            <w:pPr>
              <w:pStyle w:val="TextTi9"/>
              <w:keepNext/>
              <w:spacing w:after="120"/>
              <w:jc w:val="center"/>
              <w:rPr>
                <w:rFonts w:ascii="Times New Roman" w:hAnsi="Times New Roman"/>
                <w:sz w:val="20"/>
                <w:szCs w:val="20"/>
              </w:rPr>
            </w:pPr>
            <w:r>
              <w:rPr>
                <w:rFonts w:ascii="Times New Roman" w:hAnsi="Times New Roman"/>
                <w:sz w:val="20"/>
                <w:szCs w:val="20"/>
              </w:rPr>
              <w:t>3,66</w:t>
            </w:r>
          </w:p>
        </w:tc>
        <w:tc>
          <w:tcPr>
            <w:tcW w:w="2977" w:type="dxa"/>
            <w:tcBorders>
              <w:top w:val="single" w:sz="4" w:space="0" w:color="auto"/>
              <w:left w:val="single" w:sz="4" w:space="0" w:color="auto"/>
              <w:bottom w:val="single" w:sz="4" w:space="0" w:color="auto"/>
              <w:right w:val="single" w:sz="4" w:space="0" w:color="auto"/>
            </w:tcBorders>
          </w:tcPr>
          <w:p w14:paraId="510B2DD1" w14:textId="77777777" w:rsidR="009700E5" w:rsidRDefault="002C033C">
            <w:pPr>
              <w:pStyle w:val="TextTi9"/>
              <w:keepNext/>
              <w:spacing w:after="120"/>
              <w:jc w:val="center"/>
              <w:rPr>
                <w:rFonts w:ascii="Times New Roman" w:hAnsi="Times New Roman"/>
                <w:sz w:val="20"/>
                <w:szCs w:val="20"/>
              </w:rPr>
            </w:pPr>
            <w:r>
              <w:rPr>
                <w:rFonts w:ascii="Times New Roman" w:hAnsi="Times New Roman"/>
                <w:sz w:val="20"/>
                <w:szCs w:val="20"/>
              </w:rPr>
              <w:t>1,88</w:t>
            </w:r>
          </w:p>
        </w:tc>
      </w:tr>
      <w:tr w:rsidR="009700E5" w14:paraId="54DB45AD" w14:textId="77777777">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7DE4C161" w14:textId="77777777" w:rsidR="009700E5" w:rsidRDefault="002C033C">
            <w:pPr>
              <w:pStyle w:val="TextTi9"/>
              <w:keepNext/>
              <w:spacing w:after="120"/>
              <w:rPr>
                <w:rFonts w:ascii="Times New Roman" w:hAnsi="Times New Roman"/>
                <w:sz w:val="20"/>
                <w:szCs w:val="20"/>
              </w:rPr>
            </w:pPr>
            <w:r>
              <w:rPr>
                <w:rFonts w:ascii="Times New Roman" w:hAnsi="Times New Roman"/>
                <w:sz w:val="20"/>
                <w:szCs w:val="20"/>
              </w:rPr>
              <w:t>Kumulácia z hľadiska C</w:t>
            </w:r>
            <w:r>
              <w:rPr>
                <w:rFonts w:ascii="Times New Roman" w:hAnsi="Times New Roman"/>
                <w:sz w:val="20"/>
                <w:szCs w:val="20"/>
                <w:vertAlign w:val="subscript"/>
              </w:rPr>
              <w:t>min</w:t>
            </w:r>
          </w:p>
        </w:tc>
        <w:tc>
          <w:tcPr>
            <w:tcW w:w="2977" w:type="dxa"/>
            <w:tcBorders>
              <w:top w:val="single" w:sz="4" w:space="0" w:color="auto"/>
              <w:left w:val="single" w:sz="4" w:space="0" w:color="auto"/>
              <w:bottom w:val="single" w:sz="4" w:space="0" w:color="auto"/>
              <w:right w:val="single" w:sz="4" w:space="0" w:color="auto"/>
            </w:tcBorders>
          </w:tcPr>
          <w:p w14:paraId="4BDBA9D0" w14:textId="77777777" w:rsidR="009700E5" w:rsidRDefault="002C033C">
            <w:pPr>
              <w:pStyle w:val="TextTi9"/>
              <w:keepNext/>
              <w:spacing w:after="120"/>
              <w:jc w:val="center"/>
              <w:rPr>
                <w:rFonts w:ascii="Times New Roman" w:hAnsi="Times New Roman"/>
                <w:sz w:val="20"/>
                <w:szCs w:val="20"/>
              </w:rPr>
            </w:pPr>
            <w:r>
              <w:rPr>
                <w:rFonts w:ascii="Times New Roman" w:hAnsi="Times New Roman"/>
                <w:sz w:val="20"/>
                <w:szCs w:val="20"/>
              </w:rPr>
              <w:t>4,39</w:t>
            </w:r>
          </w:p>
        </w:tc>
        <w:tc>
          <w:tcPr>
            <w:tcW w:w="2977" w:type="dxa"/>
            <w:tcBorders>
              <w:top w:val="single" w:sz="4" w:space="0" w:color="auto"/>
              <w:left w:val="single" w:sz="4" w:space="0" w:color="auto"/>
              <w:bottom w:val="single" w:sz="4" w:space="0" w:color="auto"/>
              <w:right w:val="single" w:sz="4" w:space="0" w:color="auto"/>
            </w:tcBorders>
          </w:tcPr>
          <w:p w14:paraId="450E68E7" w14:textId="77777777" w:rsidR="009700E5" w:rsidRDefault="002C033C">
            <w:pPr>
              <w:pStyle w:val="TextTi9"/>
              <w:keepNext/>
              <w:spacing w:after="120"/>
              <w:jc w:val="center"/>
              <w:rPr>
                <w:rFonts w:ascii="Times New Roman" w:hAnsi="Times New Roman"/>
                <w:sz w:val="20"/>
                <w:szCs w:val="20"/>
              </w:rPr>
            </w:pPr>
            <w:r>
              <w:rPr>
                <w:rFonts w:ascii="Times New Roman" w:hAnsi="Times New Roman"/>
                <w:sz w:val="20"/>
                <w:szCs w:val="20"/>
              </w:rPr>
              <w:t>3,21</w:t>
            </w:r>
          </w:p>
        </w:tc>
      </w:tr>
      <w:tr w:rsidR="009700E5" w14:paraId="32DCE03C" w14:textId="77777777">
        <w:trPr>
          <w:cantSplit/>
          <w:trHeight w:val="331"/>
        </w:trPr>
        <w:tc>
          <w:tcPr>
            <w:tcW w:w="2835" w:type="dxa"/>
            <w:tcBorders>
              <w:top w:val="single" w:sz="4" w:space="0" w:color="auto"/>
              <w:left w:val="single" w:sz="4" w:space="0" w:color="auto"/>
              <w:bottom w:val="single" w:sz="4" w:space="0" w:color="auto"/>
              <w:right w:val="single" w:sz="4" w:space="0" w:color="auto"/>
            </w:tcBorders>
          </w:tcPr>
          <w:p w14:paraId="7B0CDCEE" w14:textId="77777777" w:rsidR="009700E5" w:rsidRDefault="002C033C">
            <w:pPr>
              <w:pStyle w:val="TextTi9"/>
              <w:keepNext/>
              <w:spacing w:after="120"/>
              <w:rPr>
                <w:rFonts w:ascii="Times New Roman" w:hAnsi="Times New Roman"/>
                <w:sz w:val="20"/>
                <w:szCs w:val="20"/>
              </w:rPr>
            </w:pPr>
            <w:r>
              <w:rPr>
                <w:rFonts w:ascii="Times New Roman" w:hAnsi="Times New Roman"/>
                <w:sz w:val="20"/>
                <w:szCs w:val="20"/>
              </w:rPr>
              <w:t>Kumulácia z hľadiska C</w:t>
            </w:r>
            <w:r>
              <w:rPr>
                <w:rFonts w:ascii="Times New Roman" w:hAnsi="Times New Roman"/>
                <w:sz w:val="20"/>
                <w:szCs w:val="20"/>
                <w:vertAlign w:val="subscript"/>
              </w:rPr>
              <w:t>mean</w:t>
            </w:r>
            <w:r>
              <w:rPr>
                <w:rFonts w:ascii="Times New Roman" w:hAnsi="Times New Roman"/>
                <w:sz w:val="20"/>
                <w:szCs w:val="20"/>
              </w:rPr>
              <w:t xml:space="preserve"> alebo AUC</w:t>
            </w:r>
            <w:r>
              <w:rPr>
                <w:rFonts w:ascii="Times New Roman" w:hAnsi="Times New Roman"/>
                <w:sz w:val="20"/>
                <w:szCs w:val="20"/>
                <w:vertAlign w:val="subscript"/>
              </w:rPr>
              <w:t>τ</w:t>
            </w:r>
            <w:r>
              <w:rPr>
                <w:rFonts w:ascii="Times New Roman" w:hAnsi="Times New Roman"/>
                <w:sz w:val="20"/>
                <w:szCs w:val="20"/>
              </w:rPr>
              <w:t>*</w:t>
            </w:r>
          </w:p>
        </w:tc>
        <w:tc>
          <w:tcPr>
            <w:tcW w:w="2977" w:type="dxa"/>
            <w:tcBorders>
              <w:top w:val="single" w:sz="4" w:space="0" w:color="auto"/>
              <w:left w:val="single" w:sz="4" w:space="0" w:color="auto"/>
              <w:bottom w:val="single" w:sz="4" w:space="0" w:color="auto"/>
              <w:right w:val="single" w:sz="4" w:space="0" w:color="auto"/>
            </w:tcBorders>
          </w:tcPr>
          <w:p w14:paraId="3784838F" w14:textId="77777777" w:rsidR="009700E5" w:rsidRDefault="002C033C">
            <w:pPr>
              <w:pStyle w:val="TextTi9"/>
              <w:keepNext/>
              <w:spacing w:after="120"/>
              <w:jc w:val="center"/>
              <w:rPr>
                <w:rFonts w:ascii="Times New Roman" w:hAnsi="Times New Roman"/>
                <w:sz w:val="20"/>
                <w:szCs w:val="20"/>
              </w:rPr>
            </w:pPr>
            <w:r>
              <w:rPr>
                <w:rFonts w:ascii="Times New Roman" w:hAnsi="Times New Roman"/>
                <w:sz w:val="20"/>
                <w:szCs w:val="20"/>
              </w:rPr>
              <w:t>4,28</w:t>
            </w:r>
          </w:p>
        </w:tc>
        <w:tc>
          <w:tcPr>
            <w:tcW w:w="2977" w:type="dxa"/>
            <w:tcBorders>
              <w:top w:val="single" w:sz="4" w:space="0" w:color="auto"/>
              <w:left w:val="single" w:sz="4" w:space="0" w:color="auto"/>
              <w:bottom w:val="single" w:sz="4" w:space="0" w:color="auto"/>
              <w:right w:val="single" w:sz="4" w:space="0" w:color="auto"/>
            </w:tcBorders>
          </w:tcPr>
          <w:p w14:paraId="71B7CA68" w14:textId="77777777" w:rsidR="009700E5" w:rsidRDefault="002C033C">
            <w:pPr>
              <w:pStyle w:val="TextTi9"/>
              <w:keepNext/>
              <w:spacing w:after="120"/>
              <w:jc w:val="center"/>
              <w:rPr>
                <w:rFonts w:ascii="Times New Roman" w:hAnsi="Times New Roman"/>
                <w:sz w:val="20"/>
                <w:szCs w:val="20"/>
              </w:rPr>
            </w:pPr>
            <w:r>
              <w:rPr>
                <w:rFonts w:ascii="Times New Roman" w:hAnsi="Times New Roman"/>
                <w:sz w:val="20"/>
                <w:szCs w:val="20"/>
              </w:rPr>
              <w:t>2,27</w:t>
            </w:r>
          </w:p>
        </w:tc>
      </w:tr>
    </w:tbl>
    <w:p w14:paraId="5E93195D" w14:textId="77777777" w:rsidR="009700E5" w:rsidRDefault="002C033C">
      <w:pPr>
        <w:jc w:val="both"/>
        <w:rPr>
          <w:sz w:val="18"/>
          <w:szCs w:val="18"/>
          <w:lang w:eastAsia="en-US"/>
        </w:rPr>
      </w:pPr>
      <w:r>
        <w:rPr>
          <w:sz w:val="18"/>
          <w:szCs w:val="18"/>
          <w:lang w:eastAsia="en-US"/>
        </w:rPr>
        <w:t>*τ</w:t>
      </w:r>
      <w:ins w:id="1746" w:author="Author" w:date="2025-07-21T10:25:00Z">
        <w:r>
          <w:rPr>
            <w:sz w:val="18"/>
            <w:szCs w:val="18"/>
            <w:lang w:eastAsia="en-US"/>
          </w:rPr>
          <w:t> </w:t>
        </w:r>
      </w:ins>
      <w:del w:id="1747" w:author="Author" w:date="2025-07-21T10:25:00Z">
        <w:r>
          <w:rPr>
            <w:sz w:val="18"/>
            <w:szCs w:val="18"/>
            <w:lang w:eastAsia="en-US"/>
          </w:rPr>
          <w:delText xml:space="preserve"> </w:delText>
        </w:r>
      </w:del>
      <w:r>
        <w:rPr>
          <w:sz w:val="18"/>
          <w:szCs w:val="18"/>
          <w:lang w:eastAsia="en-US"/>
        </w:rPr>
        <w:t>=</w:t>
      </w:r>
      <w:ins w:id="1748" w:author="Author" w:date="2025-07-21T10:25:00Z">
        <w:r>
          <w:rPr>
            <w:sz w:val="18"/>
            <w:szCs w:val="18"/>
            <w:lang w:eastAsia="en-US"/>
          </w:rPr>
          <w:t> </w:t>
        </w:r>
      </w:ins>
      <w:del w:id="1749" w:author="Author" w:date="2025-07-21T10:25:00Z">
        <w:r>
          <w:rPr>
            <w:sz w:val="18"/>
            <w:szCs w:val="18"/>
            <w:lang w:eastAsia="en-US"/>
          </w:rPr>
          <w:delText xml:space="preserve"> </w:delText>
        </w:r>
      </w:del>
      <w:r>
        <w:rPr>
          <w:sz w:val="18"/>
          <w:szCs w:val="18"/>
          <w:lang w:eastAsia="en-US"/>
        </w:rPr>
        <w:t>1 týždeň alebo 2 týždne pri dvoch režimoch so subkutánnou dávkou</w:t>
      </w:r>
    </w:p>
    <w:p w14:paraId="4C40EE22" w14:textId="77777777" w:rsidR="009700E5" w:rsidRDefault="009700E5">
      <w:pPr>
        <w:numPr>
          <w:ilvl w:val="12"/>
          <w:numId w:val="0"/>
        </w:numPr>
        <w:ind w:right="-2"/>
        <w:rPr>
          <w:szCs w:val="22"/>
        </w:rPr>
      </w:pPr>
    </w:p>
    <w:p w14:paraId="71FC7706" w14:textId="77777777" w:rsidR="009700E5" w:rsidRDefault="002C033C">
      <w:pPr>
        <w:numPr>
          <w:ilvl w:val="12"/>
          <w:numId w:val="0"/>
        </w:numPr>
        <w:ind w:right="-2"/>
        <w:rPr>
          <w:iCs/>
          <w:szCs w:val="22"/>
          <w:highlight w:val="yellow"/>
        </w:rPr>
      </w:pPr>
      <w:r>
        <w:rPr>
          <w:szCs w:val="22"/>
        </w:rPr>
        <w:t>Po subkutánnom podávaní sa približne 90 % rovnovážneho stavu dosiahlo do 12. týždňa pri režime s dávkou 162 mg QW aj pri režime s dávkou 162 mg Q2W.</w:t>
      </w:r>
    </w:p>
    <w:p w14:paraId="7D6F17DD" w14:textId="77777777" w:rsidR="009700E5" w:rsidRDefault="009700E5">
      <w:pPr>
        <w:numPr>
          <w:ilvl w:val="12"/>
          <w:numId w:val="0"/>
        </w:numPr>
        <w:ind w:right="-2"/>
        <w:rPr>
          <w:iCs/>
          <w:szCs w:val="22"/>
          <w:highlight w:val="yellow"/>
        </w:rPr>
      </w:pPr>
    </w:p>
    <w:p w14:paraId="29F36EB3" w14:textId="77777777" w:rsidR="009700E5" w:rsidRDefault="002C033C">
      <w:pPr>
        <w:keepNext/>
        <w:numPr>
          <w:ilvl w:val="12"/>
          <w:numId w:val="0"/>
        </w:numPr>
        <w:rPr>
          <w:i/>
          <w:u w:val="single"/>
        </w:rPr>
        <w:pPrChange w:id="1750" w:author="Author" w:date="2025-07-22T17:58:00Z">
          <w:pPr>
            <w:numPr>
              <w:ilvl w:val="12"/>
            </w:numPr>
            <w:ind w:right="-2"/>
          </w:pPr>
        </w:pPrChange>
      </w:pPr>
      <w:r>
        <w:rPr>
          <w:i/>
          <w:u w:val="single"/>
        </w:rPr>
        <w:lastRenderedPageBreak/>
        <w:t>Absorpcia</w:t>
      </w:r>
    </w:p>
    <w:p w14:paraId="7AEA94C7" w14:textId="77777777" w:rsidR="009700E5" w:rsidRDefault="002C033C">
      <w:pPr>
        <w:numPr>
          <w:ilvl w:val="12"/>
          <w:numId w:val="0"/>
        </w:numPr>
        <w:ind w:right="-2"/>
        <w:rPr>
          <w:iCs/>
        </w:rPr>
      </w:pPr>
      <w:r>
        <w:rPr>
          <w:iCs/>
        </w:rPr>
        <w:t xml:space="preserve">Po </w:t>
      </w:r>
      <w:r>
        <w:rPr>
          <w:szCs w:val="22"/>
        </w:rPr>
        <w:t>subkutánnom</w:t>
      </w:r>
      <w:r>
        <w:rPr>
          <w:iCs/>
        </w:rPr>
        <w:t xml:space="preserve"> podávaní pacientom so sJIA bol polčas absorpcie približne 2 dni a biologická dostupnosť </w:t>
      </w:r>
      <w:r>
        <w:rPr>
          <w:szCs w:val="22"/>
        </w:rPr>
        <w:t>subkutánnej</w:t>
      </w:r>
      <w:r>
        <w:rPr>
          <w:iCs/>
        </w:rPr>
        <w:t xml:space="preserve"> formy u pacientov so sJIA bola 95 %.</w:t>
      </w:r>
    </w:p>
    <w:p w14:paraId="145A88A3" w14:textId="77777777" w:rsidR="009700E5" w:rsidRDefault="009700E5">
      <w:pPr>
        <w:numPr>
          <w:ilvl w:val="12"/>
          <w:numId w:val="0"/>
        </w:numPr>
        <w:ind w:right="-2"/>
        <w:rPr>
          <w:iCs/>
          <w:szCs w:val="22"/>
          <w:highlight w:val="yellow"/>
        </w:rPr>
      </w:pPr>
    </w:p>
    <w:p w14:paraId="70388FE2" w14:textId="77777777" w:rsidR="009700E5" w:rsidRDefault="002C033C">
      <w:pPr>
        <w:keepNext/>
        <w:keepLines/>
        <w:rPr>
          <w:i/>
          <w:iCs/>
          <w:szCs w:val="22"/>
          <w:u w:val="single"/>
          <w:lang w:eastAsia="de-DE"/>
        </w:rPr>
      </w:pPr>
      <w:r>
        <w:rPr>
          <w:i/>
          <w:iCs/>
          <w:szCs w:val="22"/>
          <w:u w:val="single"/>
          <w:lang w:eastAsia="de-DE"/>
        </w:rPr>
        <w:t>Distribúcia</w:t>
      </w:r>
    </w:p>
    <w:p w14:paraId="44F4B38F" w14:textId="77777777" w:rsidR="009700E5" w:rsidRDefault="002C033C">
      <w:pPr>
        <w:keepNext/>
        <w:keepLines/>
        <w:rPr>
          <w:szCs w:val="22"/>
          <w:lang w:eastAsia="de-DE"/>
        </w:rPr>
      </w:pPr>
      <w:r>
        <w:rPr>
          <w:szCs w:val="22"/>
          <w:lang w:eastAsia="de-DE"/>
        </w:rPr>
        <w:t>U pediatrických pacientov so sJIA bol distribučný objem centrálneho kompartmentu 1,87 l; distribučný objem periférneho kompartmentu 2,14 l; čo malo za následok distribučný objem 4,01 l v rovnovážnom stave.</w:t>
      </w:r>
    </w:p>
    <w:p w14:paraId="7A99427F" w14:textId="77777777" w:rsidR="009700E5" w:rsidRDefault="009700E5">
      <w:pPr>
        <w:spacing w:line="280" w:lineRule="atLeast"/>
        <w:rPr>
          <w:iCs/>
          <w:szCs w:val="22"/>
          <w:highlight w:val="yellow"/>
          <w:lang w:eastAsia="de-DE"/>
        </w:rPr>
      </w:pPr>
    </w:p>
    <w:p w14:paraId="64990243" w14:textId="77777777" w:rsidR="009700E5" w:rsidRDefault="002C033C">
      <w:pPr>
        <w:keepNext/>
        <w:keepLines/>
        <w:numPr>
          <w:ilvl w:val="12"/>
          <w:numId w:val="0"/>
        </w:numPr>
        <w:rPr>
          <w:i/>
          <w:szCs w:val="22"/>
          <w:u w:val="single"/>
        </w:rPr>
      </w:pPr>
      <w:r>
        <w:rPr>
          <w:i/>
          <w:szCs w:val="22"/>
          <w:u w:val="single"/>
        </w:rPr>
        <w:t>Eliminácia</w:t>
      </w:r>
    </w:p>
    <w:p w14:paraId="5CF8B58E" w14:textId="77777777" w:rsidR="009700E5" w:rsidRDefault="002C033C">
      <w:pPr>
        <w:keepNext/>
        <w:keepLines/>
        <w:numPr>
          <w:ilvl w:val="12"/>
          <w:numId w:val="0"/>
        </w:numPr>
      </w:pPr>
      <w:r>
        <w:t>Celkový klírens tocilizumabu bol závislý od koncentrácie a predstavoval súčet lineárneho a nelineráneho klírensu. Lineárny klírens bol odhadnutý ako parameter v populačnej farmakokinetickej analýze na 5,7 ml/h u pediatrických pacientov so systémovou juvenilnou idiopatickou artritídou. Po subkutánnom podávaní je efektívny t</w:t>
      </w:r>
      <w:r>
        <w:rPr>
          <w:vertAlign w:val="subscript"/>
        </w:rPr>
        <w:t>1/2</w:t>
      </w:r>
      <w:r>
        <w:t xml:space="preserve"> tocilizumabu</w:t>
      </w:r>
      <w:r>
        <w:rPr>
          <w:iCs/>
          <w:szCs w:val="22"/>
        </w:rPr>
        <w:t xml:space="preserve"> u pacientov so s</w:t>
      </w:r>
      <w:r>
        <w:t>JIA až 14 dní pri režime s dávkou 162 mg QW aj pri režime s dávkou 162 mg Q2W počas dávkovacieho intervalu po dosiahnutí rovnovážneho stavu.</w:t>
      </w:r>
    </w:p>
    <w:p w14:paraId="4C59F408" w14:textId="77777777" w:rsidR="009700E5" w:rsidRDefault="009700E5">
      <w:pPr>
        <w:numPr>
          <w:ilvl w:val="12"/>
          <w:numId w:val="0"/>
        </w:numPr>
        <w:ind w:right="-2"/>
      </w:pPr>
    </w:p>
    <w:p w14:paraId="31F3C2E1" w14:textId="77777777" w:rsidR="009700E5" w:rsidRPr="009700E5" w:rsidRDefault="002C033C">
      <w:pPr>
        <w:numPr>
          <w:ilvl w:val="12"/>
          <w:numId w:val="0"/>
        </w:numPr>
        <w:ind w:right="-2"/>
        <w:rPr>
          <w:moveTo w:id="1751" w:author="Author" w:date="2025-07-19T23:26:00Z"/>
          <w:iCs/>
          <w:szCs w:val="22"/>
          <w:u w:val="single"/>
          <w:rPrChange w:id="1752" w:author="Author" w:date="2025-08-22T15:12:00Z">
            <w:rPr>
              <w:moveTo w:id="1753" w:author="Author" w:date="2025-07-19T23:26:00Z"/>
              <w:i/>
              <w:szCs w:val="22"/>
            </w:rPr>
          </w:rPrChange>
        </w:rPr>
      </w:pPr>
      <w:moveToRangeStart w:id="1754" w:author="Author" w:date="2025-07-19T23:26:00Z" w:name="move203859995"/>
      <w:moveTo w:id="1755" w:author="Author" w:date="2025-07-19T23:26:00Z">
        <w:r>
          <w:rPr>
            <w:iCs/>
            <w:szCs w:val="22"/>
            <w:u w:val="single"/>
            <w:rPrChange w:id="1756" w:author="Author" w:date="2025-08-22T15:12:00Z">
              <w:rPr>
                <w:i/>
                <w:szCs w:val="22"/>
              </w:rPr>
            </w:rPrChange>
          </w:rPr>
          <w:t>Subkutánne použitie</w:t>
        </w:r>
      </w:moveTo>
    </w:p>
    <w:moveToRangeEnd w:id="1754"/>
    <w:p w14:paraId="6F8801C2" w14:textId="77777777" w:rsidR="009700E5" w:rsidRPr="009700E5" w:rsidRDefault="002C033C">
      <w:pPr>
        <w:numPr>
          <w:ilvl w:val="12"/>
          <w:numId w:val="0"/>
        </w:numPr>
        <w:ind w:right="-2"/>
        <w:rPr>
          <w:i/>
          <w:szCs w:val="22"/>
          <w:rPrChange w:id="1757" w:author="Author" w:date="2025-08-22T15:12:00Z">
            <w:rPr>
              <w:iCs/>
              <w:szCs w:val="22"/>
              <w:u w:val="single"/>
            </w:rPr>
          </w:rPrChange>
        </w:rPr>
      </w:pPr>
      <w:r>
        <w:rPr>
          <w:i/>
          <w:szCs w:val="22"/>
          <w:rPrChange w:id="1758" w:author="Author" w:date="2025-08-22T15:12:00Z">
            <w:rPr>
              <w:iCs/>
              <w:szCs w:val="22"/>
              <w:u w:val="single"/>
            </w:rPr>
          </w:rPrChange>
        </w:rPr>
        <w:t>Pacienti s pJIA</w:t>
      </w:r>
    </w:p>
    <w:p w14:paraId="4FB86F61" w14:textId="77777777" w:rsidR="009700E5" w:rsidRDefault="002C033C">
      <w:pPr>
        <w:rPr>
          <w:moveFrom w:id="1759" w:author="Author" w:date="2025-07-19T23:26:00Z"/>
          <w:i/>
          <w:szCs w:val="22"/>
        </w:rPr>
      </w:pPr>
      <w:moveFromRangeStart w:id="1760" w:author="Author" w:date="2025-07-19T23:26:00Z" w:name="move203859995"/>
      <w:moveFrom w:id="1761" w:author="Author" w:date="2025-07-19T23:26:00Z">
        <w:r>
          <w:rPr>
            <w:i/>
            <w:szCs w:val="22"/>
          </w:rPr>
          <w:t>Subkutánne použitie</w:t>
        </w:r>
      </w:moveFrom>
    </w:p>
    <w:moveFromRangeEnd w:id="1760"/>
    <w:p w14:paraId="7195B879" w14:textId="77777777" w:rsidR="009700E5" w:rsidRDefault="009700E5">
      <w:pPr>
        <w:numPr>
          <w:ilvl w:val="12"/>
          <w:numId w:val="0"/>
        </w:numPr>
        <w:ind w:right="-2"/>
        <w:rPr>
          <w:ins w:id="1762" w:author="Author" w:date="2025-07-19T23:26:00Z"/>
          <w:i/>
          <w:szCs w:val="22"/>
        </w:rPr>
      </w:pPr>
    </w:p>
    <w:p w14:paraId="17D2EACD" w14:textId="77777777" w:rsidR="009700E5" w:rsidRDefault="002C033C">
      <w:r>
        <w:t>Farmakokinetika tocilizumabu</w:t>
      </w:r>
      <w:r>
        <w:rPr>
          <w:iCs/>
        </w:rPr>
        <w:t xml:space="preserve"> u pacientov s </w:t>
      </w:r>
      <w:r>
        <w:t>pJIA bola charakterizovaná pomocou populačnej farmakokinetickej analýzy zahŕňajúcej 237 pacientov, ktorí boli liečení dávkou 8 mg/kg intravenózne raz za 4 týždne (pacienti s telesnou hmotnosťou ≥ 30 kg), 10 mg/kg intravenózne raz za 4 týždne (pacienti s telesnou hmotnosťou nižšou ako 30 kg), 162 mg subkutánne raz za 2 týždne (pacienti s telesnou hmotnosťou ≥ 30 kg) alebo 162 mg subkutánne raz za 3 týždne (pacienti s telesnou hmotnosťou nižšou ako 30 kg).</w:t>
      </w:r>
    </w:p>
    <w:p w14:paraId="1186833B" w14:textId="77777777" w:rsidR="009700E5" w:rsidRDefault="009700E5">
      <w:pPr>
        <w:numPr>
          <w:ilvl w:val="12"/>
          <w:numId w:val="0"/>
        </w:numPr>
        <w:ind w:right="-2"/>
        <w:rPr>
          <w:iCs/>
          <w:szCs w:val="22"/>
        </w:rPr>
      </w:pPr>
    </w:p>
    <w:p w14:paraId="70653038" w14:textId="77777777" w:rsidR="009700E5" w:rsidRDefault="002C033C">
      <w:pPr>
        <w:keepNext/>
        <w:keepLines/>
        <w:rPr>
          <w:i/>
          <w:iCs/>
        </w:rPr>
      </w:pPr>
      <w:r>
        <w:rPr>
          <w:i/>
          <w:iCs/>
        </w:rPr>
        <w:t>Tabuľka 9. Predpokladaný priemer ± SD FK parametrov v rovnovážnom stave po subkutánnom podávaní u pacientov s pJIA</w:t>
      </w:r>
    </w:p>
    <w:p w14:paraId="74F7C09D" w14:textId="77777777" w:rsidR="009700E5" w:rsidRDefault="009700E5">
      <w:pPr>
        <w:keepNext/>
        <w:keepLines/>
      </w:pPr>
    </w:p>
    <w:tbl>
      <w:tblPr>
        <w:tblW w:w="8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801"/>
        <w:gridCol w:w="3261"/>
      </w:tblGrid>
      <w:tr w:rsidR="009700E5" w14:paraId="5CEEDAFA" w14:textId="77777777">
        <w:trPr>
          <w:cantSplit/>
          <w:trHeight w:val="452"/>
        </w:trPr>
        <w:tc>
          <w:tcPr>
            <w:tcW w:w="2518" w:type="dxa"/>
            <w:tcBorders>
              <w:top w:val="single" w:sz="4" w:space="0" w:color="auto"/>
              <w:left w:val="single" w:sz="4" w:space="0" w:color="auto"/>
              <w:bottom w:val="single" w:sz="4" w:space="0" w:color="auto"/>
              <w:right w:val="single" w:sz="4" w:space="0" w:color="auto"/>
            </w:tcBorders>
            <w:hideMark/>
          </w:tcPr>
          <w:p w14:paraId="5FA53301" w14:textId="77777777" w:rsidR="009700E5" w:rsidRDefault="002C033C">
            <w:pPr>
              <w:pStyle w:val="TextTi9"/>
              <w:keepNext/>
              <w:keepLines/>
              <w:spacing w:after="120"/>
              <w:rPr>
                <w:rFonts w:ascii="Times New Roman" w:hAnsi="Times New Roman"/>
                <w:sz w:val="20"/>
                <w:szCs w:val="20"/>
              </w:rPr>
            </w:pPr>
            <w:r>
              <w:rPr>
                <w:rFonts w:ascii="Times New Roman" w:hAnsi="Times New Roman"/>
                <w:b/>
                <w:sz w:val="20"/>
                <w:szCs w:val="20"/>
              </w:rPr>
              <w:t>FK parameter tocilizumabu</w:t>
            </w:r>
          </w:p>
        </w:tc>
        <w:tc>
          <w:tcPr>
            <w:tcW w:w="2801" w:type="dxa"/>
            <w:tcBorders>
              <w:top w:val="single" w:sz="4" w:space="0" w:color="auto"/>
              <w:left w:val="single" w:sz="4" w:space="0" w:color="auto"/>
              <w:bottom w:val="single" w:sz="4" w:space="0" w:color="auto"/>
              <w:right w:val="single" w:sz="4" w:space="0" w:color="auto"/>
            </w:tcBorders>
            <w:hideMark/>
          </w:tcPr>
          <w:p w14:paraId="5FA2A3D3" w14:textId="77777777" w:rsidR="009700E5" w:rsidRDefault="002C033C">
            <w:pPr>
              <w:pStyle w:val="TextTi9"/>
              <w:keepNext/>
              <w:keepLines/>
              <w:spacing w:after="120"/>
              <w:jc w:val="center"/>
              <w:rPr>
                <w:rFonts w:ascii="Times New Roman" w:hAnsi="Times New Roman"/>
                <w:b/>
                <w:sz w:val="20"/>
                <w:szCs w:val="20"/>
              </w:rPr>
            </w:pPr>
            <w:r>
              <w:rPr>
                <w:rFonts w:ascii="Times New Roman" w:hAnsi="Times New Roman"/>
                <w:b/>
                <w:sz w:val="20"/>
                <w:szCs w:val="20"/>
              </w:rPr>
              <w:t>162 mg Q2W</w:t>
            </w:r>
          </w:p>
          <w:p w14:paraId="7D73B628" w14:textId="77777777" w:rsidR="009700E5" w:rsidRDefault="002C033C">
            <w:pPr>
              <w:pStyle w:val="TextTi9"/>
              <w:keepNext/>
              <w:keepLines/>
              <w:spacing w:after="120"/>
              <w:jc w:val="center"/>
              <w:rPr>
                <w:rFonts w:ascii="Times New Roman" w:hAnsi="Times New Roman"/>
                <w:b/>
                <w:sz w:val="20"/>
                <w:szCs w:val="20"/>
              </w:rPr>
            </w:pPr>
            <w:r>
              <w:rPr>
                <w:rFonts w:ascii="Times New Roman" w:hAnsi="Times New Roman"/>
                <w:b/>
                <w:sz w:val="20"/>
                <w:szCs w:val="20"/>
              </w:rPr>
              <w:t>≥ 30 kg</w:t>
            </w:r>
          </w:p>
        </w:tc>
        <w:tc>
          <w:tcPr>
            <w:tcW w:w="3261" w:type="dxa"/>
            <w:tcBorders>
              <w:top w:val="single" w:sz="4" w:space="0" w:color="auto"/>
              <w:left w:val="single" w:sz="4" w:space="0" w:color="auto"/>
              <w:bottom w:val="single" w:sz="4" w:space="0" w:color="auto"/>
              <w:right w:val="single" w:sz="4" w:space="0" w:color="auto"/>
            </w:tcBorders>
            <w:hideMark/>
          </w:tcPr>
          <w:p w14:paraId="5B201AEF" w14:textId="77777777" w:rsidR="009700E5" w:rsidRDefault="002C033C">
            <w:pPr>
              <w:pStyle w:val="TextTi9"/>
              <w:keepNext/>
              <w:keepLines/>
              <w:spacing w:after="120"/>
              <w:jc w:val="center"/>
              <w:rPr>
                <w:rFonts w:ascii="Times New Roman" w:hAnsi="Times New Roman"/>
                <w:b/>
                <w:sz w:val="20"/>
                <w:szCs w:val="20"/>
              </w:rPr>
            </w:pPr>
            <w:r>
              <w:rPr>
                <w:rFonts w:ascii="Times New Roman" w:hAnsi="Times New Roman"/>
                <w:b/>
                <w:sz w:val="20"/>
                <w:szCs w:val="20"/>
              </w:rPr>
              <w:t>162 mg Q3W</w:t>
            </w:r>
          </w:p>
          <w:p w14:paraId="79B62D25" w14:textId="77777777" w:rsidR="009700E5" w:rsidRDefault="002C033C">
            <w:pPr>
              <w:pStyle w:val="TextTi9"/>
              <w:keepNext/>
              <w:keepLines/>
              <w:spacing w:after="120"/>
              <w:jc w:val="center"/>
              <w:rPr>
                <w:rFonts w:ascii="Times New Roman" w:hAnsi="Times New Roman"/>
                <w:b/>
                <w:sz w:val="20"/>
                <w:szCs w:val="20"/>
              </w:rPr>
            </w:pPr>
            <w:r>
              <w:rPr>
                <w:rFonts w:ascii="Times New Roman" w:hAnsi="Times New Roman"/>
                <w:b/>
                <w:sz w:val="20"/>
                <w:szCs w:val="20"/>
              </w:rPr>
              <w:t>menej ako 30 kg</w:t>
            </w:r>
          </w:p>
        </w:tc>
      </w:tr>
      <w:tr w:rsidR="009700E5" w14:paraId="2C077649" w14:textId="77777777">
        <w:trPr>
          <w:cantSplit/>
          <w:trHeight w:val="195"/>
        </w:trPr>
        <w:tc>
          <w:tcPr>
            <w:tcW w:w="2518" w:type="dxa"/>
            <w:tcBorders>
              <w:top w:val="single" w:sz="4" w:space="0" w:color="auto"/>
              <w:left w:val="single" w:sz="4" w:space="0" w:color="auto"/>
              <w:bottom w:val="single" w:sz="4" w:space="0" w:color="auto"/>
              <w:right w:val="single" w:sz="4" w:space="0" w:color="auto"/>
            </w:tcBorders>
            <w:hideMark/>
          </w:tcPr>
          <w:p w14:paraId="52539072" w14:textId="77777777" w:rsidR="009700E5" w:rsidRDefault="002C033C">
            <w:pPr>
              <w:pStyle w:val="TextTi9"/>
              <w:keepNext/>
              <w:spacing w:after="120"/>
              <w:rPr>
                <w:rFonts w:ascii="Times New Roman" w:hAnsi="Times New Roman"/>
                <w:sz w:val="20"/>
                <w:szCs w:val="20"/>
              </w:rPr>
            </w:pPr>
            <w:r>
              <w:rPr>
                <w:rFonts w:ascii="Times New Roman" w:hAnsi="Times New Roman"/>
                <w:sz w:val="20"/>
                <w:szCs w:val="20"/>
              </w:rPr>
              <w:t>C</w:t>
            </w:r>
            <w:r>
              <w:rPr>
                <w:rFonts w:ascii="Times New Roman" w:hAnsi="Times New Roman"/>
                <w:sz w:val="20"/>
                <w:szCs w:val="20"/>
                <w:vertAlign w:val="subscript"/>
              </w:rPr>
              <w:t>max</w:t>
            </w:r>
            <w:r>
              <w:rPr>
                <w:rFonts w:ascii="Times New Roman" w:hAnsi="Times New Roman"/>
                <w:sz w:val="20"/>
                <w:szCs w:val="20"/>
              </w:rPr>
              <w:t xml:space="preserve"> (µg/ml)</w:t>
            </w:r>
          </w:p>
        </w:tc>
        <w:tc>
          <w:tcPr>
            <w:tcW w:w="2801" w:type="dxa"/>
            <w:tcBorders>
              <w:top w:val="single" w:sz="4" w:space="0" w:color="auto"/>
              <w:left w:val="single" w:sz="4" w:space="0" w:color="auto"/>
              <w:bottom w:val="single" w:sz="4" w:space="0" w:color="auto"/>
              <w:right w:val="single" w:sz="4" w:space="0" w:color="auto"/>
            </w:tcBorders>
            <w:hideMark/>
          </w:tcPr>
          <w:p w14:paraId="6AD94745" w14:textId="77777777" w:rsidR="009700E5" w:rsidRDefault="002C033C">
            <w:pPr>
              <w:pStyle w:val="TextTi9"/>
              <w:keepNext/>
              <w:spacing w:after="120"/>
              <w:jc w:val="center"/>
              <w:rPr>
                <w:rFonts w:ascii="Times New Roman" w:hAnsi="Times New Roman"/>
                <w:sz w:val="20"/>
                <w:szCs w:val="20"/>
              </w:rPr>
            </w:pPr>
            <w:r>
              <w:rPr>
                <w:rFonts w:ascii="Times New Roman" w:hAnsi="Times New Roman"/>
                <w:sz w:val="20"/>
                <w:szCs w:val="20"/>
              </w:rPr>
              <w:t>29,4</w:t>
            </w:r>
            <w:r>
              <w:rPr>
                <w:rFonts w:ascii="Times New Roman" w:eastAsia="SimSun" w:hAnsi="Times New Roman"/>
                <w:sz w:val="20"/>
                <w:szCs w:val="20"/>
              </w:rPr>
              <w:t> </w:t>
            </w:r>
            <w:r>
              <w:rPr>
                <w:rFonts w:ascii="Times New Roman" w:hAnsi="Times New Roman"/>
                <w:sz w:val="20"/>
                <w:szCs w:val="20"/>
              </w:rPr>
              <w:t>±</w:t>
            </w:r>
            <w:r>
              <w:rPr>
                <w:rFonts w:ascii="Times New Roman" w:eastAsia="SimSun" w:hAnsi="Times New Roman"/>
                <w:sz w:val="20"/>
                <w:szCs w:val="20"/>
              </w:rPr>
              <w:t> </w:t>
            </w:r>
            <w:r>
              <w:rPr>
                <w:rFonts w:ascii="Times New Roman" w:hAnsi="Times New Roman"/>
                <w:sz w:val="20"/>
                <w:szCs w:val="20"/>
              </w:rPr>
              <w:t>13,5</w:t>
            </w:r>
          </w:p>
        </w:tc>
        <w:tc>
          <w:tcPr>
            <w:tcW w:w="3261" w:type="dxa"/>
            <w:tcBorders>
              <w:top w:val="single" w:sz="4" w:space="0" w:color="auto"/>
              <w:left w:val="single" w:sz="4" w:space="0" w:color="auto"/>
              <w:bottom w:val="single" w:sz="4" w:space="0" w:color="auto"/>
              <w:right w:val="single" w:sz="4" w:space="0" w:color="auto"/>
            </w:tcBorders>
            <w:hideMark/>
          </w:tcPr>
          <w:p w14:paraId="2C900473" w14:textId="77777777" w:rsidR="009700E5" w:rsidRDefault="002C033C">
            <w:pPr>
              <w:pStyle w:val="TextTi9"/>
              <w:keepNext/>
              <w:spacing w:after="120"/>
              <w:jc w:val="center"/>
              <w:rPr>
                <w:rFonts w:ascii="Times New Roman" w:hAnsi="Times New Roman"/>
                <w:sz w:val="20"/>
                <w:szCs w:val="20"/>
              </w:rPr>
            </w:pPr>
            <w:r>
              <w:rPr>
                <w:rFonts w:ascii="Times New Roman" w:hAnsi="Times New Roman"/>
                <w:sz w:val="20"/>
                <w:szCs w:val="20"/>
              </w:rPr>
              <w:t>75,5</w:t>
            </w:r>
            <w:r>
              <w:rPr>
                <w:rFonts w:ascii="Times New Roman" w:eastAsia="SimSun" w:hAnsi="Times New Roman"/>
                <w:sz w:val="20"/>
                <w:szCs w:val="20"/>
              </w:rPr>
              <w:t> </w:t>
            </w:r>
            <w:r>
              <w:rPr>
                <w:rFonts w:ascii="Times New Roman" w:hAnsi="Times New Roman"/>
                <w:sz w:val="20"/>
                <w:szCs w:val="20"/>
              </w:rPr>
              <w:t>±</w:t>
            </w:r>
            <w:r>
              <w:rPr>
                <w:rFonts w:ascii="Times New Roman" w:eastAsia="SimSun" w:hAnsi="Times New Roman"/>
                <w:sz w:val="20"/>
                <w:szCs w:val="20"/>
              </w:rPr>
              <w:t> </w:t>
            </w:r>
            <w:r>
              <w:rPr>
                <w:rFonts w:ascii="Times New Roman" w:hAnsi="Times New Roman"/>
                <w:sz w:val="20"/>
                <w:szCs w:val="20"/>
              </w:rPr>
              <w:t>24,1</w:t>
            </w:r>
          </w:p>
        </w:tc>
      </w:tr>
      <w:tr w:rsidR="009700E5" w14:paraId="3F812D7D" w14:textId="77777777">
        <w:trPr>
          <w:cantSplit/>
          <w:trHeight w:val="195"/>
        </w:trPr>
        <w:tc>
          <w:tcPr>
            <w:tcW w:w="2518" w:type="dxa"/>
            <w:tcBorders>
              <w:top w:val="single" w:sz="4" w:space="0" w:color="auto"/>
              <w:left w:val="single" w:sz="4" w:space="0" w:color="auto"/>
              <w:bottom w:val="single" w:sz="4" w:space="0" w:color="auto"/>
              <w:right w:val="single" w:sz="4" w:space="0" w:color="auto"/>
            </w:tcBorders>
            <w:hideMark/>
          </w:tcPr>
          <w:p w14:paraId="3551A570" w14:textId="77777777" w:rsidR="009700E5" w:rsidRDefault="002C033C">
            <w:pPr>
              <w:pStyle w:val="TextTi9"/>
              <w:keepNext/>
              <w:spacing w:after="120"/>
              <w:rPr>
                <w:rFonts w:ascii="Times New Roman" w:hAnsi="Times New Roman"/>
                <w:sz w:val="20"/>
                <w:szCs w:val="20"/>
              </w:rPr>
            </w:pPr>
            <w:r>
              <w:rPr>
                <w:rFonts w:ascii="Times New Roman" w:hAnsi="Times New Roman"/>
                <w:sz w:val="20"/>
                <w:szCs w:val="20"/>
              </w:rPr>
              <w:t>C</w:t>
            </w:r>
            <w:r>
              <w:rPr>
                <w:rFonts w:ascii="Times New Roman" w:hAnsi="Times New Roman"/>
                <w:sz w:val="20"/>
                <w:szCs w:val="20"/>
                <w:vertAlign w:val="subscript"/>
              </w:rPr>
              <w:t>min</w:t>
            </w:r>
            <w:r>
              <w:rPr>
                <w:rFonts w:ascii="Times New Roman" w:hAnsi="Times New Roman"/>
                <w:sz w:val="20"/>
                <w:szCs w:val="20"/>
              </w:rPr>
              <w:t xml:space="preserve"> (µg/ml)</w:t>
            </w:r>
          </w:p>
        </w:tc>
        <w:tc>
          <w:tcPr>
            <w:tcW w:w="2801" w:type="dxa"/>
            <w:tcBorders>
              <w:top w:val="single" w:sz="4" w:space="0" w:color="auto"/>
              <w:left w:val="single" w:sz="4" w:space="0" w:color="auto"/>
              <w:bottom w:val="single" w:sz="4" w:space="0" w:color="auto"/>
              <w:right w:val="single" w:sz="4" w:space="0" w:color="auto"/>
            </w:tcBorders>
            <w:hideMark/>
          </w:tcPr>
          <w:p w14:paraId="18448824" w14:textId="77777777" w:rsidR="009700E5" w:rsidRDefault="002C033C">
            <w:pPr>
              <w:pStyle w:val="TextTi9"/>
              <w:keepNext/>
              <w:spacing w:after="120"/>
              <w:jc w:val="center"/>
              <w:rPr>
                <w:rFonts w:ascii="Times New Roman" w:hAnsi="Times New Roman"/>
                <w:sz w:val="20"/>
                <w:szCs w:val="20"/>
              </w:rPr>
            </w:pPr>
            <w:r>
              <w:rPr>
                <w:rFonts w:ascii="Times New Roman" w:hAnsi="Times New Roman"/>
                <w:sz w:val="20"/>
                <w:szCs w:val="20"/>
              </w:rPr>
              <w:t>11,8</w:t>
            </w:r>
            <w:r>
              <w:rPr>
                <w:rFonts w:ascii="Times New Roman" w:eastAsia="SimSun" w:hAnsi="Times New Roman"/>
                <w:sz w:val="20"/>
                <w:szCs w:val="20"/>
              </w:rPr>
              <w:t> </w:t>
            </w:r>
            <w:r>
              <w:rPr>
                <w:rFonts w:ascii="Times New Roman" w:hAnsi="Times New Roman"/>
                <w:sz w:val="20"/>
                <w:szCs w:val="20"/>
              </w:rPr>
              <w:t>±</w:t>
            </w:r>
            <w:r>
              <w:rPr>
                <w:rFonts w:ascii="Times New Roman" w:eastAsia="SimSun" w:hAnsi="Times New Roman"/>
                <w:sz w:val="20"/>
                <w:szCs w:val="20"/>
              </w:rPr>
              <w:t> </w:t>
            </w:r>
            <w:r>
              <w:rPr>
                <w:rFonts w:ascii="Times New Roman" w:hAnsi="Times New Roman"/>
                <w:sz w:val="20"/>
                <w:szCs w:val="20"/>
              </w:rPr>
              <w:t>7,08</w:t>
            </w:r>
          </w:p>
        </w:tc>
        <w:tc>
          <w:tcPr>
            <w:tcW w:w="3261" w:type="dxa"/>
            <w:tcBorders>
              <w:top w:val="single" w:sz="4" w:space="0" w:color="auto"/>
              <w:left w:val="single" w:sz="4" w:space="0" w:color="auto"/>
              <w:bottom w:val="single" w:sz="4" w:space="0" w:color="auto"/>
              <w:right w:val="single" w:sz="4" w:space="0" w:color="auto"/>
            </w:tcBorders>
            <w:hideMark/>
          </w:tcPr>
          <w:p w14:paraId="18278760" w14:textId="77777777" w:rsidR="009700E5" w:rsidRDefault="002C033C">
            <w:pPr>
              <w:pStyle w:val="TextTi9"/>
              <w:keepNext/>
              <w:spacing w:after="120"/>
              <w:jc w:val="center"/>
              <w:rPr>
                <w:rFonts w:ascii="Times New Roman" w:hAnsi="Times New Roman"/>
                <w:sz w:val="20"/>
                <w:szCs w:val="20"/>
              </w:rPr>
            </w:pPr>
            <w:r>
              <w:rPr>
                <w:rFonts w:ascii="Times New Roman" w:hAnsi="Times New Roman"/>
                <w:sz w:val="20"/>
                <w:szCs w:val="20"/>
              </w:rPr>
              <w:t>18,4</w:t>
            </w:r>
            <w:r>
              <w:rPr>
                <w:rFonts w:ascii="Times New Roman" w:eastAsia="SimSun" w:hAnsi="Times New Roman"/>
                <w:sz w:val="20"/>
                <w:szCs w:val="20"/>
              </w:rPr>
              <w:t> </w:t>
            </w:r>
            <w:r>
              <w:rPr>
                <w:rFonts w:ascii="Times New Roman" w:hAnsi="Times New Roman"/>
                <w:sz w:val="20"/>
                <w:szCs w:val="20"/>
              </w:rPr>
              <w:t>±</w:t>
            </w:r>
            <w:r>
              <w:rPr>
                <w:rFonts w:ascii="Times New Roman" w:eastAsia="SimSun" w:hAnsi="Times New Roman"/>
                <w:sz w:val="20"/>
                <w:szCs w:val="20"/>
              </w:rPr>
              <w:t> </w:t>
            </w:r>
            <w:r>
              <w:rPr>
                <w:rFonts w:ascii="Times New Roman" w:hAnsi="Times New Roman"/>
                <w:sz w:val="20"/>
                <w:szCs w:val="20"/>
              </w:rPr>
              <w:t>12,9</w:t>
            </w:r>
          </w:p>
        </w:tc>
      </w:tr>
      <w:tr w:rsidR="009700E5" w14:paraId="67340919" w14:textId="77777777">
        <w:trPr>
          <w:cantSplit/>
          <w:trHeight w:val="324"/>
        </w:trPr>
        <w:tc>
          <w:tcPr>
            <w:tcW w:w="2518" w:type="dxa"/>
            <w:tcBorders>
              <w:top w:val="single" w:sz="4" w:space="0" w:color="auto"/>
              <w:left w:val="single" w:sz="4" w:space="0" w:color="auto"/>
              <w:bottom w:val="single" w:sz="4" w:space="0" w:color="auto"/>
              <w:right w:val="single" w:sz="4" w:space="0" w:color="auto"/>
            </w:tcBorders>
            <w:hideMark/>
          </w:tcPr>
          <w:p w14:paraId="59BAF66A" w14:textId="77777777" w:rsidR="009700E5" w:rsidRDefault="002C033C">
            <w:pPr>
              <w:pStyle w:val="TextTi9"/>
              <w:keepNext/>
              <w:spacing w:after="120"/>
              <w:rPr>
                <w:rFonts w:ascii="Times New Roman" w:hAnsi="Times New Roman"/>
                <w:sz w:val="20"/>
                <w:szCs w:val="20"/>
              </w:rPr>
            </w:pPr>
            <w:r>
              <w:rPr>
                <w:rFonts w:ascii="Times New Roman" w:hAnsi="Times New Roman"/>
                <w:sz w:val="20"/>
                <w:szCs w:val="20"/>
              </w:rPr>
              <w:t>C</w:t>
            </w:r>
            <w:r>
              <w:rPr>
                <w:rFonts w:ascii="Times New Roman" w:hAnsi="Times New Roman"/>
                <w:sz w:val="20"/>
                <w:szCs w:val="20"/>
                <w:vertAlign w:val="subscript"/>
              </w:rPr>
              <w:t>mean</w:t>
            </w:r>
            <w:r>
              <w:rPr>
                <w:rFonts w:ascii="Times New Roman" w:hAnsi="Times New Roman"/>
                <w:sz w:val="20"/>
                <w:szCs w:val="20"/>
              </w:rPr>
              <w:t xml:space="preserve"> (µg/ml)</w:t>
            </w:r>
          </w:p>
        </w:tc>
        <w:tc>
          <w:tcPr>
            <w:tcW w:w="2801" w:type="dxa"/>
            <w:tcBorders>
              <w:top w:val="single" w:sz="4" w:space="0" w:color="auto"/>
              <w:left w:val="single" w:sz="4" w:space="0" w:color="auto"/>
              <w:bottom w:val="single" w:sz="4" w:space="0" w:color="auto"/>
              <w:right w:val="single" w:sz="4" w:space="0" w:color="auto"/>
            </w:tcBorders>
            <w:hideMark/>
          </w:tcPr>
          <w:p w14:paraId="748C30D3" w14:textId="77777777" w:rsidR="009700E5" w:rsidRDefault="002C033C">
            <w:pPr>
              <w:pStyle w:val="TextTi9"/>
              <w:keepNext/>
              <w:spacing w:after="120"/>
              <w:jc w:val="center"/>
              <w:rPr>
                <w:rFonts w:ascii="Times New Roman" w:hAnsi="Times New Roman"/>
                <w:sz w:val="20"/>
                <w:szCs w:val="20"/>
              </w:rPr>
            </w:pPr>
            <w:r>
              <w:rPr>
                <w:rFonts w:ascii="Times New Roman" w:hAnsi="Times New Roman"/>
                <w:sz w:val="20"/>
                <w:szCs w:val="20"/>
              </w:rPr>
              <w:t>21,7</w:t>
            </w:r>
            <w:r>
              <w:rPr>
                <w:rFonts w:ascii="Times New Roman" w:eastAsia="SimSun" w:hAnsi="Times New Roman"/>
                <w:sz w:val="20"/>
                <w:szCs w:val="20"/>
              </w:rPr>
              <w:t> </w:t>
            </w:r>
            <w:r>
              <w:rPr>
                <w:rFonts w:ascii="Times New Roman" w:hAnsi="Times New Roman"/>
                <w:sz w:val="20"/>
                <w:szCs w:val="20"/>
              </w:rPr>
              <w:t>±</w:t>
            </w:r>
            <w:r>
              <w:rPr>
                <w:rFonts w:ascii="Times New Roman" w:eastAsia="SimSun" w:hAnsi="Times New Roman"/>
                <w:sz w:val="20"/>
                <w:szCs w:val="20"/>
              </w:rPr>
              <w:t> </w:t>
            </w:r>
            <w:r>
              <w:rPr>
                <w:rFonts w:ascii="Times New Roman" w:hAnsi="Times New Roman"/>
                <w:sz w:val="20"/>
                <w:szCs w:val="20"/>
              </w:rPr>
              <w:t>10,4</w:t>
            </w:r>
          </w:p>
        </w:tc>
        <w:tc>
          <w:tcPr>
            <w:tcW w:w="3261" w:type="dxa"/>
            <w:tcBorders>
              <w:top w:val="single" w:sz="4" w:space="0" w:color="auto"/>
              <w:left w:val="single" w:sz="4" w:space="0" w:color="auto"/>
              <w:bottom w:val="single" w:sz="4" w:space="0" w:color="auto"/>
              <w:right w:val="single" w:sz="4" w:space="0" w:color="auto"/>
            </w:tcBorders>
            <w:hideMark/>
          </w:tcPr>
          <w:p w14:paraId="4139F335" w14:textId="77777777" w:rsidR="009700E5" w:rsidRDefault="002C033C">
            <w:pPr>
              <w:pStyle w:val="TextTi9"/>
              <w:keepNext/>
              <w:spacing w:after="120"/>
              <w:jc w:val="center"/>
              <w:rPr>
                <w:rFonts w:ascii="Times New Roman" w:hAnsi="Times New Roman"/>
                <w:sz w:val="20"/>
                <w:szCs w:val="20"/>
              </w:rPr>
            </w:pPr>
            <w:r>
              <w:rPr>
                <w:rFonts w:ascii="Times New Roman" w:hAnsi="Times New Roman"/>
                <w:sz w:val="20"/>
                <w:szCs w:val="20"/>
              </w:rPr>
              <w:t>45,5</w:t>
            </w:r>
            <w:r>
              <w:rPr>
                <w:rFonts w:ascii="Times New Roman" w:eastAsia="SimSun" w:hAnsi="Times New Roman"/>
                <w:sz w:val="20"/>
                <w:szCs w:val="20"/>
              </w:rPr>
              <w:t> </w:t>
            </w:r>
            <w:r>
              <w:rPr>
                <w:rFonts w:ascii="Times New Roman" w:hAnsi="Times New Roman"/>
                <w:sz w:val="20"/>
                <w:szCs w:val="20"/>
              </w:rPr>
              <w:t>±</w:t>
            </w:r>
            <w:r>
              <w:rPr>
                <w:rFonts w:ascii="Times New Roman" w:eastAsia="SimSun" w:hAnsi="Times New Roman"/>
                <w:sz w:val="20"/>
                <w:szCs w:val="20"/>
              </w:rPr>
              <w:t> </w:t>
            </w:r>
            <w:r>
              <w:rPr>
                <w:rFonts w:ascii="Times New Roman" w:hAnsi="Times New Roman"/>
                <w:sz w:val="20"/>
                <w:szCs w:val="20"/>
              </w:rPr>
              <w:t>19,8</w:t>
            </w:r>
          </w:p>
        </w:tc>
      </w:tr>
      <w:tr w:rsidR="009700E5" w14:paraId="48B9C803" w14:textId="77777777">
        <w:trPr>
          <w:cantSplit/>
          <w:trHeight w:val="324"/>
        </w:trPr>
        <w:tc>
          <w:tcPr>
            <w:tcW w:w="2518" w:type="dxa"/>
            <w:tcBorders>
              <w:top w:val="single" w:sz="4" w:space="0" w:color="auto"/>
              <w:left w:val="single" w:sz="4" w:space="0" w:color="auto"/>
              <w:bottom w:val="single" w:sz="4" w:space="0" w:color="auto"/>
              <w:right w:val="single" w:sz="4" w:space="0" w:color="auto"/>
            </w:tcBorders>
            <w:hideMark/>
          </w:tcPr>
          <w:p w14:paraId="524E03E9" w14:textId="77777777" w:rsidR="009700E5" w:rsidRDefault="002C033C">
            <w:pPr>
              <w:pStyle w:val="TextTi9"/>
              <w:spacing w:after="120"/>
              <w:rPr>
                <w:rFonts w:ascii="Times New Roman" w:hAnsi="Times New Roman"/>
                <w:sz w:val="20"/>
                <w:szCs w:val="20"/>
              </w:rPr>
            </w:pPr>
            <w:r>
              <w:rPr>
                <w:rFonts w:ascii="Times New Roman" w:hAnsi="Times New Roman"/>
                <w:sz w:val="20"/>
                <w:szCs w:val="20"/>
              </w:rPr>
              <w:t>Kumulácia z hľadiska C</w:t>
            </w:r>
            <w:r>
              <w:rPr>
                <w:rFonts w:ascii="Times New Roman" w:hAnsi="Times New Roman"/>
                <w:sz w:val="20"/>
                <w:szCs w:val="20"/>
                <w:vertAlign w:val="subscript"/>
              </w:rPr>
              <w:t>max</w:t>
            </w:r>
          </w:p>
        </w:tc>
        <w:tc>
          <w:tcPr>
            <w:tcW w:w="2801" w:type="dxa"/>
            <w:tcBorders>
              <w:top w:val="single" w:sz="4" w:space="0" w:color="auto"/>
              <w:left w:val="single" w:sz="4" w:space="0" w:color="auto"/>
              <w:bottom w:val="single" w:sz="4" w:space="0" w:color="auto"/>
              <w:right w:val="single" w:sz="4" w:space="0" w:color="auto"/>
            </w:tcBorders>
          </w:tcPr>
          <w:p w14:paraId="15F8D6D7" w14:textId="77777777" w:rsidR="009700E5" w:rsidRDefault="002C033C">
            <w:pPr>
              <w:pStyle w:val="TextTi9"/>
              <w:spacing w:after="120"/>
              <w:jc w:val="center"/>
              <w:rPr>
                <w:rFonts w:ascii="Times New Roman" w:hAnsi="Times New Roman"/>
                <w:sz w:val="20"/>
                <w:szCs w:val="20"/>
              </w:rPr>
            </w:pPr>
            <w:r>
              <w:rPr>
                <w:rFonts w:ascii="Times New Roman" w:hAnsi="Times New Roman"/>
                <w:sz w:val="20"/>
                <w:szCs w:val="20"/>
              </w:rPr>
              <w:t>1,72</w:t>
            </w:r>
          </w:p>
        </w:tc>
        <w:tc>
          <w:tcPr>
            <w:tcW w:w="3261" w:type="dxa"/>
            <w:tcBorders>
              <w:top w:val="single" w:sz="4" w:space="0" w:color="auto"/>
              <w:left w:val="single" w:sz="4" w:space="0" w:color="auto"/>
              <w:bottom w:val="single" w:sz="4" w:space="0" w:color="auto"/>
              <w:right w:val="single" w:sz="4" w:space="0" w:color="auto"/>
            </w:tcBorders>
          </w:tcPr>
          <w:p w14:paraId="0656BDBE" w14:textId="77777777" w:rsidR="009700E5" w:rsidRDefault="002C033C">
            <w:pPr>
              <w:pStyle w:val="TextTi9"/>
              <w:spacing w:after="120"/>
              <w:jc w:val="center"/>
              <w:rPr>
                <w:rFonts w:ascii="Times New Roman" w:hAnsi="Times New Roman"/>
                <w:sz w:val="20"/>
                <w:szCs w:val="20"/>
              </w:rPr>
            </w:pPr>
            <w:r>
              <w:rPr>
                <w:rFonts w:ascii="Times New Roman" w:hAnsi="Times New Roman"/>
                <w:sz w:val="20"/>
                <w:szCs w:val="20"/>
              </w:rPr>
              <w:t>1,32</w:t>
            </w:r>
          </w:p>
        </w:tc>
      </w:tr>
      <w:tr w:rsidR="009700E5" w14:paraId="0BDAADC8" w14:textId="77777777">
        <w:trPr>
          <w:cantSplit/>
          <w:trHeight w:val="331"/>
        </w:trPr>
        <w:tc>
          <w:tcPr>
            <w:tcW w:w="2518" w:type="dxa"/>
            <w:tcBorders>
              <w:top w:val="single" w:sz="4" w:space="0" w:color="auto"/>
              <w:left w:val="single" w:sz="4" w:space="0" w:color="auto"/>
              <w:bottom w:val="single" w:sz="4" w:space="0" w:color="auto"/>
              <w:right w:val="single" w:sz="4" w:space="0" w:color="auto"/>
            </w:tcBorders>
            <w:hideMark/>
          </w:tcPr>
          <w:p w14:paraId="1A3AF874" w14:textId="77777777" w:rsidR="009700E5" w:rsidRDefault="002C033C">
            <w:pPr>
              <w:pStyle w:val="TextTi9"/>
              <w:spacing w:after="120"/>
              <w:rPr>
                <w:rFonts w:ascii="Times New Roman" w:hAnsi="Times New Roman"/>
                <w:sz w:val="20"/>
                <w:szCs w:val="20"/>
              </w:rPr>
            </w:pPr>
            <w:r>
              <w:rPr>
                <w:rFonts w:ascii="Times New Roman" w:hAnsi="Times New Roman"/>
                <w:sz w:val="20"/>
                <w:szCs w:val="20"/>
              </w:rPr>
              <w:t>Kumulácia z hľadiska C</w:t>
            </w:r>
            <w:r>
              <w:rPr>
                <w:rFonts w:ascii="Times New Roman" w:hAnsi="Times New Roman"/>
                <w:sz w:val="20"/>
                <w:szCs w:val="20"/>
                <w:vertAlign w:val="subscript"/>
              </w:rPr>
              <w:t>min</w:t>
            </w:r>
          </w:p>
        </w:tc>
        <w:tc>
          <w:tcPr>
            <w:tcW w:w="2801" w:type="dxa"/>
            <w:tcBorders>
              <w:top w:val="single" w:sz="4" w:space="0" w:color="auto"/>
              <w:left w:val="single" w:sz="4" w:space="0" w:color="auto"/>
              <w:bottom w:val="single" w:sz="4" w:space="0" w:color="auto"/>
              <w:right w:val="single" w:sz="4" w:space="0" w:color="auto"/>
            </w:tcBorders>
          </w:tcPr>
          <w:p w14:paraId="635A3A0D" w14:textId="77777777" w:rsidR="009700E5" w:rsidRDefault="002C033C">
            <w:pPr>
              <w:pStyle w:val="TextTi9"/>
              <w:spacing w:after="120"/>
              <w:jc w:val="center"/>
              <w:rPr>
                <w:rFonts w:ascii="Times New Roman" w:hAnsi="Times New Roman"/>
                <w:sz w:val="20"/>
                <w:szCs w:val="20"/>
              </w:rPr>
            </w:pPr>
            <w:r>
              <w:rPr>
                <w:rFonts w:ascii="Times New Roman" w:hAnsi="Times New Roman"/>
                <w:sz w:val="20"/>
                <w:szCs w:val="20"/>
              </w:rPr>
              <w:t>3,58</w:t>
            </w:r>
          </w:p>
        </w:tc>
        <w:tc>
          <w:tcPr>
            <w:tcW w:w="3261" w:type="dxa"/>
            <w:tcBorders>
              <w:top w:val="single" w:sz="4" w:space="0" w:color="auto"/>
              <w:left w:val="single" w:sz="4" w:space="0" w:color="auto"/>
              <w:bottom w:val="single" w:sz="4" w:space="0" w:color="auto"/>
              <w:right w:val="single" w:sz="4" w:space="0" w:color="auto"/>
            </w:tcBorders>
          </w:tcPr>
          <w:p w14:paraId="1772029B" w14:textId="77777777" w:rsidR="009700E5" w:rsidRDefault="002C033C">
            <w:pPr>
              <w:pStyle w:val="TextTi9"/>
              <w:spacing w:after="120"/>
              <w:jc w:val="center"/>
              <w:rPr>
                <w:rFonts w:ascii="Times New Roman" w:hAnsi="Times New Roman"/>
                <w:sz w:val="20"/>
                <w:szCs w:val="20"/>
              </w:rPr>
            </w:pPr>
            <w:r>
              <w:rPr>
                <w:rFonts w:ascii="Times New Roman" w:hAnsi="Times New Roman"/>
                <w:sz w:val="20"/>
                <w:szCs w:val="20"/>
              </w:rPr>
              <w:t>2,08</w:t>
            </w:r>
          </w:p>
        </w:tc>
      </w:tr>
      <w:tr w:rsidR="009700E5" w14:paraId="0F3C7652" w14:textId="77777777">
        <w:trPr>
          <w:cantSplit/>
          <w:trHeight w:val="331"/>
        </w:trPr>
        <w:tc>
          <w:tcPr>
            <w:tcW w:w="2518" w:type="dxa"/>
            <w:tcBorders>
              <w:top w:val="single" w:sz="4" w:space="0" w:color="auto"/>
              <w:left w:val="single" w:sz="4" w:space="0" w:color="auto"/>
              <w:bottom w:val="single" w:sz="4" w:space="0" w:color="auto"/>
              <w:right w:val="single" w:sz="4" w:space="0" w:color="auto"/>
            </w:tcBorders>
          </w:tcPr>
          <w:p w14:paraId="5F499158" w14:textId="77777777" w:rsidR="009700E5" w:rsidRDefault="002C033C">
            <w:pPr>
              <w:pStyle w:val="TextTi9"/>
              <w:spacing w:after="120"/>
              <w:rPr>
                <w:rFonts w:ascii="Times New Roman" w:hAnsi="Times New Roman"/>
                <w:sz w:val="20"/>
                <w:szCs w:val="20"/>
              </w:rPr>
            </w:pPr>
            <w:r>
              <w:rPr>
                <w:rFonts w:ascii="Times New Roman" w:hAnsi="Times New Roman"/>
                <w:sz w:val="20"/>
                <w:szCs w:val="20"/>
              </w:rPr>
              <w:t>Kumulácia z hľadiska C</w:t>
            </w:r>
            <w:r>
              <w:rPr>
                <w:rFonts w:ascii="Times New Roman" w:hAnsi="Times New Roman"/>
                <w:sz w:val="20"/>
                <w:szCs w:val="20"/>
                <w:vertAlign w:val="subscript"/>
              </w:rPr>
              <w:t>mean</w:t>
            </w:r>
            <w:r>
              <w:rPr>
                <w:rFonts w:ascii="Times New Roman" w:hAnsi="Times New Roman"/>
                <w:sz w:val="20"/>
                <w:szCs w:val="20"/>
              </w:rPr>
              <w:t xml:space="preserve"> alebo AUC</w:t>
            </w:r>
            <w:r>
              <w:rPr>
                <w:rFonts w:ascii="Times New Roman" w:hAnsi="Times New Roman"/>
                <w:sz w:val="20"/>
                <w:szCs w:val="20"/>
                <w:vertAlign w:val="subscript"/>
              </w:rPr>
              <w:t>τ</w:t>
            </w:r>
            <w:r>
              <w:rPr>
                <w:rFonts w:ascii="Times New Roman" w:hAnsi="Times New Roman"/>
                <w:sz w:val="20"/>
                <w:szCs w:val="20"/>
              </w:rPr>
              <w:t xml:space="preserve"> *</w:t>
            </w:r>
          </w:p>
        </w:tc>
        <w:tc>
          <w:tcPr>
            <w:tcW w:w="2801" w:type="dxa"/>
            <w:tcBorders>
              <w:top w:val="single" w:sz="4" w:space="0" w:color="auto"/>
              <w:left w:val="single" w:sz="4" w:space="0" w:color="auto"/>
              <w:bottom w:val="single" w:sz="4" w:space="0" w:color="auto"/>
              <w:right w:val="single" w:sz="4" w:space="0" w:color="auto"/>
            </w:tcBorders>
          </w:tcPr>
          <w:p w14:paraId="2459C5F2" w14:textId="77777777" w:rsidR="009700E5" w:rsidRDefault="002C033C">
            <w:pPr>
              <w:pStyle w:val="TextTi9"/>
              <w:spacing w:after="120"/>
              <w:jc w:val="center"/>
              <w:rPr>
                <w:rFonts w:ascii="Times New Roman" w:hAnsi="Times New Roman"/>
                <w:sz w:val="20"/>
                <w:szCs w:val="20"/>
              </w:rPr>
            </w:pPr>
            <w:r>
              <w:rPr>
                <w:rFonts w:ascii="Times New Roman" w:hAnsi="Times New Roman"/>
                <w:sz w:val="20"/>
                <w:szCs w:val="20"/>
              </w:rPr>
              <w:t>2,04</w:t>
            </w:r>
          </w:p>
        </w:tc>
        <w:tc>
          <w:tcPr>
            <w:tcW w:w="3261" w:type="dxa"/>
            <w:tcBorders>
              <w:top w:val="single" w:sz="4" w:space="0" w:color="auto"/>
              <w:left w:val="single" w:sz="4" w:space="0" w:color="auto"/>
              <w:bottom w:val="single" w:sz="4" w:space="0" w:color="auto"/>
              <w:right w:val="single" w:sz="4" w:space="0" w:color="auto"/>
            </w:tcBorders>
          </w:tcPr>
          <w:p w14:paraId="230B9AC0" w14:textId="77777777" w:rsidR="009700E5" w:rsidRDefault="002C033C">
            <w:pPr>
              <w:pStyle w:val="TextTi9"/>
              <w:spacing w:after="120"/>
              <w:jc w:val="center"/>
              <w:rPr>
                <w:rFonts w:ascii="Times New Roman" w:hAnsi="Times New Roman"/>
                <w:sz w:val="20"/>
                <w:szCs w:val="20"/>
              </w:rPr>
            </w:pPr>
            <w:r>
              <w:rPr>
                <w:rFonts w:ascii="Times New Roman" w:hAnsi="Times New Roman"/>
                <w:sz w:val="20"/>
                <w:szCs w:val="20"/>
              </w:rPr>
              <w:t>1,46</w:t>
            </w:r>
          </w:p>
        </w:tc>
      </w:tr>
    </w:tbl>
    <w:p w14:paraId="1D93CE9B" w14:textId="77777777" w:rsidR="009700E5" w:rsidRDefault="002C033C">
      <w:pPr>
        <w:rPr>
          <w:sz w:val="18"/>
          <w:szCs w:val="18"/>
        </w:rPr>
      </w:pPr>
      <w:r>
        <w:rPr>
          <w:sz w:val="18"/>
          <w:szCs w:val="18"/>
        </w:rPr>
        <w:t>*τ = 2 týždne alebo 3 týždne pri dvoch režimoch so subkutánnou dávkou</w:t>
      </w:r>
    </w:p>
    <w:p w14:paraId="4A69C73B" w14:textId="77777777" w:rsidR="009700E5" w:rsidRDefault="009700E5">
      <w:pPr>
        <w:numPr>
          <w:ilvl w:val="12"/>
          <w:numId w:val="0"/>
        </w:numPr>
        <w:rPr>
          <w:iCs/>
          <w:szCs w:val="22"/>
        </w:rPr>
      </w:pPr>
    </w:p>
    <w:p w14:paraId="570D01BE" w14:textId="77777777" w:rsidR="009700E5" w:rsidRDefault="002C033C">
      <w:pPr>
        <w:numPr>
          <w:ilvl w:val="12"/>
          <w:numId w:val="0"/>
        </w:numPr>
        <w:rPr>
          <w:szCs w:val="22"/>
        </w:rPr>
      </w:pPr>
      <w:r>
        <w:rPr>
          <w:szCs w:val="22"/>
        </w:rPr>
        <w:t>Po intravenóznom podávaní sa približne 90 % rovnovážneho stavu dosiahlo do 12. týždňa pri dávke 10 mg/kg (telesná hmotnosť </w:t>
      </w:r>
      <w:r>
        <w:rPr>
          <w:rFonts w:eastAsia="MS Mincho"/>
          <w:szCs w:val="22"/>
        </w:rPr>
        <w:sym w:font="Symbol" w:char="F03C"/>
      </w:r>
      <w:r>
        <w:rPr>
          <w:szCs w:val="22"/>
        </w:rPr>
        <w:t> 30 kg) a do 16. týždňa pri dávke 8 mg/kg (telesná hmotnosť ≥ 30 kg). Po subkutánnom podávaní sa približne 90 % rovnovážneho stavu dosiahlo do 12. týždňa pri režime so subkutánnou dávkou 162 mg Q2W aj pri režime so subkutánnou dávkou 162 mg Q3W.</w:t>
      </w:r>
    </w:p>
    <w:p w14:paraId="2908B1AA" w14:textId="77777777" w:rsidR="009700E5" w:rsidRDefault="009700E5">
      <w:pPr>
        <w:numPr>
          <w:ilvl w:val="12"/>
          <w:numId w:val="0"/>
        </w:numPr>
        <w:rPr>
          <w:iCs/>
          <w:szCs w:val="22"/>
        </w:rPr>
      </w:pPr>
    </w:p>
    <w:p w14:paraId="4D947FDA" w14:textId="77777777" w:rsidR="009700E5" w:rsidRDefault="002C033C">
      <w:pPr>
        <w:numPr>
          <w:ilvl w:val="12"/>
          <w:numId w:val="0"/>
        </w:numPr>
        <w:ind w:right="-2"/>
        <w:rPr>
          <w:i/>
          <w:u w:val="single"/>
        </w:rPr>
      </w:pPr>
      <w:r>
        <w:rPr>
          <w:i/>
          <w:u w:val="single"/>
        </w:rPr>
        <w:t>Absorpcia</w:t>
      </w:r>
    </w:p>
    <w:p w14:paraId="54F9B7C5" w14:textId="77777777" w:rsidR="009700E5" w:rsidRDefault="002C033C">
      <w:pPr>
        <w:numPr>
          <w:ilvl w:val="12"/>
          <w:numId w:val="0"/>
        </w:numPr>
        <w:ind w:right="-2"/>
        <w:rPr>
          <w:iCs/>
        </w:rPr>
      </w:pPr>
      <w:r>
        <w:rPr>
          <w:iCs/>
        </w:rPr>
        <w:t xml:space="preserve">Po </w:t>
      </w:r>
      <w:r>
        <w:rPr>
          <w:szCs w:val="22"/>
        </w:rPr>
        <w:t>subkutánnom</w:t>
      </w:r>
      <w:r>
        <w:rPr>
          <w:iCs/>
        </w:rPr>
        <w:t xml:space="preserve"> podávaní pacientom s pJIA bol polčas absorpcie približne 2 dni a biologická dostupnosť </w:t>
      </w:r>
      <w:r>
        <w:rPr>
          <w:szCs w:val="22"/>
        </w:rPr>
        <w:t>subkutánnej</w:t>
      </w:r>
      <w:r>
        <w:rPr>
          <w:iCs/>
        </w:rPr>
        <w:t xml:space="preserve"> formy u pacientov s pJIA bola 96 %.</w:t>
      </w:r>
    </w:p>
    <w:p w14:paraId="0B0BD7C9" w14:textId="77777777" w:rsidR="009700E5" w:rsidRDefault="009700E5">
      <w:pPr>
        <w:rPr>
          <w:szCs w:val="22"/>
          <w:lang w:eastAsia="de-DE"/>
        </w:rPr>
      </w:pPr>
    </w:p>
    <w:p w14:paraId="6061FDFA" w14:textId="77777777" w:rsidR="009700E5" w:rsidRDefault="002C033C">
      <w:pPr>
        <w:keepNext/>
        <w:keepLines/>
        <w:rPr>
          <w:i/>
          <w:iCs/>
          <w:szCs w:val="22"/>
          <w:u w:val="single"/>
          <w:lang w:eastAsia="de-DE"/>
        </w:rPr>
      </w:pPr>
      <w:r>
        <w:rPr>
          <w:i/>
          <w:iCs/>
          <w:szCs w:val="22"/>
          <w:u w:val="single"/>
          <w:lang w:eastAsia="de-DE"/>
        </w:rPr>
        <w:lastRenderedPageBreak/>
        <w:t>Distribúcia</w:t>
      </w:r>
    </w:p>
    <w:p w14:paraId="2A59565C" w14:textId="77777777" w:rsidR="009700E5" w:rsidRDefault="002C033C">
      <w:pPr>
        <w:rPr>
          <w:szCs w:val="22"/>
          <w:lang w:eastAsia="de-DE"/>
        </w:rPr>
      </w:pPr>
      <w:r>
        <w:rPr>
          <w:szCs w:val="22"/>
          <w:lang w:eastAsia="de-DE"/>
        </w:rPr>
        <w:t>U pediatrických pacientov s pJIA bol distribučný objem centrálneho kompartmentu 1,97 l; distribučný objem periférneho kompartmentu 2,03 l; čo malo za následok distribučný objem 4,0 l v rovnovážnom stave.</w:t>
      </w:r>
    </w:p>
    <w:p w14:paraId="4052C889" w14:textId="77777777" w:rsidR="009700E5" w:rsidRDefault="009700E5">
      <w:pPr>
        <w:spacing w:line="280" w:lineRule="atLeast"/>
        <w:rPr>
          <w:iCs/>
          <w:szCs w:val="22"/>
          <w:highlight w:val="yellow"/>
          <w:lang w:eastAsia="de-DE"/>
        </w:rPr>
      </w:pPr>
    </w:p>
    <w:p w14:paraId="42E403B0" w14:textId="77777777" w:rsidR="009700E5" w:rsidRDefault="002C033C">
      <w:pPr>
        <w:keepNext/>
        <w:keepLines/>
        <w:numPr>
          <w:ilvl w:val="12"/>
          <w:numId w:val="0"/>
        </w:numPr>
        <w:ind w:right="-2"/>
        <w:rPr>
          <w:i/>
          <w:szCs w:val="22"/>
          <w:u w:val="single"/>
        </w:rPr>
      </w:pPr>
      <w:r>
        <w:rPr>
          <w:i/>
          <w:szCs w:val="22"/>
          <w:u w:val="single"/>
        </w:rPr>
        <w:t>Eliminácia</w:t>
      </w:r>
    </w:p>
    <w:p w14:paraId="406E6190" w14:textId="77777777" w:rsidR="009700E5" w:rsidRDefault="002C033C">
      <w:pPr>
        <w:keepNext/>
        <w:keepLines/>
      </w:pPr>
      <w:r>
        <w:rPr>
          <w:szCs w:val="22"/>
          <w:lang w:eastAsia="de-DE"/>
        </w:rPr>
        <w:t>Populačné farmakokinetické analýzy u pacientov s pJIA preukázali vplyv veľkosti tela na lineárny klírens, z čoho vyplýva, že sa má vziať do úvahy dávkovanie odvodené od telesnej hmotnosti (pozri tabuľku 9).</w:t>
      </w:r>
    </w:p>
    <w:p w14:paraId="65A196FE" w14:textId="77777777" w:rsidR="009700E5" w:rsidRDefault="009700E5">
      <w:pPr>
        <w:rPr>
          <w:szCs w:val="22"/>
          <w:lang w:eastAsia="de-DE"/>
        </w:rPr>
      </w:pPr>
    </w:p>
    <w:p w14:paraId="032A8BA2" w14:textId="77777777" w:rsidR="009700E5" w:rsidRDefault="002C033C">
      <w:pPr>
        <w:keepNext/>
        <w:keepLines/>
        <w:numPr>
          <w:ilvl w:val="12"/>
          <w:numId w:val="0"/>
        </w:numPr>
      </w:pPr>
      <w:r>
        <w:t>Po subkutánnom podávaní je efektívny t</w:t>
      </w:r>
      <w:r>
        <w:rPr>
          <w:vertAlign w:val="subscript"/>
        </w:rPr>
        <w:t>1/2</w:t>
      </w:r>
      <w:r>
        <w:t xml:space="preserve"> tocilizumabu</w:t>
      </w:r>
      <w:r>
        <w:rPr>
          <w:iCs/>
          <w:szCs w:val="22"/>
        </w:rPr>
        <w:t xml:space="preserve"> u pacientov s </w:t>
      </w:r>
      <w:r>
        <w:t>pJIA až 10 dní u pacientov s telesnou hmotnosťou </w:t>
      </w:r>
      <w:r>
        <w:rPr>
          <w:rFonts w:eastAsia="MS Mincho"/>
          <w:szCs w:val="22"/>
        </w:rPr>
        <w:sym w:font="Symbol" w:char="F03C"/>
      </w:r>
      <w:r>
        <w:rPr>
          <w:color w:val="000000"/>
          <w:szCs w:val="22"/>
          <w:shd w:val="clear" w:color="auto" w:fill="FFFFFF"/>
        </w:rPr>
        <w:t> </w:t>
      </w:r>
      <w:r>
        <w:t>30 kg (</w:t>
      </w:r>
      <w:r>
        <w:rPr>
          <w:szCs w:val="22"/>
        </w:rPr>
        <w:t xml:space="preserve">pri režime so subkutánnou dávkou 162 mg Q3W) a až 7 dní u pacientov s telesnou hmotnosťou </w:t>
      </w:r>
      <w:r>
        <w:t>≥ 30 kg (</w:t>
      </w:r>
      <w:r>
        <w:rPr>
          <w:szCs w:val="22"/>
        </w:rPr>
        <w:t xml:space="preserve">pri režime so subkutánnou dávkou 162 mg Q2W) </w:t>
      </w:r>
      <w:r>
        <w:t>počas dávkovacieho intervalu po dosiahnutí rovnovážneho stavu. Po intravenóznom podaní podlieha tocilizumab dvojfázovému vylučovaniu z cirkulácie. Celkový klírens tocilizumabu bol závislý od koncentrácie a predstavoval súčet lineárneho a nelineráneho klírensu. Lineárny klírens bol odhadnutý ako parameter v populačnej farmakokinetickej analýze na 6,25 ml/hod. Nelineárny klírens závislý od koncentrácie zohrával významnú úlohu pri nízkych koncentráciách tocilizumabu. Po dosiahnutí saturácie nelineárneho klírensu pri vyšších koncentráciách tocilizumabu je klírens určovaný predovšetkým lineárnym klírensom.</w:t>
      </w:r>
    </w:p>
    <w:bookmarkEnd w:id="1733"/>
    <w:p w14:paraId="123B74E9" w14:textId="77777777" w:rsidR="009700E5" w:rsidRDefault="009700E5">
      <w:pPr>
        <w:rPr>
          <w:szCs w:val="22"/>
          <w:lang w:eastAsia="de-DE"/>
        </w:rPr>
      </w:pPr>
    </w:p>
    <w:p w14:paraId="0E00C4D3" w14:textId="77777777" w:rsidR="009700E5" w:rsidRPr="009700E5" w:rsidRDefault="002C033C">
      <w:pPr>
        <w:keepNext/>
        <w:keepLines/>
        <w:rPr>
          <w:moveTo w:id="1763" w:author="Author" w:date="2025-07-19T23:26:00Z"/>
          <w:szCs w:val="22"/>
          <w:u w:val="single"/>
          <w:lang w:eastAsia="de-DE"/>
          <w:rPrChange w:id="1764" w:author="Author" w:date="2025-08-22T15:12:00Z">
            <w:rPr>
              <w:moveTo w:id="1765" w:author="Author" w:date="2025-07-19T23:26:00Z"/>
              <w:i/>
              <w:iCs/>
              <w:szCs w:val="22"/>
              <w:lang w:eastAsia="de-DE"/>
            </w:rPr>
          </w:rPrChange>
        </w:rPr>
      </w:pPr>
      <w:moveToRangeStart w:id="1766" w:author="Author" w:date="2025-07-19T23:26:00Z" w:name="move203860035"/>
      <w:moveTo w:id="1767" w:author="Author" w:date="2025-07-19T23:26:00Z">
        <w:r>
          <w:rPr>
            <w:szCs w:val="22"/>
            <w:u w:val="single"/>
            <w:lang w:eastAsia="de-DE"/>
            <w:rPrChange w:id="1768" w:author="Author" w:date="2025-08-22T15:12:00Z">
              <w:rPr>
                <w:i/>
                <w:iCs/>
                <w:szCs w:val="22"/>
                <w:lang w:eastAsia="de-DE"/>
              </w:rPr>
            </w:rPrChange>
          </w:rPr>
          <w:t>Subkutánne použitie</w:t>
        </w:r>
      </w:moveTo>
    </w:p>
    <w:moveToRangeEnd w:id="1766"/>
    <w:p w14:paraId="4E8B8348" w14:textId="77777777" w:rsidR="009700E5" w:rsidRPr="009700E5" w:rsidRDefault="002C033C">
      <w:pPr>
        <w:keepNext/>
        <w:keepLines/>
        <w:rPr>
          <w:i/>
          <w:iCs/>
          <w:szCs w:val="22"/>
          <w:lang w:eastAsia="de-DE"/>
          <w:rPrChange w:id="1769" w:author="Author" w:date="2025-08-22T15:12:00Z">
            <w:rPr>
              <w:szCs w:val="22"/>
              <w:u w:val="single"/>
              <w:lang w:eastAsia="de-DE"/>
            </w:rPr>
          </w:rPrChange>
        </w:rPr>
      </w:pPr>
      <w:r>
        <w:rPr>
          <w:i/>
          <w:iCs/>
          <w:szCs w:val="22"/>
          <w:lang w:eastAsia="de-DE"/>
          <w:rPrChange w:id="1770" w:author="Author" w:date="2025-08-22T15:12:00Z">
            <w:rPr>
              <w:szCs w:val="22"/>
              <w:u w:val="single"/>
              <w:lang w:eastAsia="de-DE"/>
            </w:rPr>
          </w:rPrChange>
        </w:rPr>
        <w:t>Pacienti s OBA</w:t>
      </w:r>
    </w:p>
    <w:p w14:paraId="59383693" w14:textId="77777777" w:rsidR="009700E5" w:rsidRDefault="002C033C">
      <w:pPr>
        <w:keepNext/>
        <w:keepLines/>
        <w:rPr>
          <w:moveFrom w:id="1771" w:author="Author" w:date="2025-07-19T23:26:00Z"/>
          <w:i/>
          <w:iCs/>
          <w:szCs w:val="22"/>
          <w:lang w:eastAsia="de-DE"/>
        </w:rPr>
      </w:pPr>
      <w:moveFromRangeStart w:id="1772" w:author="Author" w:date="2025-07-19T23:26:00Z" w:name="move203860035"/>
      <w:moveFrom w:id="1773" w:author="Author" w:date="2025-07-19T23:26:00Z">
        <w:r>
          <w:rPr>
            <w:i/>
            <w:iCs/>
            <w:szCs w:val="22"/>
            <w:lang w:eastAsia="de-DE"/>
          </w:rPr>
          <w:t>Subkutánne použitie</w:t>
        </w:r>
      </w:moveFrom>
    </w:p>
    <w:moveFromRangeEnd w:id="1772"/>
    <w:p w14:paraId="5C9281F0" w14:textId="77777777" w:rsidR="009700E5" w:rsidRDefault="009700E5">
      <w:pPr>
        <w:keepNext/>
        <w:keepLines/>
        <w:rPr>
          <w:ins w:id="1774" w:author="Author" w:date="2025-07-19T23:27:00Z"/>
          <w:i/>
          <w:iCs/>
          <w:szCs w:val="22"/>
          <w:lang w:eastAsia="de-DE"/>
        </w:rPr>
      </w:pPr>
    </w:p>
    <w:p w14:paraId="7B8FBA89" w14:textId="77777777" w:rsidR="009700E5" w:rsidRDefault="002C033C">
      <w:pPr>
        <w:keepNext/>
        <w:keepLines/>
        <w:rPr>
          <w:szCs w:val="22"/>
          <w:lang w:eastAsia="de-DE"/>
        </w:rPr>
      </w:pPr>
      <w:r>
        <w:rPr>
          <w:szCs w:val="22"/>
          <w:lang w:eastAsia="de-DE"/>
        </w:rPr>
        <w:t xml:space="preserve">Farmakokinetika </w:t>
      </w:r>
      <w:r>
        <w:t>tocilizumabu</w:t>
      </w:r>
      <w:r>
        <w:rPr>
          <w:szCs w:val="22"/>
          <w:lang w:eastAsia="de-DE"/>
        </w:rPr>
        <w:t xml:space="preserve"> u pacientov s OBA sa stanovila </w:t>
      </w:r>
      <w:r>
        <w:rPr>
          <w:iCs/>
        </w:rPr>
        <w:t>za použitia populačného farmakokinetického modelu analýzy údajov z databázy zloženej zo</w:t>
      </w:r>
      <w:r>
        <w:rPr>
          <w:szCs w:val="22"/>
          <w:lang w:eastAsia="de-DE"/>
        </w:rPr>
        <w:t xml:space="preserve"> 149 pacientov s OBA liečených dávkou 162 mg podávanou subkutánne každý týždeň alebo dávkou 162 mg podávanou subkutánne každý druhý týždeň. Tento vyvinutý model mal zhodnú štruktúru so štruktúrou populačného FK modelu, ktorý bol vyvinutý skoršie na základe údajov z</w:t>
      </w:r>
      <w:ins w:id="1775" w:author="Author" w:date="2025-07-21T10:25:00Z">
        <w:r>
          <w:rPr>
            <w:szCs w:val="22"/>
            <w:lang w:eastAsia="de-DE"/>
          </w:rPr>
          <w:t> </w:t>
        </w:r>
      </w:ins>
      <w:del w:id="1776" w:author="Author" w:date="2025-07-21T10:25:00Z">
        <w:r>
          <w:rPr>
            <w:szCs w:val="22"/>
            <w:lang w:eastAsia="de-DE"/>
          </w:rPr>
          <w:delText xml:space="preserve">o </w:delText>
        </w:r>
      </w:del>
      <w:del w:id="1777" w:author="Author" w:date="2025-07-20T22:26:00Z">
        <w:r>
          <w:rPr>
            <w:szCs w:val="22"/>
            <w:lang w:eastAsia="de-DE"/>
          </w:rPr>
          <w:delText xml:space="preserve">štúdie </w:delText>
        </w:r>
      </w:del>
      <w:ins w:id="1778" w:author="Author" w:date="2025-07-21T10:25:00Z">
        <w:r>
          <w:t>klinického</w:t>
        </w:r>
        <w:r>
          <w:rPr>
            <w:szCs w:val="22"/>
            <w:lang w:eastAsia="de-DE"/>
          </w:rPr>
          <w:t xml:space="preserve"> </w:t>
        </w:r>
      </w:ins>
      <w:ins w:id="1779" w:author="Author" w:date="2025-07-20T22:26:00Z">
        <w:r>
          <w:rPr>
            <w:szCs w:val="22"/>
            <w:lang w:eastAsia="de-DE"/>
          </w:rPr>
          <w:t xml:space="preserve">skúšania </w:t>
        </w:r>
      </w:ins>
      <w:r>
        <w:rPr>
          <w:szCs w:val="22"/>
          <w:lang w:eastAsia="de-DE"/>
        </w:rPr>
        <w:t>pacientov s RA (pozri tabuľku 10).</w:t>
      </w:r>
    </w:p>
    <w:p w14:paraId="53F41E9E" w14:textId="77777777" w:rsidR="009700E5" w:rsidRDefault="009700E5">
      <w:pPr>
        <w:rPr>
          <w:szCs w:val="22"/>
          <w:lang w:eastAsia="de-DE"/>
        </w:rPr>
      </w:pPr>
    </w:p>
    <w:p w14:paraId="57476F2F" w14:textId="77777777" w:rsidR="009700E5" w:rsidRDefault="002C033C">
      <w:pPr>
        <w:keepNext/>
        <w:keepLines/>
        <w:spacing w:line="280" w:lineRule="atLeast"/>
        <w:rPr>
          <w:i/>
          <w:szCs w:val="22"/>
          <w:lang w:eastAsia="de-DE"/>
        </w:rPr>
      </w:pPr>
      <w:r>
        <w:rPr>
          <w:i/>
          <w:szCs w:val="22"/>
          <w:lang w:eastAsia="de-DE"/>
        </w:rPr>
        <w:t xml:space="preserve">Tabuľka 10. Predpokladaný priemer </w:t>
      </w:r>
      <w:r>
        <w:rPr>
          <w:rFonts w:eastAsia="SimSun"/>
          <w:i/>
          <w:szCs w:val="22"/>
          <w:lang w:eastAsia="de-DE"/>
        </w:rPr>
        <w:t>±</w:t>
      </w:r>
      <w:r>
        <w:rPr>
          <w:i/>
          <w:szCs w:val="22"/>
          <w:lang w:eastAsia="de-DE"/>
        </w:rPr>
        <w:t xml:space="preserve"> SD FK paramentrov v rovnovážnom stave po subkutánnom podávaní u pacientov s OBA </w:t>
      </w:r>
    </w:p>
    <w:p w14:paraId="6A814B78" w14:textId="77777777" w:rsidR="009700E5" w:rsidRDefault="009700E5">
      <w:pPr>
        <w:keepNext/>
        <w:keepLines/>
        <w:spacing w:line="280" w:lineRule="atLeast"/>
        <w:rPr>
          <w:i/>
          <w:szCs w:val="22"/>
          <w:lang w:eastAsia="de-DE"/>
        </w:rPr>
      </w:pP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5"/>
        <w:gridCol w:w="1483"/>
        <w:gridCol w:w="2601"/>
      </w:tblGrid>
      <w:tr w:rsidR="009700E5" w14:paraId="490DE83E" w14:textId="77777777">
        <w:trPr>
          <w:cantSplit/>
          <w:trHeight w:val="128"/>
          <w:jc w:val="center"/>
        </w:trPr>
        <w:tc>
          <w:tcPr>
            <w:tcW w:w="4735" w:type="dxa"/>
            <w:tcBorders>
              <w:top w:val="single" w:sz="4" w:space="0" w:color="auto"/>
              <w:left w:val="single" w:sz="4" w:space="0" w:color="auto"/>
              <w:bottom w:val="single" w:sz="4" w:space="0" w:color="auto"/>
              <w:right w:val="single" w:sz="4" w:space="0" w:color="auto"/>
            </w:tcBorders>
          </w:tcPr>
          <w:p w14:paraId="7D391BEC" w14:textId="77777777" w:rsidR="009700E5" w:rsidRDefault="009700E5">
            <w:pPr>
              <w:keepNext/>
              <w:spacing w:before="113" w:after="57" w:line="280" w:lineRule="atLeast"/>
              <w:ind w:left="1701" w:hanging="1701"/>
              <w:outlineLvl w:val="6"/>
              <w:rPr>
                <w:rFonts w:eastAsia="MS Mincho"/>
                <w:b/>
                <w:sz w:val="20"/>
              </w:rPr>
            </w:pPr>
          </w:p>
        </w:tc>
        <w:tc>
          <w:tcPr>
            <w:tcW w:w="4084" w:type="dxa"/>
            <w:gridSpan w:val="2"/>
            <w:tcBorders>
              <w:top w:val="single" w:sz="4" w:space="0" w:color="auto"/>
              <w:left w:val="single" w:sz="4" w:space="0" w:color="auto"/>
              <w:bottom w:val="single" w:sz="4" w:space="0" w:color="auto"/>
              <w:right w:val="single" w:sz="4" w:space="0" w:color="auto"/>
            </w:tcBorders>
          </w:tcPr>
          <w:p w14:paraId="12F12B11" w14:textId="77777777" w:rsidR="009700E5" w:rsidRDefault="002C033C">
            <w:pPr>
              <w:keepNext/>
              <w:spacing w:after="200"/>
              <w:jc w:val="center"/>
              <w:rPr>
                <w:rFonts w:eastAsia="PMingLiU"/>
                <w:b/>
                <w:sz w:val="20"/>
                <w:lang w:eastAsia="zh-TW"/>
              </w:rPr>
            </w:pPr>
            <w:r>
              <w:rPr>
                <w:rFonts w:eastAsia="PMingLiU"/>
                <w:b/>
                <w:sz w:val="20"/>
                <w:lang w:eastAsia="zh-TW"/>
              </w:rPr>
              <w:t>Subkutánne podávanie</w:t>
            </w:r>
          </w:p>
        </w:tc>
      </w:tr>
      <w:tr w:rsidR="009700E5" w14:paraId="7A07F544" w14:textId="77777777">
        <w:trPr>
          <w:cantSplit/>
          <w:trHeight w:val="452"/>
          <w:jc w:val="center"/>
        </w:trPr>
        <w:tc>
          <w:tcPr>
            <w:tcW w:w="4735" w:type="dxa"/>
            <w:tcBorders>
              <w:top w:val="single" w:sz="4" w:space="0" w:color="auto"/>
              <w:left w:val="single" w:sz="4" w:space="0" w:color="auto"/>
              <w:bottom w:val="single" w:sz="4" w:space="0" w:color="auto"/>
              <w:right w:val="single" w:sz="4" w:space="0" w:color="auto"/>
            </w:tcBorders>
          </w:tcPr>
          <w:p w14:paraId="35936DC9" w14:textId="77777777" w:rsidR="009700E5" w:rsidRDefault="002C033C">
            <w:pPr>
              <w:keepNext/>
              <w:spacing w:after="120"/>
              <w:rPr>
                <w:rFonts w:eastAsia="PMingLiU"/>
                <w:sz w:val="20"/>
                <w:lang w:eastAsia="zh-TW"/>
              </w:rPr>
            </w:pPr>
            <w:r>
              <w:rPr>
                <w:rFonts w:eastAsia="PMingLiU"/>
                <w:b/>
                <w:sz w:val="20"/>
                <w:lang w:eastAsia="zh-TW"/>
              </w:rPr>
              <w:t>FK parametre tocilizumabu</w:t>
            </w:r>
          </w:p>
        </w:tc>
        <w:tc>
          <w:tcPr>
            <w:tcW w:w="1483" w:type="dxa"/>
            <w:tcBorders>
              <w:top w:val="single" w:sz="4" w:space="0" w:color="auto"/>
              <w:left w:val="single" w:sz="4" w:space="0" w:color="auto"/>
              <w:bottom w:val="single" w:sz="4" w:space="0" w:color="auto"/>
              <w:right w:val="single" w:sz="4" w:space="0" w:color="auto"/>
            </w:tcBorders>
          </w:tcPr>
          <w:p w14:paraId="73E79AFF" w14:textId="77777777" w:rsidR="009700E5" w:rsidRDefault="002C033C">
            <w:pPr>
              <w:keepNext/>
              <w:spacing w:after="120"/>
              <w:jc w:val="center"/>
              <w:rPr>
                <w:rFonts w:eastAsia="PMingLiU"/>
                <w:b/>
                <w:sz w:val="20"/>
                <w:lang w:eastAsia="zh-TW"/>
              </w:rPr>
            </w:pPr>
            <w:r>
              <w:rPr>
                <w:rFonts w:eastAsia="PMingLiU"/>
                <w:b/>
                <w:sz w:val="20"/>
                <w:lang w:eastAsia="zh-TW"/>
              </w:rPr>
              <w:t xml:space="preserve">162 mg každý druhý týždeň </w:t>
            </w:r>
          </w:p>
        </w:tc>
        <w:tc>
          <w:tcPr>
            <w:tcW w:w="2601" w:type="dxa"/>
            <w:tcBorders>
              <w:top w:val="single" w:sz="4" w:space="0" w:color="auto"/>
              <w:left w:val="single" w:sz="4" w:space="0" w:color="auto"/>
              <w:bottom w:val="single" w:sz="4" w:space="0" w:color="auto"/>
              <w:right w:val="single" w:sz="4" w:space="0" w:color="auto"/>
            </w:tcBorders>
          </w:tcPr>
          <w:p w14:paraId="173226D2" w14:textId="77777777" w:rsidR="009700E5" w:rsidRDefault="002C033C">
            <w:pPr>
              <w:keepNext/>
              <w:spacing w:after="120"/>
              <w:jc w:val="center"/>
              <w:rPr>
                <w:rFonts w:eastAsia="PMingLiU"/>
                <w:b/>
                <w:sz w:val="20"/>
                <w:lang w:eastAsia="zh-TW"/>
              </w:rPr>
            </w:pPr>
            <w:r>
              <w:rPr>
                <w:rFonts w:eastAsia="PMingLiU"/>
                <w:b/>
                <w:sz w:val="20"/>
                <w:lang w:eastAsia="zh-TW"/>
              </w:rPr>
              <w:t>162 mg každý týždeň</w:t>
            </w:r>
          </w:p>
        </w:tc>
      </w:tr>
      <w:tr w:rsidR="009700E5" w14:paraId="3FAF6D5B" w14:textId="77777777">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1E592DA3" w14:textId="77777777" w:rsidR="009700E5" w:rsidRDefault="002C033C">
            <w:pPr>
              <w:keepNext/>
              <w:spacing w:after="120"/>
              <w:rPr>
                <w:rFonts w:eastAsia="PMingLiU"/>
                <w:sz w:val="20"/>
                <w:lang w:eastAsia="zh-TW"/>
              </w:rPr>
            </w:pPr>
            <w:r>
              <w:rPr>
                <w:rFonts w:eastAsia="PMingLiU"/>
                <w:sz w:val="20"/>
                <w:lang w:eastAsia="zh-TW"/>
              </w:rPr>
              <w:t>C</w:t>
            </w:r>
            <w:r>
              <w:rPr>
                <w:rFonts w:eastAsia="PMingLiU"/>
                <w:sz w:val="20"/>
                <w:vertAlign w:val="subscript"/>
                <w:lang w:eastAsia="zh-TW"/>
              </w:rPr>
              <w:t>max</w:t>
            </w:r>
            <w:r>
              <w:rPr>
                <w:rFonts w:eastAsia="PMingLiU"/>
                <w:sz w:val="20"/>
                <w:lang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5E388A79" w14:textId="77777777" w:rsidR="009700E5" w:rsidRDefault="002C033C">
            <w:pPr>
              <w:keepNext/>
              <w:spacing w:after="120"/>
              <w:jc w:val="center"/>
              <w:rPr>
                <w:rFonts w:eastAsia="PMingLiU"/>
                <w:sz w:val="20"/>
                <w:lang w:eastAsia="zh-TW"/>
              </w:rPr>
            </w:pPr>
            <w:r>
              <w:rPr>
                <w:rFonts w:eastAsia="SimSun"/>
                <w:sz w:val="20"/>
                <w:lang w:eastAsia="zh-TW"/>
              </w:rPr>
              <w:t>19,3 ± 12,8</w:t>
            </w:r>
          </w:p>
        </w:tc>
        <w:tc>
          <w:tcPr>
            <w:tcW w:w="2601" w:type="dxa"/>
            <w:tcBorders>
              <w:top w:val="single" w:sz="4" w:space="0" w:color="auto"/>
              <w:left w:val="single" w:sz="4" w:space="0" w:color="auto"/>
              <w:bottom w:val="single" w:sz="4" w:space="0" w:color="auto"/>
              <w:right w:val="single" w:sz="4" w:space="0" w:color="auto"/>
            </w:tcBorders>
          </w:tcPr>
          <w:p w14:paraId="3A253001" w14:textId="77777777" w:rsidR="009700E5" w:rsidRDefault="002C033C">
            <w:pPr>
              <w:keepNext/>
              <w:spacing w:after="120"/>
              <w:jc w:val="center"/>
              <w:rPr>
                <w:rFonts w:eastAsia="PMingLiU"/>
                <w:sz w:val="20"/>
                <w:lang w:eastAsia="zh-TW"/>
              </w:rPr>
            </w:pPr>
            <w:r>
              <w:rPr>
                <w:rFonts w:eastAsia="PMingLiU"/>
                <w:sz w:val="20"/>
                <w:lang w:eastAsia="zh-TW"/>
              </w:rPr>
              <w:t>73 ± 30,4</w:t>
            </w:r>
          </w:p>
        </w:tc>
      </w:tr>
      <w:tr w:rsidR="009700E5" w14:paraId="3953DD21" w14:textId="77777777">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4803117A" w14:textId="77777777" w:rsidR="009700E5" w:rsidRDefault="002C033C">
            <w:pPr>
              <w:keepNext/>
              <w:spacing w:after="120"/>
              <w:rPr>
                <w:rFonts w:eastAsia="PMingLiU"/>
                <w:sz w:val="20"/>
                <w:lang w:eastAsia="zh-TW"/>
              </w:rPr>
            </w:pPr>
            <w:del w:id="1780" w:author="Author" w:date="2025-07-19T23:27:00Z">
              <w:r>
                <w:rPr>
                  <w:rFonts w:eastAsia="PMingLiU"/>
                  <w:sz w:val="20"/>
                  <w:lang w:eastAsia="zh-TW"/>
                </w:rPr>
                <w:delText>C</w:delText>
              </w:r>
              <w:r>
                <w:rPr>
                  <w:rFonts w:eastAsia="PMingLiU"/>
                  <w:sz w:val="20"/>
                  <w:vertAlign w:val="subscript"/>
                  <w:lang w:eastAsia="zh-TW"/>
                </w:rPr>
                <w:delText>min</w:delText>
              </w:r>
              <w:r>
                <w:rPr>
                  <w:rFonts w:eastAsia="PMingLiU"/>
                  <w:sz w:val="20"/>
                  <w:lang w:eastAsia="zh-TW"/>
                </w:rPr>
                <w:delText xml:space="preserve"> </w:delText>
              </w:r>
            </w:del>
            <w:ins w:id="1781" w:author="Author" w:date="2025-07-19T23:27:00Z">
              <w:r>
                <w:rPr>
                  <w:rFonts w:eastAsia="PMingLiU"/>
                  <w:sz w:val="20"/>
                  <w:lang w:eastAsia="zh-TW"/>
                </w:rPr>
                <w:t>C</w:t>
              </w:r>
              <w:r>
                <w:rPr>
                  <w:rFonts w:eastAsia="PMingLiU"/>
                  <w:sz w:val="20"/>
                  <w:vertAlign w:val="subscript"/>
                  <w:lang w:eastAsia="zh-TW"/>
                </w:rPr>
                <w:t>trough</w:t>
              </w:r>
              <w:r>
                <w:rPr>
                  <w:rFonts w:eastAsia="PMingLiU"/>
                  <w:sz w:val="20"/>
                  <w:lang w:eastAsia="zh-TW"/>
                </w:rPr>
                <w:t xml:space="preserve"> </w:t>
              </w:r>
            </w:ins>
            <w:r>
              <w:rPr>
                <w:rFonts w:eastAsia="PMingLiU"/>
                <w:sz w:val="20"/>
                <w:lang w:eastAsia="zh-TW"/>
              </w:rPr>
              <w:t>(µg/ml)</w:t>
            </w:r>
          </w:p>
        </w:tc>
        <w:tc>
          <w:tcPr>
            <w:tcW w:w="1483" w:type="dxa"/>
            <w:tcBorders>
              <w:top w:val="single" w:sz="4" w:space="0" w:color="auto"/>
              <w:left w:val="single" w:sz="4" w:space="0" w:color="auto"/>
              <w:bottom w:val="single" w:sz="4" w:space="0" w:color="auto"/>
              <w:right w:val="single" w:sz="4" w:space="0" w:color="auto"/>
            </w:tcBorders>
          </w:tcPr>
          <w:p w14:paraId="38C251DC" w14:textId="77777777" w:rsidR="009700E5" w:rsidRDefault="002C033C">
            <w:pPr>
              <w:keepNext/>
              <w:spacing w:after="120"/>
              <w:jc w:val="center"/>
              <w:rPr>
                <w:rFonts w:eastAsia="PMingLiU"/>
                <w:sz w:val="20"/>
                <w:lang w:eastAsia="zh-TW"/>
              </w:rPr>
            </w:pPr>
            <w:r>
              <w:rPr>
                <w:rFonts w:eastAsia="SimSun"/>
                <w:sz w:val="20"/>
                <w:lang w:eastAsia="zh-TW"/>
              </w:rPr>
              <w:t>11,1 ± 10,3</w:t>
            </w:r>
          </w:p>
        </w:tc>
        <w:tc>
          <w:tcPr>
            <w:tcW w:w="2601" w:type="dxa"/>
            <w:tcBorders>
              <w:top w:val="single" w:sz="4" w:space="0" w:color="auto"/>
              <w:left w:val="single" w:sz="4" w:space="0" w:color="auto"/>
              <w:bottom w:val="single" w:sz="4" w:space="0" w:color="auto"/>
              <w:right w:val="single" w:sz="4" w:space="0" w:color="auto"/>
            </w:tcBorders>
          </w:tcPr>
          <w:p w14:paraId="11CB24EA" w14:textId="77777777" w:rsidR="009700E5" w:rsidRDefault="002C033C">
            <w:pPr>
              <w:keepNext/>
              <w:spacing w:after="120"/>
              <w:jc w:val="center"/>
              <w:rPr>
                <w:rFonts w:eastAsia="PMingLiU"/>
                <w:sz w:val="20"/>
                <w:lang w:eastAsia="zh-TW"/>
              </w:rPr>
            </w:pPr>
            <w:r>
              <w:rPr>
                <w:rFonts w:eastAsia="PMingLiU"/>
                <w:sz w:val="20"/>
                <w:lang w:eastAsia="zh-TW"/>
              </w:rPr>
              <w:t>68,1± 29,5</w:t>
            </w:r>
          </w:p>
        </w:tc>
      </w:tr>
      <w:tr w:rsidR="009700E5" w14:paraId="325618D0" w14:textId="77777777">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615716B3" w14:textId="77777777" w:rsidR="009700E5" w:rsidRDefault="002C033C">
            <w:pPr>
              <w:keepNext/>
              <w:spacing w:after="120"/>
              <w:rPr>
                <w:rFonts w:eastAsia="PMingLiU"/>
                <w:sz w:val="20"/>
                <w:lang w:eastAsia="zh-TW"/>
              </w:rPr>
            </w:pPr>
            <w:r>
              <w:rPr>
                <w:rFonts w:eastAsia="PMingLiU"/>
                <w:sz w:val="20"/>
                <w:lang w:eastAsia="zh-TW"/>
              </w:rPr>
              <w:t>C</w:t>
            </w:r>
            <w:r>
              <w:rPr>
                <w:rFonts w:eastAsia="PMingLiU"/>
                <w:sz w:val="20"/>
                <w:vertAlign w:val="subscript"/>
                <w:lang w:eastAsia="zh-TW"/>
              </w:rPr>
              <w:t>mean</w:t>
            </w:r>
            <w:r>
              <w:rPr>
                <w:rFonts w:eastAsia="PMingLiU"/>
                <w:sz w:val="20"/>
                <w:lang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650EB774" w14:textId="77777777" w:rsidR="009700E5" w:rsidRDefault="002C033C">
            <w:pPr>
              <w:keepNext/>
              <w:spacing w:after="120"/>
              <w:jc w:val="center"/>
              <w:rPr>
                <w:rFonts w:eastAsia="PMingLiU"/>
                <w:sz w:val="20"/>
                <w:lang w:eastAsia="zh-TW"/>
              </w:rPr>
            </w:pPr>
            <w:r>
              <w:rPr>
                <w:rFonts w:eastAsia="PMingLiU"/>
                <w:sz w:val="20"/>
                <w:lang w:eastAsia="zh-TW"/>
              </w:rPr>
              <w:t>16,2 ± 11,8</w:t>
            </w:r>
          </w:p>
        </w:tc>
        <w:tc>
          <w:tcPr>
            <w:tcW w:w="2601" w:type="dxa"/>
            <w:tcBorders>
              <w:top w:val="single" w:sz="4" w:space="0" w:color="auto"/>
              <w:left w:val="single" w:sz="4" w:space="0" w:color="auto"/>
              <w:bottom w:val="single" w:sz="4" w:space="0" w:color="auto"/>
              <w:right w:val="single" w:sz="4" w:space="0" w:color="auto"/>
            </w:tcBorders>
          </w:tcPr>
          <w:p w14:paraId="00A0C299" w14:textId="77777777" w:rsidR="009700E5" w:rsidRDefault="002C033C">
            <w:pPr>
              <w:keepNext/>
              <w:spacing w:after="120"/>
              <w:jc w:val="center"/>
              <w:rPr>
                <w:rFonts w:eastAsia="PMingLiU"/>
                <w:sz w:val="20"/>
                <w:lang w:eastAsia="zh-TW"/>
              </w:rPr>
            </w:pPr>
            <w:r>
              <w:rPr>
                <w:rFonts w:eastAsia="PMingLiU"/>
                <w:sz w:val="20"/>
                <w:lang w:eastAsia="zh-TW"/>
              </w:rPr>
              <w:t>71,3 ± 30,1</w:t>
            </w:r>
          </w:p>
        </w:tc>
      </w:tr>
      <w:tr w:rsidR="009700E5" w14:paraId="0742B022" w14:textId="77777777">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2C02A401" w14:textId="77777777" w:rsidR="009700E5" w:rsidRDefault="002C033C">
            <w:pPr>
              <w:spacing w:after="120"/>
              <w:rPr>
                <w:rFonts w:eastAsia="PMingLiU"/>
                <w:sz w:val="20"/>
                <w:lang w:eastAsia="zh-TW"/>
              </w:rPr>
            </w:pPr>
            <w:r>
              <w:rPr>
                <w:rFonts w:eastAsia="PMingLiU"/>
                <w:sz w:val="20"/>
                <w:lang w:eastAsia="zh-TW"/>
              </w:rPr>
              <w:t>Kumulácia C</w:t>
            </w:r>
            <w:r>
              <w:rPr>
                <w:rFonts w:eastAsia="PMingLiU"/>
                <w:sz w:val="20"/>
                <w:vertAlign w:val="subscript"/>
                <w:lang w:eastAsia="zh-TW"/>
              </w:rPr>
              <w:t>max</w:t>
            </w:r>
          </w:p>
        </w:tc>
        <w:tc>
          <w:tcPr>
            <w:tcW w:w="1483" w:type="dxa"/>
            <w:tcBorders>
              <w:top w:val="single" w:sz="4" w:space="0" w:color="auto"/>
              <w:left w:val="single" w:sz="4" w:space="0" w:color="auto"/>
              <w:bottom w:val="single" w:sz="4" w:space="0" w:color="auto"/>
              <w:right w:val="single" w:sz="4" w:space="0" w:color="auto"/>
            </w:tcBorders>
          </w:tcPr>
          <w:p w14:paraId="7C5A816E" w14:textId="77777777" w:rsidR="009700E5" w:rsidRDefault="002C033C">
            <w:pPr>
              <w:spacing w:after="120"/>
              <w:jc w:val="center"/>
              <w:rPr>
                <w:rFonts w:eastAsia="PMingLiU"/>
                <w:sz w:val="20"/>
                <w:lang w:eastAsia="zh-TW"/>
              </w:rPr>
            </w:pPr>
            <w:r>
              <w:rPr>
                <w:rFonts w:eastAsia="PMingLiU"/>
                <w:sz w:val="20"/>
                <w:lang w:eastAsia="zh-TW"/>
              </w:rPr>
              <w:t>2,18</w:t>
            </w:r>
          </w:p>
        </w:tc>
        <w:tc>
          <w:tcPr>
            <w:tcW w:w="2601" w:type="dxa"/>
            <w:tcBorders>
              <w:top w:val="single" w:sz="4" w:space="0" w:color="auto"/>
              <w:left w:val="single" w:sz="4" w:space="0" w:color="auto"/>
              <w:bottom w:val="single" w:sz="4" w:space="0" w:color="auto"/>
              <w:right w:val="single" w:sz="4" w:space="0" w:color="auto"/>
            </w:tcBorders>
          </w:tcPr>
          <w:p w14:paraId="372450F6" w14:textId="77777777" w:rsidR="009700E5" w:rsidRDefault="002C033C">
            <w:pPr>
              <w:spacing w:after="120"/>
              <w:jc w:val="center"/>
              <w:rPr>
                <w:rFonts w:eastAsia="PMingLiU"/>
                <w:sz w:val="20"/>
                <w:lang w:eastAsia="zh-TW"/>
              </w:rPr>
            </w:pPr>
            <w:r>
              <w:rPr>
                <w:rFonts w:eastAsia="PMingLiU"/>
                <w:sz w:val="20"/>
                <w:lang w:eastAsia="zh-TW"/>
              </w:rPr>
              <w:t xml:space="preserve"> 8,88</w:t>
            </w:r>
          </w:p>
        </w:tc>
      </w:tr>
      <w:tr w:rsidR="009700E5" w14:paraId="6B9C2650" w14:textId="77777777">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246BB5C3" w14:textId="77777777" w:rsidR="009700E5" w:rsidRDefault="002C033C">
            <w:pPr>
              <w:spacing w:after="120"/>
              <w:rPr>
                <w:rFonts w:eastAsia="PMingLiU"/>
                <w:sz w:val="20"/>
                <w:lang w:eastAsia="zh-TW"/>
              </w:rPr>
            </w:pPr>
            <w:r>
              <w:rPr>
                <w:rFonts w:eastAsia="PMingLiU"/>
                <w:sz w:val="20"/>
                <w:lang w:eastAsia="zh-TW"/>
              </w:rPr>
              <w:t xml:space="preserve">Kumulácia </w:t>
            </w:r>
            <w:del w:id="1782" w:author="Author" w:date="2025-07-19T23:27:00Z">
              <w:r>
                <w:rPr>
                  <w:rFonts w:eastAsia="PMingLiU"/>
                  <w:sz w:val="20"/>
                  <w:lang w:eastAsia="zh-TW"/>
                </w:rPr>
                <w:delText>C</w:delText>
              </w:r>
              <w:r>
                <w:rPr>
                  <w:rFonts w:eastAsia="PMingLiU"/>
                  <w:sz w:val="20"/>
                  <w:vertAlign w:val="subscript"/>
                  <w:lang w:eastAsia="zh-TW"/>
                </w:rPr>
                <w:delText>min</w:delText>
              </w:r>
            </w:del>
            <w:ins w:id="1783" w:author="Author" w:date="2025-07-19T23:27:00Z">
              <w:r>
                <w:rPr>
                  <w:rFonts w:eastAsia="PMingLiU"/>
                  <w:sz w:val="20"/>
                  <w:lang w:eastAsia="zh-TW"/>
                </w:rPr>
                <w:t>C</w:t>
              </w:r>
              <w:r>
                <w:rPr>
                  <w:rFonts w:eastAsia="PMingLiU"/>
                  <w:sz w:val="20"/>
                  <w:vertAlign w:val="subscript"/>
                  <w:lang w:eastAsia="zh-TW"/>
                </w:rPr>
                <w:t>trough</w:t>
              </w:r>
            </w:ins>
          </w:p>
        </w:tc>
        <w:tc>
          <w:tcPr>
            <w:tcW w:w="1483" w:type="dxa"/>
            <w:tcBorders>
              <w:top w:val="single" w:sz="4" w:space="0" w:color="auto"/>
              <w:left w:val="single" w:sz="4" w:space="0" w:color="auto"/>
              <w:bottom w:val="single" w:sz="4" w:space="0" w:color="auto"/>
              <w:right w:val="single" w:sz="4" w:space="0" w:color="auto"/>
            </w:tcBorders>
          </w:tcPr>
          <w:p w14:paraId="5328B029" w14:textId="77777777" w:rsidR="009700E5" w:rsidRDefault="002C033C">
            <w:pPr>
              <w:spacing w:after="120"/>
              <w:jc w:val="center"/>
              <w:rPr>
                <w:rFonts w:eastAsia="PMingLiU"/>
                <w:sz w:val="20"/>
                <w:lang w:eastAsia="zh-TW"/>
              </w:rPr>
            </w:pPr>
            <w:r>
              <w:rPr>
                <w:rFonts w:eastAsia="PMingLiU"/>
                <w:sz w:val="20"/>
                <w:lang w:eastAsia="zh-TW"/>
              </w:rPr>
              <w:t>5,61</w:t>
            </w:r>
          </w:p>
        </w:tc>
        <w:tc>
          <w:tcPr>
            <w:tcW w:w="2601" w:type="dxa"/>
            <w:tcBorders>
              <w:top w:val="single" w:sz="4" w:space="0" w:color="auto"/>
              <w:left w:val="single" w:sz="4" w:space="0" w:color="auto"/>
              <w:bottom w:val="single" w:sz="4" w:space="0" w:color="auto"/>
              <w:right w:val="single" w:sz="4" w:space="0" w:color="auto"/>
            </w:tcBorders>
          </w:tcPr>
          <w:p w14:paraId="5AFB092F" w14:textId="77777777" w:rsidR="009700E5" w:rsidRDefault="002C033C">
            <w:pPr>
              <w:spacing w:after="120"/>
              <w:jc w:val="center"/>
              <w:rPr>
                <w:rFonts w:eastAsia="PMingLiU"/>
                <w:sz w:val="20"/>
                <w:lang w:eastAsia="zh-TW"/>
              </w:rPr>
            </w:pPr>
            <w:r>
              <w:rPr>
                <w:rFonts w:eastAsia="PMingLiU"/>
                <w:sz w:val="20"/>
                <w:lang w:eastAsia="zh-TW"/>
              </w:rPr>
              <w:t>9,59</w:t>
            </w:r>
          </w:p>
        </w:tc>
      </w:tr>
      <w:tr w:rsidR="009700E5" w14:paraId="10541ECF" w14:textId="77777777">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6076CDE3" w14:textId="77777777" w:rsidR="009700E5" w:rsidRDefault="002C033C">
            <w:pPr>
              <w:spacing w:after="120"/>
              <w:rPr>
                <w:rFonts w:eastAsia="PMingLiU"/>
                <w:sz w:val="20"/>
                <w:lang w:eastAsia="zh-TW"/>
              </w:rPr>
            </w:pPr>
            <w:r>
              <w:rPr>
                <w:sz w:val="20"/>
              </w:rPr>
              <w:t>Kumulácia C</w:t>
            </w:r>
            <w:r>
              <w:rPr>
                <w:sz w:val="20"/>
                <w:vertAlign w:val="subscript"/>
              </w:rPr>
              <w:t>mean</w:t>
            </w:r>
            <w:r>
              <w:rPr>
                <w:sz w:val="20"/>
              </w:rPr>
              <w:t xml:space="preserve"> alebo AUC</w:t>
            </w:r>
            <w:r>
              <w:rPr>
                <w:sz w:val="20"/>
                <w:vertAlign w:val="subscript"/>
              </w:rPr>
              <w:t>τ</w:t>
            </w:r>
            <w:r>
              <w:rPr>
                <w:sz w:val="20"/>
              </w:rPr>
              <w:t xml:space="preserve"> </w:t>
            </w:r>
            <w:r>
              <w:rPr>
                <w:sz w:val="18"/>
                <w:szCs w:val="18"/>
              </w:rPr>
              <w:t>*</w:t>
            </w:r>
          </w:p>
        </w:tc>
        <w:tc>
          <w:tcPr>
            <w:tcW w:w="1483" w:type="dxa"/>
            <w:tcBorders>
              <w:top w:val="single" w:sz="4" w:space="0" w:color="auto"/>
              <w:left w:val="single" w:sz="4" w:space="0" w:color="auto"/>
              <w:bottom w:val="single" w:sz="4" w:space="0" w:color="auto"/>
              <w:right w:val="single" w:sz="4" w:space="0" w:color="auto"/>
            </w:tcBorders>
          </w:tcPr>
          <w:p w14:paraId="48C55D00" w14:textId="77777777" w:rsidR="009700E5" w:rsidRDefault="002C033C">
            <w:pPr>
              <w:spacing w:after="120"/>
              <w:jc w:val="center"/>
              <w:rPr>
                <w:rFonts w:eastAsia="PMingLiU"/>
                <w:sz w:val="20"/>
                <w:lang w:eastAsia="zh-TW"/>
              </w:rPr>
            </w:pPr>
            <w:r>
              <w:rPr>
                <w:rFonts w:eastAsia="PMingLiU"/>
                <w:sz w:val="20"/>
                <w:lang w:eastAsia="zh-TW"/>
              </w:rPr>
              <w:t>2,81</w:t>
            </w:r>
          </w:p>
        </w:tc>
        <w:tc>
          <w:tcPr>
            <w:tcW w:w="2601" w:type="dxa"/>
            <w:tcBorders>
              <w:top w:val="single" w:sz="4" w:space="0" w:color="auto"/>
              <w:left w:val="single" w:sz="4" w:space="0" w:color="auto"/>
              <w:bottom w:val="single" w:sz="4" w:space="0" w:color="auto"/>
              <w:right w:val="single" w:sz="4" w:space="0" w:color="auto"/>
            </w:tcBorders>
          </w:tcPr>
          <w:p w14:paraId="568D932E" w14:textId="77777777" w:rsidR="009700E5" w:rsidRDefault="002C033C">
            <w:pPr>
              <w:spacing w:after="120"/>
              <w:jc w:val="center"/>
              <w:rPr>
                <w:rFonts w:eastAsia="PMingLiU"/>
                <w:sz w:val="20"/>
                <w:lang w:eastAsia="zh-TW"/>
              </w:rPr>
            </w:pPr>
            <w:r>
              <w:rPr>
                <w:rFonts w:eastAsia="PMingLiU"/>
                <w:sz w:val="20"/>
                <w:lang w:eastAsia="zh-TW"/>
              </w:rPr>
              <w:t>10,91</w:t>
            </w:r>
          </w:p>
        </w:tc>
      </w:tr>
    </w:tbl>
    <w:p w14:paraId="062EAF8A" w14:textId="77777777" w:rsidR="009700E5" w:rsidRDefault="002C033C">
      <w:pPr>
        <w:rPr>
          <w:sz w:val="18"/>
          <w:szCs w:val="18"/>
        </w:rPr>
      </w:pPr>
      <w:r>
        <w:rPr>
          <w:sz w:val="18"/>
          <w:szCs w:val="18"/>
        </w:rPr>
        <w:t>*τ = 2 týždne alebo 1 týždeň pri dvoch režimoch so subkutánnou dávkou</w:t>
      </w:r>
    </w:p>
    <w:p w14:paraId="4810E76C" w14:textId="77777777" w:rsidR="009700E5" w:rsidRDefault="009700E5">
      <w:pPr>
        <w:rPr>
          <w:lang w:eastAsia="de-DE"/>
        </w:rPr>
      </w:pPr>
    </w:p>
    <w:p w14:paraId="4B8AED1B" w14:textId="77777777" w:rsidR="009700E5" w:rsidRDefault="002C033C">
      <w:pPr>
        <w:rPr>
          <w:lang w:eastAsia="de-DE"/>
        </w:rPr>
      </w:pPr>
      <w:r>
        <w:rPr>
          <w:lang w:eastAsia="de-DE"/>
        </w:rPr>
        <w:t xml:space="preserve">Profil rovnovážneho stavu po podávaní </w:t>
      </w:r>
      <w:r>
        <w:t>tocilizumabu</w:t>
      </w:r>
      <w:r>
        <w:rPr>
          <w:lang w:eastAsia="de-DE"/>
        </w:rPr>
        <w:t xml:space="preserve"> každý týždeň bol takmer plochý, s veľmi malými rozdielmi medzi minimálnymi a maximálnymi hodnotami, zatiaľ čo pri dávke </w:t>
      </w:r>
      <w:r>
        <w:t>tocilizumabu</w:t>
      </w:r>
      <w:r>
        <w:rPr>
          <w:lang w:eastAsia="de-DE"/>
        </w:rPr>
        <w:t xml:space="preserve"> podávanej každý druhý týždeň sa pozorovali významné rozdiely. Približne 90 % rovnovážneho stavu </w:t>
      </w:r>
      <w:r>
        <w:rPr>
          <w:sz w:val="20"/>
        </w:rPr>
        <w:t>(AUC</w:t>
      </w:r>
      <w:r>
        <w:rPr>
          <w:sz w:val="20"/>
          <w:vertAlign w:val="subscript"/>
        </w:rPr>
        <w:t>τ</w:t>
      </w:r>
      <w:r>
        <w:rPr>
          <w:lang w:eastAsia="de-DE"/>
        </w:rPr>
        <w:t>) sa dosiahlo do 14. týždňa v skupine s </w:t>
      </w:r>
      <w:r>
        <w:t>tocilizumabom</w:t>
      </w:r>
      <w:r>
        <w:rPr>
          <w:lang w:eastAsia="de-DE"/>
        </w:rPr>
        <w:t xml:space="preserve"> podávaným každý druhý týždeň a do 17. týždňa v skupine s </w:t>
      </w:r>
      <w:r>
        <w:t>tocilizumabom</w:t>
      </w:r>
      <w:r>
        <w:rPr>
          <w:lang w:eastAsia="de-DE"/>
        </w:rPr>
        <w:t xml:space="preserve"> podávaným každý týždeň.</w:t>
      </w:r>
    </w:p>
    <w:p w14:paraId="2BB6FA9A" w14:textId="77777777" w:rsidR="009700E5" w:rsidRDefault="009700E5">
      <w:pPr>
        <w:rPr>
          <w:lang w:eastAsia="de-DE"/>
        </w:rPr>
      </w:pPr>
    </w:p>
    <w:p w14:paraId="25B8BEF6" w14:textId="77777777" w:rsidR="009700E5" w:rsidRDefault="002C033C">
      <w:pPr>
        <w:rPr>
          <w:rFonts w:eastAsia="SimSun"/>
          <w:lang w:eastAsia="zh-CN"/>
        </w:rPr>
      </w:pPr>
      <w:r>
        <w:rPr>
          <w:rFonts w:eastAsia="SimSun"/>
          <w:lang w:eastAsia="zh-CN"/>
        </w:rPr>
        <w:lastRenderedPageBreak/>
        <w:t xml:space="preserve">Na základe súčasnej FK charakteristiky minimálne koncentrácie </w:t>
      </w:r>
      <w:r>
        <w:t>tocilizumabu</w:t>
      </w:r>
      <w:r>
        <w:rPr>
          <w:rFonts w:eastAsia="SimSun"/>
          <w:lang w:eastAsia="zh-CN"/>
        </w:rPr>
        <w:t xml:space="preserve"> v rovnovážnom stave sú o 50 % vyššie v tejto populácii, v porovnamí s priemernými koncentráciami uvedenými vo veľkom súbore údajov získaných od populácie s RA. Tieto rozdiely sa objavujú z neznámych dôvodov. Rozdiely vo FK nesprevádzajú významné rozdiely vo FD parametroch, a preto klinický význam týchto údajov nie je známy.</w:t>
      </w:r>
    </w:p>
    <w:p w14:paraId="3B82B51D" w14:textId="77777777" w:rsidR="009700E5" w:rsidRDefault="009700E5">
      <w:pPr>
        <w:rPr>
          <w:rFonts w:eastAsia="SimSun"/>
          <w:szCs w:val="24"/>
          <w:lang w:eastAsia="zh-CN"/>
        </w:rPr>
      </w:pPr>
    </w:p>
    <w:p w14:paraId="206AF9E5" w14:textId="77777777" w:rsidR="009700E5" w:rsidRDefault="002C033C">
      <w:pPr>
        <w:rPr>
          <w:rFonts w:eastAsia="SimSun"/>
          <w:szCs w:val="24"/>
          <w:lang w:eastAsia="zh-CN"/>
        </w:rPr>
      </w:pPr>
      <w:r>
        <w:rPr>
          <w:rFonts w:eastAsia="SimSun"/>
          <w:szCs w:val="24"/>
          <w:lang w:eastAsia="zh-CN"/>
        </w:rPr>
        <w:t>U pacientov s OBA bola pozorovaná vyššia expozícia u pacientov s nižšou telesnou hmotnosťou. V režime s dávkou 162 mg podávanou každý týždeň bol rovnovážny stav Cavg o 51 % vyšší u pacientov s telesnou hmotnosťou </w:t>
      </w:r>
      <w:r>
        <w:rPr>
          <w:rFonts w:eastAsia="MS Mincho"/>
          <w:szCs w:val="22"/>
        </w:rPr>
        <w:sym w:font="Symbol" w:char="F03C"/>
      </w:r>
      <w:r>
        <w:rPr>
          <w:rFonts w:eastAsia="SimSun"/>
          <w:szCs w:val="24"/>
          <w:lang w:eastAsia="zh-CN"/>
        </w:rPr>
        <w:t> 60 kg, oproti pacientom s telesnou hmotnosťou od 60 do 100 kg. V režime s dávkou 162 mg podávanou každý druhý týždeň bol rovnovážny stav Cavg o 129 % vyšší u pacientov s telesnou hmotnosťou </w:t>
      </w:r>
      <w:r>
        <w:rPr>
          <w:rFonts w:eastAsia="MS Mincho"/>
          <w:szCs w:val="22"/>
        </w:rPr>
        <w:sym w:font="Symbol" w:char="F03C"/>
      </w:r>
      <w:r>
        <w:rPr>
          <w:rFonts w:eastAsia="SimSun"/>
          <w:szCs w:val="24"/>
          <w:lang w:eastAsia="zh-CN"/>
        </w:rPr>
        <w:t> 60 kg, oproti pacientom s telesnou hmotnosťou od 60 do 100 kg. Údaje o pacientoch s telesnou hmotnosťou </w:t>
      </w:r>
      <w:r>
        <w:rPr>
          <w:rFonts w:eastAsia="MS Mincho"/>
          <w:szCs w:val="22"/>
        </w:rPr>
        <w:sym w:font="Symbol" w:char="F03E"/>
      </w:r>
      <w:r>
        <w:rPr>
          <w:rFonts w:eastAsia="SimSun"/>
          <w:szCs w:val="24"/>
          <w:lang w:eastAsia="zh-CN"/>
        </w:rPr>
        <w:t> 100 kg sú obmedzené (n = 7).</w:t>
      </w:r>
    </w:p>
    <w:p w14:paraId="4301904C" w14:textId="77777777" w:rsidR="009700E5" w:rsidRDefault="009700E5">
      <w:pPr>
        <w:rPr>
          <w:u w:val="single"/>
          <w:lang w:eastAsia="de-DE"/>
        </w:rPr>
      </w:pPr>
    </w:p>
    <w:p w14:paraId="2E097FBD" w14:textId="77777777" w:rsidR="009700E5" w:rsidRDefault="002C033C">
      <w:pPr>
        <w:keepNext/>
        <w:keepLines/>
        <w:rPr>
          <w:i/>
          <w:iCs/>
          <w:u w:val="single"/>
          <w:lang w:eastAsia="de-DE"/>
        </w:rPr>
      </w:pPr>
      <w:r>
        <w:rPr>
          <w:i/>
          <w:iCs/>
          <w:u w:val="single"/>
          <w:lang w:eastAsia="de-DE"/>
        </w:rPr>
        <w:t>Absorpcia</w:t>
      </w:r>
    </w:p>
    <w:p w14:paraId="3D763E1E" w14:textId="77777777" w:rsidR="009700E5" w:rsidRDefault="002C033C">
      <w:pPr>
        <w:keepNext/>
        <w:keepLines/>
        <w:rPr>
          <w:iCs/>
          <w:lang w:eastAsia="de-DE"/>
        </w:rPr>
      </w:pPr>
      <w:r>
        <w:rPr>
          <w:iCs/>
        </w:rPr>
        <w:t xml:space="preserve">Po subkutánnom podávaní u pacientov s OBA bol absorpčný t½ približne 4 dni. Biologická dostupnosť v prípade subkutánnej formy bola 0,8. Medián hodnôt </w:t>
      </w:r>
      <w:r>
        <w:rPr>
          <w:iCs/>
          <w:lang w:eastAsia="de-DE"/>
        </w:rPr>
        <w:t>T</w:t>
      </w:r>
      <w:r>
        <w:rPr>
          <w:iCs/>
          <w:vertAlign w:val="subscript"/>
          <w:lang w:eastAsia="de-DE"/>
        </w:rPr>
        <w:t>max</w:t>
      </w:r>
      <w:r>
        <w:rPr>
          <w:iCs/>
          <w:lang w:eastAsia="de-DE"/>
        </w:rPr>
        <w:t xml:space="preserve"> bol 3 dni po podávaní tocilizumabu každý týždeň a 4,5 dňa po podávaní tocilizumabu každý druhý týždeň.</w:t>
      </w:r>
    </w:p>
    <w:p w14:paraId="7C39D12C" w14:textId="77777777" w:rsidR="009700E5" w:rsidRDefault="009700E5">
      <w:pPr>
        <w:rPr>
          <w:iCs/>
          <w:lang w:eastAsia="de-DE"/>
        </w:rPr>
      </w:pPr>
    </w:p>
    <w:p w14:paraId="511A81BD" w14:textId="77777777" w:rsidR="009700E5" w:rsidRDefault="002C033C">
      <w:pPr>
        <w:keepNext/>
        <w:keepLines/>
        <w:rPr>
          <w:i/>
          <w:iCs/>
          <w:u w:val="single"/>
          <w:lang w:eastAsia="de-DE"/>
        </w:rPr>
      </w:pPr>
      <w:r>
        <w:rPr>
          <w:i/>
          <w:iCs/>
          <w:u w:val="single"/>
          <w:lang w:eastAsia="de-DE"/>
        </w:rPr>
        <w:t>Distribúcia</w:t>
      </w:r>
    </w:p>
    <w:p w14:paraId="00F01A23" w14:textId="77777777" w:rsidR="009700E5" w:rsidRDefault="002C033C">
      <w:pPr>
        <w:keepNext/>
        <w:keepLines/>
        <w:rPr>
          <w:lang w:eastAsia="de-DE"/>
        </w:rPr>
      </w:pPr>
      <w:r>
        <w:rPr>
          <w:lang w:eastAsia="de-DE"/>
        </w:rPr>
        <w:t>U pacientov s OBA bol distribučný objem centrálneho kompartmentu 4,09 l, distribučný objem periférneho kompartmentu bol 3,37 l, čo malo za následok distribučný objem 7,46 l v rovnovážnom stave.</w:t>
      </w:r>
    </w:p>
    <w:p w14:paraId="16276877" w14:textId="77777777" w:rsidR="009700E5" w:rsidRDefault="009700E5">
      <w:pPr>
        <w:rPr>
          <w:iCs/>
        </w:rPr>
      </w:pPr>
    </w:p>
    <w:p w14:paraId="00DF561B" w14:textId="77777777" w:rsidR="009700E5" w:rsidRDefault="002C033C">
      <w:pPr>
        <w:keepNext/>
        <w:keepLines/>
        <w:rPr>
          <w:i/>
          <w:iCs/>
          <w:u w:val="single"/>
          <w:lang w:eastAsia="de-DE"/>
        </w:rPr>
      </w:pPr>
      <w:r>
        <w:rPr>
          <w:i/>
          <w:iCs/>
          <w:u w:val="single"/>
          <w:lang w:eastAsia="de-DE"/>
        </w:rPr>
        <w:t>Eliminácia</w:t>
      </w:r>
    </w:p>
    <w:p w14:paraId="12F7039E" w14:textId="77777777" w:rsidR="009700E5" w:rsidRDefault="002C033C">
      <w:pPr>
        <w:keepNext/>
        <w:keepLines/>
      </w:pPr>
      <w:r>
        <w:t>Celkový klírens tocilizumabu bol závislý od koncentrácie a je súčtom lineárneho a nelineárneho klírensu. Lineárny klírens bol odhadnutý ako parameter v populačnej farmakokinetickej analýze a u pacientov s OBA bol 6,7 ml/h.</w:t>
      </w:r>
    </w:p>
    <w:p w14:paraId="29529044" w14:textId="77777777" w:rsidR="009700E5" w:rsidRDefault="009700E5"/>
    <w:p w14:paraId="5F754F73" w14:textId="77777777" w:rsidR="009700E5" w:rsidRDefault="002C033C">
      <w:r>
        <w:t xml:space="preserve">U pacientov s OBA, v rovnovážnom stave, sa </w:t>
      </w:r>
      <w:r>
        <w:rPr>
          <w:iCs/>
        </w:rPr>
        <w:t xml:space="preserve">t½ </w:t>
      </w:r>
      <w:r>
        <w:t xml:space="preserve">účinnosti tocilizumabu pohyboval v rozpätí od 18,3 do 18,9 dňa pri režime 162 mg podávaných každý týždeň, a v rozpätí od 4,2 do 7,9 dňa pri režime 162 mg podávaných každý druhý týždeň. Pri vysokých koncentráciách v sére, v ktorých je celkový klírens tocilizumabu určovaný najmä lineárnym klírensom, bol </w:t>
      </w:r>
      <w:r>
        <w:rPr>
          <w:iCs/>
        </w:rPr>
        <w:t xml:space="preserve">t½ </w:t>
      </w:r>
      <w:r>
        <w:t>účinnosti približne 32 dní odvodený z odhadov populačných parametrov.</w:t>
      </w:r>
    </w:p>
    <w:p w14:paraId="3275EB4F" w14:textId="77777777" w:rsidR="009700E5" w:rsidRDefault="009700E5">
      <w:pPr>
        <w:rPr>
          <w:szCs w:val="22"/>
          <w:lang w:eastAsia="de-DE"/>
        </w:rPr>
      </w:pPr>
    </w:p>
    <w:p w14:paraId="70D10B31" w14:textId="77777777" w:rsidR="009700E5" w:rsidRDefault="002C033C">
      <w:pPr>
        <w:outlineLvl w:val="0"/>
        <w:rPr>
          <w:iCs/>
          <w:u w:val="single"/>
        </w:rPr>
      </w:pPr>
      <w:r>
        <w:rPr>
          <w:iCs/>
          <w:u w:val="single"/>
        </w:rPr>
        <w:t>Osobitné skupiny pacientov</w:t>
      </w:r>
    </w:p>
    <w:p w14:paraId="1EA73A4F" w14:textId="77777777" w:rsidR="009700E5" w:rsidRDefault="002C033C">
      <w:pPr>
        <w:numPr>
          <w:ilvl w:val="12"/>
          <w:numId w:val="0"/>
        </w:numPr>
        <w:ind w:right="-2"/>
        <w:rPr>
          <w:bCs/>
          <w:i/>
          <w:iCs/>
        </w:rPr>
      </w:pPr>
      <w:r>
        <w:rPr>
          <w:bCs/>
          <w:i/>
          <w:iCs/>
        </w:rPr>
        <w:t>Porucha funkcie obličiek</w:t>
      </w:r>
    </w:p>
    <w:p w14:paraId="1074A492" w14:textId="77777777" w:rsidR="009700E5" w:rsidRDefault="002C033C">
      <w:pPr>
        <w:numPr>
          <w:ilvl w:val="12"/>
          <w:numId w:val="0"/>
        </w:numPr>
        <w:ind w:right="-2"/>
        <w:rPr>
          <w:iCs/>
        </w:rPr>
      </w:pPr>
      <w:del w:id="1784" w:author="Author" w:date="2025-07-19T23:28:00Z">
        <w:r>
          <w:rPr>
            <w:iCs/>
          </w:rPr>
          <w:delText xml:space="preserve">Štúdia </w:delText>
        </w:r>
      </w:del>
      <w:ins w:id="1785" w:author="Author" w:date="2025-07-21T10:26:00Z">
        <w:r>
          <w:rPr>
            <w:iCs/>
          </w:rPr>
          <w:t>Klinické s</w:t>
        </w:r>
      </w:ins>
      <w:ins w:id="1786" w:author="Author" w:date="2025-07-19T23:28:00Z">
        <w:del w:id="1787" w:author="Author" w:date="2025-07-21T10:26:00Z">
          <w:r>
            <w:rPr>
              <w:iCs/>
            </w:rPr>
            <w:delText>S</w:delText>
          </w:r>
        </w:del>
      </w:ins>
      <w:ins w:id="1788" w:author="Author" w:date="2025-07-19T23:29:00Z">
        <w:r>
          <w:rPr>
            <w:iCs/>
          </w:rPr>
          <w:t>kúšanie</w:t>
        </w:r>
      </w:ins>
      <w:ins w:id="1789" w:author="Author" w:date="2025-07-19T23:28:00Z">
        <w:r>
          <w:rPr>
            <w:iCs/>
          </w:rPr>
          <w:t xml:space="preserve"> </w:t>
        </w:r>
      </w:ins>
      <w:r>
        <w:rPr>
          <w:iCs/>
        </w:rPr>
        <w:t xml:space="preserve">vplyvu poruchy funkcie obličiek na farmakokinetiku </w:t>
      </w:r>
      <w:r>
        <w:t>tocilizumabu</w:t>
      </w:r>
      <w:r>
        <w:rPr>
          <w:iCs/>
        </w:rPr>
        <w:t xml:space="preserve"> sa neuskutočnil</w:t>
      </w:r>
      <w:ins w:id="1790" w:author="Author" w:date="2025-07-19T23:29:00Z">
        <w:r>
          <w:rPr>
            <w:iCs/>
          </w:rPr>
          <w:t>o</w:t>
        </w:r>
      </w:ins>
      <w:del w:id="1791" w:author="Author" w:date="2025-07-19T23:29:00Z">
        <w:r>
          <w:rPr>
            <w:iCs/>
          </w:rPr>
          <w:delText>a</w:delText>
        </w:r>
      </w:del>
      <w:r>
        <w:rPr>
          <w:iCs/>
        </w:rPr>
        <w:t xml:space="preserve">. Väčšina pacientov zaradených v analýzach farmakokinetiky v populáciách s RA a OBA mala normálnu funkciu obličiek alebo miernu poruchu funkcie obličiek. Mierna porucha funkcie obličiek (odhadovaný klírens kreatinínu podľa Cockroftovho a Gaultovho vzorca) nemala vplyv na farmakokinetiku </w:t>
      </w:r>
      <w:r>
        <w:t>tocilizumabu</w:t>
      </w:r>
      <w:r>
        <w:rPr>
          <w:iCs/>
        </w:rPr>
        <w:t>.</w:t>
      </w:r>
    </w:p>
    <w:p w14:paraId="65DA2D88" w14:textId="77777777" w:rsidR="009700E5" w:rsidRDefault="009700E5">
      <w:pPr>
        <w:numPr>
          <w:ilvl w:val="12"/>
          <w:numId w:val="0"/>
        </w:numPr>
        <w:ind w:right="-2"/>
        <w:rPr>
          <w:iCs/>
        </w:rPr>
      </w:pPr>
    </w:p>
    <w:p w14:paraId="7E11B8F5" w14:textId="77777777" w:rsidR="009700E5" w:rsidRDefault="002C033C">
      <w:pPr>
        <w:numPr>
          <w:ilvl w:val="12"/>
          <w:numId w:val="0"/>
        </w:numPr>
        <w:ind w:right="-2"/>
        <w:rPr>
          <w:iCs/>
        </w:rPr>
      </w:pPr>
      <w:r>
        <w:rPr>
          <w:iCs/>
        </w:rPr>
        <w:t xml:space="preserve">Približne jedna tretina pacientov v </w:t>
      </w:r>
      <w:del w:id="1792" w:author="Author" w:date="2025-07-19T23:29:00Z">
        <w:r>
          <w:rPr>
            <w:iCs/>
          </w:rPr>
          <w:delText xml:space="preserve">štúdii </w:delText>
        </w:r>
      </w:del>
      <w:ins w:id="1793" w:author="Author" w:date="2025-07-21T10:26:00Z">
        <w:r>
          <w:rPr>
            <w:iCs/>
          </w:rPr>
          <w:t xml:space="preserve">klinickom </w:t>
        </w:r>
      </w:ins>
      <w:ins w:id="1794" w:author="Author" w:date="2025-07-19T23:29:00Z">
        <w:r>
          <w:rPr>
            <w:iCs/>
          </w:rPr>
          <w:t xml:space="preserve">skúšaní </w:t>
        </w:r>
      </w:ins>
      <w:r>
        <w:rPr>
          <w:iCs/>
        </w:rPr>
        <w:t>OBA mala stredne ťažkú poruchu funkcie obličiek na začiatku liečby (odhadovaný klírens kreatínu 30 </w:t>
      </w:r>
      <w:r>
        <w:rPr>
          <w:iCs/>
        </w:rPr>
        <w:noBreakHyphen/>
        <w:t xml:space="preserve"> 59 ml/min). U týchto pacientov nebol pozorovaný žiaden vplyv na expozíciu </w:t>
      </w:r>
      <w:r>
        <w:t>tocilizumabu</w:t>
      </w:r>
      <w:r>
        <w:rPr>
          <w:iCs/>
        </w:rPr>
        <w:t>.</w:t>
      </w:r>
    </w:p>
    <w:p w14:paraId="08F18731" w14:textId="77777777" w:rsidR="009700E5" w:rsidRDefault="009700E5">
      <w:pPr>
        <w:numPr>
          <w:ilvl w:val="12"/>
          <w:numId w:val="0"/>
        </w:numPr>
        <w:ind w:right="-2"/>
        <w:rPr>
          <w:iCs/>
        </w:rPr>
      </w:pPr>
    </w:p>
    <w:p w14:paraId="34DC23C4" w14:textId="77777777" w:rsidR="009700E5" w:rsidRDefault="002C033C">
      <w:pPr>
        <w:numPr>
          <w:ilvl w:val="12"/>
          <w:numId w:val="0"/>
        </w:numPr>
        <w:ind w:right="-2"/>
        <w:rPr>
          <w:iCs/>
        </w:rPr>
      </w:pPr>
      <w:r>
        <w:rPr>
          <w:iCs/>
        </w:rPr>
        <w:t>U pacientov s miernou alebo stredne ťažkou poruchou funkcie obličiek nie je potrebná úprava dávky.</w:t>
      </w:r>
    </w:p>
    <w:p w14:paraId="7C54DC2F" w14:textId="77777777" w:rsidR="009700E5" w:rsidRDefault="009700E5">
      <w:pPr>
        <w:outlineLvl w:val="0"/>
      </w:pPr>
    </w:p>
    <w:p w14:paraId="5E8FE9F0" w14:textId="77777777" w:rsidR="009700E5" w:rsidRDefault="002C033C">
      <w:pPr>
        <w:outlineLvl w:val="0"/>
        <w:rPr>
          <w:bCs/>
          <w:i/>
          <w:iCs/>
        </w:rPr>
      </w:pPr>
      <w:r>
        <w:rPr>
          <w:bCs/>
          <w:i/>
          <w:iCs/>
        </w:rPr>
        <w:t>Porucha funkcie pečene</w:t>
      </w:r>
    </w:p>
    <w:p w14:paraId="520E878F" w14:textId="77777777" w:rsidR="009700E5" w:rsidRDefault="002C033C">
      <w:pPr>
        <w:outlineLvl w:val="0"/>
        <w:rPr>
          <w:iCs/>
        </w:rPr>
      </w:pPr>
      <w:del w:id="1795" w:author="Author" w:date="2025-07-19T23:29:00Z">
        <w:r>
          <w:rPr>
            <w:iCs/>
          </w:rPr>
          <w:delText xml:space="preserve">Štúdia </w:delText>
        </w:r>
      </w:del>
      <w:ins w:id="1796" w:author="Author" w:date="2025-07-21T10:26:00Z">
        <w:r>
          <w:rPr>
            <w:iCs/>
          </w:rPr>
          <w:t>Klinické s</w:t>
        </w:r>
      </w:ins>
      <w:ins w:id="1797" w:author="Author" w:date="2025-07-19T23:29:00Z">
        <w:del w:id="1798" w:author="Author" w:date="2025-07-21T10:26:00Z">
          <w:r>
            <w:rPr>
              <w:iCs/>
            </w:rPr>
            <w:delText>S</w:delText>
          </w:r>
        </w:del>
        <w:r>
          <w:rPr>
            <w:iCs/>
          </w:rPr>
          <w:t xml:space="preserve">kúšanie </w:t>
        </w:r>
      </w:ins>
      <w:r>
        <w:rPr>
          <w:iCs/>
        </w:rPr>
        <w:t xml:space="preserve">vplyvu poruchy funkcie pečene na farmakokinetiku </w:t>
      </w:r>
      <w:r>
        <w:t>tocilizumabu</w:t>
      </w:r>
      <w:r>
        <w:rPr>
          <w:iCs/>
        </w:rPr>
        <w:t xml:space="preserve"> sa neuskutočnila.</w:t>
      </w:r>
    </w:p>
    <w:p w14:paraId="12735DF5" w14:textId="77777777" w:rsidR="009700E5" w:rsidRDefault="009700E5">
      <w:pPr>
        <w:outlineLvl w:val="0"/>
      </w:pPr>
    </w:p>
    <w:p w14:paraId="6EE82DC8" w14:textId="77777777" w:rsidR="009700E5" w:rsidRDefault="002C033C">
      <w:pPr>
        <w:outlineLvl w:val="0"/>
        <w:rPr>
          <w:bCs/>
          <w:i/>
          <w:iCs/>
        </w:rPr>
      </w:pPr>
      <w:r>
        <w:rPr>
          <w:bCs/>
          <w:i/>
          <w:iCs/>
        </w:rPr>
        <w:t>Vek, pohlavie a etnická príslušnosť</w:t>
      </w:r>
    </w:p>
    <w:p w14:paraId="5C31512F" w14:textId="77777777" w:rsidR="009700E5" w:rsidRDefault="002C033C">
      <w:pPr>
        <w:outlineLvl w:val="0"/>
        <w:rPr>
          <w:iCs/>
        </w:rPr>
      </w:pPr>
      <w:r>
        <w:rPr>
          <w:iCs/>
        </w:rPr>
        <w:t>Populačné farmakokinetické analýzy u dospelých pacientov s RA a OBA preukázali, že vek, pohlavie a </w:t>
      </w:r>
      <w:r>
        <w:rPr>
          <w:bCs/>
        </w:rPr>
        <w:t>etnická príslušnosť</w:t>
      </w:r>
      <w:r>
        <w:rPr>
          <w:iCs/>
        </w:rPr>
        <w:t xml:space="preserve"> nemajú vplyv na farmakokinetiku </w:t>
      </w:r>
      <w:r>
        <w:t>tocilizumabu</w:t>
      </w:r>
      <w:r>
        <w:rPr>
          <w:iCs/>
        </w:rPr>
        <w:t>.</w:t>
      </w:r>
    </w:p>
    <w:p w14:paraId="6B0457E8" w14:textId="77777777" w:rsidR="009700E5" w:rsidRDefault="009700E5">
      <w:pPr>
        <w:numPr>
          <w:ilvl w:val="12"/>
          <w:numId w:val="0"/>
        </w:numPr>
        <w:ind w:right="-2"/>
        <w:rPr>
          <w:iCs/>
        </w:rPr>
      </w:pPr>
    </w:p>
    <w:p w14:paraId="20AD4556" w14:textId="77777777" w:rsidR="009700E5" w:rsidRDefault="002C033C">
      <w:pPr>
        <w:numPr>
          <w:ilvl w:val="12"/>
          <w:numId w:val="0"/>
        </w:numPr>
        <w:ind w:right="-2"/>
        <w:rPr>
          <w:iCs/>
        </w:rPr>
      </w:pPr>
      <w:r>
        <w:rPr>
          <w:iCs/>
        </w:rPr>
        <w:lastRenderedPageBreak/>
        <w:t xml:space="preserve">Výsledky populačnej FK analýzy u pacientov so sJIA a pJIA potvrdili, že veľkosť tela je jediný kovariát, ktorý má zreteľný účinok na farmakokinetiku </w:t>
      </w:r>
      <w:r>
        <w:t>tocilizumabu</w:t>
      </w:r>
      <w:r>
        <w:rPr>
          <w:iCs/>
        </w:rPr>
        <w:t xml:space="preserve"> vrátane eliminácie a absorpcie, z čoho vyplýva, že sa má vziať do úvahy dávkovanie odvodené od telesnej hmotnosti (pozri tabuľky 8 a 9).</w:t>
      </w:r>
    </w:p>
    <w:p w14:paraId="3249B701" w14:textId="77777777" w:rsidR="009700E5" w:rsidRDefault="009700E5">
      <w:pPr>
        <w:numPr>
          <w:ilvl w:val="12"/>
          <w:numId w:val="0"/>
        </w:numPr>
        <w:ind w:right="-2"/>
        <w:rPr>
          <w:iCs/>
        </w:rPr>
      </w:pPr>
    </w:p>
    <w:p w14:paraId="50FE7522" w14:textId="77777777" w:rsidR="009700E5" w:rsidRDefault="002C033C">
      <w:pPr>
        <w:keepNext/>
        <w:keepLines/>
        <w:outlineLvl w:val="0"/>
      </w:pPr>
      <w:r>
        <w:rPr>
          <w:b/>
        </w:rPr>
        <w:t>5.3</w:t>
      </w:r>
      <w:r>
        <w:rPr>
          <w:b/>
        </w:rPr>
        <w:tab/>
      </w:r>
      <w:r>
        <w:rPr>
          <w:b/>
          <w:szCs w:val="22"/>
        </w:rPr>
        <w:t>Predklinické údaje o bezpečnosti</w:t>
      </w:r>
    </w:p>
    <w:p w14:paraId="4CE0760A" w14:textId="77777777" w:rsidR="009700E5" w:rsidRDefault="009700E5">
      <w:pPr>
        <w:keepNext/>
        <w:keepLines/>
      </w:pPr>
    </w:p>
    <w:p w14:paraId="5A1D2B8F" w14:textId="77777777" w:rsidR="009700E5" w:rsidRDefault="002C033C">
      <w:pPr>
        <w:rPr>
          <w:bCs/>
        </w:rPr>
      </w:pPr>
      <w:r>
        <w:rPr>
          <w:szCs w:val="22"/>
        </w:rPr>
        <w:t xml:space="preserve">Predklinické údaje získané na základe obvyklých farmakologických </w:t>
      </w:r>
      <w:del w:id="1799" w:author="Author" w:date="2025-07-19T23:29:00Z">
        <w:r>
          <w:rPr>
            <w:szCs w:val="22"/>
          </w:rPr>
          <w:delText xml:space="preserve">štúdií </w:delText>
        </w:r>
      </w:del>
      <w:ins w:id="1800" w:author="Author" w:date="2025-07-21T10:26:00Z">
        <w:r>
          <w:rPr>
            <w:szCs w:val="22"/>
          </w:rPr>
          <w:t xml:space="preserve">klinických </w:t>
        </w:r>
      </w:ins>
      <w:ins w:id="1801" w:author="Author" w:date="2025-07-19T23:29:00Z">
        <w:r>
          <w:rPr>
            <w:szCs w:val="22"/>
          </w:rPr>
          <w:t xml:space="preserve">skúšaní </w:t>
        </w:r>
      </w:ins>
      <w:r>
        <w:rPr>
          <w:szCs w:val="22"/>
        </w:rPr>
        <w:t>bezpečnosti, toxicity po opakovanom podávaní, genotoxicity, reprodukčnej toxicity a vývinu neodhalili žiadne osobitné riziko pre ľudí</w:t>
      </w:r>
      <w:r>
        <w:t>.</w:t>
      </w:r>
    </w:p>
    <w:p w14:paraId="2C1CE331" w14:textId="77777777" w:rsidR="009700E5" w:rsidRDefault="009700E5">
      <w:pPr>
        <w:rPr>
          <w:bCs/>
        </w:rPr>
      </w:pPr>
    </w:p>
    <w:p w14:paraId="6B44AB43" w14:textId="77777777" w:rsidR="009700E5" w:rsidRDefault="002C033C">
      <w:pPr>
        <w:rPr>
          <w:bCs/>
        </w:rPr>
      </w:pPr>
      <w:del w:id="1802" w:author="Author" w:date="2025-07-19T23:29:00Z">
        <w:r>
          <w:rPr>
            <w:bCs/>
          </w:rPr>
          <w:delText xml:space="preserve">Štúdie </w:delText>
        </w:r>
      </w:del>
      <w:ins w:id="1803" w:author="Author" w:date="2025-07-21T10:26:00Z">
        <w:r>
          <w:rPr>
            <w:bCs/>
          </w:rPr>
          <w:t>Klinické s</w:t>
        </w:r>
      </w:ins>
      <w:ins w:id="1804" w:author="Author" w:date="2025-07-19T23:29:00Z">
        <w:del w:id="1805" w:author="Author" w:date="2025-07-21T10:26:00Z">
          <w:r>
            <w:rPr>
              <w:bCs/>
            </w:rPr>
            <w:delText>S</w:delText>
          </w:r>
        </w:del>
        <w:r>
          <w:rPr>
            <w:bCs/>
          </w:rPr>
          <w:t xml:space="preserve">kúšania </w:t>
        </w:r>
      </w:ins>
      <w:r>
        <w:rPr>
          <w:bCs/>
        </w:rPr>
        <w:t>karcinogenity sa neuskutočnili, pretože IG1 monoklonálne protilátky sa nepovažujú za látky s vlastným karcinogénnym potenciálom.</w:t>
      </w:r>
    </w:p>
    <w:p w14:paraId="446B08B9" w14:textId="77777777" w:rsidR="009700E5" w:rsidRDefault="009700E5"/>
    <w:p w14:paraId="593A83E3" w14:textId="77777777" w:rsidR="009700E5" w:rsidRDefault="002C033C">
      <w:pPr>
        <w:keepNext/>
        <w:keepLines/>
      </w:pPr>
      <w:r>
        <w:t>Dostupné predklinické údaje preukázali vplyv IL</w:t>
      </w:r>
      <w:r>
        <w:noBreakHyphen/>
        <w:t>6 na progresiu zhubných nádorov a na rezistenciu rôznych typov nádorov na apoptózu. Tieto údaje nepoukazujú na významné riziko pre vznik a progresiu rakoviny počas liečby tocilizumabom. Okrem toho sa v 6</w:t>
      </w:r>
      <w:r>
        <w:noBreakHyphen/>
        <w:t xml:space="preserve">mesačných </w:t>
      </w:r>
      <w:del w:id="1806" w:author="Author" w:date="2025-07-19T23:29:00Z">
        <w:r>
          <w:delText xml:space="preserve">štúdiách </w:delText>
        </w:r>
      </w:del>
      <w:ins w:id="1807" w:author="Author" w:date="2025-07-21T10:26:00Z">
        <w:r>
          <w:t xml:space="preserve">klinických </w:t>
        </w:r>
      </w:ins>
      <w:ins w:id="1808" w:author="Author" w:date="2025-07-19T23:29:00Z">
        <w:r>
          <w:t xml:space="preserve">skúšaniach </w:t>
        </w:r>
      </w:ins>
      <w:r>
        <w:t>chronickej toxicity na opiciach rodu Cynomolgus, ani u myší s deficitom IL</w:t>
      </w:r>
      <w:r>
        <w:noBreakHyphen/>
        <w:t>6 proliferatívne lézie nepozorovali.</w:t>
      </w:r>
    </w:p>
    <w:p w14:paraId="34E27DC6" w14:textId="77777777" w:rsidR="009700E5" w:rsidRDefault="009700E5"/>
    <w:p w14:paraId="6FFFD464" w14:textId="77777777" w:rsidR="009700E5" w:rsidRDefault="002C033C">
      <w:r>
        <w:t>Dostupné predklinické údaje nepotvrdili, že liečba tocilizumabom má vplyv na fertilitu. V</w:t>
      </w:r>
      <w:del w:id="1809" w:author="Author" w:date="2025-07-19T23:29:00Z">
        <w:r>
          <w:delText> </w:delText>
        </w:r>
      </w:del>
      <w:ins w:id="1810" w:author="Author" w:date="2025-07-19T23:29:00Z">
        <w:r>
          <w:t> </w:t>
        </w:r>
      </w:ins>
      <w:del w:id="1811" w:author="Author" w:date="2025-07-19T23:29:00Z">
        <w:r>
          <w:delText>štúdii</w:delText>
        </w:r>
      </w:del>
      <w:ins w:id="1812" w:author="Author" w:date="2025-07-21T10:26:00Z">
        <w:r>
          <w:t>klinickom</w:t>
        </w:r>
      </w:ins>
      <w:del w:id="1813" w:author="Author" w:date="2025-07-19T23:29:00Z">
        <w:r>
          <w:delText xml:space="preserve"> </w:delText>
        </w:r>
      </w:del>
      <w:ins w:id="1814" w:author="Author" w:date="2025-07-21T11:31:00Z">
        <w:r>
          <w:t xml:space="preserve"> </w:t>
        </w:r>
      </w:ins>
      <w:ins w:id="1815" w:author="Author" w:date="2025-07-19T23:29:00Z">
        <w:r>
          <w:t xml:space="preserve">skúšaní </w:t>
        </w:r>
      </w:ins>
      <w:r>
        <w:t>chronickej toxicity na opiciach rodu Cynomolgus sa nepozorovali účinky na endokrinne aktívne orgány a na orgány reprodukčného systému a u myší s deficitom IL</w:t>
      </w:r>
      <w:r>
        <w:noBreakHyphen/>
        <w:t>6 nedošlo k poškodeniu reprodukčnej výkonnosti. Zistilo sa, že tocilizumab podávaný opiciam rodu Cynomolgus počas skorej fázy gestácie nemal priamy ani nepriamy škodlivý vplyv na graviditu alebo embryofetálny vývoj. Pozorovalo sa však mierne zvýšenie potratov/embryofetálnej úmrtnosti pri vysokej systémovej expozícii (</w:t>
      </w:r>
      <w:r>
        <w:rPr>
          <w:rFonts w:eastAsia="MS Mincho"/>
          <w:szCs w:val="22"/>
        </w:rPr>
        <w:sym w:font="Symbol" w:char="F03E"/>
      </w:r>
      <w:r>
        <w:t> 100</w:t>
      </w:r>
      <w:r>
        <w:noBreakHyphen/>
        <w:t>násobok expozície dosiahnutej u ľudí) v skupine liečenej vysokou dávkou 50 mg/kg/deň oproti skupine liečenej placebom a inými nízkymi dávkami. Hoci IL</w:t>
      </w:r>
      <w:r>
        <w:noBreakHyphen/>
        <w:t>6 zrejme nie je rozhodujúcim cytokínom pre rast plodu alebo imunologickú kontrolu rozhrania materských a fetálnych tkanív, súvislosť tohto zistenia s tocilizumabom nie je možné vylúčiť.</w:t>
      </w:r>
    </w:p>
    <w:p w14:paraId="4483FAC3" w14:textId="77777777" w:rsidR="009700E5" w:rsidRDefault="009700E5"/>
    <w:p w14:paraId="1637DD30" w14:textId="77777777" w:rsidR="009700E5" w:rsidRDefault="002C033C">
      <w:r>
        <w:t>Liečba myšacím analógom na juvenilných myšiach nevykazovala toxicitu. Konkrétne, nebolo prítomné žiadne narušenie rastu kostí, imunitných funkcií a sexuálneho dozrievania.</w:t>
      </w:r>
    </w:p>
    <w:p w14:paraId="782D45D0" w14:textId="77777777" w:rsidR="009700E5" w:rsidRDefault="009700E5"/>
    <w:p w14:paraId="7BDC326C" w14:textId="77777777" w:rsidR="009700E5" w:rsidRDefault="002C033C">
      <w:r>
        <w:t>Predklinický bezpečnostný profil tocilizumabu u opíc rodu Cynomolgus nepoukazuje na rozdiel medzi intravenóznyn a subkutánynm spôsobom podávania.</w:t>
      </w:r>
    </w:p>
    <w:p w14:paraId="49874ECC" w14:textId="77777777" w:rsidR="009700E5" w:rsidRDefault="009700E5"/>
    <w:p w14:paraId="66E6C1CC" w14:textId="77777777" w:rsidR="009700E5" w:rsidRDefault="009700E5"/>
    <w:p w14:paraId="3DA59935" w14:textId="77777777" w:rsidR="009700E5" w:rsidRDefault="002C033C">
      <w:pPr>
        <w:keepNext/>
        <w:keepLines/>
        <w:rPr>
          <w:b/>
        </w:rPr>
      </w:pPr>
      <w:r>
        <w:rPr>
          <w:b/>
        </w:rPr>
        <w:t>6.</w:t>
      </w:r>
      <w:r>
        <w:rPr>
          <w:b/>
        </w:rPr>
        <w:tab/>
      </w:r>
      <w:r>
        <w:rPr>
          <w:b/>
          <w:szCs w:val="22"/>
        </w:rPr>
        <w:t>FARMACEUTICKÉ INFORMÁCIE</w:t>
      </w:r>
    </w:p>
    <w:p w14:paraId="14F367E3" w14:textId="77777777" w:rsidR="009700E5" w:rsidRDefault="009700E5">
      <w:pPr>
        <w:keepNext/>
        <w:keepLines/>
      </w:pPr>
    </w:p>
    <w:p w14:paraId="58E53CF1" w14:textId="77777777" w:rsidR="009700E5" w:rsidRDefault="002C033C">
      <w:pPr>
        <w:outlineLvl w:val="0"/>
        <w:rPr>
          <w:b/>
        </w:rPr>
      </w:pPr>
      <w:r>
        <w:rPr>
          <w:b/>
        </w:rPr>
        <w:t>6.1</w:t>
      </w:r>
      <w:r>
        <w:rPr>
          <w:b/>
        </w:rPr>
        <w:tab/>
      </w:r>
      <w:r>
        <w:rPr>
          <w:b/>
          <w:szCs w:val="22"/>
        </w:rPr>
        <w:t>Zoznam pomocných látok</w:t>
      </w:r>
    </w:p>
    <w:p w14:paraId="6D5FBC58" w14:textId="77777777" w:rsidR="009700E5" w:rsidRDefault="009700E5">
      <w:pPr>
        <w:outlineLvl w:val="0"/>
        <w:rPr>
          <w:b/>
        </w:rPr>
      </w:pPr>
    </w:p>
    <w:p w14:paraId="0CC97129" w14:textId="77777777" w:rsidR="009700E5" w:rsidRDefault="002C033C">
      <w:pPr>
        <w:ind w:left="567" w:hanging="567"/>
        <w:outlineLvl w:val="0"/>
        <w:rPr>
          <w:bCs/>
          <w:szCs w:val="22"/>
        </w:rPr>
      </w:pPr>
      <w:r>
        <w:rPr>
          <w:bCs/>
          <w:szCs w:val="22"/>
        </w:rPr>
        <w:t>histidín (na úpravu pH)</w:t>
      </w:r>
    </w:p>
    <w:p w14:paraId="2706E8AB" w14:textId="77777777" w:rsidR="009700E5" w:rsidRDefault="002C033C">
      <w:pPr>
        <w:ind w:left="567" w:hanging="567"/>
        <w:outlineLvl w:val="0"/>
        <w:rPr>
          <w:bCs/>
          <w:szCs w:val="22"/>
        </w:rPr>
      </w:pPr>
      <w:r>
        <w:rPr>
          <w:bCs/>
          <w:szCs w:val="22"/>
        </w:rPr>
        <w:t>monohydrát histidíniumchloridu (na úpravu pH)</w:t>
      </w:r>
    </w:p>
    <w:p w14:paraId="4F18B97E" w14:textId="77777777" w:rsidR="009700E5" w:rsidRDefault="002C033C">
      <w:pPr>
        <w:ind w:left="567" w:hanging="567"/>
        <w:outlineLvl w:val="0"/>
        <w:rPr>
          <w:bCs/>
          <w:szCs w:val="22"/>
        </w:rPr>
      </w:pPr>
      <w:r>
        <w:rPr>
          <w:bCs/>
          <w:szCs w:val="22"/>
        </w:rPr>
        <w:t>arginín/arginíniumchlorid</w:t>
      </w:r>
    </w:p>
    <w:p w14:paraId="0290FAA8" w14:textId="77777777" w:rsidR="009700E5" w:rsidRDefault="002C033C">
      <w:pPr>
        <w:ind w:left="567" w:hanging="567"/>
        <w:outlineLvl w:val="0"/>
        <w:rPr>
          <w:bCs/>
          <w:szCs w:val="22"/>
        </w:rPr>
      </w:pPr>
      <w:r>
        <w:rPr>
          <w:bCs/>
          <w:szCs w:val="22"/>
        </w:rPr>
        <w:t>metionín</w:t>
      </w:r>
    </w:p>
    <w:p w14:paraId="0EECB761" w14:textId="77777777" w:rsidR="009700E5" w:rsidRDefault="002C033C">
      <w:pPr>
        <w:outlineLvl w:val="0"/>
        <w:rPr>
          <w:bCs/>
        </w:rPr>
      </w:pPr>
      <w:r>
        <w:rPr>
          <w:bCs/>
        </w:rPr>
        <w:t>polysorbát 80 (E 433)</w:t>
      </w:r>
    </w:p>
    <w:p w14:paraId="2A43CE7F" w14:textId="77777777" w:rsidR="009700E5" w:rsidRDefault="002C033C">
      <w:pPr>
        <w:outlineLvl w:val="0"/>
        <w:rPr>
          <w:bCs/>
        </w:rPr>
      </w:pPr>
      <w:r>
        <w:rPr>
          <w:bCs/>
        </w:rPr>
        <w:t>voda na injekciu</w:t>
      </w:r>
    </w:p>
    <w:p w14:paraId="0655A8D8" w14:textId="77777777" w:rsidR="009700E5" w:rsidRDefault="009700E5">
      <w:pPr>
        <w:rPr>
          <w:iCs/>
        </w:rPr>
      </w:pPr>
    </w:p>
    <w:p w14:paraId="1F3B1D9E" w14:textId="77777777" w:rsidR="009700E5" w:rsidRDefault="002C033C">
      <w:pPr>
        <w:keepNext/>
        <w:keepLines/>
        <w:outlineLvl w:val="0"/>
      </w:pPr>
      <w:r>
        <w:rPr>
          <w:b/>
        </w:rPr>
        <w:t>6.2</w:t>
      </w:r>
      <w:r>
        <w:rPr>
          <w:b/>
        </w:rPr>
        <w:tab/>
      </w:r>
      <w:r>
        <w:rPr>
          <w:b/>
          <w:szCs w:val="22"/>
        </w:rPr>
        <w:t>Inkompatibility</w:t>
      </w:r>
    </w:p>
    <w:p w14:paraId="39EC0440" w14:textId="77777777" w:rsidR="009700E5" w:rsidRDefault="009700E5"/>
    <w:p w14:paraId="2E6BDA87" w14:textId="77777777" w:rsidR="009700E5" w:rsidRDefault="002C033C">
      <w:pPr>
        <w:ind w:left="567" w:hanging="567"/>
        <w:outlineLvl w:val="0"/>
      </w:pPr>
      <w:r>
        <w:rPr>
          <w:szCs w:val="22"/>
        </w:rPr>
        <w:t xml:space="preserve">Nevykonali sa </w:t>
      </w:r>
      <w:ins w:id="1816" w:author="Author" w:date="2025-07-21T10:27:00Z">
        <w:r>
          <w:rPr>
            <w:szCs w:val="22"/>
          </w:rPr>
          <w:t>klinické skúšania</w:t>
        </w:r>
      </w:ins>
      <w:del w:id="1817" w:author="Author" w:date="2025-07-21T10:27:00Z">
        <w:r>
          <w:rPr>
            <w:szCs w:val="22"/>
          </w:rPr>
          <w:delText>štúdie</w:delText>
        </w:r>
      </w:del>
      <w:r>
        <w:rPr>
          <w:szCs w:val="22"/>
        </w:rPr>
        <w:t xml:space="preserve"> kompatibility, preto sa tento liek nesmie miešať s inými liekmi.</w:t>
      </w:r>
    </w:p>
    <w:p w14:paraId="7AAB2742" w14:textId="77777777" w:rsidR="009700E5" w:rsidRDefault="009700E5">
      <w:pPr>
        <w:outlineLvl w:val="0"/>
      </w:pPr>
    </w:p>
    <w:p w14:paraId="130E145A" w14:textId="77777777" w:rsidR="009700E5" w:rsidRDefault="002C033C">
      <w:pPr>
        <w:keepNext/>
        <w:keepLines/>
        <w:outlineLvl w:val="0"/>
      </w:pPr>
      <w:r>
        <w:rPr>
          <w:b/>
        </w:rPr>
        <w:lastRenderedPageBreak/>
        <w:t>6.3</w:t>
      </w:r>
      <w:r>
        <w:rPr>
          <w:b/>
        </w:rPr>
        <w:tab/>
      </w:r>
      <w:r>
        <w:rPr>
          <w:b/>
          <w:szCs w:val="22"/>
        </w:rPr>
        <w:t>Čas použiteľnosti</w:t>
      </w:r>
    </w:p>
    <w:p w14:paraId="1E2F8076" w14:textId="77777777" w:rsidR="009700E5" w:rsidRDefault="009700E5">
      <w:pPr>
        <w:keepNext/>
        <w:keepLines/>
      </w:pPr>
    </w:p>
    <w:p w14:paraId="1F5FF873" w14:textId="77777777" w:rsidR="009700E5" w:rsidRDefault="002C033C">
      <w:pPr>
        <w:keepNext/>
        <w:keepLines/>
      </w:pPr>
      <w:r>
        <w:t>3 roky</w:t>
      </w:r>
    </w:p>
    <w:p w14:paraId="3FCB157D" w14:textId="77777777" w:rsidR="009700E5" w:rsidRDefault="009700E5">
      <w:pPr>
        <w:keepNext/>
        <w:keepLines/>
      </w:pPr>
    </w:p>
    <w:p w14:paraId="6D0441B6" w14:textId="77777777" w:rsidR="009700E5" w:rsidRDefault="002C033C">
      <w:pPr>
        <w:outlineLvl w:val="0"/>
        <w:rPr>
          <w:b/>
          <w:szCs w:val="22"/>
        </w:rPr>
      </w:pPr>
      <w:r>
        <w:rPr>
          <w:b/>
        </w:rPr>
        <w:t>6.4</w:t>
      </w:r>
      <w:r>
        <w:rPr>
          <w:b/>
        </w:rPr>
        <w:tab/>
      </w:r>
      <w:r>
        <w:rPr>
          <w:b/>
          <w:szCs w:val="22"/>
        </w:rPr>
        <w:t>Špeciálne upozornenia na uchovávanie</w:t>
      </w:r>
    </w:p>
    <w:p w14:paraId="5759D322" w14:textId="77777777" w:rsidR="009700E5" w:rsidRDefault="009700E5">
      <w:pPr>
        <w:outlineLvl w:val="0"/>
        <w:rPr>
          <w:b/>
        </w:rPr>
      </w:pPr>
    </w:p>
    <w:p w14:paraId="2C05AE79" w14:textId="77777777" w:rsidR="009700E5" w:rsidRDefault="002C033C">
      <w:r>
        <w:t>Uchovávajte v chladničke (2 °C </w:t>
      </w:r>
      <w:r>
        <w:noBreakHyphen/>
        <w:t> 8 °C). Neuchovávajte v mrazničke. Po vybratí z chladničky možno naplnenú injekčnú striekačku uchovávať až 2 týždne pri teplote do 30 °C.</w:t>
      </w:r>
    </w:p>
    <w:p w14:paraId="710319BE" w14:textId="77777777" w:rsidR="009700E5" w:rsidRDefault="009700E5"/>
    <w:p w14:paraId="1EFF7A4C" w14:textId="77777777" w:rsidR="009700E5" w:rsidRDefault="002C033C">
      <w:pPr>
        <w:rPr>
          <w:ins w:id="1818" w:author="Author" w:date="2025-07-19T23:30:00Z"/>
          <w:szCs w:val="22"/>
        </w:rPr>
      </w:pPr>
      <w:r>
        <w:rPr>
          <w:szCs w:val="22"/>
        </w:rPr>
        <w:t>Naplnenú injekčnú striekačku uchovávajte vo vonkajšom obale na ochranu pred svetlom a vlhkosťou.</w:t>
      </w:r>
    </w:p>
    <w:p w14:paraId="4A037B38" w14:textId="77777777" w:rsidR="009700E5" w:rsidRDefault="009700E5">
      <w:pPr>
        <w:rPr>
          <w:ins w:id="1819" w:author="Author" w:date="2025-07-19T23:30:00Z"/>
          <w:szCs w:val="22"/>
        </w:rPr>
      </w:pPr>
    </w:p>
    <w:p w14:paraId="029AE35F" w14:textId="77777777" w:rsidR="009700E5" w:rsidRDefault="002C033C">
      <w:pPr>
        <w:rPr>
          <w:szCs w:val="22"/>
        </w:rPr>
      </w:pPr>
      <w:ins w:id="1820" w:author="Author" w:date="2025-07-19T23:30:00Z">
        <w:r>
          <w:rPr>
            <w:szCs w:val="22"/>
          </w:rPr>
          <w:t xml:space="preserve">Dátum a čas </w:t>
        </w:r>
      </w:ins>
      <w:ins w:id="1821" w:author="Author" w:date="2026-02-10T15:19:00Z">
        <w:r>
          <w:rPr>
            <w:szCs w:val="22"/>
          </w:rPr>
          <w:t>vybratia</w:t>
        </w:r>
      </w:ins>
      <w:ins w:id="1822" w:author="Author" w:date="2025-07-19T23:30:00Z">
        <w:r>
          <w:rPr>
            <w:szCs w:val="22"/>
          </w:rPr>
          <w:t xml:space="preserve"> balenia z chladničky musia byť zaznamenané na </w:t>
        </w:r>
      </w:ins>
      <w:ins w:id="1823" w:author="Author" w:date="2025-07-21T10:29:00Z">
        <w:r>
          <w:rPr>
            <w:szCs w:val="22"/>
          </w:rPr>
          <w:t>vonkajšom obale</w:t>
        </w:r>
      </w:ins>
      <w:ins w:id="1824" w:author="Author" w:date="2025-07-19T23:31:00Z">
        <w:del w:id="1825" w:author="Author" w:date="2025-07-21T10:29:00Z">
          <w:r>
            <w:rPr>
              <w:szCs w:val="22"/>
            </w:rPr>
            <w:delText>škatuli</w:delText>
          </w:r>
        </w:del>
        <w:r>
          <w:rPr>
            <w:szCs w:val="22"/>
          </w:rPr>
          <w:t xml:space="preserve">. Ak </w:t>
        </w:r>
      </w:ins>
      <w:ins w:id="1826" w:author="Author" w:date="2025-07-21T10:29:00Z">
        <w:r>
          <w:rPr>
            <w:szCs w:val="22"/>
          </w:rPr>
          <w:t xml:space="preserve">injekčná </w:t>
        </w:r>
      </w:ins>
      <w:ins w:id="1827" w:author="Author" w:date="2025-07-19T23:31:00Z">
        <w:r>
          <w:rPr>
            <w:szCs w:val="22"/>
          </w:rPr>
          <w:t xml:space="preserve">striekačka </w:t>
        </w:r>
      </w:ins>
      <w:ins w:id="1828" w:author="Author" w:date="2026-02-19T09:32:00Z">
        <w:r>
          <w:rPr>
            <w:szCs w:val="22"/>
          </w:rPr>
          <w:t>zostane</w:t>
        </w:r>
      </w:ins>
      <w:ins w:id="1829" w:author="Author" w:date="2025-07-19T23:31:00Z">
        <w:r>
          <w:rPr>
            <w:szCs w:val="22"/>
          </w:rPr>
          <w:t xml:space="preserve"> mimo chladničk</w:t>
        </w:r>
      </w:ins>
      <w:ins w:id="1830" w:author="Author" w:date="2026-02-19T09:33:00Z">
        <w:r>
          <w:rPr>
            <w:szCs w:val="22"/>
          </w:rPr>
          <w:t>y</w:t>
        </w:r>
      </w:ins>
      <w:ins w:id="1831" w:author="Author" w:date="2025-07-19T23:31:00Z">
        <w:r>
          <w:rPr>
            <w:szCs w:val="22"/>
          </w:rPr>
          <w:t xml:space="preserve"> viac ako </w:t>
        </w:r>
      </w:ins>
      <w:ins w:id="1832" w:author="Author" w:date="2026-02-10T15:21:00Z">
        <w:r>
          <w:rPr>
            <w:szCs w:val="22"/>
          </w:rPr>
          <w:t>2</w:t>
        </w:r>
      </w:ins>
      <w:ins w:id="1833" w:author="Author" w:date="2025-07-19T23:31:00Z">
        <w:r>
          <w:rPr>
            <w:szCs w:val="22"/>
          </w:rPr>
          <w:t xml:space="preserve"> týždne, zlikvidujte ju. Na zohriatie naplnených in</w:t>
        </w:r>
      </w:ins>
      <w:ins w:id="1834" w:author="Author" w:date="2025-07-19T23:32:00Z">
        <w:r>
          <w:rPr>
            <w:szCs w:val="22"/>
          </w:rPr>
          <w:t>jekčných striekačiek nepoužívajte externé zdroje tepla, ako napr. horúc</w:t>
        </w:r>
      </w:ins>
      <w:ins w:id="1835" w:author="Author" w:date="2025-07-21T11:08:00Z">
        <w:r>
          <w:rPr>
            <w:szCs w:val="22"/>
          </w:rPr>
          <w:t>u</w:t>
        </w:r>
      </w:ins>
      <w:ins w:id="1836" w:author="Author" w:date="2025-07-19T23:32:00Z">
        <w:del w:id="1837" w:author="Author" w:date="2025-07-21T11:08:00Z">
          <w:r>
            <w:rPr>
              <w:szCs w:val="22"/>
            </w:rPr>
            <w:delText>a</w:delText>
          </w:r>
        </w:del>
        <w:r>
          <w:rPr>
            <w:szCs w:val="22"/>
          </w:rPr>
          <w:t xml:space="preserve"> vod</w:t>
        </w:r>
      </w:ins>
      <w:ins w:id="1838" w:author="Author" w:date="2025-07-21T11:09:00Z">
        <w:r>
          <w:rPr>
            <w:szCs w:val="22"/>
          </w:rPr>
          <w:t>u</w:t>
        </w:r>
      </w:ins>
      <w:ins w:id="1839" w:author="Author" w:date="2025-07-19T23:32:00Z">
        <w:del w:id="1840" w:author="Author" w:date="2025-07-21T11:09:00Z">
          <w:r>
            <w:rPr>
              <w:szCs w:val="22"/>
            </w:rPr>
            <w:delText>a</w:delText>
          </w:r>
        </w:del>
        <w:r>
          <w:rPr>
            <w:szCs w:val="22"/>
          </w:rPr>
          <w:t>.</w:t>
        </w:r>
      </w:ins>
    </w:p>
    <w:p w14:paraId="0B1166B1" w14:textId="77777777" w:rsidR="009700E5" w:rsidRDefault="009700E5">
      <w:pPr>
        <w:rPr>
          <w:szCs w:val="22"/>
        </w:rPr>
      </w:pPr>
    </w:p>
    <w:p w14:paraId="359D4A1A" w14:textId="77777777" w:rsidR="009700E5" w:rsidRDefault="002C033C">
      <w:pPr>
        <w:keepNext/>
        <w:keepLines/>
        <w:outlineLvl w:val="0"/>
        <w:rPr>
          <w:b/>
          <w:szCs w:val="22"/>
        </w:rPr>
      </w:pPr>
      <w:r>
        <w:rPr>
          <w:b/>
        </w:rPr>
        <w:t>6.5</w:t>
      </w:r>
      <w:r>
        <w:rPr>
          <w:b/>
        </w:rPr>
        <w:tab/>
      </w:r>
      <w:r>
        <w:rPr>
          <w:b/>
          <w:szCs w:val="22"/>
        </w:rPr>
        <w:t>Druh obalu a obsah balenia</w:t>
      </w:r>
    </w:p>
    <w:p w14:paraId="6E30A1F2" w14:textId="77777777" w:rsidR="009700E5" w:rsidRDefault="009700E5">
      <w:pPr>
        <w:keepNext/>
        <w:keepLines/>
        <w:outlineLvl w:val="0"/>
        <w:rPr>
          <w:b/>
        </w:rPr>
      </w:pPr>
    </w:p>
    <w:p w14:paraId="5AC1C204" w14:textId="77777777" w:rsidR="009700E5" w:rsidRDefault="002C033C">
      <w:pPr>
        <w:rPr>
          <w:szCs w:val="22"/>
        </w:rPr>
      </w:pPr>
      <w:r>
        <w:rPr>
          <w:szCs w:val="22"/>
        </w:rPr>
        <w:t>0,9 ml roztok v naplnenej injekčnej striekačke (sklo typu I) so vsadenou ihlou. Injekčná striekačka je uzatvorená pevným krytom ihly (elastomérové tesnenie s polypropylénovým plášťom) a gumovou zátkou (butylkaučuk s povlakom z fluorovanej živice).</w:t>
      </w:r>
    </w:p>
    <w:p w14:paraId="563CEC18" w14:textId="77777777" w:rsidR="009700E5" w:rsidRDefault="009700E5">
      <w:pPr>
        <w:rPr>
          <w:szCs w:val="22"/>
        </w:rPr>
      </w:pPr>
    </w:p>
    <w:p w14:paraId="7A3A29FC" w14:textId="77777777" w:rsidR="009700E5" w:rsidRDefault="002C033C">
      <w:pPr>
        <w:rPr>
          <w:bCs/>
          <w:szCs w:val="22"/>
        </w:rPr>
      </w:pPr>
      <w:r>
        <w:rPr>
          <w:szCs w:val="22"/>
        </w:rPr>
        <w:t xml:space="preserve">Balenie po 4 naplnených injekčných striekačkách </w:t>
      </w:r>
      <w:r>
        <w:rPr>
          <w:bCs/>
          <w:szCs w:val="22"/>
        </w:rPr>
        <w:t>a spoločné balenie s obsahom 12 (3 balenia po 4 ks) naplnených injekčných striekačiek.</w:t>
      </w:r>
    </w:p>
    <w:p w14:paraId="24699D83" w14:textId="77777777" w:rsidR="009700E5" w:rsidRDefault="002C033C">
      <w:pPr>
        <w:rPr>
          <w:bCs/>
          <w:szCs w:val="22"/>
        </w:rPr>
      </w:pPr>
      <w:r>
        <w:rPr>
          <w:bCs/>
          <w:szCs w:val="22"/>
        </w:rPr>
        <w:t>Na trh nemusia byť uvedené všetky veľkosti balenia.</w:t>
      </w:r>
    </w:p>
    <w:p w14:paraId="02CC72E6" w14:textId="77777777" w:rsidR="009700E5" w:rsidRDefault="009700E5"/>
    <w:p w14:paraId="78609FE4" w14:textId="77777777" w:rsidR="009700E5" w:rsidRDefault="002C033C">
      <w:pPr>
        <w:keepNext/>
        <w:keepLines/>
        <w:outlineLvl w:val="0"/>
      </w:pPr>
      <w:r>
        <w:rPr>
          <w:b/>
        </w:rPr>
        <w:t>6.6</w:t>
      </w:r>
      <w:r>
        <w:rPr>
          <w:b/>
        </w:rPr>
        <w:tab/>
      </w:r>
      <w:r>
        <w:rPr>
          <w:b/>
          <w:bCs/>
        </w:rPr>
        <w:t>Špeciálne opatrenia na likvidáciu a iné zaobchádzanie s liekom</w:t>
      </w:r>
    </w:p>
    <w:p w14:paraId="2DE2F2D4" w14:textId="77777777" w:rsidR="009700E5" w:rsidRDefault="009700E5">
      <w:pPr>
        <w:keepNext/>
        <w:keepLines/>
        <w:rPr>
          <w:szCs w:val="22"/>
          <w:u w:val="single"/>
        </w:rPr>
      </w:pPr>
    </w:p>
    <w:p w14:paraId="768A894D" w14:textId="77777777" w:rsidR="009700E5" w:rsidRDefault="002C033C">
      <w:pPr>
        <w:keepNext/>
        <w:keepLines/>
        <w:rPr>
          <w:color w:val="222222"/>
          <w:szCs w:val="22"/>
          <w:lang w:eastAsia="zh-CN"/>
        </w:rPr>
      </w:pPr>
      <w:r>
        <w:rPr>
          <w:szCs w:val="22"/>
        </w:rPr>
        <w:t xml:space="preserve">RoActemra sa dodáva v naplnenej injekčnej striekačke na jednorazové použitie vybavenej bezpečnostným krytom ihly. Po vybratí naplnenej injekčnej striekačky z chladničky sa má nechať naplnená injekčná striekačka dosiahnuť izbovú teplotu (18 °C až 28 °C) tak, že sa počká 25 až 30 minút pred injekčným podaním. Naplnenou injekčnou striekačkou sa nemá triasť. </w:t>
      </w:r>
      <w:r>
        <w:rPr>
          <w:rFonts w:eastAsia="SimSun"/>
          <w:szCs w:val="22"/>
          <w:lang w:eastAsia="zh-CN"/>
        </w:rPr>
        <w:t>Po odstránení krytu ihly sa musí injekcia začať podávať do 5 minút, aby sa zabránilo vysušeniu lieku a zablokovaniu ihly. Ak sa naplnená injekčná striekačka nepoužije do 5 minút, musí sa vyhodiť do nádoby odolnej proti prepichnutiu a použiť nová naplnená injekčná striekačka.</w:t>
      </w:r>
    </w:p>
    <w:p w14:paraId="3BC24A74" w14:textId="77777777" w:rsidR="009700E5" w:rsidRDefault="009700E5">
      <w:pPr>
        <w:rPr>
          <w:color w:val="222222"/>
          <w:szCs w:val="22"/>
          <w:lang w:eastAsia="zh-CN"/>
        </w:rPr>
      </w:pPr>
    </w:p>
    <w:p w14:paraId="27AF2B2B" w14:textId="77777777" w:rsidR="009700E5" w:rsidRDefault="002C033C">
      <w:r>
        <w:rPr>
          <w:color w:val="222222"/>
          <w:szCs w:val="22"/>
          <w:lang w:eastAsia="zh-CN"/>
        </w:rPr>
        <w:t>Ak sa nedá po vpichnutí ihly stlačiť piest, naplnenú injekčnúj striekačku musíte vyhodiť do nádoby odolnej proti prepichnutiu a použiť novú naplnenú injekčnú striekačku.</w:t>
      </w:r>
    </w:p>
    <w:p w14:paraId="0617E119" w14:textId="77777777" w:rsidR="009700E5" w:rsidRDefault="009700E5">
      <w:pPr>
        <w:rPr>
          <w:szCs w:val="22"/>
        </w:rPr>
      </w:pPr>
    </w:p>
    <w:p w14:paraId="5D2332B4" w14:textId="77777777" w:rsidR="009700E5" w:rsidRDefault="002C033C">
      <w:pPr>
        <w:rPr>
          <w:rFonts w:eastAsia="SimSun"/>
          <w:szCs w:val="22"/>
          <w:lang w:eastAsia="zh-CN"/>
        </w:rPr>
      </w:pPr>
      <w:r>
        <w:rPr>
          <w:rFonts w:eastAsia="SimSun"/>
          <w:szCs w:val="22"/>
          <w:lang w:eastAsia="zh-CN"/>
        </w:rPr>
        <w:t xml:space="preserve">Nepoužívajte, ak je liek zakalený alebo obsahuje čiastočky, ak má inú farbu než bezfarebnú až svetložltkastú, alebo ak ktorákoľvek časť </w:t>
      </w:r>
      <w:r>
        <w:rPr>
          <w:szCs w:val="22"/>
        </w:rPr>
        <w:t>naplnenej injekčnej striekačky</w:t>
      </w:r>
      <w:r>
        <w:rPr>
          <w:rFonts w:eastAsia="SimSun"/>
          <w:szCs w:val="22"/>
          <w:lang w:eastAsia="zh-CN"/>
        </w:rPr>
        <w:t xml:space="preserve"> javí známky poškodenia.</w:t>
      </w:r>
    </w:p>
    <w:p w14:paraId="2A5D0D31" w14:textId="77777777" w:rsidR="009700E5" w:rsidRDefault="009700E5">
      <w:pPr>
        <w:rPr>
          <w:rFonts w:eastAsia="SimSun"/>
          <w:szCs w:val="22"/>
          <w:lang w:eastAsia="zh-CN"/>
        </w:rPr>
      </w:pPr>
    </w:p>
    <w:p w14:paraId="4ECFD68F" w14:textId="77777777" w:rsidR="009700E5" w:rsidRDefault="002C033C">
      <w:pPr>
        <w:rPr>
          <w:iCs/>
          <w:szCs w:val="22"/>
        </w:rPr>
      </w:pPr>
      <w:r>
        <w:rPr>
          <w:rFonts w:eastAsia="SimSun"/>
          <w:szCs w:val="22"/>
          <w:lang w:eastAsia="zh-CN"/>
        </w:rPr>
        <w:t>Úplné pokyny na podanie RoActemry v </w:t>
      </w:r>
      <w:r>
        <w:rPr>
          <w:szCs w:val="22"/>
        </w:rPr>
        <w:t>naplnenej injekčnej striekačke</w:t>
      </w:r>
      <w:r>
        <w:rPr>
          <w:rFonts w:eastAsia="SimSun"/>
          <w:szCs w:val="22"/>
          <w:lang w:eastAsia="zh-CN"/>
        </w:rPr>
        <w:t xml:space="preserve"> sú poskytnuté v písomnej informácii pre používateľa.</w:t>
      </w:r>
    </w:p>
    <w:p w14:paraId="166709EA" w14:textId="77777777" w:rsidR="009700E5" w:rsidRDefault="009700E5">
      <w:pPr>
        <w:rPr>
          <w:szCs w:val="22"/>
          <w:u w:val="single"/>
        </w:rPr>
      </w:pPr>
    </w:p>
    <w:p w14:paraId="09F400F2" w14:textId="77777777" w:rsidR="009700E5" w:rsidRDefault="002C033C">
      <w:r>
        <w:rPr>
          <w:szCs w:val="22"/>
        </w:rPr>
        <w:t>Všetok nepoužitý liek alebo odpad vzniknutý z lieku sa má zlikvidovať v súlade s národnými požiadavkami.</w:t>
      </w:r>
    </w:p>
    <w:p w14:paraId="70D4FA76" w14:textId="77777777" w:rsidR="009700E5" w:rsidRDefault="009700E5"/>
    <w:p w14:paraId="359963B3" w14:textId="77777777" w:rsidR="009700E5" w:rsidRDefault="009700E5"/>
    <w:p w14:paraId="589293FB" w14:textId="77777777" w:rsidR="009700E5" w:rsidRDefault="002C033C">
      <w:pPr>
        <w:keepNext/>
        <w:keepLines/>
      </w:pPr>
      <w:r>
        <w:rPr>
          <w:b/>
        </w:rPr>
        <w:t>7.</w:t>
      </w:r>
      <w:r>
        <w:rPr>
          <w:b/>
        </w:rPr>
        <w:tab/>
      </w:r>
      <w:r>
        <w:rPr>
          <w:b/>
          <w:szCs w:val="22"/>
        </w:rPr>
        <w:t>DRŽITEĽ ROZHODNUTIA O REGISTRÁCII</w:t>
      </w:r>
    </w:p>
    <w:p w14:paraId="0A43E8BE" w14:textId="77777777" w:rsidR="009700E5" w:rsidRDefault="009700E5">
      <w:pPr>
        <w:keepNext/>
        <w:keepLines/>
      </w:pPr>
    </w:p>
    <w:p w14:paraId="6A446B5B" w14:textId="77777777" w:rsidR="009700E5" w:rsidRDefault="002C033C">
      <w:r>
        <w:t>Roche Registration GmbH</w:t>
      </w:r>
    </w:p>
    <w:p w14:paraId="5DD773F3" w14:textId="77777777" w:rsidR="009700E5" w:rsidRDefault="002C033C">
      <w:r>
        <w:t>Emil-Barell-Strasse 1</w:t>
      </w:r>
    </w:p>
    <w:p w14:paraId="2D880EB7" w14:textId="77777777" w:rsidR="009700E5" w:rsidRDefault="002C033C">
      <w:r>
        <w:t>79639 Grenzach-Wyhlen</w:t>
      </w:r>
    </w:p>
    <w:p w14:paraId="57A9495D" w14:textId="77777777" w:rsidR="009700E5" w:rsidRDefault="002C033C">
      <w:r>
        <w:t>Nemecko</w:t>
      </w:r>
    </w:p>
    <w:p w14:paraId="1470482F" w14:textId="77777777" w:rsidR="009700E5" w:rsidRDefault="009700E5"/>
    <w:p w14:paraId="328DECEC" w14:textId="77777777" w:rsidR="009700E5" w:rsidRDefault="009700E5"/>
    <w:p w14:paraId="09C6D5E8" w14:textId="77777777" w:rsidR="009700E5" w:rsidRDefault="002C033C">
      <w:pPr>
        <w:keepNext/>
        <w:keepLines/>
        <w:rPr>
          <w:b/>
        </w:rPr>
      </w:pPr>
      <w:r>
        <w:rPr>
          <w:b/>
        </w:rPr>
        <w:lastRenderedPageBreak/>
        <w:t>8.</w:t>
      </w:r>
      <w:r>
        <w:rPr>
          <w:b/>
        </w:rPr>
        <w:tab/>
      </w:r>
      <w:r>
        <w:rPr>
          <w:b/>
          <w:szCs w:val="22"/>
        </w:rPr>
        <w:t xml:space="preserve">REGISTRAČNÉ </w:t>
      </w:r>
      <w:del w:id="1841" w:author="Author" w:date="2025-07-19T23:33:00Z">
        <w:r>
          <w:rPr>
            <w:b/>
            <w:szCs w:val="22"/>
          </w:rPr>
          <w:delText>ČÍSLO</w:delText>
        </w:r>
      </w:del>
      <w:ins w:id="1842" w:author="Author" w:date="2025-07-19T23:33:00Z">
        <w:r>
          <w:rPr>
            <w:b/>
            <w:szCs w:val="22"/>
          </w:rPr>
          <w:t>ČÍSLA</w:t>
        </w:r>
      </w:ins>
    </w:p>
    <w:p w14:paraId="2C08D34A" w14:textId="77777777" w:rsidR="009700E5" w:rsidRDefault="009700E5">
      <w:pPr>
        <w:keepNext/>
        <w:keepLines/>
      </w:pPr>
    </w:p>
    <w:p w14:paraId="699E8596" w14:textId="77777777" w:rsidR="009700E5" w:rsidRDefault="002C033C">
      <w:pPr>
        <w:keepNext/>
        <w:keepLines/>
      </w:pPr>
      <w:r>
        <w:t>EU/1/08/492/007</w:t>
      </w:r>
    </w:p>
    <w:p w14:paraId="0177C52E" w14:textId="77777777" w:rsidR="009700E5" w:rsidRDefault="002C033C">
      <w:pPr>
        <w:rPr>
          <w:szCs w:val="22"/>
        </w:rPr>
      </w:pPr>
      <w:r>
        <w:rPr>
          <w:szCs w:val="22"/>
        </w:rPr>
        <w:t>EU/1/08/492/008</w:t>
      </w:r>
    </w:p>
    <w:p w14:paraId="6AD42896" w14:textId="77777777" w:rsidR="009700E5" w:rsidRDefault="009700E5"/>
    <w:p w14:paraId="6825E925" w14:textId="77777777" w:rsidR="009700E5" w:rsidRDefault="009700E5"/>
    <w:p w14:paraId="116E0FFA" w14:textId="77777777" w:rsidR="009700E5" w:rsidRDefault="002C033C">
      <w:pPr>
        <w:keepNext/>
        <w:keepLines/>
      </w:pPr>
      <w:r>
        <w:rPr>
          <w:b/>
        </w:rPr>
        <w:t>9.</w:t>
      </w:r>
      <w:r>
        <w:rPr>
          <w:b/>
        </w:rPr>
        <w:tab/>
      </w:r>
      <w:r>
        <w:rPr>
          <w:b/>
          <w:szCs w:val="22"/>
        </w:rPr>
        <w:t>DÁTUM PRVEJ REGISTRÁCIE/PREDĹŽENIA REGISTRÁCIE</w:t>
      </w:r>
    </w:p>
    <w:p w14:paraId="4667B400" w14:textId="77777777" w:rsidR="009700E5" w:rsidRDefault="009700E5"/>
    <w:p w14:paraId="13713719" w14:textId="77777777" w:rsidR="009700E5" w:rsidRDefault="002C033C">
      <w:r>
        <w:rPr>
          <w:szCs w:val="22"/>
        </w:rPr>
        <w:t>Dátum prvej registrácie:</w:t>
      </w:r>
      <w:r>
        <w:t xml:space="preserve"> 16. január 2009</w:t>
      </w:r>
    </w:p>
    <w:p w14:paraId="795B7E6A" w14:textId="77777777" w:rsidR="009700E5" w:rsidRDefault="002C033C">
      <w:pPr>
        <w:rPr>
          <w:color w:val="222222"/>
          <w:szCs w:val="22"/>
          <w:shd w:val="clear" w:color="auto" w:fill="FFFFFF"/>
        </w:rPr>
      </w:pPr>
      <w:r>
        <w:rPr>
          <w:color w:val="222222"/>
          <w:szCs w:val="22"/>
          <w:shd w:val="clear" w:color="auto" w:fill="FFFFFF"/>
        </w:rPr>
        <w:t>Dátum posledného predĺženia registrácie: 25. september 2013</w:t>
      </w:r>
    </w:p>
    <w:p w14:paraId="460D9B86" w14:textId="77777777" w:rsidR="009700E5" w:rsidRDefault="009700E5"/>
    <w:p w14:paraId="131436A1" w14:textId="77777777" w:rsidR="009700E5" w:rsidRDefault="009700E5"/>
    <w:p w14:paraId="098074E4" w14:textId="77777777" w:rsidR="009700E5" w:rsidRDefault="002C033C">
      <w:pPr>
        <w:rPr>
          <w:b/>
        </w:rPr>
      </w:pPr>
      <w:r>
        <w:rPr>
          <w:b/>
        </w:rPr>
        <w:t>10.</w:t>
      </w:r>
      <w:r>
        <w:rPr>
          <w:b/>
        </w:rPr>
        <w:tab/>
      </w:r>
      <w:r>
        <w:rPr>
          <w:b/>
          <w:szCs w:val="22"/>
        </w:rPr>
        <w:t>DÁTUM REVÍZIE TEXTU</w:t>
      </w:r>
    </w:p>
    <w:p w14:paraId="2010FD5C" w14:textId="77777777" w:rsidR="009700E5" w:rsidRDefault="009700E5"/>
    <w:p w14:paraId="46D4848B" w14:textId="77777777" w:rsidR="009700E5" w:rsidRDefault="002C033C">
      <w:r>
        <w:rPr>
          <w:szCs w:val="22"/>
        </w:rPr>
        <w:t xml:space="preserve">Podrobné informácie o tomto lieku sú dostupné na internetovej stránke Európskej agentúry pre lieky </w:t>
      </w:r>
      <w:hyperlink r:id="rId13" w:history="1">
        <w:r>
          <w:rPr>
            <w:rStyle w:val="Hyperlink"/>
          </w:rPr>
          <w:t>https://www.ema.europa.eu</w:t>
        </w:r>
      </w:hyperlink>
      <w:r>
        <w:t>.</w:t>
      </w:r>
    </w:p>
    <w:p w14:paraId="61EDA555" w14:textId="77777777" w:rsidR="009700E5" w:rsidRDefault="002C033C">
      <w:r>
        <w:br w:type="page"/>
      </w:r>
      <w:r>
        <w:rPr>
          <w:b/>
        </w:rPr>
        <w:lastRenderedPageBreak/>
        <w:t>1.</w:t>
      </w:r>
      <w:r>
        <w:rPr>
          <w:b/>
        </w:rPr>
        <w:tab/>
      </w:r>
      <w:r>
        <w:rPr>
          <w:b/>
          <w:szCs w:val="22"/>
        </w:rPr>
        <w:t>NÁZOV LIEKU</w:t>
      </w:r>
    </w:p>
    <w:p w14:paraId="74EC89BD" w14:textId="77777777" w:rsidR="009700E5" w:rsidRDefault="009700E5">
      <w:pPr>
        <w:rPr>
          <w:iCs/>
        </w:rPr>
      </w:pPr>
    </w:p>
    <w:p w14:paraId="316D0C06" w14:textId="77777777" w:rsidR="009700E5" w:rsidRDefault="002C033C">
      <w:pPr>
        <w:rPr>
          <w:iCs/>
        </w:rPr>
      </w:pPr>
      <w:r>
        <w:rPr>
          <w:iCs/>
        </w:rPr>
        <w:t>RoActemra 162 mg injekčný roztok v naplnenom pere</w:t>
      </w:r>
    </w:p>
    <w:p w14:paraId="3F731F77" w14:textId="77777777" w:rsidR="009700E5" w:rsidRDefault="009700E5">
      <w:pPr>
        <w:autoSpaceDE w:val="0"/>
        <w:autoSpaceDN w:val="0"/>
        <w:adjustRightInd w:val="0"/>
        <w:rPr>
          <w:szCs w:val="22"/>
        </w:rPr>
      </w:pPr>
    </w:p>
    <w:p w14:paraId="3E8AF78A" w14:textId="77777777" w:rsidR="009700E5" w:rsidRDefault="009700E5">
      <w:pPr>
        <w:widowControl w:val="0"/>
        <w:rPr>
          <w:bCs/>
        </w:rPr>
      </w:pPr>
    </w:p>
    <w:p w14:paraId="744744C4" w14:textId="77777777" w:rsidR="009700E5" w:rsidRDefault="002C033C">
      <w:pPr>
        <w:widowControl w:val="0"/>
      </w:pPr>
      <w:r>
        <w:rPr>
          <w:b/>
        </w:rPr>
        <w:t>2.</w:t>
      </w:r>
      <w:r>
        <w:rPr>
          <w:b/>
        </w:rPr>
        <w:tab/>
      </w:r>
      <w:r>
        <w:rPr>
          <w:b/>
          <w:szCs w:val="22"/>
        </w:rPr>
        <w:t>KVALITATÍVNE A KVANTITATÍVNE ZLOŽENIE</w:t>
      </w:r>
    </w:p>
    <w:p w14:paraId="6D261906" w14:textId="77777777" w:rsidR="009700E5" w:rsidRDefault="009700E5"/>
    <w:p w14:paraId="699AE4E7" w14:textId="77777777" w:rsidR="009700E5" w:rsidRDefault="002C033C">
      <w:r>
        <w:t>Každé naplnené pero obsahuje 162 mg RoActemry (tocilizumabu) v 0,9 ml.</w:t>
      </w:r>
    </w:p>
    <w:p w14:paraId="764C5725" w14:textId="77777777" w:rsidR="009700E5" w:rsidRDefault="009700E5">
      <w:pPr>
        <w:autoSpaceDE w:val="0"/>
        <w:autoSpaceDN w:val="0"/>
        <w:adjustRightInd w:val="0"/>
      </w:pPr>
    </w:p>
    <w:p w14:paraId="69B80F7D" w14:textId="77777777" w:rsidR="009700E5" w:rsidRDefault="002C033C">
      <w:pPr>
        <w:autoSpaceDE w:val="0"/>
        <w:autoSpaceDN w:val="0"/>
        <w:adjustRightInd w:val="0"/>
      </w:pPr>
      <w:r>
        <w:t>Tocilizumab je rekombinantná humanizovaná antihumánna monoklonálna protilátka podtriedy imunoglobulínu G1 (IgG1).</w:t>
      </w:r>
    </w:p>
    <w:p w14:paraId="553721B9" w14:textId="77777777" w:rsidR="009700E5" w:rsidRDefault="009700E5"/>
    <w:p w14:paraId="3F15A4F4" w14:textId="77777777" w:rsidR="009700E5" w:rsidRDefault="002C033C">
      <w:pPr>
        <w:rPr>
          <w:u w:val="single"/>
        </w:rPr>
      </w:pPr>
      <w:r>
        <w:rPr>
          <w:u w:val="single"/>
        </w:rPr>
        <w:t>Pomocná látka so známym účinkom</w:t>
      </w:r>
    </w:p>
    <w:p w14:paraId="3C65E9F3" w14:textId="77777777" w:rsidR="009700E5" w:rsidRDefault="002C033C">
      <w:r>
        <w:t>Každé 162 mg/0,9 ml naplnené pero obsahuje 0,18 mg (0,2 mg/ml) polysorbátu 80.</w:t>
      </w:r>
    </w:p>
    <w:p w14:paraId="2CCCE9CB" w14:textId="77777777" w:rsidR="009700E5" w:rsidRDefault="009700E5"/>
    <w:p w14:paraId="4C31D468" w14:textId="77777777" w:rsidR="009700E5" w:rsidRDefault="002C033C">
      <w:r>
        <w:rPr>
          <w:szCs w:val="22"/>
        </w:rPr>
        <w:t>Úplný zoznam pomocných látok, pozri časť </w:t>
      </w:r>
      <w:r>
        <w:t>6.1.</w:t>
      </w:r>
    </w:p>
    <w:p w14:paraId="2EAE7472" w14:textId="77777777" w:rsidR="009700E5" w:rsidRDefault="009700E5"/>
    <w:p w14:paraId="75B60B02" w14:textId="77777777" w:rsidR="009700E5" w:rsidRDefault="009700E5"/>
    <w:p w14:paraId="63D14482" w14:textId="77777777" w:rsidR="009700E5" w:rsidRDefault="002C033C">
      <w:pPr>
        <w:rPr>
          <w:caps/>
        </w:rPr>
      </w:pPr>
      <w:r>
        <w:rPr>
          <w:b/>
        </w:rPr>
        <w:t>3.</w:t>
      </w:r>
      <w:r>
        <w:rPr>
          <w:b/>
        </w:rPr>
        <w:tab/>
      </w:r>
      <w:r>
        <w:rPr>
          <w:b/>
          <w:szCs w:val="22"/>
        </w:rPr>
        <w:t>LIEKOVÁ FORMA</w:t>
      </w:r>
    </w:p>
    <w:p w14:paraId="6E3E27EF" w14:textId="77777777" w:rsidR="009700E5" w:rsidRDefault="009700E5"/>
    <w:p w14:paraId="618EED90" w14:textId="77777777" w:rsidR="009700E5" w:rsidRDefault="002C033C">
      <w:r>
        <w:t>Injekčný roztok (injekcia) v naplnenom pere (ACTPen).</w:t>
      </w:r>
    </w:p>
    <w:p w14:paraId="433CA353" w14:textId="77777777" w:rsidR="009700E5" w:rsidRDefault="009700E5"/>
    <w:p w14:paraId="08528438" w14:textId="77777777" w:rsidR="009700E5" w:rsidRDefault="002C033C">
      <w:r>
        <w:t>Bezfarebný až svetložltkastý roztok s pH 5,5 </w:t>
      </w:r>
      <w:r>
        <w:noBreakHyphen/>
        <w:t> 6,5 a osmolalitou 200 </w:t>
      </w:r>
      <w:r>
        <w:noBreakHyphen/>
        <w:t> 372 mOsm/kg.</w:t>
      </w:r>
    </w:p>
    <w:p w14:paraId="60A6FC62" w14:textId="77777777" w:rsidR="009700E5" w:rsidRDefault="009700E5">
      <w:pPr>
        <w:rPr>
          <w:szCs w:val="22"/>
        </w:rPr>
      </w:pPr>
    </w:p>
    <w:p w14:paraId="012D239B" w14:textId="77777777" w:rsidR="009700E5" w:rsidRDefault="009700E5"/>
    <w:p w14:paraId="3BBBA948" w14:textId="77777777" w:rsidR="009700E5" w:rsidRDefault="002C033C">
      <w:pPr>
        <w:rPr>
          <w:caps/>
        </w:rPr>
      </w:pPr>
      <w:r>
        <w:rPr>
          <w:b/>
          <w:caps/>
        </w:rPr>
        <w:t>4.</w:t>
      </w:r>
      <w:r>
        <w:rPr>
          <w:b/>
          <w:caps/>
        </w:rPr>
        <w:tab/>
      </w:r>
      <w:r>
        <w:rPr>
          <w:b/>
          <w:caps/>
          <w:szCs w:val="22"/>
        </w:rPr>
        <w:t>KLINICKÉ ÚDAJE</w:t>
      </w:r>
    </w:p>
    <w:p w14:paraId="2959FCEF" w14:textId="77777777" w:rsidR="009700E5" w:rsidRDefault="009700E5"/>
    <w:p w14:paraId="7C493097" w14:textId="77777777" w:rsidR="009700E5" w:rsidRDefault="002C033C">
      <w:pPr>
        <w:outlineLvl w:val="0"/>
      </w:pPr>
      <w:r>
        <w:rPr>
          <w:b/>
        </w:rPr>
        <w:t>4.1</w:t>
      </w:r>
      <w:r>
        <w:rPr>
          <w:b/>
        </w:rPr>
        <w:tab/>
      </w:r>
      <w:r>
        <w:rPr>
          <w:b/>
          <w:szCs w:val="22"/>
        </w:rPr>
        <w:t>Terapeutické indikácie</w:t>
      </w:r>
    </w:p>
    <w:p w14:paraId="1EDA13E8" w14:textId="77777777" w:rsidR="009700E5" w:rsidRDefault="009700E5"/>
    <w:p w14:paraId="2F3A7948" w14:textId="77777777" w:rsidR="009700E5" w:rsidRDefault="002C033C">
      <w:r>
        <w:rPr>
          <w:u w:val="single"/>
        </w:rPr>
        <w:t>Reumatoidná artritída (RA)</w:t>
      </w:r>
    </w:p>
    <w:p w14:paraId="714B9C5D" w14:textId="77777777" w:rsidR="009700E5" w:rsidRDefault="002C033C">
      <w:r>
        <w:t>RoActemra v kombinácii s metotrexátom (MTX) je indikovaná na</w:t>
      </w:r>
    </w:p>
    <w:p w14:paraId="7CBA9A7C" w14:textId="77777777" w:rsidR="009700E5" w:rsidRDefault="002C033C">
      <w:pPr>
        <w:ind w:left="567" w:hanging="425"/>
        <w:pPrChange w:id="1843" w:author="Author" w:date="2025-07-19T23:33:00Z">
          <w:pPr>
            <w:ind w:left="567" w:hanging="567"/>
          </w:pPr>
        </w:pPrChange>
      </w:pPr>
      <w:r>
        <w:rPr>
          <w:szCs w:val="22"/>
        </w:rPr>
        <w:sym w:font="Symbol" w:char="F0B7"/>
      </w:r>
      <w:r>
        <w:tab/>
        <w:t>liečbu ťažkej, aktívnej a progresívnej RA u dospelých, ktorí neboli doteraz liečení MTX.</w:t>
      </w:r>
    </w:p>
    <w:p w14:paraId="1DC58D3F" w14:textId="77777777" w:rsidR="009700E5" w:rsidRDefault="002C033C">
      <w:pPr>
        <w:ind w:left="567" w:hanging="425"/>
        <w:pPrChange w:id="1844" w:author="Author" w:date="2025-07-19T23:33:00Z">
          <w:pPr>
            <w:ind w:left="567" w:hanging="567"/>
          </w:pPr>
        </w:pPrChange>
      </w:pPr>
      <w:r>
        <w:rPr>
          <w:szCs w:val="22"/>
        </w:rPr>
        <w:sym w:font="Symbol" w:char="F0B7"/>
      </w:r>
      <w:r>
        <w:tab/>
        <w:t>liečbu stredne ťažkej až ťažkej aktívnej RA u dospelých pacientov, ktorí na predchádzajúcu liečbu jedným alebo viacerými antireumatikami modifikujúcimi priebeh choroby (DMARD), alebo inhibítormi tumor nekrotizujúceho faktora (TNF) buď neodpovedali dostatočne, alebo ju netolerovali.</w:t>
      </w:r>
    </w:p>
    <w:p w14:paraId="3EC869A7" w14:textId="77777777" w:rsidR="009700E5" w:rsidRDefault="009700E5"/>
    <w:p w14:paraId="2989F540" w14:textId="77777777" w:rsidR="009700E5" w:rsidRDefault="002C033C">
      <w:r>
        <w:t>U týchto pacientov sa RoActemra môže podávať v monoterapii v prípade intolerancie MTX, alebo keď je pokračujúca liečba MTX nevhodná.</w:t>
      </w:r>
    </w:p>
    <w:p w14:paraId="2C9259F7" w14:textId="77777777" w:rsidR="009700E5" w:rsidRDefault="009700E5"/>
    <w:p w14:paraId="059217AD" w14:textId="77777777" w:rsidR="009700E5" w:rsidRDefault="002C033C">
      <w:r>
        <w:t>Dokázalo sa, že RoActemra spomaľuje progresiu poškodenia kĺbov meranú RTG vyšetrením a zlepšuje fyzické funkcie, keď sa podáva v kombinácii s metotrexátom.</w:t>
      </w:r>
    </w:p>
    <w:p w14:paraId="50A2EB23" w14:textId="77777777" w:rsidR="009700E5" w:rsidRDefault="009700E5"/>
    <w:p w14:paraId="15238CC3" w14:textId="77777777" w:rsidR="009700E5" w:rsidRDefault="002C033C">
      <w:r>
        <w:rPr>
          <w:u w:val="single"/>
        </w:rPr>
        <w:t>Systémová juvenilná idiopatická artritída (sJIA)</w:t>
      </w:r>
    </w:p>
    <w:p w14:paraId="0FDBCFA9" w14:textId="77777777" w:rsidR="009700E5" w:rsidRDefault="002C033C">
      <w:r>
        <w:t>RoActemra je indikovaná na liečbu aktívnej sJIA u pacientov vo veku 12 rokov a starších, ktorí nedostatočne odpovedali na predošlú liečbu nesteroidovými antiflogistikami (NSAID) a systémovými kortikosteroidmi</w:t>
      </w:r>
      <w:del w:id="1845" w:author="Author" w:date="2025-07-19T23:34:00Z">
        <w:r>
          <w:delText xml:space="preserve"> (pozri časť 4.2)</w:delText>
        </w:r>
      </w:del>
      <w:r>
        <w:t>.</w:t>
      </w:r>
    </w:p>
    <w:p w14:paraId="7EBA506C" w14:textId="77777777" w:rsidR="009700E5" w:rsidRDefault="002C033C">
      <w:r>
        <w:t>RoActemra sa môže podávať v monoterapii (v prípade intolerancie MTX, alebo keď nie je liečba MTX vhodná) alebo v kombinácii s MTX.</w:t>
      </w:r>
    </w:p>
    <w:p w14:paraId="4CAC2AC2" w14:textId="77777777" w:rsidR="009700E5" w:rsidRDefault="009700E5"/>
    <w:p w14:paraId="03F12122" w14:textId="77777777" w:rsidR="009700E5" w:rsidRDefault="002C033C">
      <w:r>
        <w:rPr>
          <w:u w:val="single"/>
        </w:rPr>
        <w:t>Polyartikulárna juvenilná idiopatická artritída</w:t>
      </w:r>
      <w:r>
        <w:rPr>
          <w:rFonts w:eastAsia="PMingLiU"/>
          <w:bCs/>
          <w:iCs/>
          <w:color w:val="000000"/>
          <w:szCs w:val="22"/>
          <w:u w:val="single"/>
        </w:rPr>
        <w:t xml:space="preserve"> (pJIA)</w:t>
      </w:r>
    </w:p>
    <w:p w14:paraId="5490C1DC" w14:textId="77777777" w:rsidR="009700E5" w:rsidRDefault="002C033C">
      <w:r>
        <w:t xml:space="preserve">RoActemra v kombinácii s MTX je indikovaná na liečbu </w:t>
      </w:r>
      <w:r>
        <w:rPr>
          <w:rFonts w:eastAsia="PMingLiU"/>
          <w:bCs/>
          <w:iCs/>
          <w:color w:val="000000"/>
          <w:szCs w:val="22"/>
        </w:rPr>
        <w:t>pJIA (s pozitívnym alebo negatívnym reumatoidným faktorom a pretrvávajúcou oligoatritídou)</w:t>
      </w:r>
      <w:r>
        <w:t xml:space="preserve"> u pacientov vo veku 12 rokov a starších, ktorí nedostatočne odpovedali na predošlú liečbu MTX</w:t>
      </w:r>
      <w:del w:id="1846" w:author="Author" w:date="2025-07-19T23:34:00Z">
        <w:r>
          <w:delText xml:space="preserve"> (pozri časť 4.2)</w:delText>
        </w:r>
      </w:del>
      <w:r>
        <w:t>.</w:t>
      </w:r>
    </w:p>
    <w:p w14:paraId="5069EAB7" w14:textId="77777777" w:rsidR="009700E5" w:rsidRDefault="002C033C">
      <w:r>
        <w:t>RoActemra sa môže podávať v monoterapii v prípade intolerancie MTX, alebo keď je pokračujúca liečba MTX nevhodná.</w:t>
      </w:r>
    </w:p>
    <w:p w14:paraId="0A5E4780" w14:textId="77777777" w:rsidR="009700E5" w:rsidRDefault="009700E5"/>
    <w:p w14:paraId="5DE9A4E2" w14:textId="77777777" w:rsidR="009700E5" w:rsidRDefault="002C033C">
      <w:r>
        <w:rPr>
          <w:u w:val="single"/>
        </w:rPr>
        <w:lastRenderedPageBreak/>
        <w:t>Obrovskobunková arteritída (OBA)</w:t>
      </w:r>
    </w:p>
    <w:p w14:paraId="67675275" w14:textId="77777777" w:rsidR="009700E5" w:rsidRDefault="002C033C">
      <w:r>
        <w:t>RoActemra je indikovaná na liečbu OBA u dospelých pacientov.</w:t>
      </w:r>
    </w:p>
    <w:p w14:paraId="01D342FA" w14:textId="77777777" w:rsidR="009700E5" w:rsidRDefault="009700E5"/>
    <w:p w14:paraId="20BD1696" w14:textId="77777777" w:rsidR="009700E5" w:rsidRDefault="002C033C">
      <w:pPr>
        <w:keepNext/>
        <w:keepLines/>
        <w:outlineLvl w:val="0"/>
        <w:rPr>
          <w:b/>
        </w:rPr>
      </w:pPr>
      <w:r>
        <w:rPr>
          <w:b/>
        </w:rPr>
        <w:t>4.2</w:t>
      </w:r>
      <w:r>
        <w:rPr>
          <w:b/>
        </w:rPr>
        <w:tab/>
      </w:r>
      <w:r>
        <w:rPr>
          <w:b/>
          <w:szCs w:val="22"/>
        </w:rPr>
        <w:t>Dávkovanie a spôsob podávania</w:t>
      </w:r>
    </w:p>
    <w:p w14:paraId="111840F4" w14:textId="77777777" w:rsidR="009700E5" w:rsidRDefault="009700E5">
      <w:pPr>
        <w:keepNext/>
        <w:keepLines/>
      </w:pPr>
    </w:p>
    <w:p w14:paraId="6A808D8E" w14:textId="77777777" w:rsidR="009700E5" w:rsidRDefault="002C033C">
      <w:pPr>
        <w:autoSpaceDE w:val="0"/>
        <w:autoSpaceDN w:val="0"/>
        <w:adjustRightInd w:val="0"/>
      </w:pPr>
      <w:r>
        <w:t xml:space="preserve">Subkutánna forma tocilizumabu sa podáva </w:t>
      </w:r>
      <w:r>
        <w:rPr>
          <w:szCs w:val="22"/>
        </w:rPr>
        <w:t>naplneným perom na jednorazové použitie.</w:t>
      </w:r>
      <w:r>
        <w:t xml:space="preserve"> Liečbu majú začať zdravotnícki pracovníci, ktorí majú skúsenosti s diagnostikou a liečbou RA, sJIA, pJIA a/alebo OBA.</w:t>
      </w:r>
    </w:p>
    <w:p w14:paraId="60C37446" w14:textId="77777777" w:rsidR="009700E5" w:rsidRDefault="009700E5">
      <w:pPr>
        <w:autoSpaceDE w:val="0"/>
        <w:autoSpaceDN w:val="0"/>
        <w:adjustRightInd w:val="0"/>
      </w:pPr>
    </w:p>
    <w:p w14:paraId="45508CA7" w14:textId="77777777" w:rsidR="009700E5" w:rsidRDefault="002C033C">
      <w:pPr>
        <w:autoSpaceDE w:val="0"/>
        <w:autoSpaceDN w:val="0"/>
        <w:adjustRightInd w:val="0"/>
      </w:pPr>
      <w:r>
        <w:t xml:space="preserve">Naplnené pero sa </w:t>
      </w:r>
      <w:del w:id="1847" w:author="Author" w:date="2025-07-19T23:34:00Z">
        <w:r>
          <w:delText xml:space="preserve">nemá </w:delText>
        </w:r>
      </w:del>
      <w:ins w:id="1848" w:author="Author" w:date="2025-07-19T23:34:00Z">
        <w:r>
          <w:t xml:space="preserve">nesmie </w:t>
        </w:r>
      </w:ins>
      <w:r>
        <w:t>používať na liečbu pediatrických pacientov mladších ako 12 rokov, pretože vzhľadom na tenšiu vrstvu podkožného tkaniva existuje potenciálne riziko intramuskulárnej injekcie.</w:t>
      </w:r>
    </w:p>
    <w:p w14:paraId="3E30B9BC" w14:textId="77777777" w:rsidR="009700E5" w:rsidRDefault="002C033C">
      <w:pPr>
        <w:autoSpaceDE w:val="0"/>
        <w:autoSpaceDN w:val="0"/>
        <w:adjustRightInd w:val="0"/>
        <w:rPr>
          <w:szCs w:val="22"/>
        </w:rPr>
      </w:pPr>
      <w:r>
        <w:rPr>
          <w:szCs w:val="22"/>
        </w:rPr>
        <w:t>Prvá injekcia sa m</w:t>
      </w:r>
      <w:ins w:id="1849" w:author="Author" w:date="2025-07-19T23:34:00Z">
        <w:r>
          <w:rPr>
            <w:szCs w:val="22"/>
          </w:rPr>
          <w:t>usí</w:t>
        </w:r>
      </w:ins>
      <w:del w:id="1850" w:author="Author" w:date="2025-07-19T23:34:00Z">
        <w:r>
          <w:rPr>
            <w:szCs w:val="22"/>
          </w:rPr>
          <w:delText>á</w:delText>
        </w:r>
      </w:del>
      <w:r>
        <w:rPr>
          <w:szCs w:val="22"/>
        </w:rPr>
        <w:t xml:space="preserve"> podať pod dohľadom kvalifikovaného zdravotníckeho pracovníka. Pacient </w:t>
      </w:r>
      <w:r>
        <w:rPr>
          <w:rFonts w:eastAsia="SimSun"/>
          <w:szCs w:val="22"/>
          <w:lang w:eastAsia="zh-CN"/>
        </w:rPr>
        <w:t xml:space="preserve">alebo rodič/opatrovateľ </w:t>
      </w:r>
      <w:r>
        <w:rPr>
          <w:szCs w:val="22"/>
        </w:rPr>
        <w:t>môže sám injekčne podávať tento liek</w:t>
      </w:r>
      <w:r>
        <w:rPr>
          <w:rFonts w:eastAsia="SimSun"/>
          <w:szCs w:val="22"/>
          <w:lang w:eastAsia="zh-CN"/>
        </w:rPr>
        <w:t xml:space="preserve"> </w:t>
      </w:r>
      <w:r>
        <w:rPr>
          <w:szCs w:val="22"/>
        </w:rPr>
        <w:t xml:space="preserve">len vtedy, keď lekár rozhodne, že je to vhodné a keď pacient </w:t>
      </w:r>
      <w:r>
        <w:rPr>
          <w:rFonts w:eastAsia="SimSun"/>
          <w:szCs w:val="22"/>
          <w:lang w:eastAsia="zh-CN"/>
        </w:rPr>
        <w:t xml:space="preserve">alebo rodič/opatrovateľ </w:t>
      </w:r>
      <w:r>
        <w:rPr>
          <w:szCs w:val="22"/>
        </w:rPr>
        <w:t>súhlasí s lekárskymi prehliadkami vykonávanými podľa potreby a bol zaškolený v správnej injekčnej technike.</w:t>
      </w:r>
    </w:p>
    <w:p w14:paraId="6E523DAE" w14:textId="77777777" w:rsidR="009700E5" w:rsidRDefault="009700E5">
      <w:pPr>
        <w:autoSpaceDE w:val="0"/>
        <w:autoSpaceDN w:val="0"/>
        <w:adjustRightInd w:val="0"/>
        <w:rPr>
          <w:szCs w:val="22"/>
        </w:rPr>
      </w:pPr>
    </w:p>
    <w:p w14:paraId="64153AFD" w14:textId="77777777" w:rsidR="009700E5" w:rsidRDefault="002C033C">
      <w:pPr>
        <w:autoSpaceDE w:val="0"/>
        <w:autoSpaceDN w:val="0"/>
        <w:adjustRightInd w:val="0"/>
        <w:rPr>
          <w:szCs w:val="22"/>
        </w:rPr>
      </w:pPr>
      <w:r>
        <w:rPr>
          <w:szCs w:val="22"/>
        </w:rPr>
        <w:t>Pacienti, ktorí prechádzajú z liečby intravenózne podávaným tocilizumabom na subkutánne podávanie, si majú prvú subkutánnu dávku podať v čase ďalšej plánovanej intravenóznej dávky pod dohľadom kvalifikovaného zdravotníckeho pracovníka.</w:t>
      </w:r>
    </w:p>
    <w:p w14:paraId="1D84E2A4" w14:textId="77777777" w:rsidR="009700E5" w:rsidRDefault="009700E5">
      <w:pPr>
        <w:autoSpaceDE w:val="0"/>
        <w:autoSpaceDN w:val="0"/>
        <w:adjustRightInd w:val="0"/>
      </w:pPr>
    </w:p>
    <w:p w14:paraId="0DF7622E" w14:textId="77777777" w:rsidR="009700E5" w:rsidRDefault="002C033C">
      <w:pPr>
        <w:autoSpaceDE w:val="0"/>
        <w:autoSpaceDN w:val="0"/>
        <w:adjustRightInd w:val="0"/>
        <w:rPr>
          <w:rFonts w:eastAsia="SimSun"/>
          <w:szCs w:val="22"/>
          <w:lang w:eastAsia="zh-CN"/>
        </w:rPr>
      </w:pPr>
      <w:r>
        <w:t>Všetkým pacientom, ktorí sú liečení RoActemrou</w:t>
      </w:r>
      <w:r>
        <w:rPr>
          <w:rFonts w:eastAsia="SimSun"/>
          <w:szCs w:val="22"/>
          <w:lang w:eastAsia="zh-CN"/>
        </w:rPr>
        <w:t>, sa musí poskytnúť karta pacienta.</w:t>
      </w:r>
    </w:p>
    <w:p w14:paraId="667E45D1" w14:textId="77777777" w:rsidR="009700E5" w:rsidRDefault="009700E5">
      <w:pPr>
        <w:autoSpaceDE w:val="0"/>
        <w:autoSpaceDN w:val="0"/>
        <w:adjustRightInd w:val="0"/>
        <w:rPr>
          <w:rFonts w:eastAsia="SimSun"/>
          <w:szCs w:val="22"/>
          <w:lang w:eastAsia="zh-CN"/>
        </w:rPr>
      </w:pPr>
    </w:p>
    <w:p w14:paraId="15494B3B" w14:textId="77777777" w:rsidR="009700E5" w:rsidRDefault="002C033C">
      <w:pPr>
        <w:autoSpaceDE w:val="0"/>
        <w:autoSpaceDN w:val="0"/>
        <w:adjustRightInd w:val="0"/>
      </w:pPr>
      <w:r>
        <w:rPr>
          <w:rFonts w:eastAsia="SimSun"/>
          <w:szCs w:val="22"/>
          <w:lang w:eastAsia="zh-CN"/>
        </w:rPr>
        <w:t>Je potrebné zhodnotiť vhodnosť pacienta alebo</w:t>
      </w:r>
      <w:ins w:id="1851" w:author="Author" w:date="2025-07-19T23:35:00Z">
        <w:r>
          <w:rPr>
            <w:rFonts w:eastAsia="SimSun"/>
            <w:szCs w:val="22"/>
            <w:lang w:eastAsia="zh-CN"/>
          </w:rPr>
          <w:t xml:space="preserve"> jeho</w:t>
        </w:r>
      </w:ins>
      <w:r>
        <w:rPr>
          <w:rFonts w:eastAsia="SimSun"/>
          <w:szCs w:val="22"/>
          <w:lang w:eastAsia="zh-CN"/>
        </w:rPr>
        <w:t xml:space="preserve"> rodiča/opatrovateľa na subkutánne podávanie lieku v domácom prostredí a pacienti alebo rodič/opatrovateľ musia byť poučení pred podaním ďalšej dávky, že ak sa u nich objavia príznaky alergickej reakcie, musia o tom informovať zdravotníckeho pracovníka. Pacienti musia vyhľadať okamžitú lekársku pomoc, ak u nich vzniknú príznaky závažných alergických reakcií (pozri časť 4.4).</w:t>
      </w:r>
    </w:p>
    <w:p w14:paraId="37D7C3EA" w14:textId="77777777" w:rsidR="009700E5" w:rsidRDefault="009700E5"/>
    <w:p w14:paraId="6B83CBA9" w14:textId="77777777" w:rsidR="009700E5" w:rsidRDefault="002C033C">
      <w:pPr>
        <w:keepNext/>
        <w:keepLines/>
        <w:rPr>
          <w:u w:val="single"/>
        </w:rPr>
      </w:pPr>
      <w:r>
        <w:rPr>
          <w:u w:val="single"/>
        </w:rPr>
        <w:t>Dávkovanie</w:t>
      </w:r>
    </w:p>
    <w:p w14:paraId="3A290290" w14:textId="77777777" w:rsidR="009700E5" w:rsidRDefault="002C033C">
      <w:pPr>
        <w:keepNext/>
        <w:keepLines/>
        <w:rPr>
          <w:i/>
          <w:iCs/>
        </w:rPr>
      </w:pPr>
      <w:r>
        <w:rPr>
          <w:i/>
          <w:iCs/>
        </w:rPr>
        <w:t>Pacienti s RA</w:t>
      </w:r>
    </w:p>
    <w:p w14:paraId="52542501" w14:textId="77777777" w:rsidR="009700E5" w:rsidRDefault="002C033C">
      <w:pPr>
        <w:keepNext/>
        <w:keepLines/>
        <w:autoSpaceDE w:val="0"/>
        <w:autoSpaceDN w:val="0"/>
        <w:adjustRightInd w:val="0"/>
        <w:rPr>
          <w:rFonts w:eastAsia="SimSun"/>
          <w:sz w:val="20"/>
          <w:lang w:eastAsia="zh-CN"/>
        </w:rPr>
      </w:pPr>
      <w:r>
        <w:t>Odporúčané dávkovanie je 162 mg raz za týždeň subkutánne.</w:t>
      </w:r>
    </w:p>
    <w:p w14:paraId="011C7747" w14:textId="77777777" w:rsidR="009700E5" w:rsidRDefault="009700E5">
      <w:pPr>
        <w:keepNext/>
        <w:keepLines/>
        <w:rPr>
          <w:rFonts w:eastAsia="SimSun"/>
          <w:szCs w:val="22"/>
          <w:lang w:eastAsia="zh-CN"/>
        </w:rPr>
      </w:pPr>
    </w:p>
    <w:p w14:paraId="3C187F16" w14:textId="77777777" w:rsidR="009700E5" w:rsidRDefault="002C033C">
      <w:pPr>
        <w:keepNext/>
        <w:keepLines/>
        <w:rPr>
          <w:rFonts w:eastAsia="SimSun"/>
          <w:szCs w:val="22"/>
          <w:lang w:eastAsia="zh-CN"/>
        </w:rPr>
      </w:pPr>
      <w:r>
        <w:rPr>
          <w:rFonts w:eastAsia="SimSun"/>
          <w:szCs w:val="22"/>
          <w:lang w:eastAsia="zh-CN"/>
        </w:rPr>
        <w:t>K dispozícii sú obmedzené informácie týkajúce sa prestavenia pacientov z intravenóznej formy tocilizumabu na subkutánnu formu tocilizumabu vo fixnej dávke. Je potrebné dodržiavať interval podávania raz za týždeň.</w:t>
      </w:r>
    </w:p>
    <w:p w14:paraId="12D053DA" w14:textId="77777777" w:rsidR="009700E5" w:rsidRDefault="009700E5">
      <w:pPr>
        <w:rPr>
          <w:rFonts w:eastAsia="SimSun"/>
          <w:szCs w:val="22"/>
          <w:lang w:eastAsia="zh-CN"/>
        </w:rPr>
      </w:pPr>
    </w:p>
    <w:p w14:paraId="5D2D7D81" w14:textId="77777777" w:rsidR="009700E5" w:rsidRDefault="002C033C">
      <w:pPr>
        <w:keepNext/>
        <w:keepLines/>
        <w:rPr>
          <w:rFonts w:eastAsia="SimSun"/>
          <w:szCs w:val="22"/>
          <w:lang w:eastAsia="zh-CN"/>
        </w:rPr>
      </w:pPr>
      <w:r>
        <w:rPr>
          <w:rFonts w:eastAsia="SimSun"/>
          <w:szCs w:val="22"/>
          <w:lang w:eastAsia="zh-CN"/>
        </w:rPr>
        <w:t>Pacienti, ktorí prechádzajú z intravenóznej na subkutánnu formu, si majú podať svoju prvú subkutánnu dávku namiesto ďalšej plánovanej intravenóznej dávky pod dohľadom kvalifikovaného zdravotníckeho pracovníka.</w:t>
      </w:r>
    </w:p>
    <w:p w14:paraId="35349741" w14:textId="77777777" w:rsidR="009700E5" w:rsidRDefault="009700E5">
      <w:pPr>
        <w:rPr>
          <w:rFonts w:eastAsia="SimSun"/>
          <w:szCs w:val="22"/>
          <w:lang w:eastAsia="zh-CN"/>
        </w:rPr>
      </w:pPr>
    </w:p>
    <w:p w14:paraId="3D9B66D7" w14:textId="77777777" w:rsidR="009700E5" w:rsidRDefault="002C033C">
      <w:pPr>
        <w:keepNext/>
        <w:keepLines/>
        <w:rPr>
          <w:rFonts w:eastAsia="SimSun"/>
          <w:i/>
          <w:iCs/>
          <w:szCs w:val="22"/>
          <w:lang w:eastAsia="zh-CN"/>
        </w:rPr>
      </w:pPr>
      <w:r>
        <w:rPr>
          <w:rFonts w:eastAsia="SimSun"/>
          <w:i/>
          <w:iCs/>
          <w:szCs w:val="22"/>
          <w:lang w:eastAsia="zh-CN"/>
        </w:rPr>
        <w:t>Pacienti s OBA</w:t>
      </w:r>
    </w:p>
    <w:p w14:paraId="0DC511DD" w14:textId="77777777" w:rsidR="009700E5" w:rsidRDefault="002C033C">
      <w:pPr>
        <w:keepNext/>
        <w:keepLines/>
        <w:rPr>
          <w:rFonts w:eastAsia="SimSun"/>
          <w:szCs w:val="22"/>
          <w:lang w:eastAsia="zh-CN"/>
        </w:rPr>
      </w:pPr>
      <w:r>
        <w:rPr>
          <w:rFonts w:eastAsia="SimSun"/>
          <w:szCs w:val="22"/>
          <w:lang w:eastAsia="zh-CN"/>
        </w:rPr>
        <w:t>Odporúčané dávkovanie je 162 mg raz za týždeň subkutánne v kombinácii s postupným znižovaním dávky glukokortikoidov. Po ukončení podávania glukokortikoidov sa môže tento liek podávať samostatne.</w:t>
      </w:r>
    </w:p>
    <w:p w14:paraId="5C4AF0E6" w14:textId="77777777" w:rsidR="009700E5" w:rsidRDefault="002C033C">
      <w:pPr>
        <w:keepNext/>
        <w:keepLines/>
        <w:rPr>
          <w:rFonts w:eastAsia="SimSun"/>
          <w:szCs w:val="22"/>
          <w:lang w:eastAsia="zh-CN"/>
        </w:rPr>
      </w:pPr>
      <w:r>
        <w:rPr>
          <w:rFonts w:eastAsia="SimSun"/>
          <w:szCs w:val="22"/>
          <w:lang w:eastAsia="zh-CN"/>
        </w:rPr>
        <w:t>Tocilizumab v monoterapii sa nemá podávať na liečbu akútnych relapsov (pozri časť 4.4).</w:t>
      </w:r>
    </w:p>
    <w:p w14:paraId="42088870" w14:textId="77777777" w:rsidR="009700E5" w:rsidRDefault="009700E5">
      <w:pPr>
        <w:keepNext/>
        <w:keepLines/>
        <w:rPr>
          <w:rFonts w:eastAsia="SimSun"/>
          <w:szCs w:val="22"/>
          <w:lang w:eastAsia="zh-CN"/>
        </w:rPr>
      </w:pPr>
    </w:p>
    <w:p w14:paraId="5C670535" w14:textId="77777777" w:rsidR="009700E5" w:rsidRDefault="002C033C">
      <w:r>
        <w:t>Vzhľadom na chronický charakter OBA sa musí liečba dlhšia ako 52 týždňov usmerňovať podľa prejavov (aktivity) ochorenia, zváženia lekára a voľby pacienta.</w:t>
      </w:r>
    </w:p>
    <w:p w14:paraId="773F97E5" w14:textId="77777777" w:rsidR="009700E5" w:rsidRDefault="009700E5"/>
    <w:p w14:paraId="5DB31DA2" w14:textId="77777777" w:rsidR="009700E5" w:rsidRDefault="002C033C">
      <w:pPr>
        <w:keepNext/>
        <w:keepLines/>
        <w:rPr>
          <w:i/>
          <w:iCs/>
        </w:rPr>
      </w:pPr>
      <w:r>
        <w:rPr>
          <w:i/>
          <w:iCs/>
        </w:rPr>
        <w:lastRenderedPageBreak/>
        <w:t>Pacienti s RA a OBA</w:t>
      </w:r>
    </w:p>
    <w:p w14:paraId="3B84A9FE" w14:textId="77777777" w:rsidR="009700E5" w:rsidRDefault="002C033C">
      <w:pPr>
        <w:keepNext/>
        <w:rPr>
          <w:i/>
          <w:iCs/>
        </w:rPr>
      </w:pPr>
      <w:r>
        <w:rPr>
          <w:i/>
          <w:iCs/>
          <w:u w:val="single"/>
        </w:rPr>
        <w:t>Úpravy dávky kvôli laboratórnym odchýlkam (pozri časť 4.4).</w:t>
      </w:r>
    </w:p>
    <w:p w14:paraId="6B7A3C74" w14:textId="77777777" w:rsidR="009700E5" w:rsidRDefault="009700E5">
      <w:pPr>
        <w:keepNext/>
      </w:pPr>
    </w:p>
    <w:p w14:paraId="4B6E1D69" w14:textId="77777777" w:rsidR="009700E5" w:rsidRDefault="002C033C">
      <w:pPr>
        <w:keepNext/>
        <w:ind w:left="567" w:hanging="425"/>
        <w:pPrChange w:id="1852" w:author="Author" w:date="2025-07-19T23:35:00Z">
          <w:pPr>
            <w:keepNext/>
            <w:ind w:left="567" w:hanging="567"/>
          </w:pPr>
        </w:pPrChange>
      </w:pPr>
      <w:r>
        <w:rPr>
          <w:szCs w:val="22"/>
        </w:rPr>
        <w:sym w:font="Symbol" w:char="F0B7"/>
      </w:r>
      <w:r>
        <w:tab/>
        <w:t>Odchýlky hodnôt pečeňových enzýmov</w:t>
      </w:r>
    </w:p>
    <w:p w14:paraId="5A6B14F1" w14:textId="77777777" w:rsidR="009700E5" w:rsidRDefault="009700E5">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4"/>
        <w:gridCol w:w="6977"/>
      </w:tblGrid>
      <w:tr w:rsidR="009700E5" w14:paraId="108F42FD" w14:textId="77777777">
        <w:tc>
          <w:tcPr>
            <w:tcW w:w="2093" w:type="dxa"/>
          </w:tcPr>
          <w:p w14:paraId="590F4C8C" w14:textId="77777777" w:rsidR="009700E5" w:rsidRDefault="002C033C">
            <w:pPr>
              <w:keepNext/>
              <w:jc w:val="center"/>
            </w:pPr>
            <w:r>
              <w:t>Laboratórna hodnota</w:t>
            </w:r>
          </w:p>
          <w:p w14:paraId="3AF87F63" w14:textId="77777777" w:rsidR="009700E5" w:rsidRDefault="009700E5">
            <w:pPr>
              <w:keepNext/>
              <w:jc w:val="center"/>
            </w:pPr>
          </w:p>
        </w:tc>
        <w:tc>
          <w:tcPr>
            <w:tcW w:w="7118" w:type="dxa"/>
          </w:tcPr>
          <w:p w14:paraId="6A3BBB59" w14:textId="77777777" w:rsidR="009700E5" w:rsidRDefault="002C033C">
            <w:pPr>
              <w:keepNext/>
              <w:jc w:val="center"/>
            </w:pPr>
            <w:r>
              <w:t>Opatrenie</w:t>
            </w:r>
          </w:p>
        </w:tc>
      </w:tr>
      <w:tr w:rsidR="009700E5" w14:paraId="36CE7868" w14:textId="77777777">
        <w:tc>
          <w:tcPr>
            <w:tcW w:w="2093" w:type="dxa"/>
          </w:tcPr>
          <w:p w14:paraId="6309AED6" w14:textId="77777777" w:rsidR="009700E5" w:rsidRDefault="002C033C">
            <w:pPr>
              <w:keepNext/>
            </w:pPr>
            <w:r>
              <w:rPr>
                <w:rFonts w:eastAsia="MS Mincho"/>
                <w:szCs w:val="22"/>
              </w:rPr>
              <w:sym w:font="Symbol" w:char="F03E"/>
            </w:r>
            <w:r>
              <w:t> 1</w:t>
            </w:r>
            <w:r>
              <w:noBreakHyphen/>
              <w:t> až 3</w:t>
            </w:r>
            <w:r>
              <w:noBreakHyphen/>
              <w:t>násobok hornej hranice referenčného rozpätia (ULN)</w:t>
            </w:r>
          </w:p>
          <w:p w14:paraId="05853A29" w14:textId="77777777" w:rsidR="009700E5" w:rsidRDefault="009700E5">
            <w:pPr>
              <w:keepNext/>
            </w:pPr>
          </w:p>
        </w:tc>
        <w:tc>
          <w:tcPr>
            <w:tcW w:w="7118" w:type="dxa"/>
          </w:tcPr>
          <w:p w14:paraId="6314F861" w14:textId="77777777" w:rsidR="009700E5" w:rsidRDefault="002C033C">
            <w:pPr>
              <w:keepNext/>
            </w:pPr>
            <w:r>
              <w:t>Úprava dávky súbežne podávaných DMARD (RA) alebo imunomodulačných látok (OBA) , ak je to vhodné.</w:t>
            </w:r>
          </w:p>
          <w:p w14:paraId="36899800" w14:textId="77777777" w:rsidR="009700E5" w:rsidRDefault="009700E5">
            <w:pPr>
              <w:keepNext/>
            </w:pPr>
          </w:p>
          <w:p w14:paraId="57990E04" w14:textId="77777777" w:rsidR="009700E5" w:rsidRDefault="002C033C">
            <w:pPr>
              <w:keepNext/>
            </w:pPr>
            <w:r>
              <w:t>Pri pretrvávajúcich vzostupoch v tomto rozpätí znížte frekvenciu podávania tocilizumabu na injekciu podanú každý druhý týždeň alebo prerušte liečbu, kým nedôjde k normalizácii hodnôt alanínaminotransferázy (ALT) alebo aspartátaminotransferázy (AST).</w:t>
            </w:r>
          </w:p>
          <w:p w14:paraId="25BB9D60" w14:textId="77777777" w:rsidR="009700E5" w:rsidRDefault="009700E5">
            <w:pPr>
              <w:keepNext/>
            </w:pPr>
          </w:p>
          <w:p w14:paraId="29913143" w14:textId="77777777" w:rsidR="009700E5" w:rsidRDefault="002C033C">
            <w:pPr>
              <w:keepNext/>
            </w:pPr>
            <w:r>
              <w:t>Liečbu znovu začnite injekciou podanou každý týždeň alebo každý druhý týždeň, ak je to klinicky vhodné.</w:t>
            </w:r>
          </w:p>
          <w:p w14:paraId="421B9275" w14:textId="77777777" w:rsidR="009700E5" w:rsidRDefault="009700E5">
            <w:pPr>
              <w:keepNext/>
            </w:pPr>
          </w:p>
        </w:tc>
      </w:tr>
      <w:tr w:rsidR="009700E5" w14:paraId="0529F940" w14:textId="77777777">
        <w:tc>
          <w:tcPr>
            <w:tcW w:w="2093" w:type="dxa"/>
          </w:tcPr>
          <w:p w14:paraId="29EE08D2" w14:textId="77777777" w:rsidR="009700E5" w:rsidRDefault="002C033C">
            <w:pPr>
              <w:keepNext/>
            </w:pPr>
            <w:r>
              <w:rPr>
                <w:rFonts w:eastAsia="MS Mincho"/>
                <w:szCs w:val="22"/>
              </w:rPr>
              <w:sym w:font="Symbol" w:char="F03E"/>
            </w:r>
            <w:r>
              <w:t> 3</w:t>
            </w:r>
            <w:r>
              <w:noBreakHyphen/>
              <w:t> až 5</w:t>
            </w:r>
            <w:r>
              <w:noBreakHyphen/>
              <w:t>násobok ULN</w:t>
            </w:r>
          </w:p>
          <w:p w14:paraId="2BD52E5E" w14:textId="77777777" w:rsidR="009700E5" w:rsidRDefault="009700E5">
            <w:pPr>
              <w:keepNext/>
            </w:pPr>
          </w:p>
        </w:tc>
        <w:tc>
          <w:tcPr>
            <w:tcW w:w="7118" w:type="dxa"/>
          </w:tcPr>
          <w:p w14:paraId="2C6089F7" w14:textId="77777777" w:rsidR="009700E5" w:rsidRDefault="002C033C">
            <w:pPr>
              <w:keepNext/>
            </w:pPr>
            <w:r>
              <w:t xml:space="preserve">Prerušte liečbu, pokým nebude hodnota </w:t>
            </w:r>
            <w:r>
              <w:rPr>
                <w:rFonts w:eastAsia="MS Mincho"/>
                <w:szCs w:val="22"/>
              </w:rPr>
              <w:sym w:font="Symbol" w:char="F03C"/>
            </w:r>
            <w:r>
              <w:t> 3</w:t>
            </w:r>
            <w:r>
              <w:noBreakHyphen/>
              <w:t>násobok ULN</w:t>
            </w:r>
            <w:r>
              <w:rPr>
                <w:szCs w:val="22"/>
              </w:rPr>
              <w:t xml:space="preserve"> a postupujte podľa vyššie uvedených odporúčaní pre </w:t>
            </w:r>
            <w:r>
              <w:rPr>
                <w:rFonts w:eastAsia="MS Mincho"/>
                <w:szCs w:val="22"/>
              </w:rPr>
              <w:sym w:font="Symbol" w:char="F03E"/>
            </w:r>
            <w:r>
              <w:t> 1</w:t>
            </w:r>
            <w:r>
              <w:noBreakHyphen/>
              <w:t> až 3</w:t>
            </w:r>
            <w:r>
              <w:noBreakHyphen/>
              <w:t>násobok</w:t>
            </w:r>
            <w:r>
              <w:rPr>
                <w:szCs w:val="22"/>
              </w:rPr>
              <w:t xml:space="preserve"> ULN.</w:t>
            </w:r>
          </w:p>
          <w:p w14:paraId="0E999CF4" w14:textId="77777777" w:rsidR="009700E5" w:rsidRDefault="009700E5">
            <w:pPr>
              <w:keepNext/>
            </w:pPr>
          </w:p>
          <w:p w14:paraId="3626F669" w14:textId="77777777" w:rsidR="009700E5" w:rsidRDefault="002C033C">
            <w:pPr>
              <w:keepNext/>
            </w:pPr>
            <w:r>
              <w:t xml:space="preserve">Pri pretrvávajúcich vzostupoch </w:t>
            </w:r>
            <w:r>
              <w:rPr>
                <w:rFonts w:eastAsia="MS Mincho"/>
                <w:szCs w:val="22"/>
              </w:rPr>
              <w:sym w:font="Symbol" w:char="F03E"/>
            </w:r>
            <w:r>
              <w:t> 3</w:t>
            </w:r>
            <w:r>
              <w:noBreakHyphen/>
              <w:t>násobok ULN (potvrdených opakovaným vyšetrením, pozri časť 4.4) ukončite liečbu.</w:t>
            </w:r>
          </w:p>
          <w:p w14:paraId="0FC7F5B6" w14:textId="77777777" w:rsidR="009700E5" w:rsidRDefault="009700E5">
            <w:pPr>
              <w:keepNext/>
            </w:pPr>
          </w:p>
        </w:tc>
      </w:tr>
      <w:tr w:rsidR="009700E5" w14:paraId="231DE827" w14:textId="77777777">
        <w:tc>
          <w:tcPr>
            <w:tcW w:w="2093" w:type="dxa"/>
          </w:tcPr>
          <w:p w14:paraId="364BAD38" w14:textId="77777777" w:rsidR="009700E5" w:rsidRDefault="002C033C">
            <w:pPr>
              <w:keepNext/>
            </w:pPr>
            <w:r>
              <w:rPr>
                <w:rFonts w:eastAsia="MS Mincho"/>
                <w:szCs w:val="22"/>
              </w:rPr>
              <w:sym w:font="Symbol" w:char="F03E"/>
            </w:r>
            <w:r>
              <w:t> 5</w:t>
            </w:r>
            <w:r>
              <w:noBreakHyphen/>
              <w:t>násobok ULN</w:t>
            </w:r>
          </w:p>
          <w:p w14:paraId="10411430" w14:textId="77777777" w:rsidR="009700E5" w:rsidRDefault="009700E5">
            <w:pPr>
              <w:keepNext/>
            </w:pPr>
          </w:p>
        </w:tc>
        <w:tc>
          <w:tcPr>
            <w:tcW w:w="7118" w:type="dxa"/>
          </w:tcPr>
          <w:p w14:paraId="2BB03CEC" w14:textId="77777777" w:rsidR="009700E5" w:rsidRDefault="002C033C">
            <w:pPr>
              <w:keepNext/>
            </w:pPr>
            <w:r>
              <w:t>Ukončite liečbu.</w:t>
            </w:r>
          </w:p>
        </w:tc>
      </w:tr>
    </w:tbl>
    <w:p w14:paraId="4D5FDF68" w14:textId="77777777" w:rsidR="009700E5" w:rsidRDefault="009700E5"/>
    <w:p w14:paraId="720A7E4E" w14:textId="77777777" w:rsidR="009700E5" w:rsidRDefault="002C033C">
      <w:pPr>
        <w:keepNext/>
        <w:ind w:left="567" w:hanging="425"/>
        <w:pPrChange w:id="1853" w:author="Author" w:date="2025-07-19T23:35:00Z">
          <w:pPr>
            <w:keepNext/>
            <w:ind w:left="567" w:hanging="567"/>
          </w:pPr>
        </w:pPrChange>
      </w:pPr>
      <w:r>
        <w:rPr>
          <w:szCs w:val="22"/>
        </w:rPr>
        <w:sym w:font="Symbol" w:char="F0B7"/>
      </w:r>
      <w:r>
        <w:tab/>
        <w:t>Nízky absolútny počet neutrofilov (ANC, absolute neutrophil count)</w:t>
      </w:r>
    </w:p>
    <w:p w14:paraId="179C7B43" w14:textId="77777777" w:rsidR="009700E5" w:rsidRDefault="009700E5">
      <w:pPr>
        <w:keepNext/>
        <w:rPr>
          <w:szCs w:val="22"/>
        </w:rPr>
      </w:pPr>
    </w:p>
    <w:p w14:paraId="693175CE" w14:textId="77777777" w:rsidR="009700E5" w:rsidRDefault="002C033C">
      <w:pPr>
        <w:keepNext/>
      </w:pPr>
      <w:r>
        <w:rPr>
          <w:szCs w:val="22"/>
        </w:rPr>
        <w:t xml:space="preserve">U pacientov, ktorí neboli doteraz liečení </w:t>
      </w:r>
      <w:r>
        <w:t>tocilizumabom</w:t>
      </w:r>
      <w:r>
        <w:rPr>
          <w:szCs w:val="22"/>
        </w:rPr>
        <w:t xml:space="preserve"> a majú </w:t>
      </w:r>
      <w:del w:id="1854" w:author="Author" w:date="2025-07-19T23:36:00Z">
        <w:r>
          <w:rPr>
            <w:rFonts w:eastAsia="SimSun"/>
            <w:color w:val="000000"/>
            <w:szCs w:val="22"/>
            <w:lang w:eastAsia="zh-CN"/>
          </w:rPr>
          <w:delText>absolútny počet neutrofilov (</w:delText>
        </w:r>
      </w:del>
      <w:r>
        <w:rPr>
          <w:rFonts w:eastAsia="SimSun"/>
          <w:color w:val="000000"/>
          <w:szCs w:val="22"/>
          <w:lang w:eastAsia="zh-CN"/>
        </w:rPr>
        <w:t>ANC</w:t>
      </w:r>
      <w:del w:id="1855" w:author="Author" w:date="2025-07-19T23:36:00Z">
        <w:r>
          <w:rPr>
            <w:rFonts w:eastAsia="SimSun"/>
            <w:color w:val="000000"/>
            <w:szCs w:val="22"/>
            <w:lang w:eastAsia="zh-CN"/>
          </w:rPr>
          <w:delText>)</w:delText>
        </w:r>
      </w:del>
      <w:r>
        <w:rPr>
          <w:rFonts w:eastAsia="SimSun"/>
          <w:color w:val="000000"/>
          <w:szCs w:val="22"/>
          <w:lang w:eastAsia="zh-CN"/>
        </w:rPr>
        <w:t xml:space="preserve"> nižší ako 2 </w:t>
      </w:r>
      <w:r>
        <w:rPr>
          <w:rFonts w:eastAsia="MS Mincho"/>
          <w:szCs w:val="22"/>
        </w:rPr>
        <w:sym w:font="Symbol" w:char="F0B4"/>
      </w:r>
      <w:r>
        <w:rPr>
          <w:rFonts w:eastAsia="SimSun"/>
          <w:color w:val="000000"/>
          <w:szCs w:val="22"/>
          <w:lang w:eastAsia="zh-CN"/>
        </w:rPr>
        <w:t> 10</w:t>
      </w:r>
      <w:r>
        <w:rPr>
          <w:rFonts w:eastAsia="SimSun"/>
          <w:color w:val="000000"/>
          <w:szCs w:val="22"/>
          <w:vertAlign w:val="superscript"/>
          <w:lang w:eastAsia="zh-CN"/>
        </w:rPr>
        <w:t>9</w:t>
      </w:r>
      <w:r>
        <w:rPr>
          <w:rFonts w:eastAsia="SimSun"/>
          <w:color w:val="000000"/>
          <w:szCs w:val="22"/>
          <w:lang w:eastAsia="zh-CN"/>
        </w:rPr>
        <w:t xml:space="preserve">/l, </w:t>
      </w:r>
      <w:r>
        <w:rPr>
          <w:szCs w:val="22"/>
        </w:rPr>
        <w:t>sa neodporúča začať liečbu.</w:t>
      </w:r>
    </w:p>
    <w:p w14:paraId="29815015" w14:textId="77777777" w:rsidR="009700E5" w:rsidRDefault="009700E5">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0"/>
        <w:gridCol w:w="6981"/>
      </w:tblGrid>
      <w:tr w:rsidR="009700E5" w14:paraId="03048B45" w14:textId="77777777">
        <w:tc>
          <w:tcPr>
            <w:tcW w:w="2093" w:type="dxa"/>
          </w:tcPr>
          <w:p w14:paraId="60E9ECD9" w14:textId="77777777" w:rsidR="009700E5" w:rsidRDefault="002C033C">
            <w:pPr>
              <w:keepNext/>
              <w:jc w:val="center"/>
            </w:pPr>
            <w:r>
              <w:t>Laboratórna hodnota (bunky </w:t>
            </w:r>
            <w:r>
              <w:rPr>
                <w:rFonts w:eastAsia="MS Mincho"/>
                <w:szCs w:val="22"/>
              </w:rPr>
              <w:sym w:font="Symbol" w:char="F0B4"/>
            </w:r>
            <w:r>
              <w:t> 10</w:t>
            </w:r>
            <w:r>
              <w:rPr>
                <w:vertAlign w:val="superscript"/>
              </w:rPr>
              <w:t>9</w:t>
            </w:r>
            <w:r>
              <w:t>/l)</w:t>
            </w:r>
          </w:p>
          <w:p w14:paraId="09303C05" w14:textId="77777777" w:rsidR="009700E5" w:rsidRDefault="009700E5">
            <w:pPr>
              <w:keepNext/>
              <w:jc w:val="center"/>
            </w:pPr>
          </w:p>
        </w:tc>
        <w:tc>
          <w:tcPr>
            <w:tcW w:w="7118" w:type="dxa"/>
          </w:tcPr>
          <w:p w14:paraId="1A7B309C" w14:textId="77777777" w:rsidR="009700E5" w:rsidRDefault="002C033C">
            <w:pPr>
              <w:keepNext/>
              <w:jc w:val="center"/>
            </w:pPr>
            <w:r>
              <w:t>Opatrenie</w:t>
            </w:r>
          </w:p>
        </w:tc>
      </w:tr>
      <w:tr w:rsidR="009700E5" w14:paraId="0911E014" w14:textId="77777777">
        <w:tc>
          <w:tcPr>
            <w:tcW w:w="2093" w:type="dxa"/>
          </w:tcPr>
          <w:p w14:paraId="605F8B30" w14:textId="77777777" w:rsidR="009700E5" w:rsidRDefault="002C033C">
            <w:pPr>
              <w:keepNext/>
            </w:pPr>
            <w:r>
              <w:t>ANC </w:t>
            </w:r>
            <w:r>
              <w:rPr>
                <w:rFonts w:eastAsia="MS Mincho"/>
                <w:szCs w:val="22"/>
              </w:rPr>
              <w:sym w:font="Symbol" w:char="F03E"/>
            </w:r>
            <w:r>
              <w:t> 1</w:t>
            </w:r>
          </w:p>
          <w:p w14:paraId="4C6BA853" w14:textId="77777777" w:rsidR="009700E5" w:rsidRDefault="009700E5">
            <w:pPr>
              <w:keepNext/>
            </w:pPr>
          </w:p>
        </w:tc>
        <w:tc>
          <w:tcPr>
            <w:tcW w:w="7118" w:type="dxa"/>
          </w:tcPr>
          <w:p w14:paraId="59255A9B" w14:textId="77777777" w:rsidR="009700E5" w:rsidRDefault="002C033C">
            <w:pPr>
              <w:keepNext/>
            </w:pPr>
            <w:r>
              <w:t>Udržiavajte dávku.</w:t>
            </w:r>
          </w:p>
        </w:tc>
      </w:tr>
      <w:tr w:rsidR="009700E5" w14:paraId="1F0149CF" w14:textId="77777777">
        <w:tc>
          <w:tcPr>
            <w:tcW w:w="2093" w:type="dxa"/>
          </w:tcPr>
          <w:p w14:paraId="0DCE04BC" w14:textId="77777777" w:rsidR="009700E5" w:rsidRDefault="002C033C">
            <w:pPr>
              <w:keepNext/>
            </w:pPr>
            <w:r>
              <w:t>ANC 0,5 až 1</w:t>
            </w:r>
          </w:p>
          <w:p w14:paraId="33984CE1" w14:textId="77777777" w:rsidR="009700E5" w:rsidRDefault="009700E5">
            <w:pPr>
              <w:keepNext/>
            </w:pPr>
          </w:p>
        </w:tc>
        <w:tc>
          <w:tcPr>
            <w:tcW w:w="7118" w:type="dxa"/>
          </w:tcPr>
          <w:p w14:paraId="74CA307F" w14:textId="77777777" w:rsidR="009700E5" w:rsidRDefault="002C033C">
            <w:pPr>
              <w:keepNext/>
            </w:pPr>
            <w:r>
              <w:t>Prerušte podávanie tocilizumabu.</w:t>
            </w:r>
          </w:p>
          <w:p w14:paraId="0BB37366" w14:textId="77777777" w:rsidR="009700E5" w:rsidRDefault="009700E5">
            <w:pPr>
              <w:keepNext/>
            </w:pPr>
          </w:p>
          <w:p w14:paraId="7E5EBBE2" w14:textId="77777777" w:rsidR="009700E5" w:rsidRDefault="002C033C">
            <w:pPr>
              <w:keepNext/>
            </w:pPr>
            <w:r>
              <w:t xml:space="preserve">Keď sa ANC zvýši na </w:t>
            </w:r>
            <w:r>
              <w:rPr>
                <w:rFonts w:eastAsia="MS Mincho"/>
                <w:szCs w:val="22"/>
              </w:rPr>
              <w:sym w:font="Symbol" w:char="F03E"/>
            </w:r>
            <w:r>
              <w:t> 1 </w:t>
            </w:r>
            <w:r>
              <w:rPr>
                <w:rFonts w:eastAsia="MS Mincho"/>
                <w:szCs w:val="22"/>
              </w:rPr>
              <w:sym w:font="Symbol" w:char="F0B4"/>
            </w:r>
            <w:r>
              <w:t> 10</w:t>
            </w:r>
            <w:r>
              <w:rPr>
                <w:vertAlign w:val="superscript"/>
              </w:rPr>
              <w:t>9</w:t>
            </w:r>
            <w:r>
              <w:t>/l, liečbu znovu začnite injekciou podanou každý druhý týždeň a zvýšte frekvenciu podávania na injekciu podanú každý týždeň, ak je to klinicky vhodné.</w:t>
            </w:r>
          </w:p>
          <w:p w14:paraId="135AD746" w14:textId="77777777" w:rsidR="009700E5" w:rsidRDefault="009700E5">
            <w:pPr>
              <w:keepNext/>
            </w:pPr>
          </w:p>
        </w:tc>
      </w:tr>
      <w:tr w:rsidR="009700E5" w14:paraId="6D5610C5" w14:textId="77777777">
        <w:tc>
          <w:tcPr>
            <w:tcW w:w="2093" w:type="dxa"/>
          </w:tcPr>
          <w:p w14:paraId="0F795894" w14:textId="77777777" w:rsidR="009700E5" w:rsidRDefault="002C033C">
            <w:pPr>
              <w:keepNext/>
            </w:pPr>
            <w:r>
              <w:t>ANC </w:t>
            </w:r>
            <w:r>
              <w:rPr>
                <w:rFonts w:eastAsia="MS Mincho"/>
                <w:szCs w:val="22"/>
              </w:rPr>
              <w:sym w:font="Symbol" w:char="F03C"/>
            </w:r>
            <w:r>
              <w:t> 0,5</w:t>
            </w:r>
          </w:p>
          <w:p w14:paraId="3D47D918" w14:textId="77777777" w:rsidR="009700E5" w:rsidRDefault="009700E5">
            <w:pPr>
              <w:keepNext/>
            </w:pPr>
          </w:p>
        </w:tc>
        <w:tc>
          <w:tcPr>
            <w:tcW w:w="7118" w:type="dxa"/>
          </w:tcPr>
          <w:p w14:paraId="08603175" w14:textId="77777777" w:rsidR="009700E5" w:rsidRDefault="002C033C">
            <w:pPr>
              <w:keepNext/>
            </w:pPr>
            <w:r>
              <w:t>Ukončite liečbu.</w:t>
            </w:r>
          </w:p>
        </w:tc>
      </w:tr>
    </w:tbl>
    <w:p w14:paraId="19CE4969" w14:textId="77777777" w:rsidR="009700E5" w:rsidRDefault="009700E5">
      <w:pPr>
        <w:widowControl w:val="0"/>
      </w:pPr>
    </w:p>
    <w:p w14:paraId="19E2EDBB" w14:textId="77777777" w:rsidR="009700E5" w:rsidRDefault="002C033C">
      <w:pPr>
        <w:keepNext/>
        <w:keepLines/>
        <w:ind w:left="567" w:hanging="425"/>
        <w:pPrChange w:id="1856" w:author="Author" w:date="2025-07-19T23:35:00Z">
          <w:pPr>
            <w:keepNext/>
            <w:keepLines/>
            <w:ind w:left="567" w:hanging="567"/>
          </w:pPr>
        </w:pPrChange>
      </w:pPr>
      <w:r>
        <w:rPr>
          <w:szCs w:val="22"/>
        </w:rPr>
        <w:lastRenderedPageBreak/>
        <w:sym w:font="Symbol" w:char="F0B7"/>
      </w:r>
      <w:r>
        <w:tab/>
        <w:t>Nízky počet trombocytov</w:t>
      </w:r>
    </w:p>
    <w:p w14:paraId="31C6D555" w14:textId="77777777" w:rsidR="009700E5" w:rsidRDefault="009700E5">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3"/>
        <w:gridCol w:w="6978"/>
      </w:tblGrid>
      <w:tr w:rsidR="009700E5" w14:paraId="1E6F24D0" w14:textId="77777777">
        <w:tc>
          <w:tcPr>
            <w:tcW w:w="2093" w:type="dxa"/>
          </w:tcPr>
          <w:p w14:paraId="33F2F2C6" w14:textId="77777777" w:rsidR="009700E5" w:rsidRDefault="002C033C">
            <w:pPr>
              <w:keepNext/>
              <w:jc w:val="center"/>
            </w:pPr>
            <w:r>
              <w:t>Laboratórna hodnota (bunky </w:t>
            </w:r>
            <w:r>
              <w:rPr>
                <w:rFonts w:eastAsia="MS Mincho"/>
                <w:szCs w:val="22"/>
              </w:rPr>
              <w:sym w:font="Symbol" w:char="F0B4"/>
            </w:r>
            <w:r>
              <w:t> 10</w:t>
            </w:r>
            <w:r>
              <w:rPr>
                <w:vertAlign w:val="superscript"/>
              </w:rPr>
              <w:t>3</w:t>
            </w:r>
            <w:r>
              <w:t>/</w:t>
            </w:r>
            <w:r>
              <w:rPr>
                <w:rFonts w:eastAsia="MS Mincho"/>
                <w:szCs w:val="22"/>
              </w:rPr>
              <w:t>μ</w:t>
            </w:r>
            <w:r>
              <w:t>l)</w:t>
            </w:r>
          </w:p>
          <w:p w14:paraId="0A58680E" w14:textId="77777777" w:rsidR="009700E5" w:rsidRDefault="009700E5">
            <w:pPr>
              <w:keepNext/>
              <w:jc w:val="center"/>
            </w:pPr>
          </w:p>
        </w:tc>
        <w:tc>
          <w:tcPr>
            <w:tcW w:w="7118" w:type="dxa"/>
          </w:tcPr>
          <w:p w14:paraId="7C9C978E" w14:textId="77777777" w:rsidR="009700E5" w:rsidRDefault="002C033C">
            <w:pPr>
              <w:keepNext/>
              <w:jc w:val="center"/>
            </w:pPr>
            <w:r>
              <w:t>Opatrenie</w:t>
            </w:r>
          </w:p>
        </w:tc>
      </w:tr>
      <w:tr w:rsidR="009700E5" w14:paraId="449B1B35" w14:textId="77777777">
        <w:tc>
          <w:tcPr>
            <w:tcW w:w="2093" w:type="dxa"/>
          </w:tcPr>
          <w:p w14:paraId="28E40DB7" w14:textId="77777777" w:rsidR="009700E5" w:rsidRDefault="002C033C">
            <w:pPr>
              <w:keepNext/>
            </w:pPr>
            <w:r>
              <w:t>50 až 100</w:t>
            </w:r>
          </w:p>
          <w:p w14:paraId="4FEEEA44" w14:textId="77777777" w:rsidR="009700E5" w:rsidRDefault="009700E5">
            <w:pPr>
              <w:keepNext/>
            </w:pPr>
          </w:p>
        </w:tc>
        <w:tc>
          <w:tcPr>
            <w:tcW w:w="7118" w:type="dxa"/>
          </w:tcPr>
          <w:p w14:paraId="1B9E02CE" w14:textId="77777777" w:rsidR="009700E5" w:rsidRDefault="002C033C">
            <w:pPr>
              <w:keepNext/>
            </w:pPr>
            <w:r>
              <w:t>Prerušte podávanie tocilizumabu.</w:t>
            </w:r>
          </w:p>
          <w:p w14:paraId="17DE52FC" w14:textId="77777777" w:rsidR="009700E5" w:rsidRDefault="009700E5">
            <w:pPr>
              <w:keepNext/>
            </w:pPr>
          </w:p>
          <w:p w14:paraId="47223F39" w14:textId="77777777" w:rsidR="009700E5" w:rsidRDefault="002C033C">
            <w:pPr>
              <w:keepNext/>
            </w:pPr>
            <w:r>
              <w:t xml:space="preserve">Keď bude počet trombocytov </w:t>
            </w:r>
            <w:r>
              <w:rPr>
                <w:rFonts w:eastAsia="MS Mincho"/>
                <w:szCs w:val="22"/>
              </w:rPr>
              <w:sym w:font="Symbol" w:char="F03E"/>
            </w:r>
            <w:r>
              <w:t> 100 </w:t>
            </w:r>
            <w:r>
              <w:rPr>
                <w:rFonts w:eastAsia="MS Mincho"/>
                <w:szCs w:val="22"/>
              </w:rPr>
              <w:sym w:font="Symbol" w:char="F0B4"/>
            </w:r>
            <w:r>
              <w:t> 10</w:t>
            </w:r>
            <w:r>
              <w:rPr>
                <w:vertAlign w:val="superscript"/>
              </w:rPr>
              <w:t>3</w:t>
            </w:r>
            <w:r>
              <w:t>/</w:t>
            </w:r>
            <w:r>
              <w:rPr>
                <w:rFonts w:eastAsia="MS Mincho"/>
                <w:szCs w:val="22"/>
              </w:rPr>
              <w:t>μ</w:t>
            </w:r>
            <w:r>
              <w:t>l, liečbu znovu začnite injekciou podanou každý druhý týždeň a zvýšte frekvenciu podávania na injekciu podanú na každý týždeň, ak je to klinicky vhodné.</w:t>
            </w:r>
          </w:p>
          <w:p w14:paraId="07E057F6" w14:textId="77777777" w:rsidR="009700E5" w:rsidRDefault="009700E5">
            <w:pPr>
              <w:keepNext/>
            </w:pPr>
          </w:p>
        </w:tc>
      </w:tr>
      <w:tr w:rsidR="009700E5" w14:paraId="792C3E1F" w14:textId="77777777">
        <w:tc>
          <w:tcPr>
            <w:tcW w:w="2093" w:type="dxa"/>
          </w:tcPr>
          <w:p w14:paraId="0D6FABDB" w14:textId="77777777" w:rsidR="009700E5" w:rsidRDefault="002C033C">
            <w:pPr>
              <w:keepNext/>
            </w:pPr>
            <w:r>
              <w:rPr>
                <w:rFonts w:eastAsia="MS Mincho"/>
                <w:szCs w:val="22"/>
              </w:rPr>
              <w:sym w:font="Symbol" w:char="F03C"/>
            </w:r>
            <w:r>
              <w:t> 50</w:t>
            </w:r>
          </w:p>
          <w:p w14:paraId="10209DBE" w14:textId="77777777" w:rsidR="009700E5" w:rsidRDefault="009700E5">
            <w:pPr>
              <w:keepNext/>
            </w:pPr>
          </w:p>
        </w:tc>
        <w:tc>
          <w:tcPr>
            <w:tcW w:w="7118" w:type="dxa"/>
          </w:tcPr>
          <w:p w14:paraId="4E5049CE" w14:textId="77777777" w:rsidR="009700E5" w:rsidRDefault="002C033C">
            <w:pPr>
              <w:keepNext/>
            </w:pPr>
            <w:r>
              <w:t>Ukončite liečbu.</w:t>
            </w:r>
          </w:p>
        </w:tc>
      </w:tr>
    </w:tbl>
    <w:p w14:paraId="315826BF" w14:textId="77777777" w:rsidR="009700E5" w:rsidRDefault="009700E5"/>
    <w:p w14:paraId="1DD32E0D" w14:textId="77777777" w:rsidR="009700E5" w:rsidRDefault="002C033C">
      <w:pPr>
        <w:rPr>
          <w:i/>
          <w:iCs/>
        </w:rPr>
      </w:pPr>
      <w:r>
        <w:rPr>
          <w:i/>
          <w:iCs/>
        </w:rPr>
        <w:t>Pacienti s RA a OBA</w:t>
      </w:r>
    </w:p>
    <w:p w14:paraId="499A7932" w14:textId="77777777" w:rsidR="009700E5" w:rsidRDefault="002C033C">
      <w:pPr>
        <w:rPr>
          <w:i/>
          <w:iCs/>
          <w:u w:val="single"/>
        </w:rPr>
      </w:pPr>
      <w:r>
        <w:rPr>
          <w:i/>
          <w:iCs/>
          <w:u w:val="single"/>
        </w:rPr>
        <w:t>Vynechaná dávka</w:t>
      </w:r>
    </w:p>
    <w:p w14:paraId="46285026" w14:textId="77777777" w:rsidR="009700E5" w:rsidRDefault="002C033C">
      <w:r>
        <w:t>Ak pacient vynechá subkutánnu injekciu tocilizumabu, ktorú si podáva raz za týždeň, do 7 dní od plánovanej dávky, treba ho poučiť, aby si vynechanú dávku podal v deň, v ktorý je plánovaná ďalšia dávka. Ak pacient vynechá subkutánnu injekciu tocilizumabu, ktorú si podáva každý druhý týždeň, do 7 dní od plánovanej dávky, treba ho poučiť, aby si vynechanú dávku podal ihneď a ďalšiu dávku v deň, v ktorý je plánovaná ďalšia dávka.</w:t>
      </w:r>
    </w:p>
    <w:p w14:paraId="1397AB9B" w14:textId="77777777" w:rsidR="009700E5" w:rsidRDefault="009700E5">
      <w:pPr>
        <w:rPr>
          <w:bCs/>
          <w:iCs/>
          <w:u w:val="single"/>
        </w:rPr>
      </w:pPr>
    </w:p>
    <w:p w14:paraId="3C9F1F11" w14:textId="77777777" w:rsidR="009700E5" w:rsidRDefault="002C033C">
      <w:pPr>
        <w:rPr>
          <w:bCs/>
          <w:iCs/>
          <w:u w:val="single"/>
        </w:rPr>
      </w:pPr>
      <w:r>
        <w:rPr>
          <w:bCs/>
          <w:iCs/>
          <w:u w:val="single"/>
        </w:rPr>
        <w:t>Osobitné skupiny pacientov</w:t>
      </w:r>
    </w:p>
    <w:p w14:paraId="3F77AD23" w14:textId="77777777" w:rsidR="009700E5" w:rsidRDefault="002C033C">
      <w:pPr>
        <w:rPr>
          <w:i/>
        </w:rPr>
      </w:pPr>
      <w:r>
        <w:rPr>
          <w:i/>
        </w:rPr>
        <w:t>Starší pacienti</w:t>
      </w:r>
    </w:p>
    <w:p w14:paraId="6D39E902" w14:textId="77777777" w:rsidR="009700E5" w:rsidRDefault="002C033C">
      <w:r>
        <w:t xml:space="preserve">U pacientov vo veku </w:t>
      </w:r>
      <w:r>
        <w:rPr>
          <w:rFonts w:eastAsia="MS Mincho"/>
          <w:szCs w:val="22"/>
        </w:rPr>
        <w:sym w:font="Symbol" w:char="F03E"/>
      </w:r>
      <w:r>
        <w:t> 65 rokov nie je potrebná úprava dávky.</w:t>
      </w:r>
    </w:p>
    <w:p w14:paraId="61ACF500" w14:textId="77777777" w:rsidR="009700E5" w:rsidRDefault="009700E5"/>
    <w:p w14:paraId="433FE3D5" w14:textId="77777777" w:rsidR="009700E5" w:rsidRDefault="002C033C">
      <w:pPr>
        <w:rPr>
          <w:i/>
        </w:rPr>
      </w:pPr>
      <w:r>
        <w:rPr>
          <w:i/>
        </w:rPr>
        <w:t>Porucha funkcie obličiek</w:t>
      </w:r>
    </w:p>
    <w:p w14:paraId="05142C43" w14:textId="77777777" w:rsidR="009700E5" w:rsidRDefault="002C033C">
      <w:r>
        <w:t>U pacientov s miernou alebo stredne ťažkou poruchou funkcie obličiek nie je potrebná úprava dávky. U pacientov s ťažkou poruchou funkcie obličiek sa tocilizumab neskúmal (pozri časť 5.2). U týchto pacientov sa musí starostlivo monitorovať funkcia obličiek.</w:t>
      </w:r>
    </w:p>
    <w:p w14:paraId="71F2BD8F" w14:textId="77777777" w:rsidR="009700E5" w:rsidRDefault="009700E5"/>
    <w:p w14:paraId="085F1223" w14:textId="77777777" w:rsidR="009700E5" w:rsidRDefault="002C033C">
      <w:pPr>
        <w:rPr>
          <w:i/>
        </w:rPr>
      </w:pPr>
      <w:r>
        <w:rPr>
          <w:i/>
        </w:rPr>
        <w:t>Porucha funkcie pečene</w:t>
      </w:r>
    </w:p>
    <w:p w14:paraId="42476D81" w14:textId="77777777" w:rsidR="009700E5" w:rsidRDefault="002C033C">
      <w:r>
        <w:t>U pacientov s poruchou funkcie pečene sa tocilizumab neskúmal. Preto nie je možné poskytnúť odporúčania na úpravu dávkovania.</w:t>
      </w:r>
    </w:p>
    <w:p w14:paraId="4940CED2" w14:textId="77777777" w:rsidR="009700E5" w:rsidRDefault="009700E5">
      <w:pPr>
        <w:rPr>
          <w:rFonts w:eastAsia="SimSun"/>
          <w:szCs w:val="22"/>
          <w:lang w:eastAsia="zh-CN"/>
        </w:rPr>
      </w:pPr>
    </w:p>
    <w:p w14:paraId="564B29C7" w14:textId="77777777" w:rsidR="009700E5" w:rsidRDefault="002C033C">
      <w:pPr>
        <w:rPr>
          <w:rFonts w:eastAsia="SimSun"/>
          <w:i/>
          <w:szCs w:val="22"/>
          <w:lang w:eastAsia="zh-CN"/>
        </w:rPr>
      </w:pPr>
      <w:r>
        <w:rPr>
          <w:rFonts w:eastAsia="SimSun"/>
          <w:i/>
          <w:szCs w:val="22"/>
          <w:lang w:eastAsia="zh-CN"/>
        </w:rPr>
        <w:t>Pediatrická populácia</w:t>
      </w:r>
    </w:p>
    <w:p w14:paraId="1C8E88D1" w14:textId="77777777" w:rsidR="009700E5" w:rsidRDefault="002C033C">
      <w:pPr>
        <w:rPr>
          <w:rFonts w:eastAsia="SimSun"/>
          <w:szCs w:val="22"/>
          <w:lang w:eastAsia="zh-CN"/>
        </w:rPr>
      </w:pPr>
      <w:r>
        <w:rPr>
          <w:rFonts w:eastAsia="SimSun"/>
          <w:szCs w:val="22"/>
          <w:lang w:eastAsia="zh-CN"/>
        </w:rPr>
        <w:t xml:space="preserve">Bezpečnosť a účinnosť subkutánnej formy </w:t>
      </w:r>
      <w:r>
        <w:t>tocilizumabu</w:t>
      </w:r>
      <w:r>
        <w:rPr>
          <w:rFonts w:eastAsia="SimSun"/>
          <w:szCs w:val="22"/>
          <w:lang w:eastAsia="zh-CN"/>
        </w:rPr>
        <w:t xml:space="preserve"> u detí od narodenia do menej ako 1 roka neboli stanovené. K dispozícii nie sú žiadne údaje.</w:t>
      </w:r>
    </w:p>
    <w:p w14:paraId="23238561" w14:textId="77777777" w:rsidR="009700E5" w:rsidRDefault="009700E5">
      <w:pPr>
        <w:rPr>
          <w:rFonts w:eastAsia="SimSun"/>
          <w:szCs w:val="22"/>
          <w:lang w:eastAsia="zh-CN"/>
        </w:rPr>
      </w:pPr>
    </w:p>
    <w:p w14:paraId="24C0B0B5" w14:textId="77777777" w:rsidR="009700E5" w:rsidRDefault="002C033C">
      <w:r>
        <w:t>Zmena dávky má byť založená iba na konzistentnej zmene telesnej hmotnosti pacienta v čase. Tocilizumab sa môže používať v monoterapii alebo v kombinácii s MTX.</w:t>
      </w:r>
    </w:p>
    <w:p w14:paraId="0F47DAC3" w14:textId="77777777" w:rsidR="009700E5" w:rsidRDefault="009700E5"/>
    <w:p w14:paraId="52A0177F" w14:textId="77777777" w:rsidR="009700E5" w:rsidRDefault="002C033C">
      <w:pPr>
        <w:rPr>
          <w:i/>
          <w:u w:val="single"/>
        </w:rPr>
      </w:pPr>
      <w:r>
        <w:rPr>
          <w:i/>
          <w:u w:val="single"/>
        </w:rPr>
        <w:t>Pacienti so sJIA</w:t>
      </w:r>
    </w:p>
    <w:p w14:paraId="62B246DD" w14:textId="77777777" w:rsidR="009700E5" w:rsidRDefault="002C033C">
      <w:r>
        <w:t>Odporúčané dávkovanie pre pacientov starších ako 12 rokov je 162 mg subkutánne raz za týždeň u pacientov s telesnou hmotnosťou vyššou alebo rovnou 30 kg alebo 162 mg subkutánne raz za 2 týždne u pacientov s telesnou hmotnosťou nižšou ako 30 kg.</w:t>
      </w:r>
    </w:p>
    <w:p w14:paraId="6C55836B" w14:textId="77777777" w:rsidR="009700E5" w:rsidRDefault="009700E5"/>
    <w:p w14:paraId="279F98BB" w14:textId="77777777" w:rsidR="009700E5" w:rsidRDefault="002C033C">
      <w:pPr>
        <w:autoSpaceDE w:val="0"/>
        <w:autoSpaceDN w:val="0"/>
        <w:adjustRightInd w:val="0"/>
      </w:pPr>
      <w:r>
        <w:t>Naplnené pero sa nemá používať na liečbu pediatrických pacientov mladších ako 12 rokov.</w:t>
      </w:r>
    </w:p>
    <w:p w14:paraId="30B31753" w14:textId="77777777" w:rsidR="009700E5" w:rsidRDefault="009700E5"/>
    <w:p w14:paraId="61929960" w14:textId="77777777" w:rsidR="009700E5" w:rsidRDefault="002C033C">
      <w:pPr>
        <w:rPr>
          <w:rFonts w:eastAsia="SimSun"/>
          <w:szCs w:val="22"/>
          <w:lang w:eastAsia="zh-CN"/>
        </w:rPr>
      </w:pPr>
      <w:r>
        <w:t>Pri podávaní tocilizumabu subkutánne musia mať pacienti minimálnu telesnú hmotnosť 10 kg.</w:t>
      </w:r>
    </w:p>
    <w:p w14:paraId="5012E9FD" w14:textId="77777777" w:rsidR="009700E5" w:rsidRDefault="009700E5">
      <w:pPr>
        <w:rPr>
          <w:rFonts w:eastAsia="SimSun"/>
          <w:szCs w:val="22"/>
          <w:lang w:eastAsia="zh-CN"/>
        </w:rPr>
      </w:pPr>
    </w:p>
    <w:p w14:paraId="00A78141" w14:textId="77777777" w:rsidR="009700E5" w:rsidRDefault="002C033C">
      <w:pPr>
        <w:rPr>
          <w:i/>
          <w:iCs/>
        </w:rPr>
      </w:pPr>
      <w:r>
        <w:rPr>
          <w:i/>
          <w:iCs/>
          <w:u w:val="single"/>
        </w:rPr>
        <w:t>Pacienti s pJIA</w:t>
      </w:r>
    </w:p>
    <w:p w14:paraId="35165522" w14:textId="77777777" w:rsidR="009700E5" w:rsidRDefault="002C033C">
      <w:r>
        <w:t>Odporúčané dávkovanie pre pacientov starších ako 12 rokov je 162 mg subkutánne raz za 2 týždne u pacientov s telesnou hmotnosťou vyššou alebo rovnou 30 kg alebo 162 mg subkutánne raz za 3 týždne u pacientov s telesnou hmotnosťou nižšou ako 30 kg.</w:t>
      </w:r>
    </w:p>
    <w:p w14:paraId="34CCCDDF" w14:textId="77777777" w:rsidR="009700E5" w:rsidRDefault="009700E5"/>
    <w:p w14:paraId="3002C528" w14:textId="6236F11B" w:rsidR="009700E5" w:rsidRDefault="002C033C">
      <w:pPr>
        <w:autoSpaceDE w:val="0"/>
        <w:autoSpaceDN w:val="0"/>
        <w:adjustRightInd w:val="0"/>
        <w:rPr>
          <w:ins w:id="1857" w:author="TCS" w:date="2026-03-20T16:37:00Z"/>
        </w:rPr>
      </w:pPr>
      <w:r>
        <w:t>Naplnené pero sa nemá používať na liečbu pediatrických pacientov mladších ako 12 rokov.</w:t>
      </w:r>
    </w:p>
    <w:p w14:paraId="70CC7E2F" w14:textId="77777777" w:rsidR="008A5612" w:rsidRDefault="008A5612">
      <w:pPr>
        <w:autoSpaceDE w:val="0"/>
        <w:autoSpaceDN w:val="0"/>
        <w:adjustRightInd w:val="0"/>
      </w:pPr>
    </w:p>
    <w:p w14:paraId="75526941" w14:textId="77777777" w:rsidR="009700E5" w:rsidRDefault="002C033C">
      <w:pPr>
        <w:keepNext/>
        <w:keepLines/>
      </w:pPr>
      <w:r>
        <w:rPr>
          <w:i/>
          <w:iCs/>
          <w:u w:val="single"/>
        </w:rPr>
        <w:t>Pacienti so sJIA a pJIA</w:t>
      </w:r>
    </w:p>
    <w:p w14:paraId="759CE360" w14:textId="77777777" w:rsidR="009700E5" w:rsidRDefault="002C033C">
      <w:pPr>
        <w:keepNext/>
        <w:keepLines/>
      </w:pPr>
      <w:r>
        <w:t>Úpravy dávky kvôli laboratórnym odchýlkam</w:t>
      </w:r>
    </w:p>
    <w:p w14:paraId="1ECBCCBE" w14:textId="77777777" w:rsidR="009700E5" w:rsidRDefault="002C033C">
      <w:pPr>
        <w:keepNext/>
        <w:keepLines/>
      </w:pPr>
      <w:r>
        <w:rPr>
          <w:szCs w:val="22"/>
        </w:rPr>
        <w:t>Ak je to vhodné, dávka súbežne podávaného MTX a/alebo iných liekov sa má upraviť alebo podávanie sa má zastaviť a dávkovanie tocilizumabu sa má prerušiť až do zhodnotenia klinického stavu. Pretože je veľa pridružených chorobných stavov pri sJIA alebo pJIA, ktoré môžu ovplyvniť laboratórne hodnoty, rozhodnutie o ukončení používania tocilizumabu pre laboratórne odchýlky má byť založené na lekárskom zhodnotení každého individuálneho pacienta.</w:t>
      </w:r>
    </w:p>
    <w:p w14:paraId="0B7A5A09" w14:textId="77777777" w:rsidR="009700E5" w:rsidRDefault="009700E5">
      <w:pPr>
        <w:rPr>
          <w:rFonts w:eastAsia="SimSun"/>
          <w:szCs w:val="22"/>
          <w:lang w:eastAsia="zh-CN"/>
        </w:rPr>
      </w:pPr>
    </w:p>
    <w:p w14:paraId="6FDCC9E8" w14:textId="77777777" w:rsidR="009700E5" w:rsidRDefault="002C033C">
      <w:pPr>
        <w:keepNext/>
        <w:keepLines/>
        <w:ind w:left="567" w:hanging="425"/>
        <w:rPr>
          <w:szCs w:val="22"/>
        </w:rPr>
        <w:pPrChange w:id="1858" w:author="Author" w:date="2025-07-19T23:37:00Z">
          <w:pPr>
            <w:keepNext/>
            <w:keepLines/>
            <w:ind w:left="567" w:hanging="567"/>
          </w:pPr>
        </w:pPrChange>
      </w:pPr>
      <w:r>
        <w:rPr>
          <w:szCs w:val="22"/>
        </w:rPr>
        <w:sym w:font="Symbol" w:char="F0B7"/>
      </w:r>
      <w:r>
        <w:tab/>
      </w:r>
      <w:r>
        <w:rPr>
          <w:szCs w:val="22"/>
        </w:rPr>
        <w:t>Odchýlky hodnôt pečeňových enzýmov</w:t>
      </w:r>
    </w:p>
    <w:p w14:paraId="043AC3CB" w14:textId="77777777" w:rsidR="009700E5" w:rsidRDefault="009700E5">
      <w:pPr>
        <w:keepNext/>
        <w:keepLine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4"/>
        <w:gridCol w:w="6977"/>
      </w:tblGrid>
      <w:tr w:rsidR="009700E5" w14:paraId="2D8EA581" w14:textId="77777777">
        <w:tc>
          <w:tcPr>
            <w:tcW w:w="2092" w:type="dxa"/>
          </w:tcPr>
          <w:p w14:paraId="5D75F59F" w14:textId="77777777" w:rsidR="009700E5" w:rsidRDefault="002C033C">
            <w:pPr>
              <w:keepNext/>
              <w:keepLines/>
              <w:jc w:val="center"/>
              <w:rPr>
                <w:rFonts w:eastAsia="MS Mincho"/>
                <w:bCs/>
                <w:szCs w:val="22"/>
              </w:rPr>
            </w:pPr>
            <w:r>
              <w:rPr>
                <w:bCs/>
                <w:szCs w:val="22"/>
              </w:rPr>
              <w:t>Laboratórna hodnota</w:t>
            </w:r>
          </w:p>
        </w:tc>
        <w:tc>
          <w:tcPr>
            <w:tcW w:w="7121" w:type="dxa"/>
          </w:tcPr>
          <w:p w14:paraId="115CBB6B" w14:textId="77777777" w:rsidR="009700E5" w:rsidRPr="009700E5" w:rsidRDefault="002C033C">
            <w:pPr>
              <w:pStyle w:val="TextTi12"/>
              <w:keepNext/>
              <w:keepLines/>
              <w:spacing w:after="0"/>
              <w:jc w:val="left"/>
              <w:rPr>
                <w:rFonts w:eastAsia="MS Mincho"/>
                <w:bCs/>
                <w:sz w:val="22"/>
                <w:szCs w:val="22"/>
                <w:rPrChange w:id="1859" w:author="Author" w:date="2025-08-22T15:12:00Z">
                  <w:rPr>
                    <w:rFonts w:eastAsia="MS Mincho"/>
                    <w:bCs/>
                    <w:noProof w:val="0"/>
                    <w:sz w:val="22"/>
                    <w:szCs w:val="22"/>
                  </w:rPr>
                </w:rPrChange>
              </w:rPr>
            </w:pPr>
            <w:r>
              <w:rPr>
                <w:bCs/>
                <w:sz w:val="22"/>
                <w:szCs w:val="22"/>
                <w:rPrChange w:id="1860" w:author="Author" w:date="2025-08-22T15:12:00Z">
                  <w:rPr>
                    <w:bCs/>
                    <w:noProof w:val="0"/>
                    <w:sz w:val="22"/>
                    <w:szCs w:val="22"/>
                  </w:rPr>
                </w:rPrChange>
              </w:rPr>
              <w:t>Opatrenie</w:t>
            </w:r>
          </w:p>
        </w:tc>
      </w:tr>
      <w:tr w:rsidR="009700E5" w14:paraId="509B8FB2" w14:textId="77777777">
        <w:tc>
          <w:tcPr>
            <w:tcW w:w="2092" w:type="dxa"/>
          </w:tcPr>
          <w:p w14:paraId="54701117" w14:textId="77777777" w:rsidR="009700E5" w:rsidRPr="009700E5" w:rsidRDefault="002C033C">
            <w:pPr>
              <w:pStyle w:val="TextTi12"/>
              <w:keepNext/>
              <w:keepLines/>
              <w:spacing w:after="0"/>
              <w:jc w:val="left"/>
              <w:rPr>
                <w:rFonts w:eastAsia="MS Mincho"/>
                <w:sz w:val="22"/>
                <w:szCs w:val="22"/>
                <w:rPrChange w:id="1861" w:author="Author" w:date="2025-08-22T15:12:00Z">
                  <w:rPr>
                    <w:rFonts w:eastAsia="MS Mincho"/>
                    <w:noProof w:val="0"/>
                    <w:sz w:val="22"/>
                    <w:szCs w:val="22"/>
                  </w:rPr>
                </w:rPrChange>
              </w:rPr>
            </w:pPr>
            <w:r>
              <w:rPr>
                <w:rFonts w:eastAsia="MS Mincho"/>
                <w:sz w:val="22"/>
                <w:szCs w:val="22"/>
              </w:rPr>
              <w:sym w:font="Symbol" w:char="F03E"/>
            </w:r>
            <w:r>
              <w:rPr>
                <w:sz w:val="22"/>
                <w:szCs w:val="22"/>
                <w:rPrChange w:id="1862" w:author="Author" w:date="2025-08-22T15:12:00Z">
                  <w:rPr>
                    <w:noProof w:val="0"/>
                    <w:sz w:val="22"/>
                    <w:szCs w:val="22"/>
                  </w:rPr>
                </w:rPrChange>
              </w:rPr>
              <w:t> 1</w:t>
            </w:r>
            <w:r>
              <w:rPr>
                <w:sz w:val="22"/>
                <w:szCs w:val="22"/>
                <w:rPrChange w:id="1863" w:author="Author" w:date="2025-08-22T15:12:00Z">
                  <w:rPr>
                    <w:noProof w:val="0"/>
                    <w:sz w:val="22"/>
                    <w:szCs w:val="22"/>
                  </w:rPr>
                </w:rPrChange>
              </w:rPr>
              <w:noBreakHyphen/>
              <w:t> až 3</w:t>
            </w:r>
            <w:r>
              <w:rPr>
                <w:sz w:val="22"/>
                <w:szCs w:val="22"/>
                <w:rPrChange w:id="1864" w:author="Author" w:date="2025-08-22T15:12:00Z">
                  <w:rPr>
                    <w:noProof w:val="0"/>
                    <w:sz w:val="22"/>
                    <w:szCs w:val="22"/>
                  </w:rPr>
                </w:rPrChange>
              </w:rPr>
              <w:noBreakHyphen/>
              <w:t>násobok ULN</w:t>
            </w:r>
          </w:p>
        </w:tc>
        <w:tc>
          <w:tcPr>
            <w:tcW w:w="7121" w:type="dxa"/>
          </w:tcPr>
          <w:p w14:paraId="6A4C8747" w14:textId="77777777" w:rsidR="009700E5" w:rsidRDefault="002C033C">
            <w:pPr>
              <w:keepNext/>
              <w:keepLines/>
              <w:rPr>
                <w:szCs w:val="22"/>
              </w:rPr>
            </w:pPr>
            <w:r>
              <w:rPr>
                <w:szCs w:val="22"/>
              </w:rPr>
              <w:t>Úprava dávky súbežne podávaného MTX, ak je to vhodné.</w:t>
            </w:r>
          </w:p>
          <w:p w14:paraId="14EEAC87" w14:textId="77777777" w:rsidR="009700E5" w:rsidRPr="009700E5" w:rsidRDefault="009700E5">
            <w:pPr>
              <w:pStyle w:val="TextTi12"/>
              <w:keepNext/>
              <w:keepLines/>
              <w:spacing w:after="0"/>
              <w:jc w:val="left"/>
              <w:rPr>
                <w:sz w:val="22"/>
                <w:szCs w:val="22"/>
                <w:rPrChange w:id="1865" w:author="Author" w:date="2025-08-22T15:12:00Z">
                  <w:rPr>
                    <w:noProof w:val="0"/>
                    <w:sz w:val="22"/>
                    <w:szCs w:val="22"/>
                  </w:rPr>
                </w:rPrChange>
              </w:rPr>
            </w:pPr>
          </w:p>
          <w:p w14:paraId="235D6294" w14:textId="77777777" w:rsidR="009700E5" w:rsidRPr="009700E5" w:rsidRDefault="002C033C">
            <w:pPr>
              <w:pStyle w:val="TextTi12"/>
              <w:keepNext/>
              <w:keepLines/>
              <w:spacing w:after="0"/>
              <w:jc w:val="left"/>
              <w:rPr>
                <w:rFonts w:eastAsia="MS Mincho"/>
                <w:sz w:val="22"/>
                <w:szCs w:val="22"/>
                <w:rPrChange w:id="1866" w:author="Author" w:date="2025-08-22T15:12:00Z">
                  <w:rPr>
                    <w:rFonts w:eastAsia="MS Mincho"/>
                    <w:noProof w:val="0"/>
                    <w:sz w:val="22"/>
                    <w:szCs w:val="22"/>
                  </w:rPr>
                </w:rPrChange>
              </w:rPr>
            </w:pPr>
            <w:r>
              <w:rPr>
                <w:sz w:val="22"/>
                <w:szCs w:val="22"/>
                <w:rPrChange w:id="1867" w:author="Author" w:date="2025-08-22T15:12:00Z">
                  <w:rPr>
                    <w:noProof w:val="0"/>
                    <w:sz w:val="22"/>
                    <w:szCs w:val="22"/>
                  </w:rPr>
                </w:rPrChange>
              </w:rPr>
              <w:t>Pri pretrvávajúcich vzostupoch v tomto rozpätí prerušte podávanie tocilizumabu, kým nedôjde k normalizácii hodnôt ALT alebo AST.</w:t>
            </w:r>
          </w:p>
        </w:tc>
      </w:tr>
      <w:tr w:rsidR="009700E5" w14:paraId="1613FBE0" w14:textId="77777777">
        <w:tc>
          <w:tcPr>
            <w:tcW w:w="2092" w:type="dxa"/>
          </w:tcPr>
          <w:p w14:paraId="7AE487E3" w14:textId="77777777" w:rsidR="009700E5" w:rsidRPr="009700E5" w:rsidRDefault="002C033C">
            <w:pPr>
              <w:pStyle w:val="TextTi12"/>
              <w:keepNext/>
              <w:keepLines/>
              <w:spacing w:after="0"/>
              <w:jc w:val="left"/>
              <w:rPr>
                <w:rFonts w:eastAsia="MS Mincho"/>
                <w:sz w:val="22"/>
                <w:szCs w:val="22"/>
                <w:rPrChange w:id="1868" w:author="Author" w:date="2025-08-22T15:12:00Z">
                  <w:rPr>
                    <w:rFonts w:eastAsia="MS Mincho"/>
                    <w:noProof w:val="0"/>
                    <w:sz w:val="22"/>
                    <w:szCs w:val="22"/>
                  </w:rPr>
                </w:rPrChange>
              </w:rPr>
            </w:pPr>
            <w:r>
              <w:rPr>
                <w:rFonts w:eastAsia="MS Mincho"/>
                <w:sz w:val="22"/>
                <w:szCs w:val="22"/>
              </w:rPr>
              <w:sym w:font="Symbol" w:char="F03E"/>
            </w:r>
            <w:r>
              <w:rPr>
                <w:sz w:val="22"/>
                <w:szCs w:val="22"/>
                <w:rPrChange w:id="1869" w:author="Author" w:date="2025-08-22T15:12:00Z">
                  <w:rPr>
                    <w:noProof w:val="0"/>
                    <w:sz w:val="22"/>
                    <w:szCs w:val="22"/>
                  </w:rPr>
                </w:rPrChange>
              </w:rPr>
              <w:t> 3</w:t>
            </w:r>
            <w:r>
              <w:rPr>
                <w:sz w:val="22"/>
                <w:szCs w:val="22"/>
                <w:rPrChange w:id="1870" w:author="Author" w:date="2025-08-22T15:12:00Z">
                  <w:rPr>
                    <w:noProof w:val="0"/>
                    <w:sz w:val="22"/>
                    <w:szCs w:val="22"/>
                  </w:rPr>
                </w:rPrChange>
              </w:rPr>
              <w:noBreakHyphen/>
              <w:t> až 5</w:t>
            </w:r>
            <w:r>
              <w:rPr>
                <w:sz w:val="22"/>
                <w:szCs w:val="22"/>
                <w:rPrChange w:id="1871" w:author="Author" w:date="2025-08-22T15:12:00Z">
                  <w:rPr>
                    <w:noProof w:val="0"/>
                    <w:sz w:val="22"/>
                    <w:szCs w:val="22"/>
                  </w:rPr>
                </w:rPrChange>
              </w:rPr>
              <w:noBreakHyphen/>
              <w:t>násobok ULN</w:t>
            </w:r>
          </w:p>
        </w:tc>
        <w:tc>
          <w:tcPr>
            <w:tcW w:w="7121" w:type="dxa"/>
          </w:tcPr>
          <w:p w14:paraId="2C3E02B5" w14:textId="77777777" w:rsidR="009700E5" w:rsidRDefault="002C033C">
            <w:pPr>
              <w:keepNext/>
              <w:keepLines/>
              <w:rPr>
                <w:szCs w:val="22"/>
              </w:rPr>
            </w:pPr>
            <w:r>
              <w:rPr>
                <w:szCs w:val="22"/>
              </w:rPr>
              <w:t>Upravte dávku súbežne podávaného MTX, ak je to vhodné.</w:t>
            </w:r>
          </w:p>
          <w:p w14:paraId="61FA9B50" w14:textId="77777777" w:rsidR="009700E5" w:rsidRPr="009700E5" w:rsidRDefault="009700E5">
            <w:pPr>
              <w:pStyle w:val="TextTi12"/>
              <w:keepNext/>
              <w:keepLines/>
              <w:spacing w:after="0"/>
              <w:jc w:val="left"/>
              <w:rPr>
                <w:sz w:val="22"/>
                <w:szCs w:val="22"/>
                <w:rPrChange w:id="1872" w:author="Author" w:date="2025-08-22T15:12:00Z">
                  <w:rPr>
                    <w:noProof w:val="0"/>
                    <w:sz w:val="22"/>
                    <w:szCs w:val="22"/>
                  </w:rPr>
                </w:rPrChange>
              </w:rPr>
            </w:pPr>
          </w:p>
          <w:p w14:paraId="662549CA" w14:textId="77777777" w:rsidR="009700E5" w:rsidRPr="009700E5" w:rsidRDefault="002C033C">
            <w:pPr>
              <w:pStyle w:val="TextTi12"/>
              <w:keepNext/>
              <w:keepLines/>
              <w:spacing w:after="0"/>
              <w:jc w:val="left"/>
              <w:rPr>
                <w:sz w:val="22"/>
                <w:szCs w:val="22"/>
                <w:rPrChange w:id="1873" w:author="Author" w:date="2025-08-22T15:12:00Z">
                  <w:rPr>
                    <w:noProof w:val="0"/>
                    <w:sz w:val="22"/>
                    <w:szCs w:val="22"/>
                  </w:rPr>
                </w:rPrChange>
              </w:rPr>
            </w:pPr>
            <w:r>
              <w:rPr>
                <w:sz w:val="22"/>
                <w:szCs w:val="22"/>
                <w:rPrChange w:id="1874" w:author="Author" w:date="2025-08-22T15:12:00Z">
                  <w:rPr>
                    <w:noProof w:val="0"/>
                    <w:sz w:val="22"/>
                    <w:szCs w:val="22"/>
                  </w:rPr>
                </w:rPrChange>
              </w:rPr>
              <w:t xml:space="preserve">Prerušte podávanie tocilizumabu, pokým nebude hodnota </w:t>
            </w:r>
            <w:r>
              <w:rPr>
                <w:rFonts w:eastAsia="MS Mincho"/>
                <w:sz w:val="22"/>
                <w:szCs w:val="22"/>
              </w:rPr>
              <w:sym w:font="Symbol" w:char="F03C"/>
            </w:r>
            <w:r>
              <w:rPr>
                <w:sz w:val="22"/>
                <w:szCs w:val="22"/>
                <w:rPrChange w:id="1875" w:author="Author" w:date="2025-08-22T15:12:00Z">
                  <w:rPr>
                    <w:noProof w:val="0"/>
                    <w:sz w:val="22"/>
                    <w:szCs w:val="22"/>
                  </w:rPr>
                </w:rPrChange>
              </w:rPr>
              <w:t> 3</w:t>
            </w:r>
            <w:r>
              <w:rPr>
                <w:sz w:val="22"/>
                <w:szCs w:val="22"/>
                <w:rPrChange w:id="1876" w:author="Author" w:date="2025-08-22T15:12:00Z">
                  <w:rPr>
                    <w:noProof w:val="0"/>
                    <w:sz w:val="22"/>
                    <w:szCs w:val="22"/>
                  </w:rPr>
                </w:rPrChange>
              </w:rPr>
              <w:noBreakHyphen/>
              <w:t xml:space="preserve">násobok ULN a postupujte podľa vyššie uvedených odporúčaní pre </w:t>
            </w:r>
            <w:r>
              <w:rPr>
                <w:rFonts w:eastAsia="MS Mincho"/>
                <w:sz w:val="22"/>
                <w:szCs w:val="22"/>
              </w:rPr>
              <w:sym w:font="Symbol" w:char="F03E"/>
            </w:r>
            <w:r>
              <w:rPr>
                <w:sz w:val="22"/>
                <w:szCs w:val="22"/>
                <w:rPrChange w:id="1877" w:author="Author" w:date="2025-08-22T15:12:00Z">
                  <w:rPr>
                    <w:noProof w:val="0"/>
                    <w:sz w:val="22"/>
                    <w:szCs w:val="22"/>
                  </w:rPr>
                </w:rPrChange>
              </w:rPr>
              <w:t> 1</w:t>
            </w:r>
            <w:r>
              <w:rPr>
                <w:sz w:val="22"/>
                <w:szCs w:val="22"/>
                <w:rPrChange w:id="1878" w:author="Author" w:date="2025-08-22T15:12:00Z">
                  <w:rPr>
                    <w:noProof w:val="0"/>
                    <w:sz w:val="22"/>
                    <w:szCs w:val="22"/>
                  </w:rPr>
                </w:rPrChange>
              </w:rPr>
              <w:noBreakHyphen/>
              <w:t> až 3</w:t>
            </w:r>
            <w:r>
              <w:rPr>
                <w:sz w:val="22"/>
                <w:szCs w:val="22"/>
                <w:rPrChange w:id="1879" w:author="Author" w:date="2025-08-22T15:12:00Z">
                  <w:rPr>
                    <w:noProof w:val="0"/>
                    <w:sz w:val="22"/>
                    <w:szCs w:val="22"/>
                  </w:rPr>
                </w:rPrChange>
              </w:rPr>
              <w:noBreakHyphen/>
              <w:t>násobok ULN.</w:t>
            </w:r>
          </w:p>
          <w:p w14:paraId="3F8CC2A5" w14:textId="77777777" w:rsidR="009700E5" w:rsidRPr="009700E5" w:rsidRDefault="009700E5">
            <w:pPr>
              <w:pStyle w:val="TextTi12"/>
              <w:keepNext/>
              <w:keepLines/>
              <w:spacing w:after="0"/>
              <w:jc w:val="left"/>
              <w:rPr>
                <w:rFonts w:eastAsia="MS Mincho"/>
                <w:sz w:val="22"/>
                <w:szCs w:val="22"/>
                <w:rPrChange w:id="1880" w:author="Author" w:date="2025-08-22T15:12:00Z">
                  <w:rPr>
                    <w:rFonts w:eastAsia="MS Mincho"/>
                    <w:noProof w:val="0"/>
                    <w:sz w:val="22"/>
                    <w:szCs w:val="22"/>
                  </w:rPr>
                </w:rPrChange>
              </w:rPr>
            </w:pPr>
          </w:p>
        </w:tc>
      </w:tr>
      <w:tr w:rsidR="009700E5" w14:paraId="3F837BDD" w14:textId="77777777">
        <w:tc>
          <w:tcPr>
            <w:tcW w:w="2092" w:type="dxa"/>
          </w:tcPr>
          <w:p w14:paraId="17B2823D" w14:textId="77777777" w:rsidR="009700E5" w:rsidRPr="009700E5" w:rsidRDefault="002C033C">
            <w:pPr>
              <w:pStyle w:val="TextTi12"/>
              <w:keepNext/>
              <w:keepLines/>
              <w:spacing w:after="0"/>
              <w:jc w:val="left"/>
              <w:rPr>
                <w:rFonts w:eastAsia="MS Mincho"/>
                <w:sz w:val="22"/>
                <w:szCs w:val="22"/>
                <w:rPrChange w:id="1881" w:author="Author" w:date="2025-08-22T15:12:00Z">
                  <w:rPr>
                    <w:rFonts w:eastAsia="MS Mincho"/>
                    <w:noProof w:val="0"/>
                    <w:sz w:val="22"/>
                    <w:szCs w:val="22"/>
                  </w:rPr>
                </w:rPrChange>
              </w:rPr>
            </w:pPr>
            <w:r>
              <w:rPr>
                <w:rFonts w:eastAsia="MS Mincho"/>
                <w:sz w:val="22"/>
                <w:szCs w:val="22"/>
              </w:rPr>
              <w:sym w:font="Symbol" w:char="F03E"/>
            </w:r>
            <w:r>
              <w:rPr>
                <w:sz w:val="22"/>
                <w:szCs w:val="22"/>
                <w:rPrChange w:id="1882" w:author="Author" w:date="2025-08-22T15:12:00Z">
                  <w:rPr>
                    <w:noProof w:val="0"/>
                    <w:sz w:val="22"/>
                    <w:szCs w:val="22"/>
                  </w:rPr>
                </w:rPrChange>
              </w:rPr>
              <w:t> 5</w:t>
            </w:r>
            <w:r>
              <w:rPr>
                <w:sz w:val="22"/>
                <w:szCs w:val="22"/>
                <w:rPrChange w:id="1883" w:author="Author" w:date="2025-08-22T15:12:00Z">
                  <w:rPr>
                    <w:noProof w:val="0"/>
                    <w:sz w:val="22"/>
                    <w:szCs w:val="22"/>
                  </w:rPr>
                </w:rPrChange>
              </w:rPr>
              <w:noBreakHyphen/>
              <w:t>násobok ULN</w:t>
            </w:r>
          </w:p>
        </w:tc>
        <w:tc>
          <w:tcPr>
            <w:tcW w:w="7121" w:type="dxa"/>
          </w:tcPr>
          <w:p w14:paraId="363B2B0A" w14:textId="77777777" w:rsidR="009700E5" w:rsidRPr="009700E5" w:rsidRDefault="002C033C">
            <w:pPr>
              <w:pStyle w:val="TextTi12"/>
              <w:keepNext/>
              <w:keepLines/>
              <w:spacing w:after="0"/>
              <w:jc w:val="left"/>
              <w:rPr>
                <w:sz w:val="22"/>
                <w:szCs w:val="22"/>
                <w:rPrChange w:id="1884" w:author="Author" w:date="2025-08-22T15:12:00Z">
                  <w:rPr>
                    <w:noProof w:val="0"/>
                    <w:sz w:val="22"/>
                    <w:szCs w:val="22"/>
                  </w:rPr>
                </w:rPrChange>
              </w:rPr>
            </w:pPr>
            <w:r>
              <w:rPr>
                <w:sz w:val="22"/>
                <w:szCs w:val="22"/>
                <w:rPrChange w:id="1885" w:author="Author" w:date="2025-08-22T15:12:00Z">
                  <w:rPr>
                    <w:noProof w:val="0"/>
                    <w:sz w:val="22"/>
                    <w:szCs w:val="22"/>
                  </w:rPr>
                </w:rPrChange>
              </w:rPr>
              <w:t>Ukončite liečbu tocilizumabom.</w:t>
            </w:r>
          </w:p>
          <w:p w14:paraId="16EEE00C" w14:textId="77777777" w:rsidR="009700E5" w:rsidRPr="009700E5" w:rsidRDefault="009700E5">
            <w:pPr>
              <w:pStyle w:val="TextTi12"/>
              <w:keepNext/>
              <w:keepLines/>
              <w:spacing w:after="0"/>
              <w:jc w:val="left"/>
              <w:rPr>
                <w:sz w:val="22"/>
                <w:szCs w:val="22"/>
                <w:rPrChange w:id="1886" w:author="Author" w:date="2025-08-22T15:12:00Z">
                  <w:rPr>
                    <w:noProof w:val="0"/>
                    <w:sz w:val="22"/>
                    <w:szCs w:val="22"/>
                  </w:rPr>
                </w:rPrChange>
              </w:rPr>
            </w:pPr>
          </w:p>
          <w:p w14:paraId="6515F5CA" w14:textId="77777777" w:rsidR="009700E5" w:rsidRPr="009700E5" w:rsidRDefault="002C033C">
            <w:pPr>
              <w:pStyle w:val="TextTi12"/>
              <w:keepNext/>
              <w:keepLines/>
              <w:spacing w:after="0"/>
              <w:jc w:val="left"/>
              <w:rPr>
                <w:sz w:val="22"/>
                <w:szCs w:val="22"/>
                <w:rPrChange w:id="1887" w:author="Author" w:date="2025-08-22T15:12:00Z">
                  <w:rPr>
                    <w:noProof w:val="0"/>
                    <w:sz w:val="22"/>
                    <w:szCs w:val="22"/>
                  </w:rPr>
                </w:rPrChange>
              </w:rPr>
            </w:pPr>
            <w:r>
              <w:rPr>
                <w:sz w:val="22"/>
                <w:szCs w:val="22"/>
                <w:rPrChange w:id="1888" w:author="Author" w:date="2025-08-22T15:12:00Z">
                  <w:rPr>
                    <w:noProof w:val="0"/>
                    <w:sz w:val="22"/>
                    <w:szCs w:val="22"/>
                  </w:rPr>
                </w:rPrChange>
              </w:rPr>
              <w:t>Rozhodnutie o ukončení liečby u pacientov so sJIA alebo pJIA pre laboratórne odchýlky musí byť založené na lekárskom zhodnotení každého individuálneho pacienta.</w:t>
            </w:r>
          </w:p>
          <w:p w14:paraId="16832086" w14:textId="77777777" w:rsidR="009700E5" w:rsidRPr="009700E5" w:rsidRDefault="009700E5">
            <w:pPr>
              <w:pStyle w:val="TextTi12"/>
              <w:keepNext/>
              <w:keepLines/>
              <w:spacing w:after="0"/>
              <w:jc w:val="left"/>
              <w:rPr>
                <w:rFonts w:eastAsia="MS Mincho"/>
                <w:sz w:val="22"/>
                <w:szCs w:val="22"/>
                <w:rPrChange w:id="1889" w:author="Author" w:date="2025-08-22T15:12:00Z">
                  <w:rPr>
                    <w:rFonts w:eastAsia="MS Mincho"/>
                    <w:noProof w:val="0"/>
                    <w:sz w:val="22"/>
                    <w:szCs w:val="22"/>
                  </w:rPr>
                </w:rPrChange>
              </w:rPr>
            </w:pPr>
          </w:p>
        </w:tc>
      </w:tr>
    </w:tbl>
    <w:p w14:paraId="32339631" w14:textId="77777777" w:rsidR="009700E5" w:rsidRDefault="009700E5">
      <w:pPr>
        <w:rPr>
          <w:szCs w:val="22"/>
        </w:rPr>
      </w:pPr>
    </w:p>
    <w:p w14:paraId="0015A587" w14:textId="77777777" w:rsidR="009700E5" w:rsidRDefault="002C033C">
      <w:pPr>
        <w:keepNext/>
        <w:keepLines/>
        <w:ind w:left="567" w:hanging="425"/>
        <w:pPrChange w:id="1890" w:author="Author" w:date="2025-07-19T23:37:00Z">
          <w:pPr>
            <w:keepNext/>
            <w:keepLines/>
            <w:ind w:left="567" w:hanging="567"/>
          </w:pPr>
        </w:pPrChange>
      </w:pPr>
      <w:r>
        <w:rPr>
          <w:szCs w:val="22"/>
        </w:rPr>
        <w:sym w:font="Symbol" w:char="F0B7"/>
      </w:r>
      <w:r>
        <w:tab/>
        <w:t>Nízky absolútny počet neutrofilov (ANC)</w:t>
      </w:r>
    </w:p>
    <w:p w14:paraId="597BE9B5" w14:textId="77777777" w:rsidR="009700E5" w:rsidRDefault="009700E5">
      <w:pPr>
        <w:keepNext/>
        <w:keepLines/>
        <w:ind w:left="480"/>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2"/>
        <w:gridCol w:w="7013"/>
      </w:tblGrid>
      <w:tr w:rsidR="009700E5" w14:paraId="156D453E" w14:textId="77777777">
        <w:tc>
          <w:tcPr>
            <w:tcW w:w="2092" w:type="dxa"/>
          </w:tcPr>
          <w:p w14:paraId="01C1B168" w14:textId="77777777" w:rsidR="009700E5" w:rsidRDefault="002C033C">
            <w:pPr>
              <w:keepNext/>
              <w:keepLines/>
              <w:jc w:val="center"/>
              <w:rPr>
                <w:bCs/>
                <w:szCs w:val="22"/>
              </w:rPr>
            </w:pPr>
            <w:r>
              <w:rPr>
                <w:bCs/>
                <w:szCs w:val="22"/>
              </w:rPr>
              <w:t>Laboratórna hodnota (bunky </w:t>
            </w:r>
            <w:r>
              <w:rPr>
                <w:rFonts w:eastAsia="MS Mincho"/>
                <w:bCs/>
                <w:szCs w:val="22"/>
              </w:rPr>
              <w:sym w:font="Symbol" w:char="F0B4"/>
            </w:r>
            <w:r>
              <w:rPr>
                <w:bCs/>
                <w:szCs w:val="22"/>
              </w:rPr>
              <w:t> 10</w:t>
            </w:r>
            <w:r>
              <w:rPr>
                <w:bCs/>
                <w:szCs w:val="22"/>
                <w:vertAlign w:val="superscript"/>
              </w:rPr>
              <w:t>9</w:t>
            </w:r>
            <w:r>
              <w:rPr>
                <w:bCs/>
                <w:szCs w:val="22"/>
              </w:rPr>
              <w:t>/l)</w:t>
            </w:r>
          </w:p>
        </w:tc>
        <w:tc>
          <w:tcPr>
            <w:tcW w:w="7121" w:type="dxa"/>
          </w:tcPr>
          <w:p w14:paraId="7EBF8C10" w14:textId="77777777" w:rsidR="009700E5" w:rsidRPr="009700E5" w:rsidRDefault="002C033C">
            <w:pPr>
              <w:pStyle w:val="TextTi12"/>
              <w:keepNext/>
              <w:keepLines/>
              <w:jc w:val="left"/>
              <w:rPr>
                <w:bCs/>
                <w:sz w:val="22"/>
                <w:szCs w:val="22"/>
                <w:rPrChange w:id="1891" w:author="Author" w:date="2025-08-22T15:12:00Z">
                  <w:rPr>
                    <w:bCs/>
                    <w:noProof w:val="0"/>
                    <w:sz w:val="22"/>
                    <w:szCs w:val="22"/>
                  </w:rPr>
                </w:rPrChange>
              </w:rPr>
            </w:pPr>
            <w:r>
              <w:rPr>
                <w:bCs/>
                <w:sz w:val="22"/>
                <w:szCs w:val="22"/>
                <w:rPrChange w:id="1892" w:author="Author" w:date="2025-08-22T15:12:00Z">
                  <w:rPr>
                    <w:bCs/>
                    <w:noProof w:val="0"/>
                    <w:sz w:val="22"/>
                    <w:szCs w:val="22"/>
                  </w:rPr>
                </w:rPrChange>
              </w:rPr>
              <w:t>Opatrenie</w:t>
            </w:r>
          </w:p>
        </w:tc>
      </w:tr>
      <w:tr w:rsidR="009700E5" w14:paraId="70B784B8" w14:textId="77777777">
        <w:tc>
          <w:tcPr>
            <w:tcW w:w="2092" w:type="dxa"/>
          </w:tcPr>
          <w:p w14:paraId="1C0616A5" w14:textId="77777777" w:rsidR="009700E5" w:rsidRPr="009700E5" w:rsidRDefault="002C033C">
            <w:pPr>
              <w:pStyle w:val="TextTi12"/>
              <w:jc w:val="left"/>
              <w:rPr>
                <w:sz w:val="22"/>
                <w:szCs w:val="22"/>
                <w:rPrChange w:id="1893" w:author="Author" w:date="2025-08-22T15:12:00Z">
                  <w:rPr>
                    <w:noProof w:val="0"/>
                    <w:sz w:val="22"/>
                    <w:szCs w:val="22"/>
                  </w:rPr>
                </w:rPrChange>
              </w:rPr>
            </w:pPr>
            <w:r>
              <w:rPr>
                <w:sz w:val="22"/>
                <w:szCs w:val="22"/>
                <w:rPrChange w:id="1894" w:author="Author" w:date="2025-08-22T15:12:00Z">
                  <w:rPr>
                    <w:noProof w:val="0"/>
                    <w:sz w:val="22"/>
                    <w:szCs w:val="22"/>
                  </w:rPr>
                </w:rPrChange>
              </w:rPr>
              <w:t>ANC </w:t>
            </w:r>
            <w:r>
              <w:rPr>
                <w:rFonts w:eastAsia="MS Mincho"/>
                <w:sz w:val="22"/>
                <w:szCs w:val="22"/>
              </w:rPr>
              <w:sym w:font="Symbol" w:char="F03E"/>
            </w:r>
            <w:r>
              <w:rPr>
                <w:sz w:val="22"/>
                <w:szCs w:val="22"/>
                <w:rPrChange w:id="1895" w:author="Author" w:date="2025-08-22T15:12:00Z">
                  <w:rPr>
                    <w:noProof w:val="0"/>
                    <w:sz w:val="22"/>
                    <w:szCs w:val="22"/>
                  </w:rPr>
                </w:rPrChange>
              </w:rPr>
              <w:t> 1</w:t>
            </w:r>
          </w:p>
        </w:tc>
        <w:tc>
          <w:tcPr>
            <w:tcW w:w="7121" w:type="dxa"/>
          </w:tcPr>
          <w:p w14:paraId="309F777B" w14:textId="77777777" w:rsidR="009700E5" w:rsidRPr="009700E5" w:rsidRDefault="002C033C">
            <w:pPr>
              <w:pStyle w:val="TextTi12"/>
              <w:spacing w:after="0"/>
              <w:rPr>
                <w:sz w:val="22"/>
                <w:szCs w:val="22"/>
                <w:rPrChange w:id="1896" w:author="Author" w:date="2025-08-22T15:12:00Z">
                  <w:rPr>
                    <w:noProof w:val="0"/>
                    <w:sz w:val="22"/>
                    <w:szCs w:val="22"/>
                  </w:rPr>
                </w:rPrChange>
              </w:rPr>
            </w:pPr>
            <w:r>
              <w:rPr>
                <w:sz w:val="22"/>
                <w:szCs w:val="22"/>
                <w:rPrChange w:id="1897" w:author="Author" w:date="2025-08-22T15:12:00Z">
                  <w:rPr>
                    <w:noProof w:val="0"/>
                    <w:sz w:val="22"/>
                    <w:szCs w:val="22"/>
                  </w:rPr>
                </w:rPrChange>
              </w:rPr>
              <w:t>Udržiavajte dávku.</w:t>
            </w:r>
          </w:p>
        </w:tc>
      </w:tr>
      <w:tr w:rsidR="009700E5" w14:paraId="73EDAEB5" w14:textId="77777777">
        <w:tc>
          <w:tcPr>
            <w:tcW w:w="2092" w:type="dxa"/>
          </w:tcPr>
          <w:p w14:paraId="4B6B7B48" w14:textId="77777777" w:rsidR="009700E5" w:rsidRPr="009700E5" w:rsidRDefault="002C033C">
            <w:pPr>
              <w:pStyle w:val="TextTi12"/>
              <w:jc w:val="left"/>
              <w:rPr>
                <w:sz w:val="22"/>
                <w:szCs w:val="22"/>
                <w:rPrChange w:id="1898" w:author="Author" w:date="2025-08-22T15:12:00Z">
                  <w:rPr>
                    <w:noProof w:val="0"/>
                    <w:sz w:val="22"/>
                    <w:szCs w:val="22"/>
                  </w:rPr>
                </w:rPrChange>
              </w:rPr>
            </w:pPr>
            <w:r>
              <w:rPr>
                <w:sz w:val="22"/>
                <w:szCs w:val="22"/>
                <w:rPrChange w:id="1899" w:author="Author" w:date="2025-08-22T15:12:00Z">
                  <w:rPr>
                    <w:noProof w:val="0"/>
                    <w:sz w:val="22"/>
                    <w:szCs w:val="22"/>
                  </w:rPr>
                </w:rPrChange>
              </w:rPr>
              <w:t>ANC 0,5 až 1</w:t>
            </w:r>
          </w:p>
        </w:tc>
        <w:tc>
          <w:tcPr>
            <w:tcW w:w="7121" w:type="dxa"/>
          </w:tcPr>
          <w:p w14:paraId="75655D7B" w14:textId="77777777" w:rsidR="009700E5" w:rsidRDefault="002C033C">
            <w:pPr>
              <w:rPr>
                <w:szCs w:val="22"/>
              </w:rPr>
            </w:pPr>
            <w:r>
              <w:rPr>
                <w:szCs w:val="22"/>
              </w:rPr>
              <w:t>Prerušte podávanie tocilizumabu.</w:t>
            </w:r>
          </w:p>
          <w:p w14:paraId="4CC04034" w14:textId="77777777" w:rsidR="009700E5" w:rsidRDefault="009700E5">
            <w:pPr>
              <w:rPr>
                <w:szCs w:val="22"/>
              </w:rPr>
            </w:pPr>
          </w:p>
          <w:p w14:paraId="066BE2EF" w14:textId="77777777" w:rsidR="009700E5" w:rsidRPr="009700E5" w:rsidRDefault="002C033C">
            <w:pPr>
              <w:pStyle w:val="TextTi12"/>
              <w:spacing w:after="0"/>
              <w:jc w:val="left"/>
              <w:rPr>
                <w:sz w:val="22"/>
                <w:szCs w:val="22"/>
                <w:rPrChange w:id="1900" w:author="Author" w:date="2025-08-22T15:12:00Z">
                  <w:rPr>
                    <w:noProof w:val="0"/>
                    <w:sz w:val="22"/>
                    <w:szCs w:val="22"/>
                  </w:rPr>
                </w:rPrChange>
              </w:rPr>
            </w:pPr>
            <w:r>
              <w:rPr>
                <w:sz w:val="22"/>
                <w:szCs w:val="22"/>
                <w:rPrChange w:id="1901" w:author="Author" w:date="2025-08-22T15:12:00Z">
                  <w:rPr>
                    <w:noProof w:val="0"/>
                    <w:sz w:val="22"/>
                    <w:szCs w:val="22"/>
                  </w:rPr>
                </w:rPrChange>
              </w:rPr>
              <w:t xml:space="preserve">Keď sa ANC zvýši na </w:t>
            </w:r>
            <w:r>
              <w:rPr>
                <w:rFonts w:eastAsia="MS Mincho"/>
                <w:sz w:val="22"/>
                <w:szCs w:val="22"/>
              </w:rPr>
              <w:sym w:font="Symbol" w:char="F03E"/>
            </w:r>
            <w:r>
              <w:rPr>
                <w:sz w:val="22"/>
                <w:szCs w:val="22"/>
                <w:rPrChange w:id="1902" w:author="Author" w:date="2025-08-22T15:12:00Z">
                  <w:rPr>
                    <w:noProof w:val="0"/>
                    <w:sz w:val="22"/>
                    <w:szCs w:val="22"/>
                  </w:rPr>
                </w:rPrChange>
              </w:rPr>
              <w:t> 1 </w:t>
            </w:r>
            <w:r>
              <w:rPr>
                <w:rFonts w:eastAsia="MS Mincho"/>
                <w:szCs w:val="22"/>
              </w:rPr>
              <w:sym w:font="Symbol" w:char="F0B4"/>
            </w:r>
            <w:r>
              <w:rPr>
                <w:sz w:val="22"/>
                <w:szCs w:val="22"/>
                <w:rPrChange w:id="1903" w:author="Author" w:date="2025-08-22T15:12:00Z">
                  <w:rPr>
                    <w:noProof w:val="0"/>
                    <w:sz w:val="22"/>
                    <w:szCs w:val="22"/>
                  </w:rPr>
                </w:rPrChange>
              </w:rPr>
              <w:t> 10</w:t>
            </w:r>
            <w:r>
              <w:rPr>
                <w:sz w:val="22"/>
                <w:szCs w:val="22"/>
                <w:vertAlign w:val="superscript"/>
                <w:rPrChange w:id="1904" w:author="Author" w:date="2025-08-22T15:12:00Z">
                  <w:rPr>
                    <w:noProof w:val="0"/>
                    <w:sz w:val="22"/>
                    <w:szCs w:val="22"/>
                    <w:vertAlign w:val="superscript"/>
                  </w:rPr>
                </w:rPrChange>
              </w:rPr>
              <w:t>9</w:t>
            </w:r>
            <w:r>
              <w:rPr>
                <w:sz w:val="22"/>
                <w:szCs w:val="22"/>
                <w:rPrChange w:id="1905" w:author="Author" w:date="2025-08-22T15:12:00Z">
                  <w:rPr>
                    <w:noProof w:val="0"/>
                    <w:sz w:val="22"/>
                    <w:szCs w:val="22"/>
                  </w:rPr>
                </w:rPrChange>
              </w:rPr>
              <w:t>/l, liečbu znovu začnite.</w:t>
            </w:r>
          </w:p>
        </w:tc>
      </w:tr>
      <w:tr w:rsidR="009700E5" w14:paraId="4ADD822C" w14:textId="77777777">
        <w:tc>
          <w:tcPr>
            <w:tcW w:w="2092" w:type="dxa"/>
          </w:tcPr>
          <w:p w14:paraId="00544554" w14:textId="77777777" w:rsidR="009700E5" w:rsidRPr="009700E5" w:rsidRDefault="002C033C">
            <w:pPr>
              <w:pStyle w:val="TextTi12"/>
              <w:jc w:val="left"/>
              <w:rPr>
                <w:sz w:val="22"/>
                <w:szCs w:val="22"/>
                <w:rPrChange w:id="1906" w:author="Author" w:date="2025-08-22T15:12:00Z">
                  <w:rPr>
                    <w:noProof w:val="0"/>
                    <w:sz w:val="22"/>
                    <w:szCs w:val="22"/>
                  </w:rPr>
                </w:rPrChange>
              </w:rPr>
            </w:pPr>
            <w:r>
              <w:rPr>
                <w:sz w:val="22"/>
                <w:szCs w:val="22"/>
                <w:rPrChange w:id="1907" w:author="Author" w:date="2025-08-22T15:12:00Z">
                  <w:rPr>
                    <w:noProof w:val="0"/>
                    <w:sz w:val="22"/>
                    <w:szCs w:val="22"/>
                  </w:rPr>
                </w:rPrChange>
              </w:rPr>
              <w:t>ANC </w:t>
            </w:r>
            <w:r>
              <w:rPr>
                <w:rFonts w:eastAsia="MS Mincho"/>
                <w:sz w:val="22"/>
                <w:szCs w:val="22"/>
              </w:rPr>
              <w:sym w:font="Symbol" w:char="F03C"/>
            </w:r>
            <w:r>
              <w:rPr>
                <w:sz w:val="22"/>
                <w:szCs w:val="22"/>
                <w:rPrChange w:id="1908" w:author="Author" w:date="2025-08-22T15:12:00Z">
                  <w:rPr>
                    <w:noProof w:val="0"/>
                    <w:sz w:val="22"/>
                    <w:szCs w:val="22"/>
                  </w:rPr>
                </w:rPrChange>
              </w:rPr>
              <w:t> 0,5</w:t>
            </w:r>
          </w:p>
        </w:tc>
        <w:tc>
          <w:tcPr>
            <w:tcW w:w="7121" w:type="dxa"/>
          </w:tcPr>
          <w:p w14:paraId="3BF44676" w14:textId="77777777" w:rsidR="009700E5" w:rsidRPr="009700E5" w:rsidRDefault="002C033C">
            <w:pPr>
              <w:pStyle w:val="TextTi12"/>
              <w:spacing w:after="0"/>
              <w:rPr>
                <w:sz w:val="22"/>
                <w:szCs w:val="22"/>
                <w:rPrChange w:id="1909" w:author="Author" w:date="2025-08-22T15:12:00Z">
                  <w:rPr>
                    <w:noProof w:val="0"/>
                    <w:sz w:val="22"/>
                    <w:szCs w:val="22"/>
                  </w:rPr>
                </w:rPrChange>
              </w:rPr>
            </w:pPr>
            <w:r>
              <w:rPr>
                <w:sz w:val="22"/>
                <w:szCs w:val="22"/>
                <w:rPrChange w:id="1910" w:author="Author" w:date="2025-08-22T15:12:00Z">
                  <w:rPr>
                    <w:noProof w:val="0"/>
                    <w:sz w:val="22"/>
                    <w:szCs w:val="22"/>
                  </w:rPr>
                </w:rPrChange>
              </w:rPr>
              <w:t>Ukončite liečbu tocilizumabom.</w:t>
            </w:r>
          </w:p>
          <w:p w14:paraId="253FF762" w14:textId="77777777" w:rsidR="009700E5" w:rsidRPr="009700E5" w:rsidRDefault="009700E5">
            <w:pPr>
              <w:pStyle w:val="TextTi12"/>
              <w:spacing w:after="0"/>
              <w:rPr>
                <w:sz w:val="22"/>
                <w:szCs w:val="22"/>
                <w:rPrChange w:id="1911" w:author="Author" w:date="2025-08-22T15:12:00Z">
                  <w:rPr>
                    <w:noProof w:val="0"/>
                    <w:sz w:val="22"/>
                    <w:szCs w:val="22"/>
                  </w:rPr>
                </w:rPrChange>
              </w:rPr>
            </w:pPr>
          </w:p>
          <w:p w14:paraId="22023CA6" w14:textId="77777777" w:rsidR="009700E5" w:rsidRPr="009700E5" w:rsidRDefault="002C033C">
            <w:pPr>
              <w:pStyle w:val="TextTi12"/>
              <w:spacing w:after="0"/>
              <w:jc w:val="left"/>
              <w:rPr>
                <w:sz w:val="22"/>
                <w:szCs w:val="22"/>
                <w:rPrChange w:id="1912" w:author="Author" w:date="2025-08-22T15:12:00Z">
                  <w:rPr>
                    <w:noProof w:val="0"/>
                    <w:sz w:val="22"/>
                    <w:szCs w:val="22"/>
                  </w:rPr>
                </w:rPrChange>
              </w:rPr>
            </w:pPr>
            <w:r>
              <w:rPr>
                <w:sz w:val="22"/>
                <w:szCs w:val="22"/>
                <w:rPrChange w:id="1913" w:author="Author" w:date="2025-08-22T15:12:00Z">
                  <w:rPr>
                    <w:noProof w:val="0"/>
                    <w:sz w:val="22"/>
                    <w:szCs w:val="22"/>
                  </w:rPr>
                </w:rPrChange>
              </w:rPr>
              <w:t>Rozhodnutie o ukončení liečby</w:t>
            </w:r>
            <w:r>
              <w:rPr>
                <w:rPrChange w:id="1914" w:author="Author" w:date="2025-08-22T15:12:00Z">
                  <w:rPr>
                    <w:noProof w:val="0"/>
                  </w:rPr>
                </w:rPrChange>
              </w:rPr>
              <w:t xml:space="preserve"> u pacientov so sJIA alebo </w:t>
            </w:r>
            <w:r>
              <w:rPr>
                <w:sz w:val="22"/>
                <w:szCs w:val="22"/>
                <w:rPrChange w:id="1915" w:author="Author" w:date="2025-08-22T15:12:00Z">
                  <w:rPr>
                    <w:noProof w:val="0"/>
                    <w:sz w:val="22"/>
                    <w:szCs w:val="22"/>
                  </w:rPr>
                </w:rPrChange>
              </w:rPr>
              <w:t>pJIA pre laboratórne odchýlky musí byť založené na lekárskom zhodnotení každého individuálneho pacienta.</w:t>
            </w:r>
          </w:p>
        </w:tc>
      </w:tr>
    </w:tbl>
    <w:p w14:paraId="2ED7B1F8" w14:textId="77777777" w:rsidR="009700E5" w:rsidRDefault="009700E5">
      <w:pPr>
        <w:rPr>
          <w:szCs w:val="22"/>
        </w:rPr>
      </w:pPr>
    </w:p>
    <w:p w14:paraId="23D344B9" w14:textId="77777777" w:rsidR="009700E5" w:rsidRDefault="002C033C">
      <w:pPr>
        <w:keepNext/>
        <w:keepLines/>
        <w:ind w:left="567" w:hanging="425"/>
        <w:rPr>
          <w:szCs w:val="22"/>
        </w:rPr>
        <w:pPrChange w:id="1916" w:author="Author" w:date="2025-07-19T23:37:00Z">
          <w:pPr>
            <w:keepNext/>
            <w:keepLines/>
            <w:ind w:left="567" w:hanging="567"/>
          </w:pPr>
        </w:pPrChange>
      </w:pPr>
      <w:r>
        <w:rPr>
          <w:szCs w:val="22"/>
        </w:rPr>
        <w:lastRenderedPageBreak/>
        <w:sym w:font="Symbol" w:char="F0B7"/>
      </w:r>
      <w:r>
        <w:tab/>
      </w:r>
      <w:r>
        <w:rPr>
          <w:szCs w:val="22"/>
        </w:rPr>
        <w:t>Nízky počet trombocytov</w:t>
      </w:r>
    </w:p>
    <w:p w14:paraId="7B002793" w14:textId="77777777" w:rsidR="009700E5" w:rsidRDefault="009700E5">
      <w:pPr>
        <w:keepNext/>
        <w:keepLine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2"/>
        <w:gridCol w:w="6979"/>
      </w:tblGrid>
      <w:tr w:rsidR="009700E5" w14:paraId="2A66296A" w14:textId="77777777">
        <w:tc>
          <w:tcPr>
            <w:tcW w:w="2092" w:type="dxa"/>
          </w:tcPr>
          <w:p w14:paraId="4FFB1F59" w14:textId="77777777" w:rsidR="009700E5" w:rsidRDefault="002C033C">
            <w:pPr>
              <w:keepNext/>
              <w:keepLines/>
              <w:jc w:val="center"/>
              <w:rPr>
                <w:bCs/>
                <w:szCs w:val="22"/>
              </w:rPr>
            </w:pPr>
            <w:r>
              <w:rPr>
                <w:bCs/>
                <w:szCs w:val="22"/>
              </w:rPr>
              <w:t>Laboratórna hodnota (bunky </w:t>
            </w:r>
            <w:r>
              <w:rPr>
                <w:rFonts w:eastAsia="MS Mincho"/>
                <w:bCs/>
                <w:szCs w:val="22"/>
              </w:rPr>
              <w:sym w:font="Symbol" w:char="F0B4"/>
            </w:r>
            <w:r>
              <w:rPr>
                <w:bCs/>
                <w:szCs w:val="22"/>
              </w:rPr>
              <w:t> 10</w:t>
            </w:r>
            <w:r>
              <w:rPr>
                <w:bCs/>
                <w:szCs w:val="22"/>
                <w:vertAlign w:val="superscript"/>
              </w:rPr>
              <w:t>3</w:t>
            </w:r>
            <w:r>
              <w:rPr>
                <w:bCs/>
                <w:szCs w:val="22"/>
              </w:rPr>
              <w:t>/</w:t>
            </w:r>
            <w:r>
              <w:rPr>
                <w:bCs/>
                <w:szCs w:val="22"/>
              </w:rPr>
              <w:sym w:font="Symbol" w:char="F06D"/>
            </w:r>
            <w:r>
              <w:rPr>
                <w:bCs/>
                <w:szCs w:val="22"/>
              </w:rPr>
              <w:t>l)</w:t>
            </w:r>
          </w:p>
        </w:tc>
        <w:tc>
          <w:tcPr>
            <w:tcW w:w="7121" w:type="dxa"/>
          </w:tcPr>
          <w:p w14:paraId="6FEE775D" w14:textId="77777777" w:rsidR="009700E5" w:rsidRPr="009700E5" w:rsidRDefault="002C033C">
            <w:pPr>
              <w:pStyle w:val="TextTi12"/>
              <w:keepNext/>
              <w:keepLines/>
              <w:jc w:val="left"/>
              <w:rPr>
                <w:bCs/>
                <w:sz w:val="22"/>
                <w:szCs w:val="22"/>
                <w:rPrChange w:id="1917" w:author="Author" w:date="2025-08-22T15:12:00Z">
                  <w:rPr>
                    <w:bCs/>
                    <w:noProof w:val="0"/>
                    <w:sz w:val="22"/>
                    <w:szCs w:val="22"/>
                  </w:rPr>
                </w:rPrChange>
              </w:rPr>
            </w:pPr>
            <w:r>
              <w:rPr>
                <w:bCs/>
                <w:sz w:val="22"/>
                <w:szCs w:val="22"/>
                <w:rPrChange w:id="1918" w:author="Author" w:date="2025-08-22T15:12:00Z">
                  <w:rPr>
                    <w:bCs/>
                    <w:noProof w:val="0"/>
                    <w:sz w:val="22"/>
                    <w:szCs w:val="22"/>
                  </w:rPr>
                </w:rPrChange>
              </w:rPr>
              <w:t>Opatrenie</w:t>
            </w:r>
          </w:p>
        </w:tc>
      </w:tr>
      <w:tr w:rsidR="009700E5" w14:paraId="7806C5A0" w14:textId="77777777">
        <w:tc>
          <w:tcPr>
            <w:tcW w:w="2092" w:type="dxa"/>
          </w:tcPr>
          <w:p w14:paraId="2C4FA073" w14:textId="77777777" w:rsidR="009700E5" w:rsidRPr="009700E5" w:rsidRDefault="002C033C">
            <w:pPr>
              <w:pStyle w:val="TextTi12"/>
              <w:keepNext/>
              <w:keepLines/>
              <w:jc w:val="left"/>
              <w:rPr>
                <w:sz w:val="22"/>
                <w:szCs w:val="22"/>
                <w:rPrChange w:id="1919" w:author="Author" w:date="2025-08-22T15:12:00Z">
                  <w:rPr>
                    <w:noProof w:val="0"/>
                    <w:sz w:val="22"/>
                    <w:szCs w:val="22"/>
                  </w:rPr>
                </w:rPrChange>
              </w:rPr>
            </w:pPr>
            <w:r>
              <w:rPr>
                <w:sz w:val="22"/>
                <w:szCs w:val="22"/>
                <w:rPrChange w:id="1920" w:author="Author" w:date="2025-08-22T15:12:00Z">
                  <w:rPr>
                    <w:noProof w:val="0"/>
                    <w:sz w:val="22"/>
                    <w:szCs w:val="22"/>
                  </w:rPr>
                </w:rPrChange>
              </w:rPr>
              <w:t>50 až 100</w:t>
            </w:r>
          </w:p>
        </w:tc>
        <w:tc>
          <w:tcPr>
            <w:tcW w:w="7121" w:type="dxa"/>
          </w:tcPr>
          <w:p w14:paraId="05CB268F" w14:textId="77777777" w:rsidR="009700E5" w:rsidRDefault="002C033C">
            <w:pPr>
              <w:keepNext/>
              <w:keepLines/>
              <w:rPr>
                <w:szCs w:val="22"/>
              </w:rPr>
            </w:pPr>
            <w:r>
              <w:rPr>
                <w:szCs w:val="22"/>
              </w:rPr>
              <w:t>Úprava dávky súbežne podávaného MTX, ak je to vhodné.</w:t>
            </w:r>
          </w:p>
          <w:p w14:paraId="5D92FA10" w14:textId="77777777" w:rsidR="009700E5" w:rsidRDefault="009700E5">
            <w:pPr>
              <w:keepNext/>
              <w:keepLines/>
              <w:rPr>
                <w:szCs w:val="22"/>
              </w:rPr>
            </w:pPr>
          </w:p>
          <w:p w14:paraId="6A9027E7" w14:textId="77777777" w:rsidR="009700E5" w:rsidRDefault="002C033C">
            <w:pPr>
              <w:keepNext/>
              <w:keepLines/>
              <w:rPr>
                <w:szCs w:val="22"/>
              </w:rPr>
            </w:pPr>
            <w:r>
              <w:rPr>
                <w:szCs w:val="22"/>
              </w:rPr>
              <w:t>Prerušte podávanie tocilizumabu.</w:t>
            </w:r>
          </w:p>
          <w:p w14:paraId="3757BEEE" w14:textId="77777777" w:rsidR="009700E5" w:rsidRPr="009700E5" w:rsidRDefault="009700E5">
            <w:pPr>
              <w:pStyle w:val="TextTi12"/>
              <w:keepNext/>
              <w:keepLines/>
              <w:spacing w:after="0"/>
              <w:jc w:val="left"/>
              <w:rPr>
                <w:sz w:val="22"/>
                <w:szCs w:val="22"/>
                <w:rPrChange w:id="1921" w:author="Author" w:date="2025-08-22T15:12:00Z">
                  <w:rPr>
                    <w:noProof w:val="0"/>
                    <w:sz w:val="22"/>
                    <w:szCs w:val="22"/>
                  </w:rPr>
                </w:rPrChange>
              </w:rPr>
            </w:pPr>
          </w:p>
          <w:p w14:paraId="3C448D86" w14:textId="77777777" w:rsidR="009700E5" w:rsidRPr="009700E5" w:rsidRDefault="002C033C">
            <w:pPr>
              <w:pStyle w:val="TextTi12"/>
              <w:keepNext/>
              <w:keepLines/>
              <w:spacing w:after="0"/>
              <w:jc w:val="left"/>
              <w:rPr>
                <w:sz w:val="22"/>
                <w:szCs w:val="22"/>
                <w:rPrChange w:id="1922" w:author="Author" w:date="2025-08-22T15:12:00Z">
                  <w:rPr>
                    <w:noProof w:val="0"/>
                    <w:sz w:val="22"/>
                    <w:szCs w:val="22"/>
                  </w:rPr>
                </w:rPrChange>
              </w:rPr>
            </w:pPr>
            <w:r>
              <w:rPr>
                <w:sz w:val="22"/>
                <w:szCs w:val="22"/>
                <w:rPrChange w:id="1923" w:author="Author" w:date="2025-08-22T15:12:00Z">
                  <w:rPr>
                    <w:noProof w:val="0"/>
                    <w:sz w:val="22"/>
                    <w:szCs w:val="22"/>
                  </w:rPr>
                </w:rPrChange>
              </w:rPr>
              <w:t xml:space="preserve">Keď bude počet trombocytov </w:t>
            </w:r>
            <w:r>
              <w:rPr>
                <w:rFonts w:eastAsia="MS Mincho"/>
                <w:sz w:val="22"/>
                <w:szCs w:val="22"/>
              </w:rPr>
              <w:sym w:font="Symbol" w:char="F03E"/>
            </w:r>
            <w:r>
              <w:rPr>
                <w:sz w:val="22"/>
                <w:szCs w:val="22"/>
                <w:rPrChange w:id="1924" w:author="Author" w:date="2025-08-22T15:12:00Z">
                  <w:rPr>
                    <w:noProof w:val="0"/>
                    <w:sz w:val="22"/>
                    <w:szCs w:val="22"/>
                  </w:rPr>
                </w:rPrChange>
              </w:rPr>
              <w:t> 100 </w:t>
            </w:r>
            <w:r>
              <w:rPr>
                <w:rFonts w:eastAsia="MS Mincho"/>
                <w:szCs w:val="22"/>
              </w:rPr>
              <w:sym w:font="Symbol" w:char="F0B4"/>
            </w:r>
            <w:r>
              <w:rPr>
                <w:sz w:val="22"/>
                <w:szCs w:val="22"/>
                <w:rPrChange w:id="1925" w:author="Author" w:date="2025-08-22T15:12:00Z">
                  <w:rPr>
                    <w:noProof w:val="0"/>
                    <w:sz w:val="22"/>
                    <w:szCs w:val="22"/>
                  </w:rPr>
                </w:rPrChange>
              </w:rPr>
              <w:t> 10</w:t>
            </w:r>
            <w:r>
              <w:rPr>
                <w:sz w:val="22"/>
                <w:szCs w:val="22"/>
                <w:vertAlign w:val="superscript"/>
                <w:rPrChange w:id="1926" w:author="Author" w:date="2025-08-22T15:12:00Z">
                  <w:rPr>
                    <w:noProof w:val="0"/>
                    <w:sz w:val="22"/>
                    <w:szCs w:val="22"/>
                    <w:vertAlign w:val="superscript"/>
                  </w:rPr>
                </w:rPrChange>
              </w:rPr>
              <w:t>3</w:t>
            </w:r>
            <w:r>
              <w:rPr>
                <w:sz w:val="22"/>
                <w:szCs w:val="22"/>
                <w:rPrChange w:id="1927" w:author="Author" w:date="2025-08-22T15:12:00Z">
                  <w:rPr>
                    <w:noProof w:val="0"/>
                    <w:sz w:val="22"/>
                    <w:szCs w:val="22"/>
                  </w:rPr>
                </w:rPrChange>
              </w:rPr>
              <w:t>/</w:t>
            </w:r>
            <w:r>
              <w:rPr>
                <w:rFonts w:eastAsia="MS Mincho"/>
                <w:sz w:val="22"/>
                <w:szCs w:val="22"/>
              </w:rPr>
              <w:sym w:font="Symbol" w:char="F06D"/>
            </w:r>
            <w:r>
              <w:rPr>
                <w:sz w:val="22"/>
                <w:szCs w:val="22"/>
                <w:rPrChange w:id="1928" w:author="Author" w:date="2025-08-22T15:12:00Z">
                  <w:rPr>
                    <w:noProof w:val="0"/>
                    <w:sz w:val="22"/>
                    <w:szCs w:val="22"/>
                  </w:rPr>
                </w:rPrChange>
              </w:rPr>
              <w:t>l, liečbu znovu začnite.</w:t>
            </w:r>
          </w:p>
          <w:p w14:paraId="2CF61816" w14:textId="77777777" w:rsidR="009700E5" w:rsidRPr="009700E5" w:rsidRDefault="009700E5">
            <w:pPr>
              <w:pStyle w:val="TextTi12"/>
              <w:keepNext/>
              <w:keepLines/>
              <w:spacing w:after="0"/>
              <w:jc w:val="left"/>
              <w:rPr>
                <w:sz w:val="22"/>
                <w:szCs w:val="22"/>
                <w:rPrChange w:id="1929" w:author="Author" w:date="2025-08-22T15:12:00Z">
                  <w:rPr>
                    <w:noProof w:val="0"/>
                    <w:sz w:val="22"/>
                    <w:szCs w:val="22"/>
                  </w:rPr>
                </w:rPrChange>
              </w:rPr>
            </w:pPr>
          </w:p>
        </w:tc>
      </w:tr>
      <w:tr w:rsidR="009700E5" w14:paraId="2FD72787" w14:textId="77777777">
        <w:tc>
          <w:tcPr>
            <w:tcW w:w="2092" w:type="dxa"/>
          </w:tcPr>
          <w:p w14:paraId="36D88FD3" w14:textId="77777777" w:rsidR="009700E5" w:rsidRPr="009700E5" w:rsidRDefault="002C033C">
            <w:pPr>
              <w:pStyle w:val="TextTi12"/>
              <w:keepNext/>
              <w:keepLines/>
              <w:jc w:val="left"/>
              <w:rPr>
                <w:sz w:val="22"/>
                <w:szCs w:val="22"/>
                <w:rPrChange w:id="1930" w:author="Author" w:date="2025-08-22T15:12:00Z">
                  <w:rPr>
                    <w:noProof w:val="0"/>
                    <w:sz w:val="22"/>
                    <w:szCs w:val="22"/>
                  </w:rPr>
                </w:rPrChange>
              </w:rPr>
            </w:pPr>
            <w:r>
              <w:rPr>
                <w:rFonts w:eastAsia="MS Mincho"/>
                <w:sz w:val="22"/>
                <w:szCs w:val="22"/>
              </w:rPr>
              <w:sym w:font="Symbol" w:char="F03C"/>
            </w:r>
            <w:r>
              <w:rPr>
                <w:sz w:val="22"/>
                <w:szCs w:val="22"/>
                <w:rPrChange w:id="1931" w:author="Author" w:date="2025-08-22T15:12:00Z">
                  <w:rPr>
                    <w:noProof w:val="0"/>
                    <w:sz w:val="22"/>
                    <w:szCs w:val="22"/>
                  </w:rPr>
                </w:rPrChange>
              </w:rPr>
              <w:t> 50</w:t>
            </w:r>
          </w:p>
        </w:tc>
        <w:tc>
          <w:tcPr>
            <w:tcW w:w="7121" w:type="dxa"/>
          </w:tcPr>
          <w:p w14:paraId="2D125F81" w14:textId="77777777" w:rsidR="009700E5" w:rsidRPr="009700E5" w:rsidRDefault="002C033C">
            <w:pPr>
              <w:pStyle w:val="TextTi12"/>
              <w:keepNext/>
              <w:keepLines/>
              <w:spacing w:after="0"/>
              <w:jc w:val="left"/>
              <w:rPr>
                <w:sz w:val="22"/>
                <w:szCs w:val="22"/>
                <w:rPrChange w:id="1932" w:author="Author" w:date="2025-08-22T15:12:00Z">
                  <w:rPr>
                    <w:noProof w:val="0"/>
                    <w:sz w:val="22"/>
                    <w:szCs w:val="22"/>
                  </w:rPr>
                </w:rPrChange>
              </w:rPr>
            </w:pPr>
            <w:r>
              <w:rPr>
                <w:sz w:val="22"/>
                <w:szCs w:val="22"/>
                <w:rPrChange w:id="1933" w:author="Author" w:date="2025-08-22T15:12:00Z">
                  <w:rPr>
                    <w:noProof w:val="0"/>
                    <w:sz w:val="22"/>
                    <w:szCs w:val="22"/>
                  </w:rPr>
                </w:rPrChange>
              </w:rPr>
              <w:t>Ukončite liečbu tocilizumabom.</w:t>
            </w:r>
          </w:p>
          <w:p w14:paraId="34E6A723" w14:textId="77777777" w:rsidR="009700E5" w:rsidRPr="009700E5" w:rsidRDefault="009700E5">
            <w:pPr>
              <w:pStyle w:val="TextTi12"/>
              <w:keepNext/>
              <w:keepLines/>
              <w:spacing w:after="0"/>
              <w:jc w:val="left"/>
              <w:rPr>
                <w:sz w:val="22"/>
                <w:szCs w:val="22"/>
                <w:rPrChange w:id="1934" w:author="Author" w:date="2025-08-22T15:12:00Z">
                  <w:rPr>
                    <w:noProof w:val="0"/>
                    <w:sz w:val="22"/>
                    <w:szCs w:val="22"/>
                  </w:rPr>
                </w:rPrChange>
              </w:rPr>
            </w:pPr>
          </w:p>
          <w:p w14:paraId="0FA6CA4D" w14:textId="77777777" w:rsidR="009700E5" w:rsidRPr="009700E5" w:rsidRDefault="002C033C">
            <w:pPr>
              <w:pStyle w:val="TextTi12"/>
              <w:keepNext/>
              <w:keepLines/>
              <w:spacing w:after="0"/>
              <w:jc w:val="left"/>
              <w:rPr>
                <w:sz w:val="22"/>
                <w:szCs w:val="22"/>
                <w:rPrChange w:id="1935" w:author="Author" w:date="2025-08-22T15:12:00Z">
                  <w:rPr>
                    <w:noProof w:val="0"/>
                    <w:sz w:val="22"/>
                    <w:szCs w:val="22"/>
                  </w:rPr>
                </w:rPrChange>
              </w:rPr>
            </w:pPr>
            <w:r>
              <w:rPr>
                <w:sz w:val="22"/>
                <w:szCs w:val="22"/>
                <w:rPrChange w:id="1936" w:author="Author" w:date="2025-08-22T15:12:00Z">
                  <w:rPr>
                    <w:noProof w:val="0"/>
                    <w:sz w:val="22"/>
                    <w:szCs w:val="22"/>
                  </w:rPr>
                </w:rPrChange>
              </w:rPr>
              <w:t xml:space="preserve">Rozhodnutie o ukončení liečby </w:t>
            </w:r>
            <w:r>
              <w:rPr>
                <w:rPrChange w:id="1937" w:author="Author" w:date="2025-08-22T15:12:00Z">
                  <w:rPr>
                    <w:noProof w:val="0"/>
                  </w:rPr>
                </w:rPrChange>
              </w:rPr>
              <w:t xml:space="preserve">u pacientov so sJIA alebo </w:t>
            </w:r>
            <w:r>
              <w:rPr>
                <w:sz w:val="22"/>
                <w:szCs w:val="22"/>
                <w:rPrChange w:id="1938" w:author="Author" w:date="2025-08-22T15:12:00Z">
                  <w:rPr>
                    <w:noProof w:val="0"/>
                    <w:sz w:val="22"/>
                    <w:szCs w:val="22"/>
                  </w:rPr>
                </w:rPrChange>
              </w:rPr>
              <w:t>pJIA pre laboratórne odchýlky musí byť založené na lekárskom zhodnotení každého individuálneho pacienta.</w:t>
            </w:r>
          </w:p>
          <w:p w14:paraId="0CABA49F" w14:textId="77777777" w:rsidR="009700E5" w:rsidRPr="009700E5" w:rsidRDefault="009700E5">
            <w:pPr>
              <w:pStyle w:val="TextTi12"/>
              <w:keepNext/>
              <w:keepLines/>
              <w:spacing w:after="0"/>
              <w:jc w:val="left"/>
              <w:rPr>
                <w:sz w:val="22"/>
                <w:szCs w:val="22"/>
                <w:rPrChange w:id="1939" w:author="Author" w:date="2025-08-22T15:12:00Z">
                  <w:rPr>
                    <w:noProof w:val="0"/>
                    <w:sz w:val="22"/>
                    <w:szCs w:val="22"/>
                  </w:rPr>
                </w:rPrChange>
              </w:rPr>
            </w:pPr>
          </w:p>
        </w:tc>
      </w:tr>
    </w:tbl>
    <w:p w14:paraId="6C142F9F" w14:textId="77777777" w:rsidR="009700E5" w:rsidRDefault="009700E5"/>
    <w:p w14:paraId="5D73CED6" w14:textId="77777777" w:rsidR="009700E5" w:rsidRDefault="002C033C">
      <w:r>
        <w:t>Zníženie frekvencie podávania dávky tocilizumabu kvôli laboratórnym odchýlkam sa u pacientov so sJIA alebo pJIA neskúmalo.</w:t>
      </w:r>
    </w:p>
    <w:p w14:paraId="3ED2CD1F" w14:textId="77777777" w:rsidR="009700E5" w:rsidRDefault="009700E5"/>
    <w:p w14:paraId="3813EEE3" w14:textId="77777777" w:rsidR="009700E5" w:rsidRDefault="002C033C">
      <w:r>
        <w:t xml:space="preserve">Bezpečnosť a účinnosť subkutánnej formy </w:t>
      </w:r>
      <w:r>
        <w:rPr>
          <w:szCs w:val="22"/>
        </w:rPr>
        <w:t>tocilizumabu</w:t>
      </w:r>
      <w:r>
        <w:t xml:space="preserve"> u detí s ochoreniami inými ako sJIA alebo pJIA neboli stanovené.</w:t>
      </w:r>
    </w:p>
    <w:p w14:paraId="6FC03F06" w14:textId="77777777" w:rsidR="009700E5" w:rsidRDefault="009700E5"/>
    <w:p w14:paraId="3D3EAABD" w14:textId="77777777" w:rsidR="009700E5" w:rsidRDefault="002C033C">
      <w:r>
        <w:t xml:space="preserve">Dostupné údaje o intravenóznom podávaní naznačujú, že klinické zlepšenie bolo pozorované do 12 týždňov od začiatku liečby </w:t>
      </w:r>
      <w:r>
        <w:rPr>
          <w:szCs w:val="22"/>
        </w:rPr>
        <w:t>tocilizumabom</w:t>
      </w:r>
      <w:r>
        <w:t>. Pokračovanie liečby sa musí starostlivo opätovne zvážiť u pacientov, u ktorých sa neprejavilo zlepšenie v rámci tohto časového obdobia.</w:t>
      </w:r>
    </w:p>
    <w:p w14:paraId="2828DB52" w14:textId="77777777" w:rsidR="009700E5" w:rsidRDefault="009700E5">
      <w:pPr>
        <w:rPr>
          <w:u w:val="single"/>
        </w:rPr>
      </w:pPr>
    </w:p>
    <w:p w14:paraId="42729748" w14:textId="77777777" w:rsidR="009700E5" w:rsidRPr="009700E5" w:rsidRDefault="002C033C">
      <w:pPr>
        <w:rPr>
          <w:i/>
          <w:iCs/>
          <w:u w:val="single"/>
          <w:rPrChange w:id="1940" w:author="Author" w:date="2025-08-22T15:12:00Z">
            <w:rPr/>
          </w:rPrChange>
        </w:rPr>
      </w:pPr>
      <w:r>
        <w:rPr>
          <w:i/>
          <w:iCs/>
          <w:u w:val="single"/>
          <w:rPrChange w:id="1941" w:author="Author" w:date="2025-08-22T15:12:00Z">
            <w:rPr/>
          </w:rPrChange>
        </w:rPr>
        <w:t>Vynechaná dávka</w:t>
      </w:r>
    </w:p>
    <w:p w14:paraId="41226B5D" w14:textId="77777777" w:rsidR="009700E5" w:rsidRDefault="002C033C">
      <w:r>
        <w:t xml:space="preserve">Ak pacient so sJIA vynechá subkutánnu injekciu </w:t>
      </w:r>
      <w:r>
        <w:rPr>
          <w:szCs w:val="22"/>
        </w:rPr>
        <w:t>tocilizumabu</w:t>
      </w:r>
      <w:r>
        <w:t xml:space="preserve">, ktorú si podáva raz za týždeň, do 7 dní od plánovanej dávky, treba ho poučiť, aby si vynechanú dávku podal v deň, v ktorý je plánovaná ďalšia dávka. Ak pacient vynechá subkutánnu injekciu </w:t>
      </w:r>
      <w:r>
        <w:rPr>
          <w:szCs w:val="22"/>
        </w:rPr>
        <w:t>tocilizumabu</w:t>
      </w:r>
      <w:r>
        <w:t>, ktorú si podáva každý druhý týždeň, do 7 dní od plánovanej dávky, treba ho poučiť, aby si vynechanú dávku podal ihneď a ďalšiu dávku v deň, v ktorý je plánovaná ďalšia dávka.</w:t>
      </w:r>
    </w:p>
    <w:p w14:paraId="607DB031" w14:textId="77777777" w:rsidR="009700E5" w:rsidRDefault="009700E5"/>
    <w:p w14:paraId="50DD26BC" w14:textId="77777777" w:rsidR="009700E5" w:rsidRDefault="002C033C">
      <w:r>
        <w:t xml:space="preserve">Ak pacient s pJIA vynechá subkutánnu injekciu </w:t>
      </w:r>
      <w:r>
        <w:rPr>
          <w:szCs w:val="22"/>
        </w:rPr>
        <w:t>tocilizumabu</w:t>
      </w:r>
      <w:r>
        <w:t xml:space="preserve"> do 7 dní od plánovanej dávky, vynechanú dávku si má podať hneď, ako si spomenie, a ďalšiu dávku si má podať v pôvodne plánovanom čase. Ak pacient vynechá subkutánnu injekciu </w:t>
      </w:r>
      <w:r>
        <w:rPr>
          <w:szCs w:val="22"/>
        </w:rPr>
        <w:t>tocilizumabu</w:t>
      </w:r>
      <w:r>
        <w:t xml:space="preserve"> o viac ako 7 dní od plánovanej dávky alebo si nie je istý, kedy si ju má podať, má zatelefonovať svojmu lekárovi alebo lekárnikovi.</w:t>
      </w:r>
    </w:p>
    <w:p w14:paraId="4F23D975" w14:textId="77777777" w:rsidR="009700E5" w:rsidRDefault="009700E5">
      <w:pPr>
        <w:rPr>
          <w:rFonts w:eastAsia="SimSun"/>
          <w:szCs w:val="22"/>
          <w:lang w:eastAsia="zh-CN"/>
        </w:rPr>
      </w:pPr>
    </w:p>
    <w:p w14:paraId="2D5A2B35" w14:textId="77777777" w:rsidR="009700E5" w:rsidRDefault="002C033C">
      <w:pPr>
        <w:rPr>
          <w:rFonts w:eastAsia="SimSun"/>
          <w:szCs w:val="22"/>
          <w:u w:val="single"/>
          <w:lang w:eastAsia="zh-CN"/>
        </w:rPr>
      </w:pPr>
      <w:r>
        <w:rPr>
          <w:rFonts w:eastAsia="SimSun"/>
          <w:szCs w:val="22"/>
          <w:u w:val="single"/>
          <w:lang w:eastAsia="zh-CN"/>
        </w:rPr>
        <w:t>Spôsob podávania</w:t>
      </w:r>
    </w:p>
    <w:p w14:paraId="77385197" w14:textId="77777777" w:rsidR="009700E5" w:rsidRDefault="002C033C">
      <w:pPr>
        <w:rPr>
          <w:rFonts w:eastAsia="SimSun"/>
          <w:szCs w:val="22"/>
          <w:lang w:eastAsia="zh-CN"/>
        </w:rPr>
      </w:pPr>
      <w:r>
        <w:rPr>
          <w:rFonts w:eastAsia="SimSun"/>
          <w:szCs w:val="22"/>
          <w:lang w:eastAsia="zh-CN"/>
        </w:rPr>
        <w:t>Tento liek je na subkutánne použitie.</w:t>
      </w:r>
    </w:p>
    <w:p w14:paraId="469EF6AE" w14:textId="77777777" w:rsidR="009700E5" w:rsidRDefault="002C033C">
      <w:pPr>
        <w:rPr>
          <w:rFonts w:eastAsia="SimSun"/>
          <w:szCs w:val="22"/>
          <w:lang w:eastAsia="zh-CN"/>
        </w:rPr>
      </w:pPr>
      <w:r>
        <w:rPr>
          <w:rFonts w:eastAsia="SimSun"/>
          <w:szCs w:val="22"/>
          <w:lang w:eastAsia="zh-CN"/>
        </w:rPr>
        <w:t>Po náležitej inštruktáži o injekčnej technike si pacienti môžu sami injekčne podávať tento liek, ak ich lekár rozhodne, že je to vhodné. Celý obsah (0,9 ml) naplneného pera sa má podať formou subkutánnej injekcie. Odporúčané miesta vpichu (brucho, stehno, horná časť ramena) sa majú striedať a injekcie sa nikdy nemajú podať do materských znamienok, jaziev alebo do miest, na ktorých je koža citlivá, podliata krvou, červená, stvrdnutá alebo porušená.</w:t>
      </w:r>
    </w:p>
    <w:p w14:paraId="5B6A4F8B" w14:textId="77777777" w:rsidR="009700E5" w:rsidRDefault="009700E5">
      <w:pPr>
        <w:rPr>
          <w:rFonts w:eastAsia="SimSun"/>
          <w:szCs w:val="22"/>
          <w:lang w:eastAsia="zh-CN"/>
        </w:rPr>
      </w:pPr>
    </w:p>
    <w:p w14:paraId="187A7BA3" w14:textId="77777777" w:rsidR="009700E5" w:rsidRDefault="002C033C">
      <w:pPr>
        <w:rPr>
          <w:rFonts w:eastAsia="SimSun"/>
          <w:szCs w:val="22"/>
          <w:lang w:eastAsia="zh-CN"/>
        </w:rPr>
      </w:pPr>
      <w:r>
        <w:rPr>
          <w:rFonts w:eastAsia="SimSun"/>
          <w:szCs w:val="22"/>
          <w:lang w:eastAsia="zh-CN"/>
        </w:rPr>
        <w:t>Naplneným perom sa nemá triasť.</w:t>
      </w:r>
    </w:p>
    <w:p w14:paraId="2DE5E486" w14:textId="77777777" w:rsidR="009700E5" w:rsidRDefault="009700E5">
      <w:pPr>
        <w:rPr>
          <w:rFonts w:eastAsia="SimSun"/>
          <w:szCs w:val="22"/>
          <w:lang w:eastAsia="zh-CN"/>
        </w:rPr>
      </w:pPr>
    </w:p>
    <w:p w14:paraId="677CA705" w14:textId="77777777" w:rsidR="009700E5" w:rsidRDefault="002C033C">
      <w:pPr>
        <w:rPr>
          <w:iCs/>
          <w:szCs w:val="22"/>
        </w:rPr>
      </w:pPr>
      <w:r>
        <w:rPr>
          <w:rFonts w:eastAsia="SimSun"/>
          <w:szCs w:val="22"/>
          <w:lang w:eastAsia="zh-CN"/>
        </w:rPr>
        <w:t>Úplné pokyny na podanie RoActemry v naplnenom pere sú poskytnuté v písomnej informácii pre používateľa, pozri časť 6.6.</w:t>
      </w:r>
    </w:p>
    <w:p w14:paraId="34204974" w14:textId="77777777" w:rsidR="009700E5" w:rsidRDefault="009700E5">
      <w:pPr>
        <w:rPr>
          <w:rFonts w:eastAsia="SimSun"/>
          <w:szCs w:val="22"/>
          <w:lang w:eastAsia="zh-CN"/>
        </w:rPr>
      </w:pPr>
    </w:p>
    <w:p w14:paraId="55AEAA6D" w14:textId="77777777" w:rsidR="009700E5" w:rsidRDefault="002C033C">
      <w:pPr>
        <w:keepNext/>
        <w:keepLines/>
      </w:pPr>
      <w:r>
        <w:rPr>
          <w:b/>
        </w:rPr>
        <w:lastRenderedPageBreak/>
        <w:t>4.3</w:t>
      </w:r>
      <w:r>
        <w:rPr>
          <w:b/>
        </w:rPr>
        <w:tab/>
      </w:r>
      <w:r>
        <w:rPr>
          <w:b/>
          <w:szCs w:val="22"/>
        </w:rPr>
        <w:t>Kontraindikácie</w:t>
      </w:r>
    </w:p>
    <w:p w14:paraId="28CCF5C9" w14:textId="77777777" w:rsidR="009700E5" w:rsidRDefault="009700E5">
      <w:pPr>
        <w:keepNext/>
        <w:keepLines/>
      </w:pPr>
    </w:p>
    <w:p w14:paraId="59FDDFDB" w14:textId="77777777" w:rsidR="009700E5" w:rsidRDefault="002C033C">
      <w:pPr>
        <w:keepNext/>
        <w:keepLines/>
      </w:pPr>
      <w:r>
        <w:t>Precitlivenosť na liečivo alebo na ktorúkoľvek z pomocných látok uvedených v časti 6.1.</w:t>
      </w:r>
    </w:p>
    <w:p w14:paraId="7B81CB77" w14:textId="77777777" w:rsidR="009700E5" w:rsidRDefault="009700E5">
      <w:pPr>
        <w:keepNext/>
        <w:keepLines/>
      </w:pPr>
    </w:p>
    <w:p w14:paraId="3D679E8C" w14:textId="77777777" w:rsidR="009700E5" w:rsidRDefault="002C033C">
      <w:pPr>
        <w:keepNext/>
        <w:keepLines/>
      </w:pPr>
      <w:r>
        <w:t>Aktívne, závažné infekcie (pozri časť 4.4).</w:t>
      </w:r>
    </w:p>
    <w:p w14:paraId="4B3A46B0" w14:textId="77777777" w:rsidR="009700E5" w:rsidRDefault="009700E5">
      <w:pPr>
        <w:outlineLvl w:val="0"/>
        <w:rPr>
          <w:bCs/>
        </w:rPr>
      </w:pPr>
    </w:p>
    <w:p w14:paraId="15B6A203" w14:textId="77777777" w:rsidR="009700E5" w:rsidRDefault="002C033C">
      <w:pPr>
        <w:keepNext/>
        <w:keepLines/>
        <w:outlineLvl w:val="0"/>
        <w:rPr>
          <w:b/>
        </w:rPr>
      </w:pPr>
      <w:r>
        <w:rPr>
          <w:b/>
        </w:rPr>
        <w:t>4.4</w:t>
      </w:r>
      <w:r>
        <w:rPr>
          <w:b/>
        </w:rPr>
        <w:tab/>
      </w:r>
      <w:r>
        <w:rPr>
          <w:b/>
          <w:szCs w:val="22"/>
        </w:rPr>
        <w:t>Osobitné upozornenia a opatrenia pri používaní</w:t>
      </w:r>
    </w:p>
    <w:p w14:paraId="1A71F8ED" w14:textId="77777777" w:rsidR="009700E5" w:rsidRDefault="009700E5">
      <w:pPr>
        <w:keepNext/>
        <w:keepLines/>
        <w:outlineLvl w:val="0"/>
      </w:pPr>
    </w:p>
    <w:p w14:paraId="2167598B" w14:textId="77777777" w:rsidR="009700E5" w:rsidRDefault="002C033C">
      <w:r>
        <w:t>Subkutánna forma RoActemry nie je určená na intravenózne podávanie.</w:t>
      </w:r>
    </w:p>
    <w:p w14:paraId="14E2DAE0" w14:textId="77777777" w:rsidR="009700E5" w:rsidRDefault="009700E5">
      <w:pPr>
        <w:rPr>
          <w:iCs/>
        </w:rPr>
      </w:pPr>
    </w:p>
    <w:p w14:paraId="5DF391C0" w14:textId="77777777" w:rsidR="009700E5" w:rsidRDefault="002C033C">
      <w:pPr>
        <w:rPr>
          <w:iCs/>
        </w:rPr>
      </w:pPr>
      <w:r>
        <w:t>Subkutánna forma RoActemry nie je určená deťom so sJIA s telesnou hmotnosťou nižšou ako 10 kg.</w:t>
      </w:r>
    </w:p>
    <w:p w14:paraId="642B4C70" w14:textId="77777777" w:rsidR="009700E5" w:rsidRDefault="009700E5">
      <w:pPr>
        <w:rPr>
          <w:iCs/>
        </w:rPr>
      </w:pPr>
    </w:p>
    <w:p w14:paraId="6C204EC9" w14:textId="77777777" w:rsidR="009700E5" w:rsidRDefault="002C033C">
      <w:pPr>
        <w:rPr>
          <w:iCs/>
          <w:u w:val="single"/>
        </w:rPr>
      </w:pPr>
      <w:r>
        <w:rPr>
          <w:iCs/>
          <w:u w:val="single"/>
        </w:rPr>
        <w:t>Sledovateľnosť</w:t>
      </w:r>
    </w:p>
    <w:p w14:paraId="2E7B56A7" w14:textId="77777777" w:rsidR="009700E5" w:rsidRDefault="002C033C">
      <w:r>
        <w:t>Aby sa zlepšila (do)sledovateľnosť biologického lieku, má sa zrozumiteľne zaznamenať názov a číslo šarže podaného lieku.</w:t>
      </w:r>
    </w:p>
    <w:p w14:paraId="4CB81238" w14:textId="77777777" w:rsidR="009700E5" w:rsidRDefault="009700E5">
      <w:pPr>
        <w:outlineLvl w:val="0"/>
      </w:pPr>
    </w:p>
    <w:p w14:paraId="4C9FC81B" w14:textId="77777777" w:rsidR="009700E5" w:rsidRDefault="002C033C">
      <w:pPr>
        <w:keepNext/>
        <w:keepLines/>
        <w:outlineLvl w:val="0"/>
      </w:pPr>
      <w:r>
        <w:rPr>
          <w:u w:val="single"/>
        </w:rPr>
        <w:t>Všetky indikácie</w:t>
      </w:r>
    </w:p>
    <w:p w14:paraId="28CCA4E1" w14:textId="77777777" w:rsidR="009700E5" w:rsidRDefault="002C033C">
      <w:pPr>
        <w:keepNext/>
        <w:keepLines/>
        <w:outlineLvl w:val="0"/>
        <w:rPr>
          <w:i/>
        </w:rPr>
      </w:pPr>
      <w:r>
        <w:rPr>
          <w:i/>
        </w:rPr>
        <w:t>Infekcie</w:t>
      </w:r>
    </w:p>
    <w:p w14:paraId="4DDE02E3" w14:textId="77777777" w:rsidR="009700E5" w:rsidRDefault="002C033C">
      <w:pPr>
        <w:keepNext/>
        <w:keepLines/>
      </w:pPr>
      <w:r>
        <w:t>Závažné a niekedy smrteľné infekcie boli hlásené u pacientov, ktorí dostávali imunosupresívne látky vrátane tocilizumabu (pozri časť 4.8). Liečba sa nesmie začať u pacientov s aktívnymi infekciami (pozri časť 4.3). Ak u pacienta dôjde ku vzniku závažnej infekcie, podávanie tocilizumabu sa musí prerušiť, kým sa infekcia nevylieči (pozri časť 4.8). Zdravotnícki pracovníci majú postupovať opatrne, ak uvažujú o použití tohto lieku u pacientov s anamnézou opakujúcich sa alebo chronických infekcií alebo so základnými ochoreniami (napr. divertikulitída, diabetes a intersticiálna choroba pľúc), ktoré ich predisponujú ku vzniku infekcií.</w:t>
      </w:r>
    </w:p>
    <w:p w14:paraId="59218C50" w14:textId="77777777" w:rsidR="009700E5" w:rsidRDefault="009700E5"/>
    <w:p w14:paraId="7710CEB2" w14:textId="77777777" w:rsidR="009700E5" w:rsidRDefault="002C033C">
      <w:r>
        <w:t>Pacientov, ktorí užívajú imunosupresívne látky ako je tocilizumab, sa odporúča pozorne sledovať, aby sa včas odhalila závažná infekcia, keďže prejavy a príznaky akútneho zápalu môžu byť zmiernené, z dôvodu potlačenia reaktantov akútnej fázy. Pri vyšetrovaní pacienta na možnú infekciu sa musí vziať do úvahy vplyv tocilizumabu na C</w:t>
      </w:r>
      <w:r>
        <w:noBreakHyphen/>
        <w:t>reaktívny proteín (CRP), neutrofily a prejavy a príznaky infekcie. Pacientov (týka sa to aj mladších detí so sJIA alebo pJIA, ktoré nie sú schopné popísať svoje príznaky) a rodičov/opatrovateľov pacientov so sJIA alebo pJIA treba poučiť, že keď sa u nich objavia akékoľvek príznaky svedčiace o infekcii, majú sa ihneď skontaktovať so zdravotníckym pracovníkom, aby sa zaistilo rýchle vyšetrenie a náležitá liečba.</w:t>
      </w:r>
    </w:p>
    <w:p w14:paraId="5AD6899C" w14:textId="77777777" w:rsidR="009700E5" w:rsidRDefault="009700E5">
      <w:pPr>
        <w:rPr>
          <w:i/>
        </w:rPr>
      </w:pPr>
    </w:p>
    <w:p w14:paraId="736A04C1" w14:textId="77777777" w:rsidR="009700E5" w:rsidRDefault="002C033C">
      <w:pPr>
        <w:rPr>
          <w:i/>
        </w:rPr>
      </w:pPr>
      <w:r>
        <w:rPr>
          <w:i/>
        </w:rPr>
        <w:t>Tuberkulóza</w:t>
      </w:r>
    </w:p>
    <w:p w14:paraId="45454D35" w14:textId="77777777" w:rsidR="009700E5" w:rsidRDefault="002C033C">
      <w:r>
        <w:t>Tak ako sa odporúča pre iné typy biologickej liečby, aj pred začatím liečby tocilizumabom majú všetci pacienti podstúpiť skríningové vyšetrenie na latentnú tuberkulóznu (TB) infekciu. Pacienti s latentnou TB sa pred začatím liečby musia liečiť štandardnou antimykobakteriálnou terapiou. Lekári, ktorí predpisujú tocilizumab, majú mať na mysli riziko falošne negatívnych výsledkov tuberkulinových kožných testov a krvného testu interferón</w:t>
      </w:r>
      <w:r>
        <w:noBreakHyphen/>
        <w:t>gamma TB, zvlášť u pacientov, ktorí sú vážne chorí alebo so zníženou imunitou.</w:t>
      </w:r>
    </w:p>
    <w:p w14:paraId="0EAFD614" w14:textId="77777777" w:rsidR="009700E5" w:rsidRDefault="009700E5"/>
    <w:p w14:paraId="0AB47F5B" w14:textId="77777777" w:rsidR="009700E5" w:rsidRDefault="002C033C">
      <w:r>
        <w:t>Pacienti a rodičia/opatrovatelia pacientov so sJIA alebo pJIA majú byť upozornení, aby vyhľadali lekársku pomoc, ak sa u nich v priebehu liečby týmto liekom alebo po jej ukončení vyskytnú príznaky/symptómy (napr. pretrvávajúci kašeľ, chradnutie/úbytok telesnej hmotnosti, mierna horúčka) svedčiace o tuberkulóznej infekcii.</w:t>
      </w:r>
    </w:p>
    <w:p w14:paraId="4986817A" w14:textId="77777777" w:rsidR="009700E5" w:rsidRDefault="009700E5">
      <w:pPr>
        <w:rPr>
          <w:i/>
        </w:rPr>
      </w:pPr>
    </w:p>
    <w:p w14:paraId="482200BC" w14:textId="77777777" w:rsidR="009700E5" w:rsidRDefault="002C033C">
      <w:pPr>
        <w:keepNext/>
        <w:keepLines/>
        <w:rPr>
          <w:i/>
        </w:rPr>
      </w:pPr>
      <w:r>
        <w:rPr>
          <w:i/>
        </w:rPr>
        <w:t>Reaktivácia vírusu</w:t>
      </w:r>
    </w:p>
    <w:p w14:paraId="5B82F6D9" w14:textId="77777777" w:rsidR="009700E5" w:rsidRDefault="002C033C">
      <w:pPr>
        <w:keepNext/>
        <w:keepLines/>
      </w:pPr>
      <w:r>
        <w:t>Reaktivácia vírusu (napr. vírusu hepatitídy B) sa zaznamenala pri biologickej liečbe RA. Z klinických skúšaní s tocilizumabom boli vylúčení pacienti, ktorí mali pozitívny skríning na hepatitídu.</w:t>
      </w:r>
    </w:p>
    <w:p w14:paraId="4A44D8C5" w14:textId="77777777" w:rsidR="009700E5" w:rsidRDefault="009700E5"/>
    <w:p w14:paraId="4E3CD3A9" w14:textId="77777777" w:rsidR="009700E5" w:rsidRDefault="002C033C">
      <w:pPr>
        <w:keepNext/>
        <w:keepLines/>
        <w:rPr>
          <w:i/>
        </w:rPr>
      </w:pPr>
      <w:r>
        <w:rPr>
          <w:i/>
        </w:rPr>
        <w:t>Komplikácie divertikulitídy</w:t>
      </w:r>
    </w:p>
    <w:p w14:paraId="0E90C8EC" w14:textId="77777777" w:rsidR="009700E5" w:rsidRDefault="002C033C">
      <w:r>
        <w:t xml:space="preserve">Prípady perforácie divertikulu ako komplikácie divertikulitídy boli u pacientov liečených tocilizumabom hlásené menej často (pozri časť 4.8). Tento liek sa má u pacientov s ulceráciou čriev alebo divertikulitídou v anamnéze používať opatrne. Pacienti s príznakmi, ktoré by mohli svedčiť o komplikovanej divertikulitíde, ako sú bolesti brucha, krvácanie a/alebo nevysvetliteľná zmena </w:t>
      </w:r>
      <w:r>
        <w:lastRenderedPageBreak/>
        <w:t>vo vyprázdňovaní stolice spolu s horúčkou, sa musia promptne vyšetriť, aby sa včas rozpoznala divertikulitída, ktorá môže byť spojená s perforáciou gastrointestinálneho traktu.</w:t>
      </w:r>
    </w:p>
    <w:p w14:paraId="6378C6FF" w14:textId="77777777" w:rsidR="009700E5" w:rsidRDefault="009700E5"/>
    <w:p w14:paraId="2B77067F" w14:textId="77777777" w:rsidR="009700E5" w:rsidRDefault="002C033C">
      <w:pPr>
        <w:keepNext/>
        <w:outlineLvl w:val="0"/>
        <w:rPr>
          <w:bCs/>
          <w:i/>
        </w:rPr>
      </w:pPr>
      <w:r>
        <w:rPr>
          <w:i/>
        </w:rPr>
        <w:t>Reakcie z precitlivenosti</w:t>
      </w:r>
    </w:p>
    <w:p w14:paraId="1040F228" w14:textId="77777777" w:rsidR="009700E5" w:rsidRDefault="002C033C">
      <w:pPr>
        <w:textAlignment w:val="top"/>
        <w:rPr>
          <w:szCs w:val="22"/>
        </w:rPr>
      </w:pPr>
      <w:r>
        <w:rPr>
          <w:szCs w:val="22"/>
        </w:rPr>
        <w:t xml:space="preserve">Boli hlásené závažné reakcie z precitlivenosti, vrátane anafylaxie, súvisiace s podávaním </w:t>
      </w:r>
      <w:r>
        <w:t>tocilizumabu</w:t>
      </w:r>
      <w:r>
        <w:rPr>
          <w:szCs w:val="22"/>
        </w:rPr>
        <w:t xml:space="preserve"> (pozri časť 4.8). Takéto reakcie môžu byť závažnejšie a potenciálne smrteľné u pacientov, ktorí mali reakcie z precitlivenosti počas predchádzajúcej liečby </w:t>
      </w:r>
      <w:r>
        <w:t>tocilizumabom</w:t>
      </w:r>
      <w:r>
        <w:rPr>
          <w:szCs w:val="22"/>
        </w:rPr>
        <w:t xml:space="preserve">, aj keď dostali premedikáciu kortikosteroidmi a antihistaminikami. V prípade výskytu anafylaktickej reakcie alebo inej závažnej reakcie z precitlivenosti sa musí podávanie </w:t>
      </w:r>
      <w:r>
        <w:t>tocilizumabu</w:t>
      </w:r>
      <w:r>
        <w:rPr>
          <w:szCs w:val="22"/>
        </w:rPr>
        <w:t xml:space="preserve"> okamžite ukončiť, začať náležitá liečba a liečba sa má navždy skončiť.</w:t>
      </w:r>
    </w:p>
    <w:p w14:paraId="2696AEF7" w14:textId="77777777" w:rsidR="009700E5" w:rsidRDefault="009700E5">
      <w:pPr>
        <w:outlineLvl w:val="0"/>
        <w:rPr>
          <w:i/>
        </w:rPr>
      </w:pPr>
    </w:p>
    <w:p w14:paraId="7DC309AD" w14:textId="77777777" w:rsidR="009700E5" w:rsidRDefault="002C033C">
      <w:pPr>
        <w:keepNext/>
        <w:keepLines/>
        <w:outlineLvl w:val="0"/>
        <w:rPr>
          <w:i/>
        </w:rPr>
      </w:pPr>
      <w:r>
        <w:rPr>
          <w:i/>
        </w:rPr>
        <w:t>Aktívne ochorenie pečene a porucha funkcie pečene</w:t>
      </w:r>
    </w:p>
    <w:p w14:paraId="3E572AC8" w14:textId="77777777" w:rsidR="009700E5" w:rsidRDefault="002C033C">
      <w:r>
        <w:t>Liečba tocilizumabom, najmä keď sa podáva súbežne s MTX, môže byť spojená so zvýšením pečeňových transamináz. Ak sa uvažuje o liečbe pacientov s aktívnym ochorením pečene alebo poruchou funkcie pečene, vyžaduje sa opatrnosť (pozri časti 4.2 a 4.8).</w:t>
      </w:r>
    </w:p>
    <w:p w14:paraId="31111B17" w14:textId="77777777" w:rsidR="009700E5" w:rsidRDefault="009700E5"/>
    <w:p w14:paraId="7849126D" w14:textId="77777777" w:rsidR="009700E5" w:rsidRDefault="002C033C">
      <w:pPr>
        <w:rPr>
          <w:i/>
        </w:rPr>
      </w:pPr>
      <w:r>
        <w:rPr>
          <w:i/>
        </w:rPr>
        <w:t>Hepatotoxicita</w:t>
      </w:r>
    </w:p>
    <w:p w14:paraId="2654CDF8" w14:textId="77777777" w:rsidR="009700E5" w:rsidRDefault="002C033C">
      <w:pPr>
        <w:rPr>
          <w:szCs w:val="22"/>
        </w:rPr>
      </w:pPr>
      <w:r>
        <w:t>Pri liečbe tocilizumabom sa často hlásili prechodné alebo sporadické, mierne a stredne závažné zvýšenia pečeňových transamináz (pozri časť 4.8). Vyššia frekvencia týchto zvýšení pečeňových transamináz sa pozorovala vtedy, keď sa v kombinácii s tocilizumabom užívali potenciálne hepatotoxické lieky (napr. MTX). Keď je klinicky indikované, majú sa zvážiť ďalšie vyšetrenia funkcie pečene, vrátane bilirubínu.</w:t>
      </w:r>
    </w:p>
    <w:p w14:paraId="1E6E6C00" w14:textId="77777777" w:rsidR="009700E5" w:rsidRDefault="009700E5"/>
    <w:p w14:paraId="0D320BBA" w14:textId="77777777" w:rsidR="009700E5" w:rsidRDefault="002C033C">
      <w:r>
        <w:t>Pri tocilizumabe sa pozorovalo závažné poškodenie pečene vyvolané liekom, vrátane akútneho zlyhania pečene, hepatitídy a žltačky (pozri časť 4.8). Závažné poškodenie pečene sa vyskytlo medzi 2 týždňami a viac ako 5 rokmi po začatí liečby. Boli hlásené prípady zlyhania pečene, ktoré viedli k transplantácii pečene. Pacienti musia byť poučení, aby okamžite vyhľadali lekársku pomoc, ak sa u nich vyskytnú prejavy a príznaky poškodenia pečene.</w:t>
      </w:r>
    </w:p>
    <w:p w14:paraId="53F89C3C" w14:textId="77777777" w:rsidR="009700E5" w:rsidRDefault="009700E5"/>
    <w:p w14:paraId="038E9672" w14:textId="77777777" w:rsidR="009700E5" w:rsidRDefault="002C033C">
      <w:r>
        <w:t>Keď sa uvažuje o začatí liečby u pacientov s hodnotami ALT alebo AST zvýšenými na </w:t>
      </w:r>
      <w:r>
        <w:rPr>
          <w:rFonts w:eastAsia="MS Mincho"/>
          <w:szCs w:val="22"/>
        </w:rPr>
        <w:sym w:font="Symbol" w:char="F03E"/>
      </w:r>
      <w:r>
        <w:t> 1,5</w:t>
      </w:r>
      <w:r>
        <w:noBreakHyphen/>
        <w:t>násobok ULN, je nutná opatrnosť. U pacientov s východiskovými hodnotami ALT alebo AST </w:t>
      </w:r>
      <w:r>
        <w:rPr>
          <w:rFonts w:eastAsia="MS Mincho"/>
          <w:szCs w:val="22"/>
        </w:rPr>
        <w:sym w:font="Symbol" w:char="F03E"/>
      </w:r>
      <w:r>
        <w:t> 5</w:t>
      </w:r>
      <w:r>
        <w:noBreakHyphen/>
        <w:t>násobok ULN sa liečba neodporúča.</w:t>
      </w:r>
    </w:p>
    <w:p w14:paraId="102E556E" w14:textId="77777777" w:rsidR="009700E5" w:rsidRDefault="009700E5"/>
    <w:p w14:paraId="5C901169" w14:textId="77777777" w:rsidR="009700E5" w:rsidRDefault="002C033C">
      <w:r>
        <w:t>U pacientov s RA, OBA, pJIA a sJIA sa ALT/AST má skontrolovať raz za 4 až 8 týždňov počas prvých 6 mesiacov liečby a následne raz za 12 týždňov. Pre odporúčané úpravy dávky vrátane ukončenia liečby tocilizumabom na základe hladín transamináz pozri časť 4.2. Pri vzostupoch hodnôt ALT alebo AST na </w:t>
      </w:r>
      <w:r>
        <w:rPr>
          <w:rFonts w:eastAsia="MS Mincho"/>
          <w:szCs w:val="22"/>
        </w:rPr>
        <w:sym w:font="Symbol" w:char="F03E"/>
      </w:r>
      <w:r>
        <w:t> 3</w:t>
      </w:r>
      <w:r>
        <w:noBreakHyphen/>
        <w:t> až 5</w:t>
      </w:r>
      <w:r>
        <w:noBreakHyphen/>
        <w:t>násobok ULN sa má liečba prerušiť.</w:t>
      </w:r>
    </w:p>
    <w:p w14:paraId="1DF8C8AE" w14:textId="77777777" w:rsidR="009700E5" w:rsidRDefault="009700E5"/>
    <w:p w14:paraId="6C378563" w14:textId="77777777" w:rsidR="009700E5" w:rsidRDefault="002C033C">
      <w:pPr>
        <w:keepNext/>
        <w:keepLines/>
        <w:rPr>
          <w:i/>
        </w:rPr>
      </w:pPr>
      <w:r>
        <w:rPr>
          <w:i/>
        </w:rPr>
        <w:t>Hematologické odchýlky</w:t>
      </w:r>
    </w:p>
    <w:p w14:paraId="2905206D" w14:textId="77777777" w:rsidR="009700E5" w:rsidRDefault="002C033C">
      <w:pPr>
        <w:keepNext/>
        <w:keepLines/>
      </w:pPr>
      <w:r>
        <w:t>Po liečbe tocilizumabom v dávke 8 mg/kg v kombinácii s MTX sa vyskytoval pokles počtu neutrofilov a trombocytov (pozri časť 4.8). U pacientov, ktorí boli predtým liečení inhibítorom TNF, môže existovať zvýšené riziko neutropénie.</w:t>
      </w:r>
    </w:p>
    <w:p w14:paraId="44B9BA02" w14:textId="77777777" w:rsidR="009700E5" w:rsidRDefault="009700E5"/>
    <w:p w14:paraId="2421B259" w14:textId="77777777" w:rsidR="009700E5" w:rsidRDefault="002C033C">
      <w:pPr>
        <w:textAlignment w:val="top"/>
        <w:rPr>
          <w:szCs w:val="22"/>
        </w:rPr>
      </w:pPr>
      <w:r>
        <w:rPr>
          <w:szCs w:val="22"/>
        </w:rPr>
        <w:t xml:space="preserve">U pacientov, ktorí neboli doteraz liečení </w:t>
      </w:r>
      <w:r>
        <w:t>tocilizumabom</w:t>
      </w:r>
      <w:r>
        <w:rPr>
          <w:szCs w:val="22"/>
        </w:rPr>
        <w:t>, sa neodporúča začať liečbu, ak je ANC</w:t>
      </w:r>
      <w:r>
        <w:rPr>
          <w:rFonts w:eastAsia="SimSun"/>
          <w:color w:val="000000"/>
          <w:szCs w:val="22"/>
          <w:lang w:eastAsia="zh-CN"/>
        </w:rPr>
        <w:t xml:space="preserve"> nižší ako 2</w:t>
      </w:r>
      <w:r>
        <w:t> </w:t>
      </w:r>
      <w:r>
        <w:rPr>
          <w:rFonts w:eastAsia="MS Mincho"/>
          <w:szCs w:val="22"/>
        </w:rPr>
        <w:sym w:font="Symbol" w:char="F0B4"/>
      </w:r>
      <w:r>
        <w:t> </w:t>
      </w:r>
      <w:r>
        <w:rPr>
          <w:rFonts w:eastAsia="SimSun"/>
          <w:color w:val="000000"/>
          <w:szCs w:val="22"/>
          <w:lang w:eastAsia="zh-CN"/>
        </w:rPr>
        <w:t>10</w:t>
      </w:r>
      <w:r>
        <w:rPr>
          <w:rFonts w:eastAsia="SimSun"/>
          <w:color w:val="000000"/>
          <w:szCs w:val="22"/>
          <w:vertAlign w:val="superscript"/>
          <w:lang w:eastAsia="zh-CN"/>
        </w:rPr>
        <w:t>9</w:t>
      </w:r>
      <w:r>
        <w:rPr>
          <w:rFonts w:eastAsia="SimSun"/>
          <w:color w:val="000000"/>
          <w:szCs w:val="22"/>
          <w:lang w:eastAsia="zh-CN"/>
        </w:rPr>
        <w:t>/l</w:t>
      </w:r>
      <w:r>
        <w:rPr>
          <w:szCs w:val="22"/>
        </w:rPr>
        <w:t>. Keď sa uvažuje o začatí liečby u pacientov s nízkym počtom trombocytov (t. j. počet trombocytov pod 100 </w:t>
      </w:r>
      <w:r>
        <w:rPr>
          <w:rFonts w:eastAsia="MS Mincho"/>
          <w:szCs w:val="22"/>
        </w:rPr>
        <w:sym w:font="Symbol" w:char="F0B4"/>
      </w:r>
      <w:r>
        <w:rPr>
          <w:szCs w:val="22"/>
        </w:rPr>
        <w:t> 10</w:t>
      </w:r>
      <w:r>
        <w:rPr>
          <w:szCs w:val="22"/>
          <w:vertAlign w:val="superscript"/>
        </w:rPr>
        <w:t>3</w:t>
      </w:r>
      <w:r>
        <w:rPr>
          <w:szCs w:val="22"/>
        </w:rPr>
        <w:t>/</w:t>
      </w:r>
      <w:r>
        <w:rPr>
          <w:rFonts w:eastAsia="MS Mincho"/>
          <w:szCs w:val="22"/>
        </w:rPr>
        <w:t>μ</w:t>
      </w:r>
      <w:r>
        <w:rPr>
          <w:szCs w:val="22"/>
        </w:rPr>
        <w:t>l), vyžaduje sa opatrnosť. U pacientov, u ktorých je ANC </w:t>
      </w:r>
      <w:r>
        <w:rPr>
          <w:rFonts w:eastAsia="MS Mincho"/>
          <w:szCs w:val="22"/>
        </w:rPr>
        <w:sym w:font="Symbol" w:char="F03C"/>
      </w:r>
      <w:r>
        <w:rPr>
          <w:szCs w:val="22"/>
        </w:rPr>
        <w:t> 0,5 </w:t>
      </w:r>
      <w:r>
        <w:rPr>
          <w:rFonts w:eastAsia="MS Mincho"/>
          <w:szCs w:val="22"/>
        </w:rPr>
        <w:sym w:font="Symbol" w:char="F0B4"/>
      </w:r>
      <w:r>
        <w:rPr>
          <w:szCs w:val="22"/>
        </w:rPr>
        <w:t> 10</w:t>
      </w:r>
      <w:r>
        <w:rPr>
          <w:szCs w:val="22"/>
          <w:vertAlign w:val="superscript"/>
        </w:rPr>
        <w:t>9</w:t>
      </w:r>
      <w:r>
        <w:rPr>
          <w:szCs w:val="22"/>
        </w:rPr>
        <w:t xml:space="preserve">/l alebo počet trombocytov je </w:t>
      </w:r>
      <w:r>
        <w:rPr>
          <w:rFonts w:eastAsia="MS Mincho"/>
          <w:szCs w:val="22"/>
        </w:rPr>
        <w:sym w:font="Symbol" w:char="F03C"/>
      </w:r>
      <w:r>
        <w:rPr>
          <w:szCs w:val="22"/>
        </w:rPr>
        <w:t> 50 </w:t>
      </w:r>
      <w:r>
        <w:rPr>
          <w:rFonts w:eastAsia="MS Mincho"/>
          <w:szCs w:val="22"/>
        </w:rPr>
        <w:sym w:font="Symbol" w:char="F0B4"/>
      </w:r>
      <w:r>
        <w:rPr>
          <w:rFonts w:eastAsia="MS Mincho"/>
          <w:szCs w:val="22"/>
        </w:rPr>
        <w:t> </w:t>
      </w:r>
      <w:r>
        <w:rPr>
          <w:szCs w:val="22"/>
        </w:rPr>
        <w:t>10</w:t>
      </w:r>
      <w:r>
        <w:rPr>
          <w:szCs w:val="22"/>
          <w:vertAlign w:val="superscript"/>
        </w:rPr>
        <w:t>3</w:t>
      </w:r>
      <w:r>
        <w:rPr>
          <w:szCs w:val="22"/>
        </w:rPr>
        <w:t>/</w:t>
      </w:r>
      <w:r>
        <w:rPr>
          <w:rFonts w:eastAsia="MS Mincho"/>
          <w:szCs w:val="22"/>
        </w:rPr>
        <w:t>μ</w:t>
      </w:r>
      <w:r>
        <w:rPr>
          <w:szCs w:val="22"/>
        </w:rPr>
        <w:t>l, sa neodporúča pokračovať v liečbe.</w:t>
      </w:r>
    </w:p>
    <w:p w14:paraId="3BC3CF15" w14:textId="77777777" w:rsidR="009700E5" w:rsidRDefault="009700E5"/>
    <w:p w14:paraId="61EC2ECB" w14:textId="77777777" w:rsidR="009700E5" w:rsidRDefault="002C033C">
      <w:pPr>
        <w:rPr>
          <w:iCs/>
        </w:rPr>
      </w:pPr>
      <w:r>
        <w:rPr>
          <w:iCs/>
        </w:rPr>
        <w:t>Ťažká neutropénia môže byť spojená so zvýšeným rizikom závažných infekcií, i keď doteraz nie je jasné spojenie medzi zníženým počtom neutrofilov a výskytom závažných infekcií v klinických skúšaniach s </w:t>
      </w:r>
      <w:r>
        <w:t>tocilizumabom</w:t>
      </w:r>
      <w:r>
        <w:rPr>
          <w:iCs/>
        </w:rPr>
        <w:t>.</w:t>
      </w:r>
    </w:p>
    <w:p w14:paraId="3CCC1D9A" w14:textId="77777777" w:rsidR="009700E5" w:rsidRDefault="009700E5"/>
    <w:p w14:paraId="7D988072" w14:textId="77777777" w:rsidR="009700E5" w:rsidRDefault="002C033C">
      <w:r>
        <w:t>U pacientov s RA a OBA sa má počet neutrofilov a trombocytov skontrolovať po 4 až 8 týždňoch od začatia liečby a následne v súlade so štandardnou klinickou praxou. Odporúčané úpravy dávky na základe počtu ANC a neutrofilov pozri v časti 4.2.</w:t>
      </w:r>
    </w:p>
    <w:p w14:paraId="5E849E02" w14:textId="77777777" w:rsidR="009700E5" w:rsidRDefault="009700E5"/>
    <w:p w14:paraId="20AE91AA" w14:textId="77777777" w:rsidR="009700E5" w:rsidRDefault="002C033C">
      <w:r>
        <w:lastRenderedPageBreak/>
        <w:t>U pacientov so sJIA a pJIA sa má počet neutrofilov a trombocytov skontrolovať v čase podania druhej dávky a následne v súlade so správnou klinickou praxou (pozri časť 4.2).</w:t>
      </w:r>
    </w:p>
    <w:p w14:paraId="6416DF8D" w14:textId="77777777" w:rsidR="009700E5" w:rsidRDefault="009700E5"/>
    <w:p w14:paraId="5C8B1849" w14:textId="77777777" w:rsidR="009700E5" w:rsidRDefault="002C033C">
      <w:pPr>
        <w:keepNext/>
        <w:keepLines/>
        <w:rPr>
          <w:i/>
        </w:rPr>
      </w:pPr>
      <w:r>
        <w:rPr>
          <w:i/>
        </w:rPr>
        <w:t>Hodnoty lipidov</w:t>
      </w:r>
    </w:p>
    <w:p w14:paraId="5F2F9038" w14:textId="77777777" w:rsidR="009700E5" w:rsidRDefault="002C033C">
      <w:r>
        <w:t>U pacientov liečených tocilizumabom sa pozorovalo zvýšenie hodnôt lipidových parametrov, vrátane hladiny celkového cholesterolu, lipoproteínov s nízkou hustotou (LDL), lipoproteínov s vysokou hustotou (HDL) a triacylglycerolov (pozri časť 4.8). U väčšiny pacientov nedošlo k zvýšeniu aterogénneho indexu a zvýšenie celkového cholesterolu odpovedalo na liečbu hypolipidemikami.</w:t>
      </w:r>
    </w:p>
    <w:p w14:paraId="3EBC9D2B" w14:textId="77777777" w:rsidR="009700E5" w:rsidRDefault="009700E5">
      <w:pPr>
        <w:widowControl w:val="0"/>
      </w:pPr>
    </w:p>
    <w:p w14:paraId="64E658E1" w14:textId="77777777" w:rsidR="009700E5" w:rsidRDefault="002C033C">
      <w:pPr>
        <w:widowControl w:val="0"/>
      </w:pPr>
      <w:r>
        <w:t>U</w:t>
      </w:r>
      <w:del w:id="1942" w:author="Author" w:date="2025-07-19T23:39:00Z">
        <w:r>
          <w:delText> </w:delText>
        </w:r>
      </w:del>
      <w:ins w:id="1943" w:author="Author" w:date="2025-07-19T23:39:00Z">
        <w:r>
          <w:t xml:space="preserve"> všetkých </w:t>
        </w:r>
      </w:ins>
      <w:r>
        <w:t>pacientov</w:t>
      </w:r>
      <w:del w:id="1944" w:author="Author" w:date="2025-07-19T23:39:00Z">
        <w:r>
          <w:delText xml:space="preserve"> s RA a OBA</w:delText>
        </w:r>
      </w:del>
      <w:r>
        <w:t xml:space="preserve"> sa má hodnotenie lipidových parametrov vykonať po 4 až 8 týždňoch od začatia liečby. Pacienti sa majú liečiť v súlade s národnými klinickými odporúčaniami pre liečbu hyperlipidémií.</w:t>
      </w:r>
    </w:p>
    <w:p w14:paraId="73EC9CE8" w14:textId="77777777" w:rsidR="009700E5" w:rsidRDefault="009700E5">
      <w:pPr>
        <w:rPr>
          <w:rFonts w:eastAsia="SimSun"/>
          <w:szCs w:val="22"/>
          <w:lang w:eastAsia="zh-CN"/>
        </w:rPr>
      </w:pPr>
    </w:p>
    <w:p w14:paraId="574C6312" w14:textId="77777777" w:rsidR="009700E5" w:rsidRDefault="002C033C">
      <w:pPr>
        <w:keepNext/>
        <w:keepLines/>
        <w:outlineLvl w:val="0"/>
        <w:rPr>
          <w:i/>
        </w:rPr>
      </w:pPr>
      <w:r>
        <w:rPr>
          <w:i/>
        </w:rPr>
        <w:t>Neurologické poruchy</w:t>
      </w:r>
    </w:p>
    <w:p w14:paraId="28818DDF" w14:textId="77777777" w:rsidR="009700E5" w:rsidRDefault="002C033C">
      <w:pPr>
        <w:outlineLvl w:val="0"/>
      </w:pPr>
      <w:r>
        <w:t>Lekári majú venovať zvýšenú pozornosť príznakom, ktoré by mohli svedčiť o vzniku centrálnych demyelinizačných porúch. V súčasnosti nie je známe, či tocilizumab môže vyvolať centrálnu demyelinizáciu.</w:t>
      </w:r>
    </w:p>
    <w:p w14:paraId="0D2C5FCF" w14:textId="77777777" w:rsidR="009700E5" w:rsidRDefault="009700E5">
      <w:pPr>
        <w:outlineLvl w:val="0"/>
      </w:pPr>
    </w:p>
    <w:p w14:paraId="7A6439B9" w14:textId="77777777" w:rsidR="009700E5" w:rsidRDefault="002C033C">
      <w:pPr>
        <w:keepNext/>
        <w:keepLines/>
        <w:outlineLvl w:val="0"/>
        <w:rPr>
          <w:i/>
        </w:rPr>
      </w:pPr>
      <w:r>
        <w:rPr>
          <w:i/>
        </w:rPr>
        <w:t>Malignita</w:t>
      </w:r>
    </w:p>
    <w:p w14:paraId="720770E1" w14:textId="77777777" w:rsidR="009700E5" w:rsidRDefault="002C033C">
      <w:pPr>
        <w:autoSpaceDE w:val="0"/>
        <w:autoSpaceDN w:val="0"/>
        <w:adjustRightInd w:val="0"/>
        <w:rPr>
          <w:rFonts w:eastAsia="SimSun"/>
          <w:szCs w:val="22"/>
          <w:lang w:eastAsia="zh-CN"/>
        </w:rPr>
      </w:pPr>
      <w:r>
        <w:rPr>
          <w:rFonts w:eastAsia="SimSun"/>
          <w:szCs w:val="22"/>
          <w:lang w:eastAsia="zh-CN"/>
        </w:rPr>
        <w:t>Riziko vzniku malignity je u pacientov s RA zvýšené. Imunomodulačné lieky môžu riziko vzniku malignity zvyšovať. Klinické údaje nie sú dostatočné na zhodnotenie rizika možného výskytu malignity po expozícii tocilizumabu. Hodnotenie dlhodobej bezpečnosti naďalej prebieha.</w:t>
      </w:r>
    </w:p>
    <w:p w14:paraId="22825F8D" w14:textId="77777777" w:rsidR="009700E5" w:rsidRDefault="009700E5">
      <w:pPr>
        <w:outlineLvl w:val="0"/>
      </w:pPr>
    </w:p>
    <w:p w14:paraId="7E9868C7" w14:textId="77777777" w:rsidR="009700E5" w:rsidRDefault="002C033C">
      <w:pPr>
        <w:keepNext/>
        <w:outlineLvl w:val="0"/>
        <w:rPr>
          <w:i/>
        </w:rPr>
      </w:pPr>
      <w:r>
        <w:rPr>
          <w:i/>
        </w:rPr>
        <w:t>Očkovania</w:t>
      </w:r>
    </w:p>
    <w:p w14:paraId="37F8A237" w14:textId="77777777" w:rsidR="009700E5" w:rsidRDefault="002C033C">
      <w:r>
        <w:t>Súbežne s týmto liekom sa nemajú podávať živé a živé oslabené očkovacie látky, keďže klinická bezpečnosť nebola stanovená. V </w:t>
      </w:r>
      <w:del w:id="1945" w:author="Author" w:date="2025-07-19T23:40:00Z">
        <w:r>
          <w:delText xml:space="preserve">randomizovanej </w:delText>
        </w:r>
      </w:del>
      <w:ins w:id="1946" w:author="Author" w:date="2025-07-19T23:40:00Z">
        <w:r>
          <w:t xml:space="preserve">randomizovanom </w:t>
        </w:r>
      </w:ins>
      <w:r>
        <w:t>otvoren</w:t>
      </w:r>
      <w:ins w:id="1947" w:author="Author" w:date="2025-07-19T23:40:00Z">
        <w:r>
          <w:t>om</w:t>
        </w:r>
      </w:ins>
      <w:del w:id="1948" w:author="Author" w:date="2025-07-19T23:40:00Z">
        <w:r>
          <w:delText>ej</w:delText>
        </w:r>
      </w:del>
      <w:r>
        <w:t xml:space="preserve"> </w:t>
      </w:r>
      <w:del w:id="1949" w:author="Author" w:date="2025-07-19T23:40:00Z">
        <w:r>
          <w:delText>štúdii</w:delText>
        </w:r>
      </w:del>
      <w:ins w:id="1950" w:author="Author" w:date="2025-07-21T10:32:00Z">
        <w:r>
          <w:t xml:space="preserve">klinickom </w:t>
        </w:r>
      </w:ins>
      <w:ins w:id="1951" w:author="Author" w:date="2025-07-19T23:40:00Z">
        <w:r>
          <w:t>skúšaní</w:t>
        </w:r>
      </w:ins>
      <w:r>
        <w:t>, dosahovali dospelí pacienti s RA, ktorí dostávali liečbu tocilizumabom a MTX, účinnú odpoveď na 23</w:t>
      </w:r>
      <w:r>
        <w:noBreakHyphen/>
        <w:t>valentnú pneumokokovú polysacharidovú vakcínu ako aj na vakcínu obsahujúcu tetanický toxoid, čo bolo porovnateľné s odpoveďou pozorovanou u pacientov, ktorí dostávali liečbu MTX v monoterapii. Odporúča sa, aby všetci pacienti, a obzvlášť pediatrickí alebo starší pacienti, boli podrobení aktuálne platným imunizáciám v súlade s aktuálnymi odporúčaniami imunizácie ešte pred začatím liečby. Interval medzi podaním živých očkovacích látok a začatím liečby má byť v súlade s aktuálnymi odporúčaniami imunizácie ohľadne imunosupresívnych látok.</w:t>
      </w:r>
    </w:p>
    <w:p w14:paraId="5873DEA3" w14:textId="77777777" w:rsidR="009700E5" w:rsidRDefault="009700E5">
      <w:pPr>
        <w:outlineLvl w:val="0"/>
      </w:pPr>
    </w:p>
    <w:p w14:paraId="7030F811" w14:textId="77777777" w:rsidR="009700E5" w:rsidRDefault="002C033C">
      <w:pPr>
        <w:keepNext/>
        <w:rPr>
          <w:i/>
        </w:rPr>
      </w:pPr>
      <w:r>
        <w:rPr>
          <w:i/>
        </w:rPr>
        <w:t>Kardiovaskulárne riziko</w:t>
      </w:r>
    </w:p>
    <w:p w14:paraId="21A990C0" w14:textId="77777777" w:rsidR="009700E5" w:rsidRDefault="002C033C">
      <w:r>
        <w:t>Pacienti s RA majú zvýšené riziko kardiovaskulárnych porúch; rizikové faktory (napr. hypertenzia, hyperlipidémia) a musia sa korigovať v rámci bežnej štandardnej zdravotnej starostlivosti.</w:t>
      </w:r>
    </w:p>
    <w:p w14:paraId="0122D0DF" w14:textId="77777777" w:rsidR="009700E5" w:rsidRDefault="009700E5"/>
    <w:p w14:paraId="2FB3BA8D" w14:textId="77777777" w:rsidR="009700E5" w:rsidRDefault="002C033C">
      <w:pPr>
        <w:rPr>
          <w:i/>
        </w:rPr>
      </w:pPr>
      <w:r>
        <w:rPr>
          <w:i/>
        </w:rPr>
        <w:t>Kombinácia s inhibítormi TNF</w:t>
      </w:r>
    </w:p>
    <w:p w14:paraId="1D088E44" w14:textId="77777777" w:rsidR="009700E5" w:rsidRDefault="002C033C">
      <w:pPr>
        <w:rPr>
          <w:del w:id="1952" w:author="Author" w:date="2025-07-19T23:41:00Z"/>
        </w:rPr>
      </w:pPr>
      <w:r>
        <w:t>Nie sú skúsenosti s použitím tocilizumabu s inhibítormi TNF ani inými biologickými liekmi na liečbu pacientov s RA. Tento liek sa neodporúča používať spolu s inými biologickými liekmi.</w:t>
      </w:r>
    </w:p>
    <w:p w14:paraId="6C4679EA" w14:textId="77777777" w:rsidR="009700E5" w:rsidRDefault="009700E5"/>
    <w:p w14:paraId="66BFF8D5" w14:textId="77777777" w:rsidR="009700E5" w:rsidRDefault="002C033C">
      <w:pPr>
        <w:rPr>
          <w:moveFrom w:id="1953" w:author="Author" w:date="2025-07-19T23:41:00Z"/>
          <w:i/>
          <w:iCs/>
        </w:rPr>
      </w:pPr>
      <w:moveFromRangeStart w:id="1954" w:author="Author" w:date="2025-07-19T23:41:00Z" w:name="move203860913"/>
      <w:moveFrom w:id="1955" w:author="Author" w:date="2025-07-19T23:41:00Z">
        <w:r>
          <w:rPr>
            <w:i/>
            <w:iCs/>
          </w:rPr>
          <w:t>Polysorbát</w:t>
        </w:r>
      </w:moveFrom>
    </w:p>
    <w:p w14:paraId="6DB9FE7C" w14:textId="77777777" w:rsidR="009700E5" w:rsidRDefault="002C033C">
      <w:pPr>
        <w:rPr>
          <w:moveFrom w:id="1956" w:author="Author" w:date="2025-07-19T23:41:00Z"/>
        </w:rPr>
      </w:pPr>
      <w:moveFrom w:id="1957" w:author="Author" w:date="2025-07-19T23:41:00Z">
        <w:r>
          <w:t>Tento liek obsahuje 0,18 mg polysorbátu 80 v každom 162 mg/0,9 ml naplnenom pere, čo zodpovedá 0,2 mg/ml. Polysorbáty môžu vyvolať alergické reakcie. Do úvahy sa musia vziať známe alergie pacientov.</w:t>
        </w:r>
      </w:moveFrom>
    </w:p>
    <w:moveFromRangeEnd w:id="1954"/>
    <w:p w14:paraId="1364C599" w14:textId="77777777" w:rsidR="009700E5" w:rsidRDefault="009700E5"/>
    <w:p w14:paraId="1BFD3D73" w14:textId="77777777" w:rsidR="009700E5" w:rsidRDefault="002C033C">
      <w:pPr>
        <w:rPr>
          <w:iCs/>
          <w:u w:val="single"/>
        </w:rPr>
      </w:pPr>
      <w:r>
        <w:rPr>
          <w:iCs/>
          <w:u w:val="single"/>
        </w:rPr>
        <w:t>Pacienti s OBA</w:t>
      </w:r>
    </w:p>
    <w:p w14:paraId="5D2B2776" w14:textId="77777777" w:rsidR="009700E5" w:rsidRDefault="002C033C">
      <w:r>
        <w:t>Tocilizumab v monoterapii sa nesmie podávať na liečbu akútnych relapsov, keďže účinnosť pre tento stav nebola stanovená. Glukokortikoidy sa majú podávať podľa zváženia lekára a praktických odporúčaní.</w:t>
      </w:r>
    </w:p>
    <w:p w14:paraId="5B95CD08" w14:textId="77777777" w:rsidR="009700E5" w:rsidRDefault="009700E5"/>
    <w:p w14:paraId="1CE78CB7" w14:textId="77777777" w:rsidR="009700E5" w:rsidRDefault="002C033C">
      <w:pPr>
        <w:rPr>
          <w:iCs/>
          <w:u w:val="single"/>
        </w:rPr>
      </w:pPr>
      <w:r>
        <w:rPr>
          <w:iCs/>
          <w:u w:val="single"/>
        </w:rPr>
        <w:t>Pacienti so sJIA</w:t>
      </w:r>
    </w:p>
    <w:p w14:paraId="7A0E1607" w14:textId="77777777" w:rsidR="009700E5" w:rsidRDefault="002C033C">
      <w:pPr>
        <w:keepNext/>
        <w:keepLines/>
      </w:pPr>
      <w:r>
        <w:t>Syndróm aktivácie makrofágov (MAS) je závažný život ohrozujúci stav, ktorý sa môže vyvinúť u pacientov so sJIA. V klinických skúšaniach sa tocilizumab neskúmal u pacientov počas epizódy aktívneho MAS.</w:t>
      </w:r>
    </w:p>
    <w:p w14:paraId="09700AAD" w14:textId="77777777" w:rsidR="009700E5" w:rsidRDefault="009700E5">
      <w:pPr>
        <w:rPr>
          <w:ins w:id="1958" w:author="Author" w:date="2025-07-19T23:41:00Z"/>
          <w:i/>
          <w:iCs/>
        </w:rPr>
      </w:pPr>
    </w:p>
    <w:p w14:paraId="2A563357" w14:textId="77777777" w:rsidR="009700E5" w:rsidRDefault="002C033C">
      <w:pPr>
        <w:rPr>
          <w:moveTo w:id="1959" w:author="Author" w:date="2025-07-19T23:41:00Z"/>
          <w:i/>
          <w:iCs/>
        </w:rPr>
      </w:pPr>
      <w:moveToRangeStart w:id="1960" w:author="Author" w:date="2025-07-19T23:41:00Z" w:name="move203860913"/>
      <w:moveTo w:id="1961" w:author="Author" w:date="2025-07-19T23:41:00Z">
        <w:r>
          <w:rPr>
            <w:i/>
            <w:iCs/>
          </w:rPr>
          <w:lastRenderedPageBreak/>
          <w:t>Polysorbát</w:t>
        </w:r>
      </w:moveTo>
      <w:ins w:id="1962" w:author="Author" w:date="2025-07-19T23:41:00Z">
        <w:r>
          <w:rPr>
            <w:i/>
            <w:iCs/>
          </w:rPr>
          <w:t xml:space="preserve"> 80 (E</w:t>
        </w:r>
      </w:ins>
      <w:ins w:id="1963" w:author="Author" w:date="2025-07-21T10:32:00Z">
        <w:r>
          <w:rPr>
            <w:i/>
            <w:iCs/>
          </w:rPr>
          <w:t> </w:t>
        </w:r>
      </w:ins>
      <w:ins w:id="1964" w:author="Author" w:date="2025-07-19T23:41:00Z">
        <w:del w:id="1965" w:author="Author" w:date="2025-07-21T10:32:00Z">
          <w:r>
            <w:rPr>
              <w:i/>
              <w:iCs/>
            </w:rPr>
            <w:delText xml:space="preserve"> </w:delText>
          </w:r>
        </w:del>
        <w:r>
          <w:rPr>
            <w:i/>
            <w:iCs/>
          </w:rPr>
          <w:t>433)</w:t>
        </w:r>
      </w:ins>
    </w:p>
    <w:p w14:paraId="47FC55B0" w14:textId="77777777" w:rsidR="009700E5" w:rsidRDefault="002C033C">
      <w:pPr>
        <w:rPr>
          <w:moveTo w:id="1966" w:author="Author" w:date="2025-07-19T23:41:00Z"/>
        </w:rPr>
      </w:pPr>
      <w:moveTo w:id="1967" w:author="Author" w:date="2025-07-19T23:41:00Z">
        <w:r>
          <w:t>Tento liek obsahuje 0,18 mg polysorbátu 80 v každom 162 mg/0,9 ml naplnenom pere, čo zodpovedá 0,2 mg/ml. Polysorbáty môžu vyvolať alergické reakcie. Do úvahy sa musia vziať známe alergie pacientov.</w:t>
        </w:r>
      </w:moveTo>
    </w:p>
    <w:moveToRangeEnd w:id="1960"/>
    <w:p w14:paraId="36702CE9" w14:textId="77777777" w:rsidR="009700E5" w:rsidRDefault="009700E5"/>
    <w:p w14:paraId="0877B6AC" w14:textId="77777777" w:rsidR="009700E5" w:rsidRDefault="002C033C">
      <w:pPr>
        <w:keepNext/>
        <w:outlineLvl w:val="0"/>
      </w:pPr>
      <w:r>
        <w:rPr>
          <w:b/>
        </w:rPr>
        <w:t>4.5</w:t>
      </w:r>
      <w:r>
        <w:rPr>
          <w:b/>
        </w:rPr>
        <w:tab/>
      </w:r>
      <w:r>
        <w:rPr>
          <w:b/>
          <w:szCs w:val="22"/>
        </w:rPr>
        <w:t>Liekové a iné interakcie</w:t>
      </w:r>
    </w:p>
    <w:p w14:paraId="73A797A8" w14:textId="77777777" w:rsidR="009700E5" w:rsidRDefault="009700E5">
      <w:pPr>
        <w:keepNext/>
      </w:pPr>
    </w:p>
    <w:p w14:paraId="7F720A8E" w14:textId="77777777" w:rsidR="009700E5" w:rsidRDefault="002C033C">
      <w:pPr>
        <w:keepNext/>
        <w:rPr>
          <w:szCs w:val="22"/>
        </w:rPr>
      </w:pPr>
      <w:r>
        <w:rPr>
          <w:szCs w:val="22"/>
        </w:rPr>
        <w:t xml:space="preserve">Interakčné </w:t>
      </w:r>
      <w:ins w:id="1968" w:author="Author" w:date="2025-07-21T10:32:00Z">
        <w:r>
          <w:rPr>
            <w:szCs w:val="22"/>
          </w:rPr>
          <w:t>klinické skúšania</w:t>
        </w:r>
      </w:ins>
      <w:del w:id="1969" w:author="Author" w:date="2025-07-21T10:32:00Z">
        <w:r>
          <w:rPr>
            <w:szCs w:val="22"/>
          </w:rPr>
          <w:delText>štúdie</w:delText>
        </w:r>
      </w:del>
      <w:r>
        <w:rPr>
          <w:szCs w:val="22"/>
        </w:rPr>
        <w:t xml:space="preserve"> sa uskutočnili iba u dospelých.</w:t>
      </w:r>
    </w:p>
    <w:p w14:paraId="550BD39C" w14:textId="77777777" w:rsidR="009700E5" w:rsidRDefault="009700E5">
      <w:pPr>
        <w:keepNext/>
      </w:pPr>
    </w:p>
    <w:p w14:paraId="41C1E269" w14:textId="77777777" w:rsidR="009700E5" w:rsidRDefault="002C033C">
      <w:r>
        <w:rPr>
          <w:rFonts w:eastAsia="SimSun"/>
          <w:lang w:eastAsia="zh-CN" w:bidi="th-TH"/>
        </w:rPr>
        <w:t xml:space="preserve">Súbežné podanie jednorazovej dávky </w:t>
      </w:r>
      <w:r>
        <w:t>tocilizumabu</w:t>
      </w:r>
      <w:r>
        <w:rPr>
          <w:rFonts w:eastAsia="SimSun"/>
          <w:lang w:eastAsia="zh-CN" w:bidi="th-TH"/>
        </w:rPr>
        <w:t xml:space="preserve"> 10 mg/kg s MTX v dávke 10 </w:t>
      </w:r>
      <w:r>
        <w:rPr>
          <w:rFonts w:eastAsia="SimSun"/>
          <w:lang w:eastAsia="zh-CN" w:bidi="th-TH"/>
        </w:rPr>
        <w:noBreakHyphen/>
        <w:t> 25 mg podávanej jedenkrát týždenne nemalo klinicky významný vplyv na expozíciu MTX.</w:t>
      </w:r>
    </w:p>
    <w:p w14:paraId="4617AEB6" w14:textId="77777777" w:rsidR="009700E5" w:rsidRDefault="009700E5"/>
    <w:p w14:paraId="15964A6C" w14:textId="77777777" w:rsidR="009700E5" w:rsidRDefault="002C033C">
      <w:r>
        <w:t>Populačné farmakokinetické analýzy nezistili žiaden vplyv MTX, NSAID alebo kortikosteroidov na klírens tocilizumabu u pacientov s RA. U pacientov s OBA nebol pozorovaný žiaden účinok kumulatívnej dávky kortikosteroidov na expozíciu tocilizumabu.</w:t>
      </w:r>
    </w:p>
    <w:p w14:paraId="41B1BD98" w14:textId="77777777" w:rsidR="009700E5" w:rsidRDefault="009700E5"/>
    <w:p w14:paraId="5AC33813" w14:textId="77777777" w:rsidR="009700E5" w:rsidRDefault="002C033C">
      <w:r>
        <w:t>Účinkom cytokínov, ako je napr. IL</w:t>
      </w:r>
      <w:r>
        <w:noBreakHyphen/>
        <w:t>6, ktoré stimulujú chronický zápal, dochádza k potlačeniu expresie pečeňových enzýmov CYP450. Pri začatí liečby silne účinným inhibítorom cytokínov, ako je tocilizumab, preto môže dôjsť k obnoveniu expresie enzýmov CYP450.</w:t>
      </w:r>
    </w:p>
    <w:p w14:paraId="0E4B122A" w14:textId="77777777" w:rsidR="009700E5" w:rsidRDefault="009700E5"/>
    <w:p w14:paraId="71047FE4" w14:textId="77777777" w:rsidR="009700E5" w:rsidRDefault="002C033C">
      <w:del w:id="1970" w:author="Author" w:date="2025-07-19T23:45:00Z">
        <w:r>
          <w:delText xml:space="preserve">Štúdie </w:delText>
        </w:r>
      </w:del>
      <w:ins w:id="1971" w:author="Author" w:date="2025-07-21T10:32:00Z">
        <w:r>
          <w:t>Klinické s</w:t>
        </w:r>
      </w:ins>
      <w:ins w:id="1972" w:author="Author" w:date="2025-07-19T23:45:00Z">
        <w:del w:id="1973" w:author="Author" w:date="2025-07-21T10:32:00Z">
          <w:r>
            <w:delText>S</w:delText>
          </w:r>
        </w:del>
        <w:r>
          <w:t xml:space="preserve">kúšania </w:t>
        </w:r>
      </w:ins>
      <w:r>
        <w:rPr>
          <w:i/>
          <w:iCs/>
        </w:rPr>
        <w:t>in vitro</w:t>
      </w:r>
      <w:r>
        <w:t xml:space="preserve"> na kultivovaných ľudských hepatocytoch preukázali, že IL</w:t>
      </w:r>
      <w:r>
        <w:noBreakHyphen/>
        <w:t>6 spôsobuje zníženie expresie enzýmov CYP1A2, CYP2C9, CYP2C19 a CYP3A4. Tocilizumab normalizuje expresiu týchto enzýmov.</w:t>
      </w:r>
    </w:p>
    <w:p w14:paraId="54AB353A" w14:textId="77777777" w:rsidR="009700E5" w:rsidRDefault="009700E5"/>
    <w:p w14:paraId="4725E563" w14:textId="77777777" w:rsidR="009700E5" w:rsidRDefault="002C033C">
      <w:r>
        <w:t xml:space="preserve">V </w:t>
      </w:r>
      <w:del w:id="1974" w:author="Author" w:date="2025-07-19T23:45:00Z">
        <w:r>
          <w:delText xml:space="preserve">štúdii </w:delText>
        </w:r>
      </w:del>
      <w:ins w:id="1975" w:author="Author" w:date="2025-07-21T10:32:00Z">
        <w:r>
          <w:t>klinickom s</w:t>
        </w:r>
      </w:ins>
      <w:ins w:id="1976" w:author="Author" w:date="2025-07-19T23:45:00Z">
        <w:del w:id="1977" w:author="Author" w:date="2025-07-21T10:32:00Z">
          <w:r>
            <w:delText>s</w:delText>
          </w:r>
        </w:del>
        <w:r>
          <w:t xml:space="preserve">kúšaní </w:t>
        </w:r>
      </w:ins>
      <w:r>
        <w:t>s pacientmi s RA boli hladiny simvastatínu (CYP3A4) znížené o 57 % jeden týždeň po jednotlivej dávke tocilizumabu na hodnotu podobnú alebo mierne vyššiu, ako sa pozorovala u zdravých ľudí.</w:t>
      </w:r>
    </w:p>
    <w:p w14:paraId="13DDCF59" w14:textId="77777777" w:rsidR="009700E5" w:rsidRDefault="009700E5">
      <w:pPr>
        <w:rPr>
          <w:rFonts w:eastAsia="SimSun"/>
          <w:lang w:eastAsia="zh-CN" w:bidi="th-TH"/>
        </w:rPr>
      </w:pPr>
    </w:p>
    <w:p w14:paraId="3F684EA4" w14:textId="77777777" w:rsidR="009700E5" w:rsidRDefault="002C033C">
      <w:r>
        <w:rPr>
          <w:rFonts w:eastAsia="SimSun"/>
          <w:lang w:eastAsia="zh-CN" w:bidi="th-TH"/>
        </w:rPr>
        <w:t xml:space="preserve">Pri začatí alebo ukončení liečby </w:t>
      </w:r>
      <w:r>
        <w:t>tocilizumabom</w:t>
      </w:r>
      <w:r>
        <w:rPr>
          <w:rFonts w:eastAsia="SimSun"/>
          <w:lang w:eastAsia="zh-CN" w:bidi="th-TH"/>
        </w:rPr>
        <w:t xml:space="preserve"> sa musia sledovať pacienti, ktorí užívajú individuálne upravované dávky liekov metabolizovaných prostredníctvom CYP450 3A4, 1A2 alebo 2C9 (napr. metylprednizolón, dexametazón (možnosť vzniku abstinenčného syndrómu v dôsledku vysadenia perorálnych glukokortikoidov), atorvastatín, blokátory kalciového kanála, teofylín, warfarín, fenprokumón, fenytoín, cyklosporín alebo benzodiazepíny), keďže na udržanie ich terapeutického účinku môže byť potrebné zvýšenie dávok. Vzhľadom na dlhý eliminačný polčas (t</w:t>
      </w:r>
      <w:r>
        <w:rPr>
          <w:rFonts w:eastAsia="SimSun"/>
          <w:vertAlign w:val="subscript"/>
          <w:lang w:eastAsia="zh-CN" w:bidi="th-TH"/>
        </w:rPr>
        <w:t>1/2</w:t>
      </w:r>
      <w:r>
        <w:rPr>
          <w:rFonts w:eastAsia="SimSun"/>
          <w:lang w:eastAsia="zh-CN" w:bidi="th-TH"/>
        </w:rPr>
        <w:t xml:space="preserve">) môže vplyv </w:t>
      </w:r>
      <w:r>
        <w:t>tocilizumabu</w:t>
      </w:r>
      <w:r>
        <w:rPr>
          <w:szCs w:val="22"/>
        </w:rPr>
        <w:t xml:space="preserve"> </w:t>
      </w:r>
      <w:r>
        <w:rPr>
          <w:rFonts w:eastAsia="SimSun"/>
          <w:lang w:eastAsia="zh-CN" w:bidi="th-TH"/>
        </w:rPr>
        <w:t>na aktivitu enzýmov CYP450 pretrvávať niekoľko týždňov po ukončení liečby.</w:t>
      </w:r>
    </w:p>
    <w:p w14:paraId="1F9DC418" w14:textId="77777777" w:rsidR="009700E5" w:rsidRDefault="009700E5">
      <w:pPr>
        <w:outlineLvl w:val="0"/>
      </w:pPr>
    </w:p>
    <w:p w14:paraId="02789062" w14:textId="77777777" w:rsidR="009700E5" w:rsidRDefault="002C033C">
      <w:pPr>
        <w:keepNext/>
        <w:keepLines/>
        <w:outlineLvl w:val="0"/>
        <w:rPr>
          <w:b/>
        </w:rPr>
      </w:pPr>
      <w:r>
        <w:rPr>
          <w:b/>
        </w:rPr>
        <w:t>4.6</w:t>
      </w:r>
      <w:r>
        <w:rPr>
          <w:b/>
        </w:rPr>
        <w:tab/>
        <w:t>Fertilita, g</w:t>
      </w:r>
      <w:r>
        <w:rPr>
          <w:b/>
          <w:szCs w:val="22"/>
        </w:rPr>
        <w:t>ravidita a laktácia</w:t>
      </w:r>
    </w:p>
    <w:p w14:paraId="6647B3E6" w14:textId="77777777" w:rsidR="009700E5" w:rsidRDefault="009700E5">
      <w:pPr>
        <w:keepNext/>
        <w:keepLines/>
        <w:outlineLvl w:val="0"/>
      </w:pPr>
    </w:p>
    <w:p w14:paraId="67CD7684" w14:textId="77777777" w:rsidR="009700E5" w:rsidRDefault="002C033C">
      <w:pPr>
        <w:keepNext/>
        <w:keepLines/>
        <w:outlineLvl w:val="0"/>
        <w:rPr>
          <w:iCs/>
          <w:u w:val="single"/>
        </w:rPr>
      </w:pPr>
      <w:r>
        <w:rPr>
          <w:iCs/>
          <w:u w:val="single"/>
        </w:rPr>
        <w:t>Ženy vo fertilnom veku</w:t>
      </w:r>
    </w:p>
    <w:p w14:paraId="50488F60" w14:textId="77777777" w:rsidR="009700E5" w:rsidRDefault="002C033C">
      <w:pPr>
        <w:keepNext/>
        <w:keepLines/>
      </w:pPr>
      <w:r>
        <w:t>Ženy vo fertilnom veku musia používať účinnú antikoncepciu počas liečby a 3 mesiace po ukončení liečby.</w:t>
      </w:r>
    </w:p>
    <w:p w14:paraId="0AB14586" w14:textId="77777777" w:rsidR="009700E5" w:rsidRDefault="009700E5"/>
    <w:p w14:paraId="4DC4CB85" w14:textId="77777777" w:rsidR="009700E5" w:rsidRDefault="002C033C">
      <w:pPr>
        <w:keepNext/>
        <w:keepLines/>
        <w:outlineLvl w:val="0"/>
        <w:rPr>
          <w:iCs/>
          <w:u w:val="single"/>
        </w:rPr>
      </w:pPr>
      <w:r>
        <w:rPr>
          <w:iCs/>
          <w:u w:val="single"/>
        </w:rPr>
        <w:t>Gravidita</w:t>
      </w:r>
    </w:p>
    <w:p w14:paraId="11C07CBE" w14:textId="77777777" w:rsidR="009700E5" w:rsidRDefault="002C033C">
      <w:pPr>
        <w:keepNext/>
        <w:keepLines/>
      </w:pPr>
      <w:r>
        <w:t xml:space="preserve">Nie sú k dispozícii dostatočné údaje o použití tocilizumabu u gravidných žien. </w:t>
      </w:r>
      <w:ins w:id="1978" w:author="Author" w:date="2025-07-21T10:33:00Z">
        <w:r>
          <w:t>Klinické skúšanie</w:t>
        </w:r>
      </w:ins>
      <w:del w:id="1979" w:author="Author" w:date="2025-07-21T10:33:00Z">
        <w:r>
          <w:delText>Štúdia</w:delText>
        </w:r>
      </w:del>
      <w:r>
        <w:t xml:space="preserve"> na zvieratách preukázala zvýšené riziko spontánneho potratu/embryofetálneho úmrtia pri podávaní vysokej dávky (pozri časť 5.3). Nie je známe potenciálne riziko u ľudí.</w:t>
      </w:r>
    </w:p>
    <w:p w14:paraId="207E4D2E" w14:textId="77777777" w:rsidR="009700E5" w:rsidRDefault="009700E5">
      <w:pPr>
        <w:outlineLvl w:val="0"/>
      </w:pPr>
    </w:p>
    <w:p w14:paraId="2863B47B" w14:textId="77777777" w:rsidR="009700E5" w:rsidRDefault="002C033C">
      <w:pPr>
        <w:outlineLvl w:val="0"/>
      </w:pPr>
      <w:r>
        <w:t>RoActemra sa môže používať počas gravidity iba v nevyhnutných prípadoch.</w:t>
      </w:r>
    </w:p>
    <w:p w14:paraId="140F9333" w14:textId="77777777" w:rsidR="009700E5" w:rsidRDefault="009700E5">
      <w:pPr>
        <w:outlineLvl w:val="0"/>
        <w:rPr>
          <w:iCs/>
        </w:rPr>
      </w:pPr>
    </w:p>
    <w:p w14:paraId="348ECE11" w14:textId="77777777" w:rsidR="009700E5" w:rsidRDefault="002C033C">
      <w:pPr>
        <w:rPr>
          <w:iCs/>
          <w:u w:val="single"/>
        </w:rPr>
      </w:pPr>
      <w:r>
        <w:rPr>
          <w:iCs/>
          <w:u w:val="single"/>
        </w:rPr>
        <w:t>Dojčenie</w:t>
      </w:r>
    </w:p>
    <w:p w14:paraId="6584210A" w14:textId="77777777" w:rsidR="009700E5" w:rsidRDefault="002C033C">
      <w:r>
        <w:t>Nie je známe, či sa tocilizumab vylučuje do ľudského mlieka. Vylučovanie tocilizumabu do mlieka sa u zvierat neskúmalo. Rozhodnutie, či ukončiť dojčenie alebo ukončiť/prerušiť liečbu RoActemrou sa má urobiť po zvážení prínosu dojčenia pre dieťa a prínos liečby pre ženu.</w:t>
      </w:r>
    </w:p>
    <w:p w14:paraId="18F465AF" w14:textId="77777777" w:rsidR="009700E5" w:rsidRDefault="009700E5"/>
    <w:p w14:paraId="72EDB75F" w14:textId="77777777" w:rsidR="009700E5" w:rsidRDefault="002C033C">
      <w:r>
        <w:rPr>
          <w:u w:val="single"/>
        </w:rPr>
        <w:t>Fertilita</w:t>
      </w:r>
    </w:p>
    <w:p w14:paraId="24A0BEAF" w14:textId="77777777" w:rsidR="009700E5" w:rsidRDefault="002C033C">
      <w:r>
        <w:t>Dostupné predklinické údaje nenaznačujú vplyv liečby tocilizumabom na fertilitu.</w:t>
      </w:r>
    </w:p>
    <w:p w14:paraId="45C00D20" w14:textId="77777777" w:rsidR="009700E5" w:rsidRDefault="009700E5"/>
    <w:p w14:paraId="73C45E63" w14:textId="77777777" w:rsidR="009700E5" w:rsidRDefault="002C033C">
      <w:pPr>
        <w:keepNext/>
        <w:outlineLvl w:val="0"/>
      </w:pPr>
      <w:r>
        <w:rPr>
          <w:b/>
        </w:rPr>
        <w:t>4.7</w:t>
      </w:r>
      <w:r>
        <w:rPr>
          <w:b/>
        </w:rPr>
        <w:tab/>
      </w:r>
      <w:r>
        <w:rPr>
          <w:b/>
          <w:szCs w:val="22"/>
        </w:rPr>
        <w:t>Ovplyvnenie schopnosti viesť vozidlá a obsluhovať stroje</w:t>
      </w:r>
    </w:p>
    <w:p w14:paraId="4F65ED08" w14:textId="77777777" w:rsidR="009700E5" w:rsidRDefault="009700E5">
      <w:pPr>
        <w:keepNext/>
      </w:pPr>
    </w:p>
    <w:p w14:paraId="1443297F" w14:textId="77777777" w:rsidR="009700E5" w:rsidRDefault="002C033C">
      <w:r>
        <w:rPr>
          <w:szCs w:val="22"/>
        </w:rPr>
        <w:t>RoActemra má malý vplyv na schopnosť viesť vozidlá a obsluhovať stroje, napr. závraty (pozri časť 4.8).</w:t>
      </w:r>
    </w:p>
    <w:p w14:paraId="6F9B9B97" w14:textId="77777777" w:rsidR="009700E5" w:rsidRDefault="009700E5">
      <w:pPr>
        <w:outlineLvl w:val="0"/>
      </w:pPr>
    </w:p>
    <w:p w14:paraId="3FACE15F" w14:textId="77777777" w:rsidR="009700E5" w:rsidRDefault="002C033C">
      <w:pPr>
        <w:keepNext/>
        <w:keepLines/>
        <w:outlineLvl w:val="0"/>
        <w:rPr>
          <w:b/>
        </w:rPr>
      </w:pPr>
      <w:r>
        <w:rPr>
          <w:b/>
        </w:rPr>
        <w:t>4.8</w:t>
      </w:r>
      <w:r>
        <w:rPr>
          <w:b/>
        </w:rPr>
        <w:tab/>
      </w:r>
      <w:r>
        <w:rPr>
          <w:b/>
          <w:szCs w:val="22"/>
        </w:rPr>
        <w:t>Nežiaduce účinky</w:t>
      </w:r>
    </w:p>
    <w:p w14:paraId="664EDA8B" w14:textId="77777777" w:rsidR="009700E5" w:rsidRDefault="009700E5">
      <w:pPr>
        <w:keepNext/>
        <w:keepLines/>
        <w:outlineLvl w:val="0"/>
      </w:pPr>
    </w:p>
    <w:p w14:paraId="7A22E8F3" w14:textId="77777777" w:rsidR="009700E5" w:rsidRDefault="002C033C">
      <w:pPr>
        <w:keepNext/>
        <w:keepLines/>
        <w:rPr>
          <w:szCs w:val="22"/>
          <w:u w:val="single"/>
        </w:rPr>
      </w:pPr>
      <w:r>
        <w:rPr>
          <w:szCs w:val="22"/>
          <w:u w:val="single"/>
        </w:rPr>
        <w:t>Súhrn bezpečnostného profilu</w:t>
      </w:r>
    </w:p>
    <w:p w14:paraId="284FA60B" w14:textId="77777777" w:rsidR="009700E5" w:rsidRDefault="002C033C">
      <w:pPr>
        <w:keepNext/>
        <w:keepLines/>
      </w:pPr>
      <w:r>
        <w:t xml:space="preserve">Bezpečnostný profil bol stanovený na základe 4 510 pacientov vystavených tocilizumabu v klinických skúšaniach; väčšina týchto pacientov sa zúčastnila </w:t>
      </w:r>
      <w:del w:id="1980" w:author="Author" w:date="2025-07-19T23:46:00Z">
        <w:r>
          <w:delText xml:space="preserve">štúdií </w:delText>
        </w:r>
      </w:del>
      <w:ins w:id="1981" w:author="Author" w:date="2025-07-21T10:33:00Z">
        <w:r>
          <w:t xml:space="preserve">klinického </w:t>
        </w:r>
      </w:ins>
      <w:ins w:id="1982" w:author="Author" w:date="2025-07-19T23:46:00Z">
        <w:r>
          <w:t xml:space="preserve">skúšania </w:t>
        </w:r>
      </w:ins>
      <w:r>
        <w:t xml:space="preserve">RA </w:t>
      </w:r>
      <w:ins w:id="1983" w:author="Author" w:date="2025-07-19T23:46:00Z">
        <w:r>
          <w:t xml:space="preserve">u dospelých </w:t>
        </w:r>
      </w:ins>
      <w:r>
        <w:t>(n = 4 009), kým zvyšné údaje pochádzajú z</w:t>
      </w:r>
      <w:del w:id="1984" w:author="Author" w:date="2025-07-21T10:33:00Z">
        <w:r>
          <w:delText>o</w:delText>
        </w:r>
      </w:del>
      <w:r>
        <w:t> </w:t>
      </w:r>
      <w:del w:id="1985" w:author="Author" w:date="2025-07-19T23:46:00Z">
        <w:r>
          <w:delText xml:space="preserve">štúdií </w:delText>
        </w:r>
      </w:del>
      <w:ins w:id="1986" w:author="Author" w:date="2025-07-21T10:33:00Z">
        <w:r>
          <w:t xml:space="preserve">klinických </w:t>
        </w:r>
      </w:ins>
      <w:ins w:id="1987" w:author="Author" w:date="2025-07-19T23:46:00Z">
        <w:r>
          <w:t xml:space="preserve">skúšaní </w:t>
        </w:r>
      </w:ins>
      <w:r>
        <w:t>OBA (n = 149), pJIA (n = 240) a sJIA (n = 112). Bezpečnostný profil tocilizumabu zostáva v týchto indikáciách podobný a nediferencovaný.</w:t>
      </w:r>
    </w:p>
    <w:p w14:paraId="12A1BFE7" w14:textId="77777777" w:rsidR="009700E5" w:rsidRDefault="009700E5"/>
    <w:p w14:paraId="624BB478" w14:textId="77777777" w:rsidR="009700E5" w:rsidRDefault="002C033C">
      <w:r>
        <w:t>Najčastejšie hlásené nežiaduce reakcie boli infekcie horných dýchacích ciest, nazofaryngitída, bolesť hlavy, hypertenzia a zvýšené hodnoty ALT.</w:t>
      </w:r>
    </w:p>
    <w:p w14:paraId="0D57383D" w14:textId="77777777" w:rsidR="009700E5" w:rsidRDefault="009700E5">
      <w:pPr>
        <w:outlineLvl w:val="0"/>
      </w:pPr>
    </w:p>
    <w:p w14:paraId="66152B10" w14:textId="77777777" w:rsidR="009700E5" w:rsidRDefault="002C033C">
      <w:pPr>
        <w:keepNext/>
        <w:keepLines/>
        <w:outlineLvl w:val="0"/>
      </w:pPr>
      <w:r>
        <w:t>Najvážnejšie nežiaduce reakcie boli závažné infekcie, komplikácie divertikulitídy a reakcie z precitlivenosti.</w:t>
      </w:r>
    </w:p>
    <w:p w14:paraId="5521F9C6" w14:textId="77777777" w:rsidR="009700E5" w:rsidRDefault="009700E5">
      <w:pPr>
        <w:outlineLvl w:val="0"/>
      </w:pPr>
    </w:p>
    <w:p w14:paraId="13780F87" w14:textId="77777777" w:rsidR="009700E5" w:rsidRDefault="002C033C">
      <w:pPr>
        <w:rPr>
          <w:color w:val="000000"/>
          <w:szCs w:val="22"/>
          <w:u w:val="single"/>
        </w:rPr>
      </w:pPr>
      <w:r>
        <w:rPr>
          <w:color w:val="000000"/>
          <w:szCs w:val="22"/>
          <w:u w:val="single"/>
        </w:rPr>
        <w:t>Tabuľkový zoznam nežiaducich reakcií</w:t>
      </w:r>
    </w:p>
    <w:p w14:paraId="7FF86569" w14:textId="77777777" w:rsidR="009700E5" w:rsidRDefault="002C033C">
      <w:r>
        <w:t xml:space="preserve">Nežiaduce reakcie z klinických skúšaní a/alebo zo skúseností po uvedení tocilizumabu na trh na základe spontánnych hlásení prípadov, prípadov uvedených v literatúre a prípadov z programov neintervenčných </w:t>
      </w:r>
      <w:del w:id="1988" w:author="Author" w:date="2025-07-19T23:46:00Z">
        <w:r>
          <w:delText xml:space="preserve">štúdií </w:delText>
        </w:r>
      </w:del>
      <w:ins w:id="1989" w:author="Author" w:date="2025-07-21T10:33:00Z">
        <w:r>
          <w:t xml:space="preserve">klinických </w:t>
        </w:r>
      </w:ins>
      <w:ins w:id="1990" w:author="Author" w:date="2025-07-19T23:46:00Z">
        <w:r>
          <w:t>skúšan</w:t>
        </w:r>
      </w:ins>
      <w:ins w:id="1991" w:author="Author" w:date="2025-07-19T23:47:00Z">
        <w:r>
          <w:t>í</w:t>
        </w:r>
      </w:ins>
      <w:ins w:id="1992" w:author="Author" w:date="2025-07-19T23:46:00Z">
        <w:r>
          <w:t xml:space="preserve"> </w:t>
        </w:r>
      </w:ins>
      <w:r>
        <w:t>sú vymenované v tabuľke 1 a uvedené podľa TOS (triedy orgánových systémov) MedDRA. Zodpovedajúca kategória frekvencie pre každú nežiaducu reakciu, je na základe nasledujúceho pravidla: veľmi časté (</w:t>
      </w:r>
      <w:r>
        <w:rPr>
          <w:szCs w:val="22"/>
        </w:rPr>
        <w:t>≥</w:t>
      </w:r>
      <w:r>
        <w:t> 1/10); časté (</w:t>
      </w:r>
      <w:r>
        <w:rPr>
          <w:szCs w:val="22"/>
        </w:rPr>
        <w:t>≥</w:t>
      </w:r>
      <w:r>
        <w:t xml:space="preserve"> 1/100 až </w:t>
      </w:r>
      <w:r>
        <w:rPr>
          <w:rFonts w:eastAsia="MS Mincho"/>
          <w:szCs w:val="22"/>
        </w:rPr>
        <w:sym w:font="Symbol" w:char="F03C"/>
      </w:r>
      <w:r>
        <w:t> 1/10), menej časté (</w:t>
      </w:r>
      <w:r>
        <w:rPr>
          <w:szCs w:val="22"/>
        </w:rPr>
        <w:t>≥</w:t>
      </w:r>
      <w:r>
        <w:t xml:space="preserve"> 1/1 000 až </w:t>
      </w:r>
      <w:r>
        <w:rPr>
          <w:rFonts w:eastAsia="MS Mincho"/>
          <w:szCs w:val="22"/>
        </w:rPr>
        <w:sym w:font="Symbol" w:char="F03C"/>
      </w:r>
      <w:r>
        <w:t> 1/100), zriedkavé (</w:t>
      </w:r>
      <w:r>
        <w:rPr>
          <w:szCs w:val="22"/>
        </w:rPr>
        <w:t>≥ </w:t>
      </w:r>
      <w:r>
        <w:t xml:space="preserve">1/10 000 až </w:t>
      </w:r>
      <w:r>
        <w:rPr>
          <w:rFonts w:eastAsia="MS Mincho"/>
          <w:szCs w:val="22"/>
        </w:rPr>
        <w:sym w:font="Symbol" w:char="F03C"/>
      </w:r>
      <w:r>
        <w:t> 1/1 000), veľmi zriedkavé (</w:t>
      </w:r>
      <w:r>
        <w:rPr>
          <w:rFonts w:eastAsia="MS Mincho"/>
          <w:szCs w:val="22"/>
        </w:rPr>
        <w:sym w:font="Symbol" w:char="F03C"/>
      </w:r>
      <w:r>
        <w:t> 1/10 000) a neznáme (z dostupných údajov). V rámci jednotlivých skupín frekvencií sú nežiaduce účinky usporiadané v poradí klesajúcej závažnosti.</w:t>
      </w:r>
    </w:p>
    <w:p w14:paraId="77577643" w14:textId="77777777" w:rsidR="009700E5" w:rsidRDefault="009700E5"/>
    <w:p w14:paraId="7160D1C3" w14:textId="77777777" w:rsidR="009700E5" w:rsidRDefault="002C033C">
      <w:pPr>
        <w:widowControl w:val="0"/>
        <w:ind w:left="1138" w:hanging="1138"/>
        <w:rPr>
          <w:b/>
        </w:rPr>
      </w:pPr>
      <w:r>
        <w:rPr>
          <w:i/>
        </w:rPr>
        <w:t>Tabuľka 1. Zoznam nežiaducich reakcií vyskytujúcich sa u pacientov liečených tocilizumabom</w:t>
      </w:r>
    </w:p>
    <w:p w14:paraId="2A5C158F" w14:textId="77777777" w:rsidR="009700E5" w:rsidRDefault="009700E5">
      <w:pPr>
        <w:widowControl w:val="0"/>
        <w:rPr>
          <w:sz w:val="18"/>
          <w:szCs w:val="18"/>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31"/>
        <w:gridCol w:w="1531"/>
        <w:gridCol w:w="1531"/>
        <w:gridCol w:w="1531"/>
        <w:gridCol w:w="1531"/>
      </w:tblGrid>
      <w:tr w:rsidR="009700E5" w14:paraId="1F750F19" w14:textId="77777777">
        <w:trPr>
          <w:cantSplit/>
          <w:tblHeader/>
        </w:trPr>
        <w:tc>
          <w:tcPr>
            <w:tcW w:w="1384" w:type="dxa"/>
            <w:vMerge w:val="restart"/>
          </w:tcPr>
          <w:p w14:paraId="29B3E232" w14:textId="77777777" w:rsidR="009700E5" w:rsidRDefault="002C033C">
            <w:pPr>
              <w:widowControl w:val="0"/>
              <w:jc w:val="center"/>
              <w:rPr>
                <w:b/>
              </w:rPr>
            </w:pPr>
            <w:r>
              <w:rPr>
                <w:b/>
              </w:rPr>
              <w:t>TOS MedDRA</w:t>
            </w:r>
          </w:p>
        </w:tc>
        <w:tc>
          <w:tcPr>
            <w:tcW w:w="7655" w:type="dxa"/>
            <w:gridSpan w:val="5"/>
          </w:tcPr>
          <w:p w14:paraId="74F96A6F" w14:textId="77777777" w:rsidR="009700E5" w:rsidRDefault="002C033C">
            <w:pPr>
              <w:widowControl w:val="0"/>
              <w:jc w:val="center"/>
              <w:rPr>
                <w:b/>
              </w:rPr>
            </w:pPr>
            <w:r>
              <w:rPr>
                <w:b/>
              </w:rPr>
              <w:t>Preferovaný termín podľa kategórie frekvencie</w:t>
            </w:r>
          </w:p>
        </w:tc>
      </w:tr>
      <w:tr w:rsidR="009700E5" w14:paraId="16E365A1" w14:textId="77777777">
        <w:trPr>
          <w:cantSplit/>
          <w:tblHeader/>
        </w:trPr>
        <w:tc>
          <w:tcPr>
            <w:tcW w:w="1384" w:type="dxa"/>
            <w:vMerge/>
          </w:tcPr>
          <w:p w14:paraId="68D105C6" w14:textId="77777777" w:rsidR="009700E5" w:rsidRDefault="009700E5">
            <w:pPr>
              <w:widowControl w:val="0"/>
              <w:jc w:val="center"/>
              <w:rPr>
                <w:b/>
              </w:rPr>
            </w:pPr>
          </w:p>
        </w:tc>
        <w:tc>
          <w:tcPr>
            <w:tcW w:w="1531" w:type="dxa"/>
          </w:tcPr>
          <w:p w14:paraId="35D77903" w14:textId="77777777" w:rsidR="009700E5" w:rsidRDefault="002C033C">
            <w:pPr>
              <w:widowControl w:val="0"/>
              <w:jc w:val="center"/>
              <w:rPr>
                <w:b/>
              </w:rPr>
            </w:pPr>
            <w:r>
              <w:rPr>
                <w:b/>
              </w:rPr>
              <w:t>Veľmi časté</w:t>
            </w:r>
          </w:p>
        </w:tc>
        <w:tc>
          <w:tcPr>
            <w:tcW w:w="1531" w:type="dxa"/>
          </w:tcPr>
          <w:p w14:paraId="264A3A23" w14:textId="77777777" w:rsidR="009700E5" w:rsidRDefault="002C033C">
            <w:pPr>
              <w:widowControl w:val="0"/>
              <w:jc w:val="center"/>
              <w:rPr>
                <w:b/>
              </w:rPr>
            </w:pPr>
            <w:r>
              <w:rPr>
                <w:b/>
              </w:rPr>
              <w:t>Časté</w:t>
            </w:r>
          </w:p>
        </w:tc>
        <w:tc>
          <w:tcPr>
            <w:tcW w:w="1531" w:type="dxa"/>
          </w:tcPr>
          <w:p w14:paraId="08A52696" w14:textId="77777777" w:rsidR="009700E5" w:rsidRDefault="002C033C">
            <w:pPr>
              <w:widowControl w:val="0"/>
              <w:jc w:val="center"/>
              <w:rPr>
                <w:b/>
              </w:rPr>
            </w:pPr>
            <w:r>
              <w:rPr>
                <w:b/>
              </w:rPr>
              <w:t>Menej časté</w:t>
            </w:r>
          </w:p>
        </w:tc>
        <w:tc>
          <w:tcPr>
            <w:tcW w:w="1531" w:type="dxa"/>
          </w:tcPr>
          <w:p w14:paraId="42C6021D" w14:textId="77777777" w:rsidR="009700E5" w:rsidRDefault="002C033C">
            <w:pPr>
              <w:widowControl w:val="0"/>
              <w:jc w:val="center"/>
              <w:rPr>
                <w:b/>
              </w:rPr>
            </w:pPr>
            <w:r>
              <w:rPr>
                <w:b/>
              </w:rPr>
              <w:t>Zriedkavé</w:t>
            </w:r>
          </w:p>
        </w:tc>
        <w:tc>
          <w:tcPr>
            <w:tcW w:w="1531" w:type="dxa"/>
          </w:tcPr>
          <w:p w14:paraId="414BE029" w14:textId="77777777" w:rsidR="009700E5" w:rsidRDefault="002C033C">
            <w:pPr>
              <w:widowControl w:val="0"/>
              <w:jc w:val="center"/>
              <w:rPr>
                <w:b/>
              </w:rPr>
            </w:pPr>
            <w:r>
              <w:rPr>
                <w:b/>
              </w:rPr>
              <w:t>Veľmi zriedkavé</w:t>
            </w:r>
          </w:p>
        </w:tc>
      </w:tr>
      <w:tr w:rsidR="009700E5" w14:paraId="46BB9CA6" w14:textId="77777777">
        <w:trPr>
          <w:cantSplit/>
        </w:trPr>
        <w:tc>
          <w:tcPr>
            <w:tcW w:w="1384" w:type="dxa"/>
          </w:tcPr>
          <w:p w14:paraId="2CBE9812" w14:textId="77777777" w:rsidR="009700E5" w:rsidRDefault="002C033C">
            <w:pPr>
              <w:widowControl w:val="0"/>
            </w:pPr>
            <w:r>
              <w:t>Infekcie a nákazy</w:t>
            </w:r>
          </w:p>
        </w:tc>
        <w:tc>
          <w:tcPr>
            <w:tcW w:w="1531" w:type="dxa"/>
          </w:tcPr>
          <w:p w14:paraId="26DCC86D" w14:textId="77777777" w:rsidR="009700E5" w:rsidRDefault="002C033C">
            <w:pPr>
              <w:widowControl w:val="0"/>
            </w:pPr>
            <w:r>
              <w:t>Infekcie horných dýchacích ciest</w:t>
            </w:r>
          </w:p>
        </w:tc>
        <w:tc>
          <w:tcPr>
            <w:tcW w:w="1531" w:type="dxa"/>
          </w:tcPr>
          <w:p w14:paraId="7F01C7EC" w14:textId="77777777" w:rsidR="009700E5" w:rsidRDefault="002C033C">
            <w:pPr>
              <w:widowControl w:val="0"/>
            </w:pPr>
            <w:r>
              <w:t>Celulitída, pneumónia, jednoduchý opar v oblasti úst, pásový opar</w:t>
            </w:r>
          </w:p>
        </w:tc>
        <w:tc>
          <w:tcPr>
            <w:tcW w:w="1531" w:type="dxa"/>
          </w:tcPr>
          <w:p w14:paraId="025FB022" w14:textId="77777777" w:rsidR="009700E5" w:rsidRDefault="002C033C">
            <w:pPr>
              <w:widowControl w:val="0"/>
            </w:pPr>
            <w:r>
              <w:t>Divertikulitída</w:t>
            </w:r>
          </w:p>
        </w:tc>
        <w:tc>
          <w:tcPr>
            <w:tcW w:w="1531" w:type="dxa"/>
          </w:tcPr>
          <w:p w14:paraId="2BF4C485" w14:textId="77777777" w:rsidR="009700E5" w:rsidRDefault="009700E5">
            <w:pPr>
              <w:widowControl w:val="0"/>
            </w:pPr>
          </w:p>
        </w:tc>
        <w:tc>
          <w:tcPr>
            <w:tcW w:w="1531" w:type="dxa"/>
          </w:tcPr>
          <w:p w14:paraId="6823F6B0" w14:textId="77777777" w:rsidR="009700E5" w:rsidRDefault="009700E5">
            <w:pPr>
              <w:widowControl w:val="0"/>
            </w:pPr>
          </w:p>
        </w:tc>
      </w:tr>
      <w:tr w:rsidR="009700E5" w14:paraId="5FF141EF" w14:textId="77777777">
        <w:trPr>
          <w:cantSplit/>
        </w:trPr>
        <w:tc>
          <w:tcPr>
            <w:tcW w:w="1384" w:type="dxa"/>
          </w:tcPr>
          <w:p w14:paraId="2675568F" w14:textId="77777777" w:rsidR="009700E5" w:rsidRDefault="002C033C">
            <w:pPr>
              <w:widowControl w:val="0"/>
            </w:pPr>
            <w:r>
              <w:t>Poruchy krvi a lymfatic-kého systému</w:t>
            </w:r>
          </w:p>
        </w:tc>
        <w:tc>
          <w:tcPr>
            <w:tcW w:w="1531" w:type="dxa"/>
          </w:tcPr>
          <w:p w14:paraId="7E868602" w14:textId="77777777" w:rsidR="009700E5" w:rsidRDefault="009700E5">
            <w:pPr>
              <w:widowControl w:val="0"/>
            </w:pPr>
          </w:p>
        </w:tc>
        <w:tc>
          <w:tcPr>
            <w:tcW w:w="1531" w:type="dxa"/>
          </w:tcPr>
          <w:p w14:paraId="09D007AC" w14:textId="77777777" w:rsidR="009700E5" w:rsidRDefault="002C033C">
            <w:pPr>
              <w:widowControl w:val="0"/>
            </w:pPr>
            <w:r>
              <w:t>Leukopénia, neutropénia, h</w:t>
            </w:r>
            <w:r>
              <w:rPr>
                <w:color w:val="1A1A1A"/>
                <w:szCs w:val="22"/>
                <w:lang w:eastAsia="en-GB"/>
              </w:rPr>
              <w:t>ypofibrino-genémia</w:t>
            </w:r>
          </w:p>
        </w:tc>
        <w:tc>
          <w:tcPr>
            <w:tcW w:w="1531" w:type="dxa"/>
          </w:tcPr>
          <w:p w14:paraId="0CC2F83A" w14:textId="77777777" w:rsidR="009700E5" w:rsidRDefault="009700E5">
            <w:pPr>
              <w:widowControl w:val="0"/>
            </w:pPr>
          </w:p>
        </w:tc>
        <w:tc>
          <w:tcPr>
            <w:tcW w:w="1531" w:type="dxa"/>
          </w:tcPr>
          <w:p w14:paraId="2EB97907" w14:textId="77777777" w:rsidR="009700E5" w:rsidRDefault="009700E5">
            <w:pPr>
              <w:widowControl w:val="0"/>
            </w:pPr>
          </w:p>
        </w:tc>
        <w:tc>
          <w:tcPr>
            <w:tcW w:w="1531" w:type="dxa"/>
          </w:tcPr>
          <w:p w14:paraId="1C64BE9D" w14:textId="77777777" w:rsidR="009700E5" w:rsidRDefault="009700E5">
            <w:pPr>
              <w:widowControl w:val="0"/>
            </w:pPr>
          </w:p>
        </w:tc>
      </w:tr>
      <w:tr w:rsidR="009700E5" w14:paraId="7A4CBAB0" w14:textId="77777777">
        <w:trPr>
          <w:cantSplit/>
        </w:trPr>
        <w:tc>
          <w:tcPr>
            <w:tcW w:w="1384" w:type="dxa"/>
          </w:tcPr>
          <w:p w14:paraId="457B50CE" w14:textId="77777777" w:rsidR="009700E5" w:rsidRDefault="002C033C">
            <w:pPr>
              <w:widowControl w:val="0"/>
            </w:pPr>
            <w:r>
              <w:t>Poruchy imunitného systému</w:t>
            </w:r>
          </w:p>
        </w:tc>
        <w:tc>
          <w:tcPr>
            <w:tcW w:w="1531" w:type="dxa"/>
          </w:tcPr>
          <w:p w14:paraId="26D7C6A7" w14:textId="77777777" w:rsidR="009700E5" w:rsidRDefault="009700E5">
            <w:pPr>
              <w:widowControl w:val="0"/>
            </w:pPr>
          </w:p>
        </w:tc>
        <w:tc>
          <w:tcPr>
            <w:tcW w:w="1531" w:type="dxa"/>
          </w:tcPr>
          <w:p w14:paraId="3EECCA03" w14:textId="77777777" w:rsidR="009700E5" w:rsidRDefault="009700E5">
            <w:pPr>
              <w:widowControl w:val="0"/>
            </w:pPr>
          </w:p>
        </w:tc>
        <w:tc>
          <w:tcPr>
            <w:tcW w:w="1531" w:type="dxa"/>
          </w:tcPr>
          <w:p w14:paraId="1D0EAAA9" w14:textId="77777777" w:rsidR="009700E5" w:rsidRDefault="009700E5">
            <w:pPr>
              <w:widowControl w:val="0"/>
            </w:pPr>
          </w:p>
        </w:tc>
        <w:tc>
          <w:tcPr>
            <w:tcW w:w="1531" w:type="dxa"/>
          </w:tcPr>
          <w:p w14:paraId="56B5D981" w14:textId="77777777" w:rsidR="009700E5" w:rsidRDefault="002C033C">
            <w:pPr>
              <w:widowControl w:val="0"/>
            </w:pPr>
            <w:r>
              <w:t>Anafylaxia (smrteľná)</w:t>
            </w:r>
            <w:r>
              <w:rPr>
                <w:vertAlign w:val="superscript"/>
              </w:rPr>
              <w:t>1, 2, 3</w:t>
            </w:r>
          </w:p>
        </w:tc>
        <w:tc>
          <w:tcPr>
            <w:tcW w:w="1531" w:type="dxa"/>
          </w:tcPr>
          <w:p w14:paraId="196607FA" w14:textId="77777777" w:rsidR="009700E5" w:rsidRDefault="009700E5">
            <w:pPr>
              <w:widowControl w:val="0"/>
            </w:pPr>
          </w:p>
        </w:tc>
      </w:tr>
      <w:tr w:rsidR="009700E5" w14:paraId="14066029" w14:textId="77777777">
        <w:trPr>
          <w:cantSplit/>
        </w:trPr>
        <w:tc>
          <w:tcPr>
            <w:tcW w:w="1384" w:type="dxa"/>
          </w:tcPr>
          <w:p w14:paraId="6CA2ECF8" w14:textId="77777777" w:rsidR="009700E5" w:rsidRDefault="002C033C">
            <w:pPr>
              <w:widowControl w:val="0"/>
            </w:pPr>
            <w:r>
              <w:t>Poruchy endokrinné-ho systému</w:t>
            </w:r>
          </w:p>
        </w:tc>
        <w:tc>
          <w:tcPr>
            <w:tcW w:w="1531" w:type="dxa"/>
          </w:tcPr>
          <w:p w14:paraId="4169C9D3" w14:textId="77777777" w:rsidR="009700E5" w:rsidRDefault="009700E5">
            <w:pPr>
              <w:widowControl w:val="0"/>
            </w:pPr>
          </w:p>
        </w:tc>
        <w:tc>
          <w:tcPr>
            <w:tcW w:w="1531" w:type="dxa"/>
          </w:tcPr>
          <w:p w14:paraId="12707481" w14:textId="77777777" w:rsidR="009700E5" w:rsidRDefault="009700E5">
            <w:pPr>
              <w:widowControl w:val="0"/>
            </w:pPr>
          </w:p>
        </w:tc>
        <w:tc>
          <w:tcPr>
            <w:tcW w:w="1531" w:type="dxa"/>
          </w:tcPr>
          <w:p w14:paraId="7F322BF6" w14:textId="77777777" w:rsidR="009700E5" w:rsidRDefault="002C033C">
            <w:pPr>
              <w:widowControl w:val="0"/>
            </w:pPr>
            <w:r>
              <w:t>Hypotyre-oidizmus</w:t>
            </w:r>
          </w:p>
        </w:tc>
        <w:tc>
          <w:tcPr>
            <w:tcW w:w="1531" w:type="dxa"/>
          </w:tcPr>
          <w:p w14:paraId="42CD77ED" w14:textId="77777777" w:rsidR="009700E5" w:rsidRDefault="009700E5">
            <w:pPr>
              <w:widowControl w:val="0"/>
            </w:pPr>
          </w:p>
        </w:tc>
        <w:tc>
          <w:tcPr>
            <w:tcW w:w="1531" w:type="dxa"/>
          </w:tcPr>
          <w:p w14:paraId="5F7E86CD" w14:textId="77777777" w:rsidR="009700E5" w:rsidRDefault="009700E5">
            <w:pPr>
              <w:widowControl w:val="0"/>
            </w:pPr>
          </w:p>
        </w:tc>
      </w:tr>
      <w:tr w:rsidR="009700E5" w14:paraId="0152384B" w14:textId="77777777">
        <w:trPr>
          <w:cantSplit/>
        </w:trPr>
        <w:tc>
          <w:tcPr>
            <w:tcW w:w="1384" w:type="dxa"/>
          </w:tcPr>
          <w:p w14:paraId="53A3B7C5" w14:textId="77777777" w:rsidR="009700E5" w:rsidRDefault="002C033C">
            <w:pPr>
              <w:widowControl w:val="0"/>
            </w:pPr>
            <w:r>
              <w:t>Poruchy metabolizmu a výživy</w:t>
            </w:r>
          </w:p>
        </w:tc>
        <w:tc>
          <w:tcPr>
            <w:tcW w:w="1531" w:type="dxa"/>
          </w:tcPr>
          <w:p w14:paraId="4ACDE738" w14:textId="77777777" w:rsidR="009700E5" w:rsidRDefault="002C033C">
            <w:pPr>
              <w:widowControl w:val="0"/>
            </w:pPr>
            <w:r>
              <w:t>Hypercholes-terolémia*</w:t>
            </w:r>
          </w:p>
        </w:tc>
        <w:tc>
          <w:tcPr>
            <w:tcW w:w="1531" w:type="dxa"/>
          </w:tcPr>
          <w:p w14:paraId="582C2356" w14:textId="77777777" w:rsidR="009700E5" w:rsidRDefault="009700E5">
            <w:pPr>
              <w:widowControl w:val="0"/>
            </w:pPr>
          </w:p>
        </w:tc>
        <w:tc>
          <w:tcPr>
            <w:tcW w:w="1531" w:type="dxa"/>
          </w:tcPr>
          <w:p w14:paraId="30548BD6" w14:textId="77777777" w:rsidR="009700E5" w:rsidRDefault="002C033C">
            <w:pPr>
              <w:widowControl w:val="0"/>
            </w:pPr>
            <w:r>
              <w:t>Hypertriacyl-glycerolémia</w:t>
            </w:r>
          </w:p>
        </w:tc>
        <w:tc>
          <w:tcPr>
            <w:tcW w:w="1531" w:type="dxa"/>
          </w:tcPr>
          <w:p w14:paraId="3685524E" w14:textId="77777777" w:rsidR="009700E5" w:rsidRDefault="009700E5">
            <w:pPr>
              <w:widowControl w:val="0"/>
            </w:pPr>
          </w:p>
        </w:tc>
        <w:tc>
          <w:tcPr>
            <w:tcW w:w="1531" w:type="dxa"/>
          </w:tcPr>
          <w:p w14:paraId="33B351B4" w14:textId="77777777" w:rsidR="009700E5" w:rsidRDefault="009700E5">
            <w:pPr>
              <w:widowControl w:val="0"/>
            </w:pPr>
          </w:p>
        </w:tc>
      </w:tr>
      <w:tr w:rsidR="009700E5" w14:paraId="765C2B2D" w14:textId="77777777">
        <w:trPr>
          <w:cantSplit/>
        </w:trPr>
        <w:tc>
          <w:tcPr>
            <w:tcW w:w="1384" w:type="dxa"/>
          </w:tcPr>
          <w:p w14:paraId="4A4636D0" w14:textId="77777777" w:rsidR="009700E5" w:rsidRDefault="002C033C">
            <w:pPr>
              <w:widowControl w:val="0"/>
            </w:pPr>
            <w:r>
              <w:lastRenderedPageBreak/>
              <w:t>Poruchy nervového systému</w:t>
            </w:r>
          </w:p>
        </w:tc>
        <w:tc>
          <w:tcPr>
            <w:tcW w:w="1531" w:type="dxa"/>
          </w:tcPr>
          <w:p w14:paraId="02B1B1CB" w14:textId="77777777" w:rsidR="009700E5" w:rsidRDefault="009700E5">
            <w:pPr>
              <w:widowControl w:val="0"/>
            </w:pPr>
          </w:p>
        </w:tc>
        <w:tc>
          <w:tcPr>
            <w:tcW w:w="1531" w:type="dxa"/>
          </w:tcPr>
          <w:p w14:paraId="75FE6AB8" w14:textId="77777777" w:rsidR="009700E5" w:rsidRDefault="002C033C">
            <w:pPr>
              <w:widowControl w:val="0"/>
            </w:pPr>
            <w:r>
              <w:t>Bolesť hlavy, závraty</w:t>
            </w:r>
          </w:p>
        </w:tc>
        <w:tc>
          <w:tcPr>
            <w:tcW w:w="1531" w:type="dxa"/>
          </w:tcPr>
          <w:p w14:paraId="3C511AF8" w14:textId="77777777" w:rsidR="009700E5" w:rsidRDefault="009700E5">
            <w:pPr>
              <w:widowControl w:val="0"/>
            </w:pPr>
          </w:p>
        </w:tc>
        <w:tc>
          <w:tcPr>
            <w:tcW w:w="1531" w:type="dxa"/>
          </w:tcPr>
          <w:p w14:paraId="0E846BE5" w14:textId="77777777" w:rsidR="009700E5" w:rsidRDefault="009700E5">
            <w:pPr>
              <w:widowControl w:val="0"/>
            </w:pPr>
          </w:p>
        </w:tc>
        <w:tc>
          <w:tcPr>
            <w:tcW w:w="1531" w:type="dxa"/>
          </w:tcPr>
          <w:p w14:paraId="092BF4D4" w14:textId="77777777" w:rsidR="009700E5" w:rsidRDefault="009700E5">
            <w:pPr>
              <w:widowControl w:val="0"/>
            </w:pPr>
          </w:p>
        </w:tc>
      </w:tr>
      <w:tr w:rsidR="009700E5" w14:paraId="78AEF0E3" w14:textId="77777777">
        <w:trPr>
          <w:cantSplit/>
        </w:trPr>
        <w:tc>
          <w:tcPr>
            <w:tcW w:w="1384" w:type="dxa"/>
          </w:tcPr>
          <w:p w14:paraId="48F14619" w14:textId="77777777" w:rsidR="009700E5" w:rsidRDefault="002C033C">
            <w:pPr>
              <w:widowControl w:val="0"/>
            </w:pPr>
            <w:r>
              <w:t>Poruchy oka</w:t>
            </w:r>
          </w:p>
        </w:tc>
        <w:tc>
          <w:tcPr>
            <w:tcW w:w="1531" w:type="dxa"/>
          </w:tcPr>
          <w:p w14:paraId="6B1B0485" w14:textId="77777777" w:rsidR="009700E5" w:rsidRDefault="009700E5">
            <w:pPr>
              <w:widowControl w:val="0"/>
            </w:pPr>
          </w:p>
        </w:tc>
        <w:tc>
          <w:tcPr>
            <w:tcW w:w="1531" w:type="dxa"/>
          </w:tcPr>
          <w:p w14:paraId="0689618C" w14:textId="77777777" w:rsidR="009700E5" w:rsidRDefault="002C033C">
            <w:pPr>
              <w:widowControl w:val="0"/>
            </w:pPr>
            <w:r>
              <w:t>Konjunktivi-tída</w:t>
            </w:r>
          </w:p>
        </w:tc>
        <w:tc>
          <w:tcPr>
            <w:tcW w:w="1531" w:type="dxa"/>
          </w:tcPr>
          <w:p w14:paraId="5F6FFBD1" w14:textId="77777777" w:rsidR="009700E5" w:rsidRDefault="009700E5">
            <w:pPr>
              <w:widowControl w:val="0"/>
            </w:pPr>
          </w:p>
        </w:tc>
        <w:tc>
          <w:tcPr>
            <w:tcW w:w="1531" w:type="dxa"/>
          </w:tcPr>
          <w:p w14:paraId="661C7776" w14:textId="77777777" w:rsidR="009700E5" w:rsidRDefault="009700E5">
            <w:pPr>
              <w:widowControl w:val="0"/>
            </w:pPr>
          </w:p>
        </w:tc>
        <w:tc>
          <w:tcPr>
            <w:tcW w:w="1531" w:type="dxa"/>
          </w:tcPr>
          <w:p w14:paraId="6D1FD157" w14:textId="77777777" w:rsidR="009700E5" w:rsidRDefault="009700E5">
            <w:pPr>
              <w:widowControl w:val="0"/>
            </w:pPr>
          </w:p>
        </w:tc>
      </w:tr>
      <w:tr w:rsidR="009700E5" w14:paraId="60633DAA" w14:textId="77777777">
        <w:trPr>
          <w:cantSplit/>
        </w:trPr>
        <w:tc>
          <w:tcPr>
            <w:tcW w:w="1384" w:type="dxa"/>
          </w:tcPr>
          <w:p w14:paraId="6A5C1F16" w14:textId="77777777" w:rsidR="009700E5" w:rsidRDefault="002C033C">
            <w:pPr>
              <w:widowControl w:val="0"/>
            </w:pPr>
            <w:r>
              <w:t>Poruchy ciev</w:t>
            </w:r>
          </w:p>
        </w:tc>
        <w:tc>
          <w:tcPr>
            <w:tcW w:w="1531" w:type="dxa"/>
          </w:tcPr>
          <w:p w14:paraId="6B217B1D" w14:textId="77777777" w:rsidR="009700E5" w:rsidRDefault="009700E5">
            <w:pPr>
              <w:widowControl w:val="0"/>
            </w:pPr>
          </w:p>
        </w:tc>
        <w:tc>
          <w:tcPr>
            <w:tcW w:w="1531" w:type="dxa"/>
          </w:tcPr>
          <w:p w14:paraId="7E7CE57E" w14:textId="77777777" w:rsidR="009700E5" w:rsidRDefault="002C033C">
            <w:pPr>
              <w:widowControl w:val="0"/>
            </w:pPr>
            <w:r>
              <w:t>Hypertenzia</w:t>
            </w:r>
          </w:p>
        </w:tc>
        <w:tc>
          <w:tcPr>
            <w:tcW w:w="1531" w:type="dxa"/>
          </w:tcPr>
          <w:p w14:paraId="187D0A96" w14:textId="77777777" w:rsidR="009700E5" w:rsidRDefault="009700E5">
            <w:pPr>
              <w:widowControl w:val="0"/>
            </w:pPr>
          </w:p>
        </w:tc>
        <w:tc>
          <w:tcPr>
            <w:tcW w:w="1531" w:type="dxa"/>
          </w:tcPr>
          <w:p w14:paraId="100BE10E" w14:textId="77777777" w:rsidR="009700E5" w:rsidRDefault="009700E5">
            <w:pPr>
              <w:widowControl w:val="0"/>
            </w:pPr>
          </w:p>
        </w:tc>
        <w:tc>
          <w:tcPr>
            <w:tcW w:w="1531" w:type="dxa"/>
          </w:tcPr>
          <w:p w14:paraId="32C59148" w14:textId="77777777" w:rsidR="009700E5" w:rsidRDefault="009700E5">
            <w:pPr>
              <w:widowControl w:val="0"/>
            </w:pPr>
          </w:p>
        </w:tc>
      </w:tr>
      <w:tr w:rsidR="009700E5" w14:paraId="18C83D2A" w14:textId="77777777">
        <w:trPr>
          <w:cantSplit/>
        </w:trPr>
        <w:tc>
          <w:tcPr>
            <w:tcW w:w="1384" w:type="dxa"/>
          </w:tcPr>
          <w:p w14:paraId="5A4179AC" w14:textId="77777777" w:rsidR="009700E5" w:rsidRDefault="002C033C">
            <w:pPr>
              <w:widowControl w:val="0"/>
            </w:pPr>
            <w:r>
              <w:t>Poruchy dýchacej sústavy, hrudníka a mediastína</w:t>
            </w:r>
          </w:p>
        </w:tc>
        <w:tc>
          <w:tcPr>
            <w:tcW w:w="1531" w:type="dxa"/>
          </w:tcPr>
          <w:p w14:paraId="1CE5B04D" w14:textId="77777777" w:rsidR="009700E5" w:rsidRDefault="009700E5">
            <w:pPr>
              <w:widowControl w:val="0"/>
            </w:pPr>
          </w:p>
        </w:tc>
        <w:tc>
          <w:tcPr>
            <w:tcW w:w="1531" w:type="dxa"/>
          </w:tcPr>
          <w:p w14:paraId="32A93445" w14:textId="77777777" w:rsidR="009700E5" w:rsidRDefault="002C033C">
            <w:pPr>
              <w:widowControl w:val="0"/>
            </w:pPr>
            <w:r>
              <w:t>Kašeľ, dyspnoe</w:t>
            </w:r>
          </w:p>
        </w:tc>
        <w:tc>
          <w:tcPr>
            <w:tcW w:w="1531" w:type="dxa"/>
          </w:tcPr>
          <w:p w14:paraId="2046FAAF" w14:textId="77777777" w:rsidR="009700E5" w:rsidRDefault="009700E5">
            <w:pPr>
              <w:widowControl w:val="0"/>
            </w:pPr>
          </w:p>
        </w:tc>
        <w:tc>
          <w:tcPr>
            <w:tcW w:w="1531" w:type="dxa"/>
          </w:tcPr>
          <w:p w14:paraId="5E0BC737" w14:textId="77777777" w:rsidR="009700E5" w:rsidRDefault="009700E5">
            <w:pPr>
              <w:widowControl w:val="0"/>
            </w:pPr>
          </w:p>
        </w:tc>
        <w:tc>
          <w:tcPr>
            <w:tcW w:w="1531" w:type="dxa"/>
          </w:tcPr>
          <w:p w14:paraId="04E6794D" w14:textId="77777777" w:rsidR="009700E5" w:rsidRDefault="009700E5">
            <w:pPr>
              <w:widowControl w:val="0"/>
            </w:pPr>
          </w:p>
        </w:tc>
      </w:tr>
      <w:tr w:rsidR="009700E5" w14:paraId="3C3245B7" w14:textId="77777777">
        <w:trPr>
          <w:cantSplit/>
        </w:trPr>
        <w:tc>
          <w:tcPr>
            <w:tcW w:w="1384" w:type="dxa"/>
          </w:tcPr>
          <w:p w14:paraId="54DF44F4" w14:textId="77777777" w:rsidR="009700E5" w:rsidRDefault="002C033C">
            <w:pPr>
              <w:widowControl w:val="0"/>
            </w:pPr>
            <w:r>
              <w:t>Poruchy gastrointes-tinálneho traktu</w:t>
            </w:r>
          </w:p>
        </w:tc>
        <w:tc>
          <w:tcPr>
            <w:tcW w:w="1531" w:type="dxa"/>
          </w:tcPr>
          <w:p w14:paraId="14653689" w14:textId="77777777" w:rsidR="009700E5" w:rsidRDefault="009700E5">
            <w:pPr>
              <w:widowControl w:val="0"/>
            </w:pPr>
          </w:p>
        </w:tc>
        <w:tc>
          <w:tcPr>
            <w:tcW w:w="1531" w:type="dxa"/>
          </w:tcPr>
          <w:p w14:paraId="09E9DCD8" w14:textId="77777777" w:rsidR="009700E5" w:rsidRDefault="002C033C">
            <w:pPr>
              <w:widowControl w:val="0"/>
            </w:pPr>
            <w:r>
              <w:t>Bolesť brucha, ulcerácia v ústnej dutine, gastritída</w:t>
            </w:r>
          </w:p>
        </w:tc>
        <w:tc>
          <w:tcPr>
            <w:tcW w:w="1531" w:type="dxa"/>
          </w:tcPr>
          <w:p w14:paraId="6BCA1159" w14:textId="77777777" w:rsidR="009700E5" w:rsidRDefault="002C033C">
            <w:pPr>
              <w:widowControl w:val="0"/>
            </w:pPr>
            <w:r>
              <w:t>Stomatitída, žalúdočný vred</w:t>
            </w:r>
          </w:p>
        </w:tc>
        <w:tc>
          <w:tcPr>
            <w:tcW w:w="1531" w:type="dxa"/>
          </w:tcPr>
          <w:p w14:paraId="42087D17" w14:textId="77777777" w:rsidR="009700E5" w:rsidRDefault="009700E5">
            <w:pPr>
              <w:widowControl w:val="0"/>
            </w:pPr>
          </w:p>
        </w:tc>
        <w:tc>
          <w:tcPr>
            <w:tcW w:w="1531" w:type="dxa"/>
          </w:tcPr>
          <w:p w14:paraId="5AB3BBA3" w14:textId="77777777" w:rsidR="009700E5" w:rsidRDefault="009700E5">
            <w:pPr>
              <w:widowControl w:val="0"/>
            </w:pPr>
          </w:p>
        </w:tc>
      </w:tr>
      <w:tr w:rsidR="009700E5" w14:paraId="62CDAA17" w14:textId="77777777">
        <w:trPr>
          <w:cantSplit/>
        </w:trPr>
        <w:tc>
          <w:tcPr>
            <w:tcW w:w="1384" w:type="dxa"/>
          </w:tcPr>
          <w:p w14:paraId="6FA94DBA" w14:textId="77777777" w:rsidR="009700E5" w:rsidRDefault="002C033C">
            <w:pPr>
              <w:widowControl w:val="0"/>
            </w:pPr>
            <w:r>
              <w:t>Poruchy pečene a žlčových ciest</w:t>
            </w:r>
          </w:p>
        </w:tc>
        <w:tc>
          <w:tcPr>
            <w:tcW w:w="1531" w:type="dxa"/>
          </w:tcPr>
          <w:p w14:paraId="4D17C704" w14:textId="77777777" w:rsidR="009700E5" w:rsidRDefault="009700E5">
            <w:pPr>
              <w:widowControl w:val="0"/>
            </w:pPr>
          </w:p>
        </w:tc>
        <w:tc>
          <w:tcPr>
            <w:tcW w:w="1531" w:type="dxa"/>
          </w:tcPr>
          <w:p w14:paraId="243AB467" w14:textId="77777777" w:rsidR="009700E5" w:rsidRDefault="009700E5">
            <w:pPr>
              <w:widowControl w:val="0"/>
            </w:pPr>
          </w:p>
        </w:tc>
        <w:tc>
          <w:tcPr>
            <w:tcW w:w="1531" w:type="dxa"/>
          </w:tcPr>
          <w:p w14:paraId="7B27A5FC" w14:textId="77777777" w:rsidR="009700E5" w:rsidRDefault="009700E5">
            <w:pPr>
              <w:widowControl w:val="0"/>
            </w:pPr>
          </w:p>
        </w:tc>
        <w:tc>
          <w:tcPr>
            <w:tcW w:w="1531" w:type="dxa"/>
          </w:tcPr>
          <w:p w14:paraId="3B17BB32" w14:textId="77777777" w:rsidR="009700E5" w:rsidRDefault="002C033C">
            <w:pPr>
              <w:widowControl w:val="0"/>
            </w:pPr>
            <w:r>
              <w:t>Poškodenie pečene vyvolané liekom, hepatitída, žltačka</w:t>
            </w:r>
          </w:p>
        </w:tc>
        <w:tc>
          <w:tcPr>
            <w:tcW w:w="1531" w:type="dxa"/>
          </w:tcPr>
          <w:p w14:paraId="18753061" w14:textId="77777777" w:rsidR="009700E5" w:rsidRDefault="002C033C">
            <w:pPr>
              <w:widowControl w:val="0"/>
            </w:pPr>
            <w:r>
              <w:t>Zlyhávanie pečene</w:t>
            </w:r>
          </w:p>
        </w:tc>
      </w:tr>
      <w:tr w:rsidR="009700E5" w14:paraId="54772D1C" w14:textId="77777777">
        <w:trPr>
          <w:cantSplit/>
        </w:trPr>
        <w:tc>
          <w:tcPr>
            <w:tcW w:w="1384" w:type="dxa"/>
          </w:tcPr>
          <w:p w14:paraId="07031EAF" w14:textId="77777777" w:rsidR="009700E5" w:rsidRDefault="002C033C">
            <w:pPr>
              <w:widowControl w:val="0"/>
            </w:pPr>
            <w:r>
              <w:t>Poruchy kože a podkožné-ho tkaniva</w:t>
            </w:r>
          </w:p>
        </w:tc>
        <w:tc>
          <w:tcPr>
            <w:tcW w:w="1531" w:type="dxa"/>
          </w:tcPr>
          <w:p w14:paraId="1DBCC963" w14:textId="77777777" w:rsidR="009700E5" w:rsidRDefault="009700E5">
            <w:pPr>
              <w:widowControl w:val="0"/>
            </w:pPr>
          </w:p>
        </w:tc>
        <w:tc>
          <w:tcPr>
            <w:tcW w:w="1531" w:type="dxa"/>
          </w:tcPr>
          <w:p w14:paraId="6E869C13" w14:textId="77777777" w:rsidR="009700E5" w:rsidRDefault="002C033C">
            <w:pPr>
              <w:widowControl w:val="0"/>
            </w:pPr>
            <w:r>
              <w:t>Vyrážka, pruritus, urtikária</w:t>
            </w:r>
          </w:p>
        </w:tc>
        <w:tc>
          <w:tcPr>
            <w:tcW w:w="1531" w:type="dxa"/>
          </w:tcPr>
          <w:p w14:paraId="3D1E7F30" w14:textId="77777777" w:rsidR="009700E5" w:rsidRDefault="009700E5">
            <w:pPr>
              <w:widowControl w:val="0"/>
            </w:pPr>
          </w:p>
        </w:tc>
        <w:tc>
          <w:tcPr>
            <w:tcW w:w="1531" w:type="dxa"/>
          </w:tcPr>
          <w:p w14:paraId="560218B2" w14:textId="77777777" w:rsidR="009700E5" w:rsidRDefault="002C033C">
            <w:pPr>
              <w:widowControl w:val="0"/>
            </w:pPr>
            <w:r>
              <w:t>Stevensov-Johnsonov syndróm</w:t>
            </w:r>
            <w:r>
              <w:rPr>
                <w:vertAlign w:val="superscript"/>
              </w:rPr>
              <w:t>3</w:t>
            </w:r>
          </w:p>
        </w:tc>
        <w:tc>
          <w:tcPr>
            <w:tcW w:w="1531" w:type="dxa"/>
          </w:tcPr>
          <w:p w14:paraId="297A50B6" w14:textId="77777777" w:rsidR="009700E5" w:rsidRDefault="009700E5">
            <w:pPr>
              <w:widowControl w:val="0"/>
            </w:pPr>
          </w:p>
        </w:tc>
      </w:tr>
      <w:tr w:rsidR="009700E5" w14:paraId="2953C3AB" w14:textId="77777777">
        <w:trPr>
          <w:cantSplit/>
        </w:trPr>
        <w:tc>
          <w:tcPr>
            <w:tcW w:w="1384" w:type="dxa"/>
          </w:tcPr>
          <w:p w14:paraId="7B0A6096" w14:textId="77777777" w:rsidR="009700E5" w:rsidRDefault="002C033C">
            <w:r>
              <w:t>Poruchy obličiek a močových ciest</w:t>
            </w:r>
          </w:p>
        </w:tc>
        <w:tc>
          <w:tcPr>
            <w:tcW w:w="1531" w:type="dxa"/>
          </w:tcPr>
          <w:p w14:paraId="58285D64" w14:textId="77777777" w:rsidR="009700E5" w:rsidRDefault="009700E5"/>
        </w:tc>
        <w:tc>
          <w:tcPr>
            <w:tcW w:w="1531" w:type="dxa"/>
          </w:tcPr>
          <w:p w14:paraId="1F93ABC2" w14:textId="77777777" w:rsidR="009700E5" w:rsidRDefault="009700E5"/>
        </w:tc>
        <w:tc>
          <w:tcPr>
            <w:tcW w:w="1531" w:type="dxa"/>
          </w:tcPr>
          <w:p w14:paraId="7F30F090" w14:textId="77777777" w:rsidR="009700E5" w:rsidRDefault="002C033C">
            <w:r>
              <w:t>Nefrolitiáza</w:t>
            </w:r>
          </w:p>
        </w:tc>
        <w:tc>
          <w:tcPr>
            <w:tcW w:w="1531" w:type="dxa"/>
          </w:tcPr>
          <w:p w14:paraId="1389C245" w14:textId="77777777" w:rsidR="009700E5" w:rsidRDefault="009700E5"/>
        </w:tc>
        <w:tc>
          <w:tcPr>
            <w:tcW w:w="1531" w:type="dxa"/>
          </w:tcPr>
          <w:p w14:paraId="26EE9195" w14:textId="77777777" w:rsidR="009700E5" w:rsidRDefault="009700E5"/>
        </w:tc>
      </w:tr>
      <w:tr w:rsidR="009700E5" w14:paraId="25A4E8DF" w14:textId="77777777">
        <w:trPr>
          <w:cantSplit/>
        </w:trPr>
        <w:tc>
          <w:tcPr>
            <w:tcW w:w="1384" w:type="dxa"/>
          </w:tcPr>
          <w:p w14:paraId="0D8635FD" w14:textId="77777777" w:rsidR="009700E5" w:rsidRDefault="002C033C">
            <w:r>
              <w:t>Celkové poruchy a reakcie v mieste podania</w:t>
            </w:r>
          </w:p>
        </w:tc>
        <w:tc>
          <w:tcPr>
            <w:tcW w:w="1531" w:type="dxa"/>
          </w:tcPr>
          <w:p w14:paraId="70D1ED98" w14:textId="77777777" w:rsidR="009700E5" w:rsidRDefault="002C033C">
            <w:r>
              <w:t>Reakcia v mieste vpichu</w:t>
            </w:r>
          </w:p>
        </w:tc>
        <w:tc>
          <w:tcPr>
            <w:tcW w:w="1531" w:type="dxa"/>
          </w:tcPr>
          <w:p w14:paraId="4094D362" w14:textId="77777777" w:rsidR="009700E5" w:rsidRDefault="002C033C">
            <w:r>
              <w:t>Periférny edém, reakcia z precitlive-nosti</w:t>
            </w:r>
          </w:p>
        </w:tc>
        <w:tc>
          <w:tcPr>
            <w:tcW w:w="1531" w:type="dxa"/>
          </w:tcPr>
          <w:p w14:paraId="287E377C" w14:textId="77777777" w:rsidR="009700E5" w:rsidRDefault="009700E5"/>
        </w:tc>
        <w:tc>
          <w:tcPr>
            <w:tcW w:w="1531" w:type="dxa"/>
          </w:tcPr>
          <w:p w14:paraId="0D236492" w14:textId="77777777" w:rsidR="009700E5" w:rsidRDefault="009700E5"/>
        </w:tc>
        <w:tc>
          <w:tcPr>
            <w:tcW w:w="1531" w:type="dxa"/>
          </w:tcPr>
          <w:p w14:paraId="21D5E452" w14:textId="77777777" w:rsidR="009700E5" w:rsidRDefault="009700E5"/>
        </w:tc>
      </w:tr>
      <w:tr w:rsidR="009700E5" w14:paraId="2F55FAA2" w14:textId="77777777">
        <w:trPr>
          <w:cantSplit/>
        </w:trPr>
        <w:tc>
          <w:tcPr>
            <w:tcW w:w="1384" w:type="dxa"/>
          </w:tcPr>
          <w:p w14:paraId="428666A3" w14:textId="77777777" w:rsidR="009700E5" w:rsidRDefault="002C033C">
            <w:r>
              <w:t>Laboratórne a funkčné vyšetrenia</w:t>
            </w:r>
          </w:p>
        </w:tc>
        <w:tc>
          <w:tcPr>
            <w:tcW w:w="1531" w:type="dxa"/>
          </w:tcPr>
          <w:p w14:paraId="391C5AD3" w14:textId="77777777" w:rsidR="009700E5" w:rsidRDefault="009700E5"/>
        </w:tc>
        <w:tc>
          <w:tcPr>
            <w:tcW w:w="1531" w:type="dxa"/>
          </w:tcPr>
          <w:p w14:paraId="0FD521CE" w14:textId="77777777" w:rsidR="009700E5" w:rsidRDefault="002C033C">
            <w:r>
              <w:t>Zvýšené hodnoty pečeňových transamináz, zvýšenie telesnej hmotnosti, zvýšené hodnoty celkového bilirubínu*</w:t>
            </w:r>
          </w:p>
        </w:tc>
        <w:tc>
          <w:tcPr>
            <w:tcW w:w="1531" w:type="dxa"/>
          </w:tcPr>
          <w:p w14:paraId="7E7E8472" w14:textId="77777777" w:rsidR="009700E5" w:rsidRDefault="009700E5"/>
        </w:tc>
        <w:tc>
          <w:tcPr>
            <w:tcW w:w="1531" w:type="dxa"/>
          </w:tcPr>
          <w:p w14:paraId="56ABF47C" w14:textId="77777777" w:rsidR="009700E5" w:rsidRDefault="009700E5"/>
        </w:tc>
        <w:tc>
          <w:tcPr>
            <w:tcW w:w="1531" w:type="dxa"/>
          </w:tcPr>
          <w:p w14:paraId="1DCF289E" w14:textId="77777777" w:rsidR="009700E5" w:rsidRDefault="009700E5"/>
        </w:tc>
      </w:tr>
    </w:tbl>
    <w:p w14:paraId="107CEC66" w14:textId="77777777" w:rsidR="009700E5" w:rsidRDefault="002C033C">
      <w:pPr>
        <w:rPr>
          <w:sz w:val="18"/>
          <w:szCs w:val="18"/>
        </w:rPr>
      </w:pPr>
      <w:r>
        <w:rPr>
          <w:sz w:val="18"/>
          <w:szCs w:val="18"/>
        </w:rPr>
        <w:t>*Zahŕňa zvýšenia zozbierané ako časť rutinného laboratórneho pozorovania (pozri text nižšie).</w:t>
      </w:r>
    </w:p>
    <w:p w14:paraId="2385CCD7" w14:textId="77777777" w:rsidR="009700E5" w:rsidRDefault="002C033C">
      <w:pPr>
        <w:rPr>
          <w:sz w:val="18"/>
          <w:szCs w:val="18"/>
        </w:rPr>
      </w:pPr>
      <w:r>
        <w:rPr>
          <w:sz w:val="18"/>
          <w:szCs w:val="18"/>
          <w:vertAlign w:val="superscript"/>
        </w:rPr>
        <w:t>1</w:t>
      </w:r>
      <w:r>
        <w:rPr>
          <w:sz w:val="18"/>
          <w:szCs w:val="18"/>
        </w:rPr>
        <w:t xml:space="preserve"> Pozri časť 4.3.</w:t>
      </w:r>
    </w:p>
    <w:p w14:paraId="5F100807" w14:textId="77777777" w:rsidR="009700E5" w:rsidRDefault="002C033C">
      <w:pPr>
        <w:rPr>
          <w:sz w:val="18"/>
          <w:szCs w:val="18"/>
        </w:rPr>
      </w:pPr>
      <w:r>
        <w:rPr>
          <w:sz w:val="18"/>
          <w:szCs w:val="18"/>
          <w:vertAlign w:val="superscript"/>
        </w:rPr>
        <w:t>2</w:t>
      </w:r>
      <w:r>
        <w:rPr>
          <w:sz w:val="18"/>
          <w:szCs w:val="18"/>
        </w:rPr>
        <w:t xml:space="preserve"> Pozri časť 4.4.</w:t>
      </w:r>
    </w:p>
    <w:p w14:paraId="0510F007" w14:textId="77777777" w:rsidR="009700E5" w:rsidRDefault="002C033C">
      <w:pPr>
        <w:rPr>
          <w:sz w:val="18"/>
          <w:szCs w:val="18"/>
        </w:rPr>
      </w:pPr>
      <w:r>
        <w:rPr>
          <w:sz w:val="18"/>
          <w:szCs w:val="18"/>
          <w:vertAlign w:val="superscript"/>
        </w:rPr>
        <w:t>3</w:t>
      </w:r>
      <w:r>
        <w:rPr>
          <w:sz w:val="18"/>
          <w:szCs w:val="18"/>
        </w:rPr>
        <w:t xml:space="preserve"> Táto nežiaduca reakcia sa zistila sledovaním lieku po uvedení na trh, ale nepozorovala sa v kontrolovaných klinických skúšaniach. Kategória frekvencie bola odhadnutá ako horná hranica 95 % intervalu spoľahlivosti vypočítaná na základe celkového počtu pacientov vystavených tocilizumabu v klinických skúšaniach.</w:t>
      </w:r>
    </w:p>
    <w:p w14:paraId="75D4FD34" w14:textId="77777777" w:rsidR="009700E5" w:rsidRDefault="009700E5">
      <w:pPr>
        <w:rPr>
          <w:sz w:val="18"/>
          <w:szCs w:val="18"/>
        </w:rPr>
      </w:pPr>
    </w:p>
    <w:p w14:paraId="0702AABB" w14:textId="77777777" w:rsidR="009700E5" w:rsidRDefault="002C033C">
      <w:pPr>
        <w:autoSpaceDE w:val="0"/>
        <w:autoSpaceDN w:val="0"/>
        <w:adjustRightInd w:val="0"/>
        <w:rPr>
          <w:rFonts w:eastAsia="SimSun"/>
          <w:szCs w:val="22"/>
          <w:u w:val="single"/>
          <w:lang w:eastAsia="zh-CN"/>
        </w:rPr>
      </w:pPr>
      <w:r>
        <w:rPr>
          <w:iCs/>
          <w:szCs w:val="22"/>
          <w:u w:val="single"/>
        </w:rPr>
        <w:t>Opis vybraných nežiaducich reakcií (s</w:t>
      </w:r>
      <w:r>
        <w:rPr>
          <w:rFonts w:eastAsia="SimSun"/>
          <w:szCs w:val="22"/>
          <w:u w:val="single"/>
          <w:lang w:eastAsia="zh-CN"/>
        </w:rPr>
        <w:t>ubkutánne použitie)</w:t>
      </w:r>
    </w:p>
    <w:p w14:paraId="0C5C7EB6" w14:textId="77777777" w:rsidR="009700E5" w:rsidRDefault="002C033C">
      <w:pPr>
        <w:autoSpaceDE w:val="0"/>
        <w:autoSpaceDN w:val="0"/>
        <w:adjustRightInd w:val="0"/>
        <w:rPr>
          <w:rFonts w:eastAsia="SimSun"/>
          <w:bCs/>
          <w:i/>
          <w:iCs/>
          <w:szCs w:val="22"/>
          <w:lang w:eastAsia="zh-CN"/>
        </w:rPr>
      </w:pPr>
      <w:r>
        <w:rPr>
          <w:rFonts w:eastAsia="SimSun"/>
          <w:bCs/>
          <w:i/>
          <w:iCs/>
          <w:szCs w:val="22"/>
          <w:lang w:eastAsia="zh-CN"/>
        </w:rPr>
        <w:t>Pacienti s RA</w:t>
      </w:r>
    </w:p>
    <w:p w14:paraId="5375B720" w14:textId="77777777" w:rsidR="009700E5" w:rsidRDefault="002C033C">
      <w:pPr>
        <w:autoSpaceDE w:val="0"/>
        <w:autoSpaceDN w:val="0"/>
        <w:adjustRightInd w:val="0"/>
        <w:rPr>
          <w:rFonts w:eastAsia="SimSun"/>
          <w:szCs w:val="22"/>
          <w:lang w:eastAsia="zh-CN"/>
        </w:rPr>
      </w:pPr>
      <w:r>
        <w:rPr>
          <w:rFonts w:eastAsia="SimSun"/>
          <w:szCs w:val="22"/>
          <w:lang w:eastAsia="zh-CN"/>
        </w:rPr>
        <w:lastRenderedPageBreak/>
        <w:t>Bezpečnosť subkutánne podávaného tocilizumabu pri RA sa hodnotila v dvojito zaslepen</w:t>
      </w:r>
      <w:ins w:id="1993" w:author="Author" w:date="2025-07-19T23:48:00Z">
        <w:r>
          <w:rPr>
            <w:rFonts w:eastAsia="SimSun"/>
            <w:szCs w:val="22"/>
            <w:lang w:eastAsia="zh-CN"/>
          </w:rPr>
          <w:t>om</w:t>
        </w:r>
      </w:ins>
      <w:del w:id="1994" w:author="Author" w:date="2025-07-19T23:48:00Z">
        <w:r>
          <w:rPr>
            <w:rFonts w:eastAsia="SimSun"/>
            <w:szCs w:val="22"/>
            <w:lang w:eastAsia="zh-CN"/>
          </w:rPr>
          <w:delText>ej</w:delText>
        </w:r>
      </w:del>
      <w:r>
        <w:rPr>
          <w:rFonts w:eastAsia="SimSun"/>
          <w:szCs w:val="22"/>
          <w:lang w:eastAsia="zh-CN"/>
        </w:rPr>
        <w:t>, kontrolovan</w:t>
      </w:r>
      <w:ins w:id="1995" w:author="Author" w:date="2025-07-19T23:48:00Z">
        <w:r>
          <w:rPr>
            <w:rFonts w:eastAsia="SimSun"/>
            <w:szCs w:val="22"/>
            <w:lang w:eastAsia="zh-CN"/>
          </w:rPr>
          <w:t>om</w:t>
        </w:r>
      </w:ins>
      <w:del w:id="1996" w:author="Author" w:date="2025-07-19T23:48:00Z">
        <w:r>
          <w:rPr>
            <w:rFonts w:eastAsia="SimSun"/>
            <w:szCs w:val="22"/>
            <w:lang w:eastAsia="zh-CN"/>
          </w:rPr>
          <w:delText>ej</w:delText>
        </w:r>
      </w:del>
      <w:r>
        <w:rPr>
          <w:rFonts w:eastAsia="SimSun"/>
          <w:szCs w:val="22"/>
          <w:lang w:eastAsia="zh-CN"/>
        </w:rPr>
        <w:t>, multicentrick</w:t>
      </w:r>
      <w:ins w:id="1997" w:author="Author" w:date="2025-07-19T23:48:00Z">
        <w:r>
          <w:rPr>
            <w:rFonts w:eastAsia="SimSun"/>
            <w:szCs w:val="22"/>
            <w:lang w:eastAsia="zh-CN"/>
          </w:rPr>
          <w:t xml:space="preserve">om </w:t>
        </w:r>
      </w:ins>
      <w:ins w:id="1998" w:author="Author" w:date="2025-07-21T10:34:00Z">
        <w:r>
          <w:rPr>
            <w:rFonts w:eastAsia="SimSun"/>
            <w:szCs w:val="22"/>
            <w:lang w:eastAsia="zh-CN"/>
          </w:rPr>
          <w:t xml:space="preserve">klinickom </w:t>
        </w:r>
      </w:ins>
      <w:ins w:id="1999" w:author="Author" w:date="2025-07-19T23:48:00Z">
        <w:r>
          <w:rPr>
            <w:rFonts w:eastAsia="SimSun"/>
            <w:szCs w:val="22"/>
            <w:lang w:eastAsia="zh-CN"/>
          </w:rPr>
          <w:t>skúšaní</w:t>
        </w:r>
      </w:ins>
      <w:del w:id="2000" w:author="Author" w:date="2025-07-19T23:48:00Z">
        <w:r>
          <w:rPr>
            <w:rFonts w:eastAsia="SimSun"/>
            <w:szCs w:val="22"/>
            <w:lang w:eastAsia="zh-CN"/>
          </w:rPr>
          <w:delText>ej štúdii</w:delText>
        </w:r>
      </w:del>
      <w:r>
        <w:rPr>
          <w:rFonts w:eastAsia="SimSun"/>
          <w:szCs w:val="22"/>
          <w:lang w:eastAsia="zh-CN"/>
        </w:rPr>
        <w:t>, SC</w:t>
      </w:r>
      <w:r>
        <w:rPr>
          <w:rFonts w:eastAsia="SimSun"/>
          <w:szCs w:val="22"/>
          <w:lang w:eastAsia="zh-CN"/>
        </w:rPr>
        <w:noBreakHyphen/>
        <w:t>I. SC</w:t>
      </w:r>
      <w:r>
        <w:rPr>
          <w:rFonts w:eastAsia="SimSun"/>
          <w:szCs w:val="22"/>
          <w:lang w:eastAsia="zh-CN"/>
        </w:rPr>
        <w:noBreakHyphen/>
        <w:t>I bol</w:t>
      </w:r>
      <w:ins w:id="2001" w:author="Author" w:date="2025-07-19T23:48:00Z">
        <w:r>
          <w:rPr>
            <w:rFonts w:eastAsia="SimSun"/>
            <w:szCs w:val="22"/>
            <w:lang w:eastAsia="zh-CN"/>
          </w:rPr>
          <w:t xml:space="preserve">o </w:t>
        </w:r>
      </w:ins>
      <w:ins w:id="2002" w:author="Author" w:date="2025-07-21T10:34:00Z">
        <w:r>
          <w:rPr>
            <w:rFonts w:eastAsia="SimSun"/>
            <w:szCs w:val="22"/>
            <w:lang w:eastAsia="zh-CN"/>
          </w:rPr>
          <w:t xml:space="preserve">klinické </w:t>
        </w:r>
      </w:ins>
      <w:ins w:id="2003" w:author="Author" w:date="2025-07-19T23:48:00Z">
        <w:r>
          <w:rPr>
            <w:rFonts w:eastAsia="SimSun"/>
            <w:szCs w:val="22"/>
            <w:lang w:eastAsia="zh-CN"/>
          </w:rPr>
          <w:t>skúšanie</w:t>
        </w:r>
      </w:ins>
      <w:del w:id="2004" w:author="Author" w:date="2025-07-19T23:48:00Z">
        <w:r>
          <w:rPr>
            <w:rFonts w:eastAsia="SimSun"/>
            <w:szCs w:val="22"/>
            <w:lang w:eastAsia="zh-CN"/>
          </w:rPr>
          <w:delText>a štúdia</w:delText>
        </w:r>
      </w:del>
      <w:r>
        <w:rPr>
          <w:rFonts w:eastAsia="SimSun"/>
          <w:szCs w:val="22"/>
          <w:lang w:eastAsia="zh-CN"/>
        </w:rPr>
        <w:t xml:space="preserve"> noninferiority, </w:t>
      </w:r>
      <w:del w:id="2005" w:author="Author" w:date="2025-07-19T23:48:00Z">
        <w:r>
          <w:rPr>
            <w:rFonts w:eastAsia="SimSun"/>
            <w:szCs w:val="22"/>
            <w:lang w:eastAsia="zh-CN"/>
          </w:rPr>
          <w:delText xml:space="preserve">ktorá </w:delText>
        </w:r>
      </w:del>
      <w:ins w:id="2006" w:author="Author" w:date="2025-07-19T23:48:00Z">
        <w:r>
          <w:rPr>
            <w:rFonts w:eastAsia="SimSun"/>
            <w:szCs w:val="22"/>
            <w:lang w:eastAsia="zh-CN"/>
          </w:rPr>
          <w:t xml:space="preserve">ktoré </w:t>
        </w:r>
      </w:ins>
      <w:del w:id="2007" w:author="Author" w:date="2025-07-19T23:48:00Z">
        <w:r>
          <w:rPr>
            <w:rFonts w:eastAsia="SimSun"/>
            <w:szCs w:val="22"/>
            <w:lang w:eastAsia="zh-CN"/>
          </w:rPr>
          <w:delText xml:space="preserve">porovnávala </w:delText>
        </w:r>
      </w:del>
      <w:ins w:id="2008" w:author="Author" w:date="2025-07-19T23:48:00Z">
        <w:r>
          <w:rPr>
            <w:rFonts w:eastAsia="SimSun"/>
            <w:szCs w:val="22"/>
            <w:lang w:eastAsia="zh-CN"/>
          </w:rPr>
          <w:t xml:space="preserve">porovnávalo </w:t>
        </w:r>
      </w:ins>
      <w:r>
        <w:rPr>
          <w:rFonts w:eastAsia="SimSun"/>
          <w:szCs w:val="22"/>
          <w:lang w:eastAsia="zh-CN"/>
        </w:rPr>
        <w:t xml:space="preserve">účinnosť a bezpečnosť dávky 162 mg podávanej raz za týždeň s intravenóznou dávkou 8 mg/kg u 1 262 pacientov s RA. Všetkým pacientom boli v rámci základnej liečby podávané nebiologické DMARD. Bezpečnosť a imunogenicita pozorované pri subkutánne podávanom tocilizumabe sa </w:t>
      </w:r>
      <w:r>
        <w:t xml:space="preserve">zhodovali so známym bezpečnostných profilom intravenózne podávaného </w:t>
      </w:r>
      <w:r>
        <w:rPr>
          <w:rFonts w:eastAsia="SimSun"/>
          <w:szCs w:val="22"/>
          <w:lang w:eastAsia="zh-CN"/>
        </w:rPr>
        <w:t>tocilizumabu</w:t>
      </w:r>
      <w:r>
        <w:t xml:space="preserve"> a nepozorovali sa žiadne nové alebo neočakávané nežiaduce reakcie</w:t>
      </w:r>
      <w:r>
        <w:rPr>
          <w:rFonts w:eastAsia="SimSun"/>
          <w:szCs w:val="22"/>
          <w:lang w:eastAsia="zh-CN"/>
        </w:rPr>
        <w:t xml:space="preserve"> (pozri tabuľku 1). Vyšší výskyt reakcií v mieste vpichu sa pozoroval v skupine so subkutánnym tocilizumabom v porovnaní so subkutánnymi injekciami placeba v skupinách s intravenóznym podávaním.</w:t>
      </w:r>
    </w:p>
    <w:p w14:paraId="65FF2A81" w14:textId="77777777" w:rsidR="009700E5" w:rsidRDefault="009700E5">
      <w:pPr>
        <w:autoSpaceDE w:val="0"/>
        <w:autoSpaceDN w:val="0"/>
        <w:adjustRightInd w:val="0"/>
        <w:rPr>
          <w:rFonts w:eastAsia="SimSun"/>
          <w:szCs w:val="22"/>
          <w:lang w:eastAsia="zh-CN"/>
        </w:rPr>
      </w:pPr>
    </w:p>
    <w:p w14:paraId="090E7594" w14:textId="77777777" w:rsidR="009700E5" w:rsidRDefault="002C033C">
      <w:pPr>
        <w:keepNext/>
        <w:keepLines/>
        <w:rPr>
          <w:i/>
          <w:u w:val="single"/>
        </w:rPr>
      </w:pPr>
      <w:r>
        <w:rPr>
          <w:i/>
          <w:u w:val="single"/>
        </w:rPr>
        <w:t>Reakcie v mieste podania injekcie</w:t>
      </w:r>
    </w:p>
    <w:p w14:paraId="0AC152A9" w14:textId="77777777" w:rsidR="009700E5" w:rsidRDefault="002C033C">
      <w:pPr>
        <w:keepNext/>
        <w:keepLines/>
      </w:pPr>
      <w:r>
        <w:t>V</w:t>
      </w:r>
      <w:del w:id="2009" w:author="Author" w:date="2025-07-19T23:49:00Z">
        <w:r>
          <w:delText xml:space="preserve"> </w:delText>
        </w:r>
      </w:del>
      <w:ins w:id="2010" w:author="Author" w:date="2025-07-19T23:49:00Z">
        <w:r>
          <w:t> </w:t>
        </w:r>
      </w:ins>
      <w:del w:id="2011" w:author="Author" w:date="2025-07-19T23:49:00Z">
        <w:r>
          <w:delText xml:space="preserve">štúdii </w:delText>
        </w:r>
      </w:del>
      <w:ins w:id="2012" w:author="Author" w:date="2025-07-21T10:34:00Z">
        <w:r>
          <w:t xml:space="preserve">klinickom </w:t>
        </w:r>
      </w:ins>
      <w:ins w:id="2013" w:author="Author" w:date="2025-07-19T23:49:00Z">
        <w:r>
          <w:t xml:space="preserve">skúšaní </w:t>
        </w:r>
      </w:ins>
      <w:r>
        <w:t>SC</w:t>
      </w:r>
      <w:r>
        <w:noBreakHyphen/>
        <w:t>I bol počas 6</w:t>
      </w:r>
      <w:r>
        <w:noBreakHyphen/>
        <w:t xml:space="preserve">mesačného kontrolovaného obdobia výskyt reakcií v mieste vpichu 10,1 % (64/631) pri subkutánnom </w:t>
      </w:r>
      <w:r>
        <w:rPr>
          <w:rFonts w:eastAsia="SimSun"/>
          <w:szCs w:val="22"/>
          <w:lang w:eastAsia="zh-CN"/>
        </w:rPr>
        <w:t>tocilizumabe</w:t>
      </w:r>
      <w:r>
        <w:t xml:space="preserve"> a 2,4 % (15/631) pri subkutánnych injekciách placeba (skupina s intravenóznym podávaním) podávaných raz za týždeň. Tieto reakcie v mieste vpichu (vrátane erytému, pruritu, bolesti a hematómu) boli mierne až stredne závažné. Väčšina z nich ustúpila bez potreby akejkoľvek liečby a žiadna nevyžadovala ukončenie liečby.</w:t>
      </w:r>
    </w:p>
    <w:p w14:paraId="358CD119" w14:textId="77777777" w:rsidR="009700E5" w:rsidRDefault="009700E5"/>
    <w:p w14:paraId="763E6C4B" w14:textId="77777777" w:rsidR="009700E5" w:rsidRDefault="002C033C">
      <w:pPr>
        <w:outlineLvl w:val="0"/>
        <w:rPr>
          <w:i/>
          <w:u w:val="single"/>
        </w:rPr>
      </w:pPr>
      <w:r>
        <w:rPr>
          <w:i/>
          <w:u w:val="single"/>
        </w:rPr>
        <w:t>Imunogenicita</w:t>
      </w:r>
    </w:p>
    <w:p w14:paraId="53CD6CA3" w14:textId="77777777" w:rsidR="009700E5" w:rsidRDefault="002C033C">
      <w:pPr>
        <w:outlineLvl w:val="0"/>
      </w:pPr>
      <w:r>
        <w:t>V </w:t>
      </w:r>
      <w:del w:id="2014" w:author="Author" w:date="2025-07-19T23:49:00Z">
        <w:r>
          <w:delText xml:space="preserve">štúdii </w:delText>
        </w:r>
      </w:del>
      <w:ins w:id="2015" w:author="Author" w:date="2025-07-21T10:34:00Z">
        <w:r>
          <w:t xml:space="preserve">klinickom </w:t>
        </w:r>
      </w:ins>
      <w:ins w:id="2016" w:author="Author" w:date="2025-07-19T23:49:00Z">
        <w:r>
          <w:t xml:space="preserve">skúšaní </w:t>
        </w:r>
      </w:ins>
      <w:r>
        <w:t>SC</w:t>
      </w:r>
      <w:r>
        <w:noBreakHyphen/>
        <w:t xml:space="preserve">I bolo celkovo 625 pacientov liečených </w:t>
      </w:r>
      <w:r>
        <w:rPr>
          <w:rFonts w:eastAsia="SimSun"/>
          <w:szCs w:val="22"/>
          <w:lang w:eastAsia="zh-CN"/>
        </w:rPr>
        <w:t>tocilizumabom</w:t>
      </w:r>
      <w:r>
        <w:t xml:space="preserve"> v dávke 162 mg podávanej raz za týždeň vyšetrených na protilátky proti </w:t>
      </w:r>
      <w:r>
        <w:rPr>
          <w:rFonts w:eastAsia="SimSun"/>
          <w:szCs w:val="22"/>
          <w:lang w:eastAsia="zh-CN"/>
        </w:rPr>
        <w:t>tocilizumabu</w:t>
      </w:r>
      <w:r>
        <w:t xml:space="preserve"> v 6</w:t>
      </w:r>
      <w:r>
        <w:noBreakHyphen/>
        <w:t xml:space="preserve">mesačnom kontrolovanom období. U piatich pacientov (0,8 %) sa zistila pozitivita protilátok proti </w:t>
      </w:r>
      <w:r>
        <w:rPr>
          <w:rFonts w:eastAsia="SimSun"/>
          <w:szCs w:val="22"/>
          <w:lang w:eastAsia="zh-CN"/>
        </w:rPr>
        <w:t>tocilizumabu</w:t>
      </w:r>
      <w:r>
        <w:t xml:space="preserve">; u všetkých z nich sa vytvorili neutralizujúce protilátky proti </w:t>
      </w:r>
      <w:r>
        <w:rPr>
          <w:rFonts w:eastAsia="SimSun"/>
          <w:szCs w:val="22"/>
          <w:lang w:eastAsia="zh-CN"/>
        </w:rPr>
        <w:t>tocilizumabu</w:t>
      </w:r>
      <w:r>
        <w:t>. U jedného pacienta sa zistila pozitivita protilátok izotypu IgE (0,2 %).</w:t>
      </w:r>
    </w:p>
    <w:p w14:paraId="0ACD7891" w14:textId="77777777" w:rsidR="009700E5" w:rsidRDefault="009700E5">
      <w:pPr>
        <w:outlineLvl w:val="0"/>
      </w:pPr>
    </w:p>
    <w:p w14:paraId="079713DE" w14:textId="77777777" w:rsidR="009700E5" w:rsidRDefault="002C033C">
      <w:pPr>
        <w:outlineLvl w:val="0"/>
      </w:pPr>
      <w:r>
        <w:t>V</w:t>
      </w:r>
      <w:del w:id="2017" w:author="Author" w:date="2025-07-21T10:34:00Z">
        <w:r>
          <w:delText> </w:delText>
        </w:r>
      </w:del>
      <w:ins w:id="2018" w:author="Author" w:date="2025-07-21T10:34:00Z">
        <w:r>
          <w:t> </w:t>
        </w:r>
      </w:ins>
      <w:del w:id="2019" w:author="Author" w:date="2025-07-19T23:49:00Z">
        <w:r>
          <w:delText>štúdii</w:delText>
        </w:r>
      </w:del>
      <w:ins w:id="2020" w:author="Author" w:date="2025-07-21T10:34:00Z">
        <w:r>
          <w:t>klinickom</w:t>
        </w:r>
      </w:ins>
      <w:del w:id="2021" w:author="Author" w:date="2025-07-19T23:49:00Z">
        <w:r>
          <w:delText xml:space="preserve"> </w:delText>
        </w:r>
      </w:del>
      <w:ins w:id="2022" w:author="Author" w:date="2025-07-21T11:31:00Z">
        <w:r>
          <w:t xml:space="preserve"> </w:t>
        </w:r>
      </w:ins>
      <w:ins w:id="2023" w:author="Author" w:date="2025-07-19T23:49:00Z">
        <w:r>
          <w:t xml:space="preserve">skúšaní </w:t>
        </w:r>
      </w:ins>
      <w:r>
        <w:t>SC</w:t>
      </w:r>
      <w:r>
        <w:noBreakHyphen/>
        <w:t xml:space="preserve">II bolo celkovo 434 pacientov liečených </w:t>
      </w:r>
      <w:r>
        <w:rPr>
          <w:rFonts w:eastAsia="SimSun"/>
          <w:szCs w:val="22"/>
          <w:lang w:eastAsia="zh-CN"/>
        </w:rPr>
        <w:t>tocilizumabom</w:t>
      </w:r>
      <w:r>
        <w:t xml:space="preserve"> v dávke 162 mg podávanej každý druhý týždeň vyšetrených na protilátky proti </w:t>
      </w:r>
      <w:r>
        <w:rPr>
          <w:rFonts w:eastAsia="SimSun"/>
          <w:szCs w:val="22"/>
          <w:lang w:eastAsia="zh-CN"/>
        </w:rPr>
        <w:t>tocilizumabu</w:t>
      </w:r>
      <w:r>
        <w:t xml:space="preserve"> v 6</w:t>
      </w:r>
      <w:r>
        <w:noBreakHyphen/>
        <w:t xml:space="preserve">mesačnom kontrolovanom období. U siedmich pacientov (1,6 %) sa zistila pozitivita protilátok proti </w:t>
      </w:r>
      <w:r>
        <w:rPr>
          <w:rFonts w:eastAsia="SimSun"/>
          <w:szCs w:val="22"/>
          <w:lang w:eastAsia="zh-CN"/>
        </w:rPr>
        <w:t>tocilizumabu</w:t>
      </w:r>
      <w:r>
        <w:t>: u šiestich z nich (1,4 %) sa vytvorili neutralizujúce protilátky proti tocilizumabu. U štyroch pacientov sa zistila pozitivita protilátok izotypu IgE (0,9 %).</w:t>
      </w:r>
    </w:p>
    <w:p w14:paraId="49E1E02C" w14:textId="77777777" w:rsidR="009700E5" w:rsidRDefault="009700E5">
      <w:pPr>
        <w:outlineLvl w:val="0"/>
      </w:pPr>
    </w:p>
    <w:p w14:paraId="7961DE7C" w14:textId="77777777" w:rsidR="009700E5" w:rsidRDefault="002C033C">
      <w:pPr>
        <w:outlineLvl w:val="0"/>
      </w:pPr>
      <w:r>
        <w:t>Nepozorovala sa žiadna korelácia medzi tvorbou protilátok a klinickou odpoveďou alebo nežiaducimi udalosťami.</w:t>
      </w:r>
    </w:p>
    <w:p w14:paraId="3AA12778" w14:textId="77777777" w:rsidR="009700E5" w:rsidRDefault="009700E5">
      <w:pPr>
        <w:outlineLvl w:val="0"/>
      </w:pPr>
    </w:p>
    <w:p w14:paraId="5373FA23" w14:textId="77777777" w:rsidR="009700E5" w:rsidRDefault="002C033C">
      <w:pPr>
        <w:keepNext/>
        <w:keepLines/>
        <w:rPr>
          <w:i/>
          <w:iCs/>
          <w:u w:val="single"/>
        </w:rPr>
      </w:pPr>
      <w:r>
        <w:rPr>
          <w:i/>
          <w:iCs/>
          <w:u w:val="single"/>
        </w:rPr>
        <w:t>Neutrofily</w:t>
      </w:r>
    </w:p>
    <w:p w14:paraId="234FFEDD" w14:textId="77777777" w:rsidR="009700E5" w:rsidRDefault="002C033C">
      <w:pPr>
        <w:rPr>
          <w:rFonts w:eastAsia="SimSun"/>
          <w:szCs w:val="22"/>
          <w:lang w:eastAsia="zh-CN"/>
        </w:rPr>
      </w:pPr>
      <w:r>
        <w:rPr>
          <w:rFonts w:eastAsia="SimSun"/>
          <w:szCs w:val="22"/>
          <w:lang w:eastAsia="zh-CN"/>
        </w:rPr>
        <w:t>Počas rutinného laboratórneho sledovania v 6</w:t>
      </w:r>
      <w:r>
        <w:rPr>
          <w:rFonts w:eastAsia="SimSun"/>
          <w:szCs w:val="22"/>
          <w:lang w:eastAsia="zh-CN"/>
        </w:rPr>
        <w:noBreakHyphen/>
        <w:t>mesačnom kontrolovanom klinickom skúšaní s tocilizumabom, SC</w:t>
      </w:r>
      <w:r>
        <w:rPr>
          <w:rFonts w:eastAsia="SimSun"/>
          <w:szCs w:val="22"/>
          <w:lang w:eastAsia="zh-CN"/>
        </w:rPr>
        <w:noBreakHyphen/>
        <w:t>I, došlo k poklesu počtu neutrofilov pod 1 </w:t>
      </w:r>
      <w:r>
        <w:rPr>
          <w:szCs w:val="22"/>
          <w:lang w:eastAsia="de-DE"/>
        </w:rPr>
        <w:t>×</w:t>
      </w:r>
      <w:r>
        <w:rPr>
          <w:rFonts w:eastAsia="SimSun"/>
          <w:szCs w:val="22"/>
          <w:lang w:eastAsia="zh-CN"/>
        </w:rPr>
        <w:t> 10</w:t>
      </w:r>
      <w:r>
        <w:rPr>
          <w:rFonts w:eastAsia="SimSun"/>
          <w:szCs w:val="22"/>
          <w:vertAlign w:val="superscript"/>
          <w:lang w:eastAsia="zh-CN"/>
        </w:rPr>
        <w:t>9</w:t>
      </w:r>
      <w:r>
        <w:rPr>
          <w:rFonts w:eastAsia="SimSun"/>
          <w:szCs w:val="22"/>
          <w:lang w:eastAsia="zh-CN"/>
        </w:rPr>
        <w:t>/l u 2,9 % pacientov liečených subkutánnou dávkou podávanou raz za týždeň.</w:t>
      </w:r>
    </w:p>
    <w:p w14:paraId="4EF11836" w14:textId="77777777" w:rsidR="009700E5" w:rsidRDefault="009700E5">
      <w:pPr>
        <w:rPr>
          <w:rFonts w:eastAsia="SimSun"/>
          <w:szCs w:val="22"/>
          <w:lang w:eastAsia="zh-CN"/>
        </w:rPr>
      </w:pPr>
    </w:p>
    <w:p w14:paraId="123AA4BD" w14:textId="77777777" w:rsidR="009700E5" w:rsidRDefault="002C033C">
      <w:pPr>
        <w:rPr>
          <w:rFonts w:eastAsia="SimSun"/>
          <w:szCs w:val="22"/>
          <w:lang w:eastAsia="zh-CN"/>
        </w:rPr>
      </w:pPr>
      <w:r>
        <w:rPr>
          <w:rFonts w:eastAsia="SimSun"/>
          <w:szCs w:val="22"/>
          <w:lang w:eastAsia="zh-CN"/>
        </w:rPr>
        <w:t>Nezistila sa žiadna jasná súvislosť medzi poklesom počtu neutrofilov pod 1 </w:t>
      </w:r>
      <w:r>
        <w:rPr>
          <w:szCs w:val="22"/>
          <w:lang w:eastAsia="de-DE"/>
        </w:rPr>
        <w:t>×</w:t>
      </w:r>
      <w:r>
        <w:rPr>
          <w:rFonts w:eastAsia="SimSun"/>
          <w:szCs w:val="22"/>
          <w:lang w:eastAsia="zh-CN"/>
        </w:rPr>
        <w:t> 10</w:t>
      </w:r>
      <w:r>
        <w:rPr>
          <w:rFonts w:eastAsia="SimSun"/>
          <w:szCs w:val="22"/>
          <w:vertAlign w:val="superscript"/>
          <w:lang w:eastAsia="zh-CN"/>
        </w:rPr>
        <w:t>9</w:t>
      </w:r>
      <w:r>
        <w:rPr>
          <w:rFonts w:eastAsia="SimSun"/>
          <w:szCs w:val="22"/>
          <w:lang w:eastAsia="zh-CN"/>
        </w:rPr>
        <w:t>/l a výskytom závažných infekcií.</w:t>
      </w:r>
    </w:p>
    <w:p w14:paraId="6ECEA752" w14:textId="77777777" w:rsidR="009700E5" w:rsidRDefault="009700E5">
      <w:pPr>
        <w:autoSpaceDE w:val="0"/>
        <w:autoSpaceDN w:val="0"/>
        <w:adjustRightInd w:val="0"/>
      </w:pPr>
    </w:p>
    <w:p w14:paraId="08F5EBA1" w14:textId="77777777" w:rsidR="009700E5" w:rsidRDefault="002C033C">
      <w:pPr>
        <w:keepNext/>
        <w:keepLines/>
        <w:autoSpaceDE w:val="0"/>
        <w:autoSpaceDN w:val="0"/>
        <w:adjustRightInd w:val="0"/>
        <w:rPr>
          <w:i/>
          <w:iCs/>
          <w:u w:val="single"/>
        </w:rPr>
      </w:pPr>
      <w:r>
        <w:rPr>
          <w:i/>
          <w:iCs/>
          <w:u w:val="single"/>
        </w:rPr>
        <w:t>Krvné doštičky</w:t>
      </w:r>
    </w:p>
    <w:p w14:paraId="5D5D3642" w14:textId="77777777" w:rsidR="009700E5" w:rsidRDefault="002C033C">
      <w:r>
        <w:rPr>
          <w:rFonts w:eastAsia="SimSun"/>
          <w:szCs w:val="22"/>
          <w:lang w:eastAsia="zh-CN"/>
        </w:rPr>
        <w:t>Počas rutinného laboratórneho sledovania v 6</w:t>
      </w:r>
      <w:r>
        <w:rPr>
          <w:rFonts w:eastAsia="SimSun"/>
          <w:szCs w:val="22"/>
          <w:lang w:eastAsia="zh-CN"/>
        </w:rPr>
        <w:noBreakHyphen/>
        <w:t>mesačnom klinickom skúšaní s tocilizumabom, SC</w:t>
      </w:r>
      <w:r>
        <w:rPr>
          <w:rFonts w:eastAsia="SimSun"/>
          <w:szCs w:val="22"/>
          <w:lang w:eastAsia="zh-CN"/>
        </w:rPr>
        <w:noBreakHyphen/>
        <w:t>I, nedošlo u žiadneho z pacientov liečených subkutánnou dávkou podávanou raz za týždeň k poklesu počtu krvných doštičiek na ≤ </w:t>
      </w:r>
      <w:r>
        <w:t>50 </w:t>
      </w:r>
      <w:r>
        <w:rPr>
          <w:szCs w:val="22"/>
          <w:lang w:eastAsia="de-DE"/>
        </w:rPr>
        <w:t>×</w:t>
      </w:r>
      <w:r>
        <w:t> 10</w:t>
      </w:r>
      <w:r>
        <w:rPr>
          <w:vertAlign w:val="superscript"/>
        </w:rPr>
        <w:t>3</w:t>
      </w:r>
      <w:r>
        <w:t>/μl.</w:t>
      </w:r>
    </w:p>
    <w:p w14:paraId="5BF779B6" w14:textId="77777777" w:rsidR="009700E5" w:rsidRDefault="009700E5">
      <w:pPr>
        <w:outlineLvl w:val="0"/>
        <w:rPr>
          <w:iCs/>
        </w:rPr>
      </w:pPr>
    </w:p>
    <w:p w14:paraId="40051EFF" w14:textId="77777777" w:rsidR="009700E5" w:rsidRDefault="002C033C">
      <w:pPr>
        <w:outlineLvl w:val="0"/>
        <w:rPr>
          <w:i/>
          <w:u w:val="single"/>
        </w:rPr>
      </w:pPr>
      <w:r>
        <w:rPr>
          <w:i/>
          <w:u w:val="single"/>
        </w:rPr>
        <w:t>Zvýšenie pečeňových transamináz</w:t>
      </w:r>
    </w:p>
    <w:p w14:paraId="1F82FB59" w14:textId="77777777" w:rsidR="009700E5" w:rsidRDefault="002C033C">
      <w:pPr>
        <w:autoSpaceDE w:val="0"/>
        <w:autoSpaceDN w:val="0"/>
        <w:adjustRightInd w:val="0"/>
      </w:pPr>
      <w:r>
        <w:rPr>
          <w:rFonts w:eastAsia="SimSun"/>
          <w:szCs w:val="22"/>
          <w:lang w:eastAsia="zh-CN"/>
        </w:rPr>
        <w:t>Počas rutinného laboratórneho sledovania v 6</w:t>
      </w:r>
      <w:r>
        <w:rPr>
          <w:rFonts w:eastAsia="SimSun"/>
          <w:szCs w:val="22"/>
          <w:lang w:eastAsia="zh-CN"/>
        </w:rPr>
        <w:noBreakHyphen/>
        <w:t>mesačnom kontrolovanom klinickom skúšaní s tocilizumabom, SC</w:t>
      </w:r>
      <w:r>
        <w:rPr>
          <w:rFonts w:eastAsia="SimSun"/>
          <w:szCs w:val="22"/>
          <w:lang w:eastAsia="zh-CN"/>
        </w:rPr>
        <w:noBreakHyphen/>
        <w:t>I, došlo k vzostup hodnôt ALT a AST na ≥ 3</w:t>
      </w:r>
      <w:r>
        <w:rPr>
          <w:rFonts w:eastAsia="SimSun"/>
          <w:szCs w:val="22"/>
          <w:lang w:eastAsia="zh-CN"/>
        </w:rPr>
        <w:noBreakHyphen/>
        <w:t>násobok ULN u 6,5 % a 1,4 %, v uvedenom poradí, pacientov liečených subkutánnou dávkou podávanou raz za týždeň.</w:t>
      </w:r>
    </w:p>
    <w:p w14:paraId="7EF14F95" w14:textId="77777777" w:rsidR="009700E5" w:rsidRDefault="009700E5"/>
    <w:p w14:paraId="0A87078F" w14:textId="77777777" w:rsidR="009700E5" w:rsidRDefault="002C033C">
      <w:pPr>
        <w:keepNext/>
        <w:keepLines/>
        <w:outlineLvl w:val="0"/>
        <w:rPr>
          <w:i/>
          <w:u w:val="single"/>
        </w:rPr>
      </w:pPr>
      <w:r>
        <w:rPr>
          <w:i/>
          <w:u w:val="single"/>
        </w:rPr>
        <w:t>Hodnoty lipidových parametrov</w:t>
      </w:r>
    </w:p>
    <w:p w14:paraId="7939B94F" w14:textId="77777777" w:rsidR="009700E5" w:rsidRDefault="002C033C">
      <w:pPr>
        <w:rPr>
          <w:rFonts w:eastAsia="SimSun"/>
          <w:szCs w:val="22"/>
          <w:lang w:eastAsia="zh-CN"/>
        </w:rPr>
      </w:pPr>
      <w:r>
        <w:rPr>
          <w:rFonts w:eastAsia="SimSun"/>
          <w:szCs w:val="22"/>
          <w:lang w:eastAsia="zh-CN"/>
        </w:rPr>
        <w:t>Počas rutinného laboratórneho sledovania v 6</w:t>
      </w:r>
      <w:r>
        <w:rPr>
          <w:rFonts w:eastAsia="SimSun"/>
          <w:szCs w:val="22"/>
          <w:lang w:eastAsia="zh-CN"/>
        </w:rPr>
        <w:noBreakHyphen/>
        <w:t>mesačnom kontrolovanom klinickom skúšaní s tocilizumabom, SC</w:t>
      </w:r>
      <w:r>
        <w:rPr>
          <w:rFonts w:eastAsia="SimSun"/>
          <w:szCs w:val="22"/>
          <w:lang w:eastAsia="zh-CN"/>
        </w:rPr>
        <w:noBreakHyphen/>
        <w:t>I, došlo k trvalému zvýšeniu hodnôt celkového cholesterolu na </w:t>
      </w:r>
      <w:r>
        <w:rPr>
          <w:rFonts w:eastAsia="MS Mincho"/>
          <w:szCs w:val="22"/>
        </w:rPr>
        <w:sym w:font="Symbol" w:char="F03E"/>
      </w:r>
      <w:r>
        <w:rPr>
          <w:rFonts w:eastAsia="SimSun"/>
          <w:szCs w:val="22"/>
          <w:lang w:eastAsia="zh-CN"/>
        </w:rPr>
        <w:t> 6,2 mmol/l (240 mg/dl) u 19 % pacientov liečených subkutánnou dávkou podávanou raz za týždeň a u 9 % došlo k trvalému zvýšeniu hodnôt LDL na ≥ 4,1 mmol/l (160 mg/dl).</w:t>
      </w:r>
    </w:p>
    <w:p w14:paraId="36870D07" w14:textId="77777777" w:rsidR="009700E5" w:rsidRDefault="009700E5">
      <w:pPr>
        <w:rPr>
          <w:rFonts w:eastAsia="SimSun"/>
          <w:szCs w:val="22"/>
          <w:lang w:eastAsia="zh-CN"/>
        </w:rPr>
      </w:pPr>
    </w:p>
    <w:p w14:paraId="760B8CCC" w14:textId="77777777" w:rsidR="009700E5" w:rsidRDefault="002C033C">
      <w:pPr>
        <w:rPr>
          <w:rFonts w:eastAsia="SimSun"/>
          <w:bCs/>
          <w:i/>
          <w:iCs/>
          <w:szCs w:val="22"/>
          <w:lang w:eastAsia="zh-CN"/>
        </w:rPr>
      </w:pPr>
      <w:r>
        <w:rPr>
          <w:rFonts w:eastAsia="SimSun"/>
          <w:bCs/>
          <w:i/>
          <w:iCs/>
          <w:szCs w:val="22"/>
          <w:lang w:eastAsia="zh-CN"/>
        </w:rPr>
        <w:t>Pacienti so sJIA</w:t>
      </w:r>
    </w:p>
    <w:p w14:paraId="34256459" w14:textId="77777777" w:rsidR="009700E5" w:rsidRDefault="002C033C">
      <w:r>
        <w:t xml:space="preserve">Bezpečnostný profil subkutánnej formy </w:t>
      </w:r>
      <w:r>
        <w:rPr>
          <w:rFonts w:eastAsia="SimSun"/>
          <w:szCs w:val="22"/>
          <w:lang w:eastAsia="zh-CN"/>
        </w:rPr>
        <w:t>tocilizumabu</w:t>
      </w:r>
      <w:r>
        <w:t xml:space="preserve"> sa hodnotil u 51 pediatrických pacientov (vo veku od 1 do 17 rokov) so sJIA. Vo všeobecnosti boli nežiaduce reakcie u pacientov so sJIA podobného typu ako tie, ktoré boli pozorované u pacientov s RA (pozri časť 4.8).</w:t>
      </w:r>
    </w:p>
    <w:p w14:paraId="19877616" w14:textId="77777777" w:rsidR="009700E5" w:rsidRDefault="009700E5"/>
    <w:p w14:paraId="7CC9F5F7" w14:textId="77777777" w:rsidR="009700E5" w:rsidRDefault="002C033C">
      <w:pPr>
        <w:keepNext/>
        <w:keepLines/>
        <w:rPr>
          <w:i/>
          <w:u w:val="single"/>
        </w:rPr>
      </w:pPr>
      <w:r>
        <w:rPr>
          <w:i/>
          <w:u w:val="single"/>
        </w:rPr>
        <w:t>Infekcie</w:t>
      </w:r>
    </w:p>
    <w:p w14:paraId="6AEE0BF9" w14:textId="77777777" w:rsidR="009700E5" w:rsidRDefault="002C033C">
      <w:pPr>
        <w:keepNext/>
        <w:keepLines/>
      </w:pPr>
      <w:r>
        <w:t>Výskyt infekcií u pacientov so sJIA liečených subkutánne podávaným tocilizumabom bol porovnateľný s výskytom infekcií zisteným u pacientov so sJIA liečených intravenózne podávaným tocilizumabom.</w:t>
      </w:r>
    </w:p>
    <w:p w14:paraId="494E4A6A" w14:textId="77777777" w:rsidR="009700E5" w:rsidRDefault="009700E5"/>
    <w:p w14:paraId="5B89A131" w14:textId="77777777" w:rsidR="009700E5" w:rsidRDefault="002C033C">
      <w:pPr>
        <w:rPr>
          <w:i/>
          <w:u w:val="single"/>
        </w:rPr>
      </w:pPr>
      <w:r>
        <w:rPr>
          <w:i/>
          <w:u w:val="single"/>
        </w:rPr>
        <w:t>Reakcie v mieste podania injekcie (injection site reactions, ISR)</w:t>
      </w:r>
    </w:p>
    <w:p w14:paraId="49F9C917" w14:textId="77777777" w:rsidR="009700E5" w:rsidRDefault="002C033C">
      <w:r>
        <w:rPr>
          <w:rFonts w:eastAsia="MS Mincho"/>
          <w:lang w:eastAsia="zh-CN"/>
        </w:rPr>
        <w:t>V </w:t>
      </w:r>
      <w:del w:id="2024" w:author="Author" w:date="2025-07-19T23:50:00Z">
        <w:r>
          <w:rPr>
            <w:rFonts w:eastAsia="MS Mincho"/>
            <w:lang w:eastAsia="zh-CN"/>
          </w:rPr>
          <w:delText xml:space="preserve">štúdii </w:delText>
        </w:r>
      </w:del>
      <w:ins w:id="2025" w:author="Author" w:date="2025-07-21T10:35:00Z">
        <w:r>
          <w:rPr>
            <w:rFonts w:eastAsia="MS Mincho"/>
            <w:lang w:eastAsia="zh-CN"/>
          </w:rPr>
          <w:t xml:space="preserve">klinickom </w:t>
        </w:r>
      </w:ins>
      <w:ins w:id="2026" w:author="Author" w:date="2025-07-19T23:50:00Z">
        <w:r>
          <w:rPr>
            <w:rFonts w:eastAsia="MS Mincho"/>
            <w:lang w:eastAsia="zh-CN"/>
          </w:rPr>
          <w:t xml:space="preserve">skúšaní </w:t>
        </w:r>
      </w:ins>
      <w:r>
        <w:rPr>
          <w:rFonts w:eastAsia="MS Mincho"/>
          <w:lang w:eastAsia="zh-CN"/>
        </w:rPr>
        <w:t>so subkutánnou formou (WA28118) sa u celkovo 41,2 % (21/51) pacientov so sJIA vyskytla ISR po </w:t>
      </w:r>
      <w:r>
        <w:t>subkutánne</w:t>
      </w:r>
      <w:r>
        <w:rPr>
          <w:rFonts w:eastAsia="MS Mincho"/>
          <w:lang w:eastAsia="zh-CN"/>
        </w:rPr>
        <w:t xml:space="preserve"> podávanom tocilizumabe. </w:t>
      </w:r>
      <w:r>
        <w:t>Najčastejšími ISR boli erytém, pruritus, bolesť a opuch v mieste podania injekcie. Hlásené ISR boli väčšinou udalosťami 1. stupňa a všetky hlásené ISR boli nezávažnými udalosťami a žiadna ISR nevyžadovala predčasné ukončenie liečby pacienta alebo prerušenie podávania dávok.</w:t>
      </w:r>
    </w:p>
    <w:p w14:paraId="0EA44D9A" w14:textId="77777777" w:rsidR="009700E5" w:rsidRDefault="009700E5">
      <w:pPr>
        <w:rPr>
          <w:rFonts w:eastAsia="MS Mincho"/>
          <w:lang w:eastAsia="zh-CN"/>
        </w:rPr>
      </w:pPr>
    </w:p>
    <w:p w14:paraId="5041C30B" w14:textId="77777777" w:rsidR="009700E5" w:rsidRDefault="002C033C">
      <w:pPr>
        <w:keepNext/>
        <w:keepLines/>
        <w:rPr>
          <w:rFonts w:eastAsia="MS Mincho"/>
          <w:i/>
          <w:u w:val="single"/>
          <w:lang w:eastAsia="zh-CN"/>
        </w:rPr>
      </w:pPr>
      <w:r>
        <w:rPr>
          <w:rFonts w:eastAsia="MS Mincho"/>
          <w:i/>
          <w:u w:val="single"/>
          <w:lang w:eastAsia="zh-CN"/>
        </w:rPr>
        <w:t>Imunogenicita</w:t>
      </w:r>
    </w:p>
    <w:p w14:paraId="05E45C62" w14:textId="77777777" w:rsidR="009700E5" w:rsidRDefault="002C033C">
      <w:pPr>
        <w:keepNext/>
        <w:keepLines/>
        <w:rPr>
          <w:rFonts w:eastAsia="MS Mincho"/>
          <w:lang w:eastAsia="zh-CN"/>
        </w:rPr>
      </w:pPr>
      <w:r>
        <w:t>V</w:t>
      </w:r>
      <w:del w:id="2027" w:author="Author" w:date="2025-07-19T23:51:00Z">
        <w:r>
          <w:delText> </w:delText>
        </w:r>
      </w:del>
      <w:ins w:id="2028" w:author="Author" w:date="2025-07-19T23:51:00Z">
        <w:r>
          <w:t> </w:t>
        </w:r>
      </w:ins>
      <w:del w:id="2029" w:author="Author" w:date="2025-07-19T23:51:00Z">
        <w:r>
          <w:delText xml:space="preserve">štúdii </w:delText>
        </w:r>
      </w:del>
      <w:ins w:id="2030" w:author="Author" w:date="2025-07-21T10:35:00Z">
        <w:r>
          <w:t xml:space="preserve">klinickom </w:t>
        </w:r>
      </w:ins>
      <w:ins w:id="2031" w:author="Author" w:date="2025-07-19T23:51:00Z">
        <w:r>
          <w:t xml:space="preserve">skúšaní </w:t>
        </w:r>
      </w:ins>
      <w:r>
        <w:t>so subkutánnou formou (</w:t>
      </w:r>
      <w:r>
        <w:rPr>
          <w:rFonts w:eastAsia="MS Mincho"/>
          <w:lang w:eastAsia="zh-CN"/>
        </w:rPr>
        <w:t>WA28118) malo</w:t>
      </w:r>
      <w:r>
        <w:t xml:space="preserve"> 46 z 51 (90,2 %) pacientov, ktorí boli na začiatku </w:t>
      </w:r>
      <w:del w:id="2032" w:author="Author" w:date="2025-07-19T23:51:00Z">
        <w:r>
          <w:delText xml:space="preserve">štúdie </w:delText>
        </w:r>
      </w:del>
      <w:ins w:id="2033" w:author="Author" w:date="2025-07-21T10:35:00Z">
        <w:r>
          <w:t xml:space="preserve">klinického </w:t>
        </w:r>
      </w:ins>
      <w:ins w:id="2034" w:author="Author" w:date="2025-07-19T23:51:00Z">
        <w:r>
          <w:t xml:space="preserve">skúšania </w:t>
        </w:r>
      </w:ins>
      <w:r>
        <w:t>vyšetrení na protilátky proti tocilizumabu, výsledok aspoň jedného kontrolného vyšetrenia vykonaného v priebehu skúšanej liečby. Ani u jedného pacienta sa nezistila pozitivita protilátok proti tocilizumabu v priebehu skúšanej liečby.</w:t>
      </w:r>
    </w:p>
    <w:p w14:paraId="24B8D7D9" w14:textId="77777777" w:rsidR="009700E5" w:rsidRDefault="009700E5">
      <w:pPr>
        <w:rPr>
          <w:rFonts w:eastAsia="MS Mincho"/>
          <w:lang w:eastAsia="zh-CN"/>
        </w:rPr>
      </w:pPr>
    </w:p>
    <w:p w14:paraId="623D54CE" w14:textId="77777777" w:rsidR="009700E5" w:rsidRDefault="002C033C">
      <w:pPr>
        <w:rPr>
          <w:i/>
          <w:szCs w:val="22"/>
          <w:u w:val="single"/>
        </w:rPr>
      </w:pPr>
      <w:r>
        <w:rPr>
          <w:i/>
          <w:szCs w:val="22"/>
          <w:u w:val="single"/>
        </w:rPr>
        <w:t>Laboratórne odchýlky</w:t>
      </w:r>
    </w:p>
    <w:p w14:paraId="65EB4CC8" w14:textId="77777777" w:rsidR="009700E5" w:rsidRDefault="002C033C">
      <w:pPr>
        <w:rPr>
          <w:rFonts w:eastAsia="SimSun"/>
        </w:rPr>
      </w:pPr>
      <w:r>
        <w:rPr>
          <w:rFonts w:eastAsia="SimSun"/>
          <w:lang w:eastAsia="zh-CN"/>
        </w:rPr>
        <w:t>V 52</w:t>
      </w:r>
      <w:r>
        <w:rPr>
          <w:rFonts w:eastAsia="SimSun"/>
          <w:lang w:eastAsia="zh-CN"/>
        </w:rPr>
        <w:noBreakHyphen/>
      </w:r>
      <w:del w:id="2035" w:author="Author" w:date="2025-08-19T16:17:00Z">
        <w:r>
          <w:rPr>
            <w:rFonts w:eastAsia="SimSun"/>
            <w:lang w:eastAsia="zh-CN"/>
          </w:rPr>
          <w:delText xml:space="preserve">týždňovej </w:delText>
        </w:r>
      </w:del>
      <w:ins w:id="2036" w:author="Author" w:date="2025-08-19T16:17:00Z">
        <w:r>
          <w:rPr>
            <w:rFonts w:eastAsia="SimSun"/>
            <w:lang w:eastAsia="zh-CN"/>
          </w:rPr>
          <w:t xml:space="preserve">týždňovom </w:t>
        </w:r>
      </w:ins>
      <w:r>
        <w:rPr>
          <w:rFonts w:eastAsia="SimSun"/>
          <w:lang w:eastAsia="zh-CN"/>
        </w:rPr>
        <w:t>otvoren</w:t>
      </w:r>
      <w:del w:id="2037" w:author="Author" w:date="2025-07-19T23:51:00Z">
        <w:r>
          <w:rPr>
            <w:rFonts w:eastAsia="SimSun"/>
            <w:lang w:eastAsia="zh-CN"/>
          </w:rPr>
          <w:delText xml:space="preserve">ej štúdii </w:delText>
        </w:r>
      </w:del>
      <w:ins w:id="2038" w:author="Author" w:date="2025-07-19T23:51:00Z">
        <w:r>
          <w:rPr>
            <w:rFonts w:eastAsia="SimSun"/>
            <w:lang w:eastAsia="zh-CN"/>
          </w:rPr>
          <w:t xml:space="preserve">om </w:t>
        </w:r>
      </w:ins>
      <w:ins w:id="2039" w:author="Author" w:date="2025-07-21T10:35:00Z">
        <w:r>
          <w:rPr>
            <w:rFonts w:eastAsia="SimSun"/>
            <w:lang w:eastAsia="zh-CN"/>
          </w:rPr>
          <w:t xml:space="preserve">klinickom </w:t>
        </w:r>
      </w:ins>
      <w:ins w:id="2040" w:author="Author" w:date="2025-07-19T23:51:00Z">
        <w:r>
          <w:rPr>
            <w:rFonts w:eastAsia="SimSun"/>
            <w:lang w:eastAsia="zh-CN"/>
          </w:rPr>
          <w:t xml:space="preserve">skúšaní </w:t>
        </w:r>
      </w:ins>
      <w:r>
        <w:rPr>
          <w:rFonts w:eastAsia="SimSun"/>
          <w:lang w:eastAsia="zh-CN"/>
        </w:rPr>
        <w:t xml:space="preserve">so </w:t>
      </w:r>
      <w:r>
        <w:t>subkutánnou</w:t>
      </w:r>
      <w:r>
        <w:rPr>
          <w:rFonts w:eastAsia="SimSun"/>
          <w:lang w:eastAsia="zh-CN"/>
        </w:rPr>
        <w:t xml:space="preserve"> formou </w:t>
      </w:r>
      <w:r>
        <w:t>(</w:t>
      </w:r>
      <w:r>
        <w:rPr>
          <w:rFonts w:eastAsia="MS Mincho"/>
          <w:lang w:eastAsia="zh-CN"/>
        </w:rPr>
        <w:t xml:space="preserve">WA28118) </w:t>
      </w:r>
      <w:r>
        <w:rPr>
          <w:rFonts w:eastAsia="SimSun"/>
          <w:lang w:eastAsia="zh-CN"/>
        </w:rPr>
        <w:t>došlo k poklesu počtu neutrofilov pod 1 </w:t>
      </w:r>
      <w:r>
        <w:rPr>
          <w:rFonts w:eastAsia="SimSun"/>
          <w:color w:val="000000"/>
          <w:lang w:eastAsia="zh-CN"/>
        </w:rPr>
        <w:t>× 10</w:t>
      </w:r>
      <w:r>
        <w:rPr>
          <w:rFonts w:eastAsia="SimSun"/>
          <w:color w:val="000000"/>
          <w:vertAlign w:val="superscript"/>
          <w:lang w:eastAsia="zh-CN"/>
        </w:rPr>
        <w:t>9</w:t>
      </w:r>
      <w:r>
        <w:rPr>
          <w:rFonts w:eastAsia="SimSun"/>
          <w:color w:val="000000"/>
          <w:lang w:eastAsia="zh-CN"/>
        </w:rPr>
        <w:t>/l</w:t>
      </w:r>
      <w:r>
        <w:rPr>
          <w:rFonts w:eastAsia="SimSun"/>
          <w:lang w:eastAsia="zh-CN"/>
        </w:rPr>
        <w:t xml:space="preserve"> u 23,5 % pacientov liečených </w:t>
      </w:r>
      <w:r>
        <w:t>subkutánne</w:t>
      </w:r>
      <w:r>
        <w:rPr>
          <w:rFonts w:eastAsia="SimSun"/>
          <w:lang w:eastAsia="zh-CN"/>
        </w:rPr>
        <w:t xml:space="preserve"> podávaným tocilizumabom.</w:t>
      </w:r>
      <w:r>
        <w:rPr>
          <w:rFonts w:eastAsia="SimSun"/>
        </w:rPr>
        <w:t xml:space="preserve"> K </w:t>
      </w:r>
      <w:r>
        <w:t>poklesu počtu trombocytov pod 10</w:t>
      </w:r>
      <w:r>
        <w:rPr>
          <w:rFonts w:eastAsia="SimSun"/>
        </w:rPr>
        <w:t>0 × 10</w:t>
      </w:r>
      <w:r>
        <w:rPr>
          <w:rFonts w:eastAsia="SimSun"/>
          <w:vertAlign w:val="superscript"/>
        </w:rPr>
        <w:t>3</w:t>
      </w:r>
      <w:r>
        <w:rPr>
          <w:rFonts w:eastAsia="SimSun"/>
        </w:rPr>
        <w:t>/</w:t>
      </w:r>
      <w:r>
        <w:rPr>
          <w:rFonts w:eastAsia="SimSun"/>
          <w:szCs w:val="22"/>
        </w:rPr>
        <w:t>μl</w:t>
      </w:r>
      <w:r>
        <w:rPr>
          <w:rFonts w:eastAsia="SimSun"/>
        </w:rPr>
        <w:t xml:space="preserve"> došlo u 2 % pacientov </w:t>
      </w:r>
      <w:r>
        <w:rPr>
          <w:rFonts w:eastAsia="SimSun"/>
          <w:lang w:eastAsia="zh-CN"/>
        </w:rPr>
        <w:t xml:space="preserve">liečených </w:t>
      </w:r>
      <w:r>
        <w:t>subkutánne</w:t>
      </w:r>
      <w:r>
        <w:rPr>
          <w:rFonts w:eastAsia="SimSun"/>
          <w:lang w:eastAsia="zh-CN"/>
        </w:rPr>
        <w:t xml:space="preserve"> podávaným tocilizumabom. K </w:t>
      </w:r>
      <w:r>
        <w:rPr>
          <w:rFonts w:eastAsia="SimSun"/>
        </w:rPr>
        <w:t xml:space="preserve">vzostupu hodnôt </w:t>
      </w:r>
      <w:r>
        <w:t>ALT alebo AST na ≥ 3</w:t>
      </w:r>
      <w:r>
        <w:noBreakHyphen/>
        <w:t>násobok ULN došlo, v uvedenom poradí, u 9,8</w:t>
      </w:r>
      <w:r>
        <w:rPr>
          <w:iCs/>
        </w:rPr>
        <w:t> </w:t>
      </w:r>
      <w:r>
        <w:t>% a 4,0 % pacientov liečených subkutánne podávaným tocilizumabom.</w:t>
      </w:r>
    </w:p>
    <w:p w14:paraId="0EED8EB8" w14:textId="77777777" w:rsidR="009700E5" w:rsidRDefault="009700E5">
      <w:pPr>
        <w:rPr>
          <w:rFonts w:eastAsia="SimSun"/>
        </w:rPr>
      </w:pPr>
    </w:p>
    <w:p w14:paraId="4A88D833" w14:textId="77777777" w:rsidR="009700E5" w:rsidRDefault="002C033C">
      <w:pPr>
        <w:autoSpaceDE w:val="0"/>
        <w:autoSpaceDN w:val="0"/>
        <w:adjustRightInd w:val="0"/>
        <w:rPr>
          <w:i/>
          <w:szCs w:val="22"/>
          <w:u w:val="single"/>
        </w:rPr>
      </w:pPr>
      <w:r>
        <w:rPr>
          <w:i/>
          <w:szCs w:val="22"/>
          <w:u w:val="single"/>
        </w:rPr>
        <w:t>Hodnoty lipidových parametrov</w:t>
      </w:r>
    </w:p>
    <w:p w14:paraId="7EDAEE92" w14:textId="77777777" w:rsidR="009700E5" w:rsidRDefault="002C033C">
      <w:pPr>
        <w:rPr>
          <w:rFonts w:eastAsia="SimSun"/>
          <w:szCs w:val="22"/>
          <w:lang w:eastAsia="zh-CN"/>
        </w:rPr>
      </w:pPr>
      <w:r>
        <w:rPr>
          <w:color w:val="263238"/>
          <w:szCs w:val="22"/>
        </w:rPr>
        <w:t>V 52</w:t>
      </w:r>
      <w:r>
        <w:rPr>
          <w:color w:val="263238"/>
          <w:szCs w:val="22"/>
        </w:rPr>
        <w:noBreakHyphen/>
      </w:r>
      <w:del w:id="2041" w:author="Author" w:date="2025-08-19T16:17:00Z">
        <w:r>
          <w:rPr>
            <w:color w:val="263238"/>
            <w:szCs w:val="22"/>
          </w:rPr>
          <w:delText xml:space="preserve">týždňovej </w:delText>
        </w:r>
      </w:del>
      <w:ins w:id="2042" w:author="Author" w:date="2025-08-19T16:17:00Z">
        <w:r>
          <w:rPr>
            <w:color w:val="263238"/>
            <w:szCs w:val="22"/>
          </w:rPr>
          <w:t xml:space="preserve">týždňovom </w:t>
        </w:r>
      </w:ins>
      <w:r>
        <w:rPr>
          <w:color w:val="263238"/>
          <w:szCs w:val="22"/>
        </w:rPr>
        <w:t>otvoren</w:t>
      </w:r>
      <w:ins w:id="2043" w:author="Author" w:date="2025-07-19T23:51:00Z">
        <w:r>
          <w:rPr>
            <w:color w:val="263238"/>
            <w:szCs w:val="22"/>
          </w:rPr>
          <w:t xml:space="preserve">om </w:t>
        </w:r>
      </w:ins>
      <w:ins w:id="2044" w:author="Author" w:date="2025-07-21T10:35:00Z">
        <w:r>
          <w:rPr>
            <w:color w:val="263238"/>
            <w:szCs w:val="22"/>
          </w:rPr>
          <w:t xml:space="preserve">klinickom </w:t>
        </w:r>
      </w:ins>
      <w:ins w:id="2045" w:author="Author" w:date="2025-07-19T23:51:00Z">
        <w:r>
          <w:rPr>
            <w:color w:val="263238"/>
            <w:szCs w:val="22"/>
          </w:rPr>
          <w:t xml:space="preserve">skúšaní </w:t>
        </w:r>
      </w:ins>
      <w:del w:id="2046" w:author="Author" w:date="2025-07-19T23:51:00Z">
        <w:r>
          <w:rPr>
            <w:color w:val="263238"/>
            <w:szCs w:val="22"/>
          </w:rPr>
          <w:delText xml:space="preserve">ej štúdii </w:delText>
        </w:r>
      </w:del>
      <w:r>
        <w:rPr>
          <w:color w:val="263238"/>
          <w:szCs w:val="22"/>
        </w:rPr>
        <w:t xml:space="preserve">so </w:t>
      </w:r>
      <w:r>
        <w:t>subkutánnou</w:t>
      </w:r>
      <w:r>
        <w:rPr>
          <w:color w:val="263238"/>
          <w:szCs w:val="22"/>
        </w:rPr>
        <w:t xml:space="preserve"> formou (WA28118) sa u 23,4 % pacientov zistil vzostup hodnoty LDL</w:t>
      </w:r>
      <w:r>
        <w:rPr>
          <w:color w:val="263238"/>
          <w:szCs w:val="22"/>
        </w:rPr>
        <w:noBreakHyphen/>
        <w:t>cholesterolu na ≥ 130 mg/dl a u 35,4 % pacientov vzostup hodnoty celkového cholesterolu na ≥ 200 mg/dl, a to pri ktorejkoľvek z kontrolných návštev (post</w:t>
      </w:r>
      <w:r>
        <w:rPr>
          <w:color w:val="263238"/>
          <w:szCs w:val="22"/>
        </w:rPr>
        <w:noBreakHyphen/>
        <w:t>baseline) vykonaných v priebehu skúšanej liečby.</w:t>
      </w:r>
    </w:p>
    <w:p w14:paraId="2FFF5346" w14:textId="77777777" w:rsidR="009700E5" w:rsidRDefault="009700E5">
      <w:pPr>
        <w:autoSpaceDE w:val="0"/>
        <w:autoSpaceDN w:val="0"/>
        <w:adjustRightInd w:val="0"/>
        <w:rPr>
          <w:ins w:id="2047" w:author="Author" w:date="2025-07-19T23:52:00Z"/>
          <w:rFonts w:eastAsia="SimSun"/>
          <w:bCs/>
          <w:i/>
          <w:iCs/>
          <w:szCs w:val="22"/>
          <w:lang w:eastAsia="zh-CN"/>
        </w:rPr>
      </w:pPr>
    </w:p>
    <w:p w14:paraId="712A5E32" w14:textId="77777777" w:rsidR="009700E5" w:rsidRDefault="002C033C">
      <w:pPr>
        <w:autoSpaceDE w:val="0"/>
        <w:autoSpaceDN w:val="0"/>
        <w:adjustRightInd w:val="0"/>
        <w:rPr>
          <w:moveTo w:id="2048" w:author="Author" w:date="2025-07-19T23:52:00Z"/>
          <w:rFonts w:eastAsia="SimSun"/>
          <w:bCs/>
          <w:i/>
          <w:iCs/>
          <w:szCs w:val="22"/>
          <w:lang w:eastAsia="zh-CN"/>
        </w:rPr>
      </w:pPr>
      <w:moveToRangeStart w:id="2049" w:author="Author" w:date="2025-07-19T23:52:00Z" w:name="move203861538"/>
      <w:moveTo w:id="2050" w:author="Author" w:date="2025-07-19T23:52:00Z">
        <w:r>
          <w:rPr>
            <w:rFonts w:eastAsia="SimSun"/>
            <w:bCs/>
            <w:i/>
            <w:iCs/>
            <w:szCs w:val="22"/>
            <w:lang w:eastAsia="zh-CN"/>
          </w:rPr>
          <w:t>Pacienti s pJIA</w:t>
        </w:r>
      </w:moveTo>
    </w:p>
    <w:p w14:paraId="016CA618" w14:textId="77777777" w:rsidR="009700E5" w:rsidRDefault="002C033C">
      <w:pPr>
        <w:rPr>
          <w:del w:id="2051" w:author="Author" w:date="2025-07-19T23:52:00Z"/>
          <w:moveTo w:id="2052" w:author="Author" w:date="2025-07-19T23:52:00Z"/>
        </w:rPr>
      </w:pPr>
      <w:moveTo w:id="2053" w:author="Author" w:date="2025-07-19T23:52:00Z">
        <w:r>
          <w:t>Bezpečnostný profil subkutánnej formy tocilizumabu sa hodnotil aj u 52 pediatrických pacientov s pJIA. Celková expozícia tocilizumabu u všetkých pacientov s pJIA vystavených tocilizumabu bola 184,4 pacientoroka v prípade intravenóznej formy tocilizumabu a 50,4 pacientoroka v prípade subkutánnej formy tocilizumabu. Bezpečnostný profil pozorovaný u pacientov s pJIA sa vo všeobecnosti zhodoval so známym bezpečnostným profilom tocilizumabu s výnimkou reakcií v mieste podania injekcie (injection site reactions, ISR) (pozri tabuľku 1). U pacientov s pJIA bol výskyt ISR po subkutánne podávaných injekciách vyšší v porovnaní s dospelými s RA.</w:t>
        </w:r>
      </w:moveTo>
    </w:p>
    <w:moveToRangeEnd w:id="2049"/>
    <w:p w14:paraId="402C98FF" w14:textId="77777777" w:rsidR="009700E5" w:rsidRDefault="009700E5">
      <w:pPr>
        <w:rPr>
          <w:rFonts w:eastAsia="SimSun"/>
          <w:szCs w:val="22"/>
          <w:u w:val="single"/>
          <w:lang w:eastAsia="zh-CN"/>
        </w:rPr>
        <w:pPrChange w:id="2054" w:author="Author" w:date="2025-07-19T23:52:00Z">
          <w:pPr>
            <w:autoSpaceDE w:val="0"/>
            <w:autoSpaceDN w:val="0"/>
            <w:adjustRightInd w:val="0"/>
          </w:pPr>
        </w:pPrChange>
      </w:pPr>
    </w:p>
    <w:p w14:paraId="09F643E9" w14:textId="77777777" w:rsidR="009700E5" w:rsidRDefault="002C033C">
      <w:pPr>
        <w:autoSpaceDE w:val="0"/>
        <w:autoSpaceDN w:val="0"/>
        <w:adjustRightInd w:val="0"/>
        <w:rPr>
          <w:moveFrom w:id="2055" w:author="Author" w:date="2025-07-19T23:52:00Z"/>
          <w:rFonts w:eastAsia="SimSun"/>
          <w:bCs/>
          <w:i/>
          <w:iCs/>
          <w:szCs w:val="22"/>
          <w:lang w:eastAsia="zh-CN"/>
        </w:rPr>
      </w:pPr>
      <w:moveFromRangeStart w:id="2056" w:author="Author" w:date="2025-07-19T23:52:00Z" w:name="move203861538"/>
      <w:moveFrom w:id="2057" w:author="Author" w:date="2025-07-19T23:52:00Z">
        <w:r>
          <w:rPr>
            <w:rFonts w:eastAsia="SimSun"/>
            <w:bCs/>
            <w:i/>
            <w:iCs/>
            <w:szCs w:val="22"/>
            <w:lang w:eastAsia="zh-CN"/>
          </w:rPr>
          <w:t>Pacienti s pJIA</w:t>
        </w:r>
      </w:moveFrom>
    </w:p>
    <w:p w14:paraId="4797F558" w14:textId="77777777" w:rsidR="009700E5" w:rsidRDefault="002C033C">
      <w:pPr>
        <w:rPr>
          <w:moveFrom w:id="2058" w:author="Author" w:date="2025-07-19T23:52:00Z"/>
        </w:rPr>
      </w:pPr>
      <w:moveFrom w:id="2059" w:author="Author" w:date="2025-07-19T23:52:00Z">
        <w:r>
          <w:t>Bezpečnostný profil subkutánnej formy tocilizumabu sa hodnotil aj u 52 pediatrických pacientov s pJIA. Celková expozícia tocilizumabu u všetkých pacientov s pJIA vystavených tocilizumabu bola 184,4 pacientoroka v prípade intravenóznej formy tocilizumabu a 50,4 pacientoroka v prípade subkutánnej formy tocilizumabu. Bezpečnostný profil pozorovaný u pacientov s pJIA sa vo všeobecnosti zhodoval so známym bezpečnostným profilom tocilizumabu s výnimkou reakcií v mieste podania injekcie (injection site reactions, ISR) (pozri tabuľku 1). U pacientov s pJIA bol výskyt ISR po subkutánne podávaných injekciách vyšší v porovnaní s dospelými s RA.</w:t>
        </w:r>
      </w:moveFrom>
    </w:p>
    <w:moveFromRangeEnd w:id="2056"/>
    <w:p w14:paraId="2BAC178C" w14:textId="77777777" w:rsidR="009700E5" w:rsidRDefault="009700E5"/>
    <w:p w14:paraId="041022E4" w14:textId="77777777" w:rsidR="009700E5" w:rsidRDefault="002C033C">
      <w:pPr>
        <w:keepNext/>
        <w:rPr>
          <w:i/>
          <w:u w:val="single"/>
        </w:rPr>
        <w:pPrChange w:id="2060" w:author="Author" w:date="2025-07-22T18:03:00Z">
          <w:pPr/>
        </w:pPrChange>
      </w:pPr>
      <w:r>
        <w:rPr>
          <w:i/>
          <w:u w:val="single"/>
        </w:rPr>
        <w:lastRenderedPageBreak/>
        <w:t>Infekcie</w:t>
      </w:r>
    </w:p>
    <w:p w14:paraId="7A172DD0" w14:textId="77777777" w:rsidR="009700E5" w:rsidRDefault="002C033C">
      <w:r>
        <w:t>V</w:t>
      </w:r>
      <w:del w:id="2061" w:author="Author" w:date="2025-07-19T23:52:00Z">
        <w:r>
          <w:delText> </w:delText>
        </w:r>
      </w:del>
      <w:ins w:id="2062" w:author="Author" w:date="2025-07-19T23:52:00Z">
        <w:r>
          <w:t> </w:t>
        </w:r>
      </w:ins>
      <w:del w:id="2063" w:author="Author" w:date="2025-07-19T23:52:00Z">
        <w:r>
          <w:delText xml:space="preserve">štúdii </w:delText>
        </w:r>
      </w:del>
      <w:ins w:id="2064" w:author="Author" w:date="2025-07-21T10:36:00Z">
        <w:r>
          <w:t xml:space="preserve">klinickom </w:t>
        </w:r>
      </w:ins>
      <w:ins w:id="2065" w:author="Author" w:date="2025-07-19T23:52:00Z">
        <w:r>
          <w:t xml:space="preserve">skúšaní </w:t>
        </w:r>
      </w:ins>
      <w:r>
        <w:t xml:space="preserve">so subkutánnou formou tocilizumabu bol výskyt infekcií u pacientov s pJIA liečených subkutánne podávaným </w:t>
      </w:r>
      <w:r>
        <w:rPr>
          <w:rFonts w:eastAsia="SimSun"/>
          <w:lang w:eastAsia="zh-CN"/>
        </w:rPr>
        <w:t>tocilizumabom</w:t>
      </w:r>
      <w:r>
        <w:t xml:space="preserve"> porovnateľný s výskytom infekcií zisteným u pacientov s pJIA liečených intravenózne podávaným </w:t>
      </w:r>
      <w:r>
        <w:rPr>
          <w:rFonts w:eastAsia="SimSun"/>
          <w:lang w:eastAsia="zh-CN"/>
        </w:rPr>
        <w:t>tocilizumabom</w:t>
      </w:r>
      <w:r>
        <w:t>.</w:t>
      </w:r>
    </w:p>
    <w:p w14:paraId="66456C1D" w14:textId="77777777" w:rsidR="009700E5" w:rsidRDefault="009700E5"/>
    <w:p w14:paraId="10516F94" w14:textId="77777777" w:rsidR="009700E5" w:rsidRDefault="002C033C">
      <w:pPr>
        <w:keepNext/>
        <w:keepLines/>
        <w:rPr>
          <w:i/>
          <w:u w:val="single"/>
        </w:rPr>
      </w:pPr>
      <w:r>
        <w:rPr>
          <w:i/>
          <w:u w:val="single"/>
        </w:rPr>
        <w:t>Reakcie v mieste podania injekcie</w:t>
      </w:r>
    </w:p>
    <w:p w14:paraId="1F32287B" w14:textId="77777777" w:rsidR="009700E5" w:rsidRDefault="002C033C">
      <w:pPr>
        <w:keepNext/>
        <w:keepLines/>
      </w:pPr>
      <w:r>
        <w:rPr>
          <w:rFonts w:eastAsia="MS Mincho"/>
          <w:lang w:eastAsia="zh-CN"/>
        </w:rPr>
        <w:t xml:space="preserve">Celkovo 28,8 % (15/52) pacientov s pJIA malo ISR po subkutánne podávanom </w:t>
      </w:r>
      <w:r>
        <w:t>tocilizumabe</w:t>
      </w:r>
      <w:r>
        <w:rPr>
          <w:rFonts w:eastAsia="MS Mincho"/>
          <w:lang w:eastAsia="zh-CN"/>
        </w:rPr>
        <w:t xml:space="preserve">. </w:t>
      </w:r>
      <w:r>
        <w:t>Tieto ISR sa vyskytli u 44 % pacientov s telesnou hmotnosťou ≥ 30 kg v porovnaní so 14,8 % pacientov s telesnou hmotnosťou nižšou ako 30 kg. Najčastejšími ISR boli erytém, opuch, hematóm, bolesť a pruritus v mieste podania injekcie. Všetky hlásené ISR boli nezávažnými udalosťami 1. stupňa a žiadna ISR nevyžadovala predčasné ukončenie liečby pacienta alebo prerušenie podávania dávok.</w:t>
      </w:r>
    </w:p>
    <w:p w14:paraId="6247B47F" w14:textId="77777777" w:rsidR="009700E5" w:rsidRDefault="009700E5">
      <w:pPr>
        <w:rPr>
          <w:rFonts w:eastAsia="MS Mincho"/>
          <w:lang w:eastAsia="zh-CN"/>
        </w:rPr>
      </w:pPr>
    </w:p>
    <w:p w14:paraId="73E466B7" w14:textId="77777777" w:rsidR="009700E5" w:rsidRDefault="002C033C">
      <w:pPr>
        <w:rPr>
          <w:rFonts w:eastAsia="MS Mincho"/>
          <w:i/>
          <w:u w:val="single"/>
          <w:lang w:eastAsia="zh-CN"/>
        </w:rPr>
      </w:pPr>
      <w:r>
        <w:rPr>
          <w:rFonts w:eastAsia="MS Mincho"/>
          <w:i/>
          <w:u w:val="single"/>
          <w:lang w:eastAsia="zh-CN"/>
        </w:rPr>
        <w:t>Imunogenicita</w:t>
      </w:r>
    </w:p>
    <w:p w14:paraId="1C4580FB" w14:textId="77777777" w:rsidR="009700E5" w:rsidRDefault="002C033C">
      <w:pPr>
        <w:rPr>
          <w:rFonts w:eastAsia="MS Mincho"/>
          <w:lang w:eastAsia="zh-CN"/>
        </w:rPr>
      </w:pPr>
      <w:r>
        <w:t>V </w:t>
      </w:r>
      <w:del w:id="2066" w:author="Author" w:date="2025-07-19T23:52:00Z">
        <w:r>
          <w:delText xml:space="preserve">štúdii </w:delText>
        </w:r>
      </w:del>
      <w:ins w:id="2067" w:author="Author" w:date="2025-07-21T10:36:00Z">
        <w:r>
          <w:t xml:space="preserve">klinickom </w:t>
        </w:r>
      </w:ins>
      <w:ins w:id="2068" w:author="Author" w:date="2025-07-19T23:52:00Z">
        <w:r>
          <w:t xml:space="preserve">skúšaní </w:t>
        </w:r>
      </w:ins>
      <w:r>
        <w:t>so subkutánnou formou sa u 5,8 % [3/52] pacientov zistila pozitivita neutralizujúcich protilátok proti tocilizumabu bez toho, že by u nich vznikla závažná alebo klinicky významná reakcia z precitlivenosti. Jeden z týchto 3 pacientov bol následne vyradený z</w:t>
      </w:r>
      <w:del w:id="2069" w:author="Author" w:date="2025-08-19T16:18:00Z">
        <w:r>
          <w:delText>o</w:delText>
        </w:r>
      </w:del>
      <w:r>
        <w:t xml:space="preserve"> </w:t>
      </w:r>
      <w:del w:id="2070" w:author="Author" w:date="2025-07-19T23:52:00Z">
        <w:r>
          <w:delText>štúdie</w:delText>
        </w:r>
      </w:del>
      <w:ins w:id="2071" w:author="Author" w:date="2025-07-21T10:36:00Z">
        <w:r>
          <w:t xml:space="preserve"> klinického </w:t>
        </w:r>
      </w:ins>
      <w:ins w:id="2072" w:author="Author" w:date="2025-07-19T23:52:00Z">
        <w:r>
          <w:t>s</w:t>
        </w:r>
      </w:ins>
      <w:ins w:id="2073" w:author="Author" w:date="2025-07-19T23:53:00Z">
        <w:r>
          <w:t>kúšania</w:t>
        </w:r>
      </w:ins>
      <w:r>
        <w:t>. Nepozorovala sa žiadna korelácia medzi tvorbou protilátok a klinickou odpoveďou alebo nežiaducimi udalosťami</w:t>
      </w:r>
      <w:r>
        <w:rPr>
          <w:rFonts w:eastAsia="MS Mincho"/>
          <w:lang w:eastAsia="zh-CN"/>
        </w:rPr>
        <w:t>.</w:t>
      </w:r>
    </w:p>
    <w:p w14:paraId="3171D275" w14:textId="77777777" w:rsidR="009700E5" w:rsidRDefault="009700E5">
      <w:pPr>
        <w:rPr>
          <w:rFonts w:eastAsia="MS Mincho"/>
          <w:lang w:eastAsia="zh-CN"/>
        </w:rPr>
      </w:pPr>
    </w:p>
    <w:p w14:paraId="76A3B1F6" w14:textId="77777777" w:rsidR="009700E5" w:rsidRDefault="002C033C">
      <w:pPr>
        <w:rPr>
          <w:i/>
          <w:szCs w:val="22"/>
          <w:u w:val="single"/>
        </w:rPr>
      </w:pPr>
      <w:r>
        <w:rPr>
          <w:i/>
          <w:szCs w:val="22"/>
          <w:u w:val="single"/>
        </w:rPr>
        <w:t>Laboratórne odchýlky</w:t>
      </w:r>
    </w:p>
    <w:p w14:paraId="00EF13F2" w14:textId="77777777" w:rsidR="009700E5" w:rsidRDefault="002C033C">
      <w:pPr>
        <w:rPr>
          <w:rFonts w:eastAsia="SimSun"/>
        </w:rPr>
      </w:pPr>
      <w:r>
        <w:rPr>
          <w:rFonts w:eastAsia="SimSun"/>
          <w:lang w:eastAsia="zh-CN"/>
        </w:rPr>
        <w:t xml:space="preserve">Počas rutinného laboratórneho sledovania v populácii všetkých pacientov vystavených </w:t>
      </w:r>
      <w:r>
        <w:t>tocilizumabu</w:t>
      </w:r>
      <w:r>
        <w:rPr>
          <w:rFonts w:eastAsia="SimSun"/>
          <w:lang w:eastAsia="zh-CN"/>
        </w:rPr>
        <w:t xml:space="preserve"> došlo k poklesu počtu neutrofilov pod 1 </w:t>
      </w:r>
      <w:r>
        <w:rPr>
          <w:rFonts w:eastAsia="SimSun"/>
          <w:color w:val="000000"/>
          <w:lang w:eastAsia="zh-CN"/>
        </w:rPr>
        <w:t>× 10</w:t>
      </w:r>
      <w:r>
        <w:rPr>
          <w:rFonts w:eastAsia="SimSun"/>
          <w:color w:val="000000"/>
          <w:vertAlign w:val="superscript"/>
          <w:lang w:eastAsia="zh-CN"/>
        </w:rPr>
        <w:t>9</w:t>
      </w:r>
      <w:r>
        <w:rPr>
          <w:rFonts w:eastAsia="SimSun"/>
          <w:color w:val="000000"/>
          <w:lang w:eastAsia="zh-CN"/>
        </w:rPr>
        <w:t>/l</w:t>
      </w:r>
      <w:r>
        <w:rPr>
          <w:rFonts w:eastAsia="SimSun"/>
          <w:lang w:eastAsia="zh-CN"/>
        </w:rPr>
        <w:t xml:space="preserve"> u 15,4 % pacientov liečených subkutánne podávaným </w:t>
      </w:r>
      <w:r>
        <w:t>tocilizumabom</w:t>
      </w:r>
      <w:r>
        <w:rPr>
          <w:rFonts w:eastAsia="SimSun"/>
          <w:lang w:eastAsia="zh-CN"/>
        </w:rPr>
        <w:t>.</w:t>
      </w:r>
      <w:r>
        <w:rPr>
          <w:rFonts w:eastAsia="SimSun"/>
        </w:rPr>
        <w:t xml:space="preserve"> K vzostupu hodnôt </w:t>
      </w:r>
      <w:r>
        <w:t>ALT alebo AST na ≥ 3</w:t>
      </w:r>
      <w:r>
        <w:noBreakHyphen/>
        <w:t xml:space="preserve">násobok ULN došlo, v uvedenom poradí, u 9,6% a 3,8 % pacientov liečených subkutánne podávaným tocilizumabom. U žiadneho pacienta liečeného subkutánne podávaným tocilizumabom nedošlo k poklesu počtu trombocytov na </w:t>
      </w:r>
      <w:r>
        <w:rPr>
          <w:rFonts w:eastAsia="SimSun"/>
        </w:rPr>
        <w:sym w:font="Symbol" w:char="F0A3"/>
      </w:r>
      <w:r>
        <w:rPr>
          <w:rFonts w:eastAsia="SimSun"/>
        </w:rPr>
        <w:t> 50 × 10</w:t>
      </w:r>
      <w:r>
        <w:rPr>
          <w:rFonts w:eastAsia="SimSun"/>
          <w:vertAlign w:val="superscript"/>
        </w:rPr>
        <w:t>3</w:t>
      </w:r>
      <w:r>
        <w:rPr>
          <w:rFonts w:eastAsia="SimSun"/>
        </w:rPr>
        <w:t>/</w:t>
      </w:r>
      <w:r>
        <w:rPr>
          <w:rFonts w:eastAsia="SimSun"/>
          <w:szCs w:val="22"/>
        </w:rPr>
        <w:t>μl</w:t>
      </w:r>
      <w:r>
        <w:rPr>
          <w:rFonts w:eastAsia="SimSun"/>
        </w:rPr>
        <w:t>.</w:t>
      </w:r>
    </w:p>
    <w:p w14:paraId="6EDCDBD7" w14:textId="77777777" w:rsidR="009700E5" w:rsidRDefault="009700E5">
      <w:pPr>
        <w:rPr>
          <w:rFonts w:eastAsia="SimSun"/>
        </w:rPr>
      </w:pPr>
    </w:p>
    <w:p w14:paraId="29EAB866" w14:textId="77777777" w:rsidR="009700E5" w:rsidRDefault="002C033C">
      <w:pPr>
        <w:keepNext/>
        <w:keepLines/>
        <w:autoSpaceDE w:val="0"/>
        <w:autoSpaceDN w:val="0"/>
        <w:adjustRightInd w:val="0"/>
        <w:rPr>
          <w:i/>
          <w:szCs w:val="22"/>
          <w:u w:val="single"/>
        </w:rPr>
      </w:pPr>
      <w:r>
        <w:rPr>
          <w:i/>
          <w:szCs w:val="22"/>
          <w:u w:val="single"/>
        </w:rPr>
        <w:t>Hodnoty lipidových parametrov</w:t>
      </w:r>
    </w:p>
    <w:p w14:paraId="2CB0F8A6" w14:textId="77777777" w:rsidR="009700E5" w:rsidRDefault="002C033C">
      <w:pPr>
        <w:keepNext/>
        <w:keepLines/>
        <w:rPr>
          <w:rFonts w:eastAsia="SimSun"/>
          <w:szCs w:val="22"/>
          <w:lang w:eastAsia="zh-CN"/>
        </w:rPr>
      </w:pPr>
      <w:r>
        <w:t>V </w:t>
      </w:r>
      <w:del w:id="2074" w:author="Author" w:date="2025-07-19T23:53:00Z">
        <w:r>
          <w:delText xml:space="preserve">štúdii </w:delText>
        </w:r>
      </w:del>
      <w:ins w:id="2075" w:author="Author" w:date="2025-07-21T10:36:00Z">
        <w:r>
          <w:t xml:space="preserve">klinickom </w:t>
        </w:r>
      </w:ins>
      <w:ins w:id="2076" w:author="Author" w:date="2025-07-19T23:53:00Z">
        <w:r>
          <w:t xml:space="preserve">skúšaní </w:t>
        </w:r>
      </w:ins>
      <w:r>
        <w:t>so subkutánnou formou sa vzostup hodnoty LDL</w:t>
      </w:r>
      <w:r>
        <w:noBreakHyphen/>
        <w:t>cholesterolu na ≥ 130 mg/dl zistil u 14,3 % pacientov a vzostup hodnoty celkového cholesterolu na ≥ 200 mg/dl u 12,8 % pacientov, a to na ktorejkoľvek z kontrolných návštev (post</w:t>
      </w:r>
      <w:r>
        <w:noBreakHyphen/>
        <w:t>baseline) vykonaných v priebehu skúšanej liečby.</w:t>
      </w:r>
    </w:p>
    <w:p w14:paraId="1C3FB8BF" w14:textId="77777777" w:rsidR="009700E5" w:rsidRDefault="009700E5">
      <w:pPr>
        <w:autoSpaceDE w:val="0"/>
        <w:autoSpaceDN w:val="0"/>
        <w:adjustRightInd w:val="0"/>
        <w:rPr>
          <w:rFonts w:eastAsia="SimSun"/>
          <w:szCs w:val="22"/>
          <w:lang w:eastAsia="zh-CN"/>
        </w:rPr>
      </w:pPr>
    </w:p>
    <w:p w14:paraId="539F32F4" w14:textId="77777777" w:rsidR="009700E5" w:rsidRDefault="002C033C">
      <w:pPr>
        <w:autoSpaceDE w:val="0"/>
        <w:autoSpaceDN w:val="0"/>
        <w:adjustRightInd w:val="0"/>
        <w:rPr>
          <w:rFonts w:eastAsia="SimSun"/>
          <w:bCs/>
          <w:i/>
          <w:iCs/>
          <w:szCs w:val="22"/>
          <w:lang w:eastAsia="zh-CN"/>
        </w:rPr>
      </w:pPr>
      <w:r>
        <w:rPr>
          <w:rFonts w:eastAsia="SimSun"/>
          <w:bCs/>
          <w:i/>
          <w:iCs/>
          <w:szCs w:val="22"/>
          <w:lang w:eastAsia="zh-CN"/>
        </w:rPr>
        <w:t>Pacienti s OBA</w:t>
      </w:r>
    </w:p>
    <w:p w14:paraId="1D72A3FE" w14:textId="77777777" w:rsidR="009700E5" w:rsidRDefault="002C033C">
      <w:pPr>
        <w:autoSpaceDE w:val="0"/>
        <w:autoSpaceDN w:val="0"/>
        <w:adjustRightInd w:val="0"/>
        <w:rPr>
          <w:rFonts w:eastAsia="SimSun"/>
          <w:szCs w:val="22"/>
          <w:lang w:eastAsia="zh-CN"/>
        </w:rPr>
      </w:pPr>
      <w:r>
        <w:rPr>
          <w:rFonts w:eastAsia="SimSun"/>
          <w:szCs w:val="22"/>
          <w:lang w:eastAsia="zh-CN"/>
        </w:rPr>
        <w:t xml:space="preserve">Bezpečnosť subkutánne podávaného </w:t>
      </w:r>
      <w:r>
        <w:t>tocilizumabu</w:t>
      </w:r>
      <w:r>
        <w:rPr>
          <w:rFonts w:eastAsia="SimSun"/>
          <w:szCs w:val="22"/>
          <w:lang w:eastAsia="zh-CN"/>
        </w:rPr>
        <w:t xml:space="preserve"> sa skúmala vo fáze III jedn</w:t>
      </w:r>
      <w:del w:id="2077" w:author="Author" w:date="2025-07-19T23:53:00Z">
        <w:r>
          <w:rPr>
            <w:rFonts w:eastAsia="SimSun"/>
            <w:szCs w:val="22"/>
            <w:lang w:eastAsia="zh-CN"/>
          </w:rPr>
          <w:delText xml:space="preserve">ej štúdie </w:delText>
        </w:r>
      </w:del>
      <w:ins w:id="2078" w:author="Author" w:date="2025-07-19T23:53:00Z">
        <w:r>
          <w:rPr>
            <w:rFonts w:eastAsia="SimSun"/>
            <w:szCs w:val="22"/>
            <w:lang w:eastAsia="zh-CN"/>
          </w:rPr>
          <w:t xml:space="preserve">ého </w:t>
        </w:r>
      </w:ins>
      <w:ins w:id="2079" w:author="Author" w:date="2025-07-21T10:36:00Z">
        <w:r>
          <w:t>klinického</w:t>
        </w:r>
        <w:r>
          <w:rPr>
            <w:rFonts w:eastAsia="SimSun"/>
            <w:szCs w:val="22"/>
            <w:lang w:eastAsia="zh-CN"/>
          </w:rPr>
          <w:t xml:space="preserve"> </w:t>
        </w:r>
      </w:ins>
      <w:ins w:id="2080" w:author="Author" w:date="2025-07-19T23:53:00Z">
        <w:r>
          <w:rPr>
            <w:rFonts w:eastAsia="SimSun"/>
            <w:szCs w:val="22"/>
            <w:lang w:eastAsia="zh-CN"/>
          </w:rPr>
          <w:t xml:space="preserve">skúšania </w:t>
        </w:r>
      </w:ins>
      <w:r>
        <w:rPr>
          <w:rFonts w:eastAsia="SimSun"/>
          <w:szCs w:val="22"/>
          <w:lang w:eastAsia="zh-CN"/>
        </w:rPr>
        <w:t xml:space="preserve">(WA28119), </w:t>
      </w:r>
      <w:del w:id="2081" w:author="Author" w:date="2025-07-19T23:53:00Z">
        <w:r>
          <w:rPr>
            <w:rFonts w:eastAsia="SimSun"/>
            <w:szCs w:val="22"/>
            <w:lang w:eastAsia="zh-CN"/>
          </w:rPr>
          <w:delText xml:space="preserve">ktorej </w:delText>
        </w:r>
      </w:del>
      <w:ins w:id="2082" w:author="Author" w:date="2025-07-19T23:53:00Z">
        <w:r>
          <w:rPr>
            <w:rFonts w:eastAsia="SimSun"/>
            <w:szCs w:val="22"/>
            <w:lang w:eastAsia="zh-CN"/>
          </w:rPr>
          <w:t xml:space="preserve">ktorého </w:t>
        </w:r>
      </w:ins>
      <w:r>
        <w:rPr>
          <w:rFonts w:eastAsia="SimSun"/>
          <w:szCs w:val="22"/>
          <w:lang w:eastAsia="zh-CN"/>
        </w:rPr>
        <w:t>sa zúčastnilo 251 pacientov s OBA. Počas 12</w:t>
      </w:r>
      <w:r>
        <w:rPr>
          <w:rFonts w:eastAsia="SimSun"/>
          <w:szCs w:val="22"/>
          <w:lang w:eastAsia="zh-CN"/>
        </w:rPr>
        <w:noBreakHyphen/>
        <w:t xml:space="preserve">mesačnej, dvojito zaslepenej, placebom kontrolovanej fázy </w:t>
      </w:r>
      <w:del w:id="2083" w:author="Author" w:date="2025-07-19T23:53:00Z">
        <w:r>
          <w:rPr>
            <w:rFonts w:eastAsia="SimSun"/>
            <w:szCs w:val="22"/>
            <w:lang w:eastAsia="zh-CN"/>
          </w:rPr>
          <w:delText>tejto štúdie</w:delText>
        </w:r>
      </w:del>
      <w:ins w:id="2084" w:author="Author" w:date="2025-07-19T23:53:00Z">
        <w:r>
          <w:rPr>
            <w:rFonts w:eastAsia="SimSun"/>
            <w:szCs w:val="22"/>
            <w:lang w:eastAsia="zh-CN"/>
          </w:rPr>
          <w:t xml:space="preserve">tohto </w:t>
        </w:r>
      </w:ins>
      <w:ins w:id="2085" w:author="Author" w:date="2025-07-21T10:36:00Z">
        <w:r>
          <w:t>klinického</w:t>
        </w:r>
        <w:r>
          <w:rPr>
            <w:rFonts w:eastAsia="SimSun"/>
            <w:szCs w:val="22"/>
            <w:lang w:eastAsia="zh-CN"/>
          </w:rPr>
          <w:t xml:space="preserve"> </w:t>
        </w:r>
      </w:ins>
      <w:ins w:id="2086" w:author="Author" w:date="2025-07-19T23:53:00Z">
        <w:r>
          <w:rPr>
            <w:rFonts w:eastAsia="SimSun"/>
            <w:szCs w:val="22"/>
            <w:lang w:eastAsia="zh-CN"/>
          </w:rPr>
          <w:t>skúšania</w:t>
        </w:r>
      </w:ins>
      <w:r>
        <w:rPr>
          <w:rFonts w:eastAsia="SimSun"/>
          <w:szCs w:val="22"/>
          <w:lang w:eastAsia="zh-CN"/>
        </w:rPr>
        <w:t xml:space="preserve"> bolo celkové trvanie v pacientorokoch pri </w:t>
      </w:r>
      <w:r>
        <w:t>tocilizumabe</w:t>
      </w:r>
      <w:r>
        <w:rPr>
          <w:rFonts w:eastAsia="SimSun"/>
          <w:szCs w:val="22"/>
          <w:lang w:eastAsia="zh-CN"/>
        </w:rPr>
        <w:t xml:space="preserve"> u populácie s celkovou expozíciou </w:t>
      </w:r>
      <w:ins w:id="2087" w:author="Author" w:date="2025-07-19T23:54:00Z">
        <w:r>
          <w:rPr>
            <w:rFonts w:eastAsia="SimSun"/>
            <w:szCs w:val="22"/>
          </w:rPr>
          <w:t xml:space="preserve">tocilizumabu </w:t>
        </w:r>
      </w:ins>
      <w:r>
        <w:rPr>
          <w:rFonts w:eastAsia="SimSun"/>
          <w:szCs w:val="22"/>
          <w:lang w:eastAsia="zh-CN"/>
        </w:rPr>
        <w:t xml:space="preserve">138,5 pacientoroka. Celkový bezpečnostný profil pozorovaný v liečebných skupinách bol zhodný so známym bezpečnostným profilom </w:t>
      </w:r>
      <w:r>
        <w:t>tocilizumabu</w:t>
      </w:r>
      <w:r>
        <w:rPr>
          <w:rFonts w:eastAsia="SimSun"/>
          <w:szCs w:val="22"/>
          <w:lang w:eastAsia="zh-CN"/>
        </w:rPr>
        <w:t xml:space="preserve"> (pozri tabuľku 1).</w:t>
      </w:r>
    </w:p>
    <w:p w14:paraId="520A0996" w14:textId="77777777" w:rsidR="009700E5" w:rsidRDefault="009700E5">
      <w:pPr>
        <w:autoSpaceDE w:val="0"/>
        <w:autoSpaceDN w:val="0"/>
        <w:adjustRightInd w:val="0"/>
        <w:rPr>
          <w:rFonts w:eastAsia="SimSun"/>
          <w:szCs w:val="22"/>
          <w:lang w:eastAsia="zh-CN"/>
        </w:rPr>
      </w:pPr>
    </w:p>
    <w:p w14:paraId="661E8FD0" w14:textId="77777777" w:rsidR="009700E5" w:rsidRDefault="002C033C">
      <w:pPr>
        <w:autoSpaceDE w:val="0"/>
        <w:autoSpaceDN w:val="0"/>
        <w:adjustRightInd w:val="0"/>
        <w:rPr>
          <w:rFonts w:eastAsia="SimSun"/>
          <w:i/>
          <w:szCs w:val="22"/>
          <w:u w:val="single"/>
          <w:lang w:eastAsia="zh-CN"/>
        </w:rPr>
      </w:pPr>
      <w:r>
        <w:rPr>
          <w:rFonts w:eastAsia="SimSun"/>
          <w:i/>
          <w:szCs w:val="22"/>
          <w:u w:val="single"/>
          <w:lang w:eastAsia="zh-CN"/>
        </w:rPr>
        <w:t>Infekcie</w:t>
      </w:r>
    </w:p>
    <w:p w14:paraId="3D8013FA" w14:textId="77777777" w:rsidR="009700E5" w:rsidRDefault="002C033C">
      <w:pPr>
        <w:autoSpaceDE w:val="0"/>
        <w:autoSpaceDN w:val="0"/>
        <w:adjustRightInd w:val="0"/>
        <w:rPr>
          <w:rFonts w:eastAsia="SimSun"/>
          <w:szCs w:val="22"/>
          <w:lang w:eastAsia="zh-CN"/>
        </w:rPr>
      </w:pPr>
      <w:r>
        <w:rPr>
          <w:rFonts w:eastAsia="SimSun"/>
          <w:szCs w:val="22"/>
          <w:lang w:eastAsia="zh-CN"/>
        </w:rPr>
        <w:t>Miera výskytu udalostí infekcií/závažných infekcií bola vyrovnaná medzi skupinou s </w:t>
      </w:r>
      <w:r>
        <w:t>tocilizumabom</w:t>
      </w:r>
      <w:r>
        <w:rPr>
          <w:rFonts w:eastAsia="SimSun"/>
          <w:szCs w:val="22"/>
          <w:lang w:eastAsia="zh-CN"/>
        </w:rPr>
        <w:t xml:space="preserve"> podávaným raz za týždeň (200,2/9,7 udalosti na 100 pacientorokov) a skupinou s placebom v kombinácii s postupným znižovaním dávky prednizónu počas 26 týždňov (156,0/4,2 udalosti na 100 pacientorokov) a skupinou s placebom v kombinácii s postupným znižovaním dávky počas 52 týždňov (210,2/12,5 udalosti na 100 pacientorokov).</w:t>
      </w:r>
    </w:p>
    <w:p w14:paraId="758B297F" w14:textId="77777777" w:rsidR="009700E5" w:rsidRDefault="009700E5">
      <w:pPr>
        <w:autoSpaceDE w:val="0"/>
        <w:autoSpaceDN w:val="0"/>
        <w:adjustRightInd w:val="0"/>
        <w:rPr>
          <w:rFonts w:eastAsia="SimSun"/>
          <w:szCs w:val="22"/>
          <w:lang w:eastAsia="zh-CN"/>
        </w:rPr>
      </w:pPr>
    </w:p>
    <w:p w14:paraId="76C3D882" w14:textId="77777777" w:rsidR="009700E5" w:rsidRDefault="002C033C">
      <w:pPr>
        <w:autoSpaceDE w:val="0"/>
        <w:autoSpaceDN w:val="0"/>
        <w:adjustRightInd w:val="0"/>
        <w:rPr>
          <w:rFonts w:eastAsia="SimSun"/>
          <w:i/>
          <w:szCs w:val="22"/>
          <w:u w:val="single"/>
          <w:lang w:eastAsia="zh-CN"/>
        </w:rPr>
      </w:pPr>
      <w:r>
        <w:rPr>
          <w:rFonts w:eastAsia="SimSun"/>
          <w:i/>
          <w:szCs w:val="22"/>
          <w:u w:val="single"/>
          <w:lang w:eastAsia="zh-CN"/>
        </w:rPr>
        <w:t>Reakcie v mieste podania injekcie</w:t>
      </w:r>
    </w:p>
    <w:p w14:paraId="5255D84E" w14:textId="77777777" w:rsidR="009700E5" w:rsidRDefault="002C033C">
      <w:pPr>
        <w:autoSpaceDE w:val="0"/>
        <w:autoSpaceDN w:val="0"/>
        <w:adjustRightInd w:val="0"/>
        <w:rPr>
          <w:rFonts w:eastAsia="SimSun"/>
          <w:szCs w:val="22"/>
          <w:lang w:eastAsia="zh-CN"/>
        </w:rPr>
      </w:pPr>
      <w:r>
        <w:rPr>
          <w:rFonts w:eastAsia="SimSun"/>
          <w:szCs w:val="22"/>
          <w:lang w:eastAsia="zh-CN"/>
        </w:rPr>
        <w:t xml:space="preserve">V skupine, v ktorej sa </w:t>
      </w:r>
      <w:r>
        <w:t>tocilizumab</w:t>
      </w:r>
      <w:r>
        <w:rPr>
          <w:rFonts w:eastAsia="SimSun"/>
          <w:szCs w:val="22"/>
          <w:lang w:eastAsia="zh-CN"/>
        </w:rPr>
        <w:t xml:space="preserve"> podával subkutánne raz za týždeň, celkovo 6 % (6/100) pacientov hlásilo nežiaduce reakcie v mieste podania subkutánnej injekcie. Žiadna reakcia v mieste podania injekcie nebola hlásená ako závažná nežiaduca udalosť, alebo žiadna nevyžadovala ukončenie liečby.</w:t>
      </w:r>
    </w:p>
    <w:p w14:paraId="42580386" w14:textId="77777777" w:rsidR="009700E5" w:rsidRDefault="009700E5">
      <w:pPr>
        <w:autoSpaceDE w:val="0"/>
        <w:autoSpaceDN w:val="0"/>
        <w:adjustRightInd w:val="0"/>
        <w:rPr>
          <w:rFonts w:eastAsia="SimSun"/>
          <w:szCs w:val="22"/>
          <w:lang w:eastAsia="zh-CN"/>
        </w:rPr>
      </w:pPr>
    </w:p>
    <w:p w14:paraId="458C07B1" w14:textId="77777777" w:rsidR="009700E5" w:rsidRDefault="002C033C">
      <w:pPr>
        <w:autoSpaceDE w:val="0"/>
        <w:autoSpaceDN w:val="0"/>
        <w:adjustRightInd w:val="0"/>
        <w:rPr>
          <w:rFonts w:eastAsia="SimSun"/>
          <w:i/>
          <w:szCs w:val="22"/>
          <w:u w:val="single"/>
          <w:lang w:eastAsia="zh-CN"/>
        </w:rPr>
      </w:pPr>
      <w:r>
        <w:rPr>
          <w:rFonts w:eastAsia="SimSun"/>
          <w:i/>
          <w:szCs w:val="22"/>
          <w:u w:val="single"/>
          <w:lang w:eastAsia="zh-CN"/>
        </w:rPr>
        <w:t>Imunogenicita</w:t>
      </w:r>
    </w:p>
    <w:p w14:paraId="280FED3D" w14:textId="77777777" w:rsidR="009700E5" w:rsidRDefault="002C033C">
      <w:pPr>
        <w:autoSpaceDE w:val="0"/>
        <w:autoSpaceDN w:val="0"/>
        <w:adjustRightInd w:val="0"/>
        <w:rPr>
          <w:rFonts w:eastAsia="SimSun"/>
          <w:szCs w:val="22"/>
          <w:lang w:eastAsia="zh-CN"/>
        </w:rPr>
      </w:pPr>
      <w:r>
        <w:rPr>
          <w:rFonts w:eastAsia="SimSun"/>
          <w:szCs w:val="22"/>
          <w:lang w:eastAsia="zh-CN"/>
        </w:rPr>
        <w:t>V skupine s </w:t>
      </w:r>
      <w:r>
        <w:t>tocilizumabom</w:t>
      </w:r>
      <w:r>
        <w:rPr>
          <w:rFonts w:eastAsia="SimSun"/>
          <w:szCs w:val="22"/>
          <w:lang w:eastAsia="zh-CN"/>
        </w:rPr>
        <w:t xml:space="preserve"> podávaným subkutánne raz za týždeň sa u jedného pacienta (1,1 %, 1/95) zistila pozitivita neutralizujúcich protilátok proti </w:t>
      </w:r>
      <w:r>
        <w:t>tocilizumabu</w:t>
      </w:r>
      <w:r>
        <w:rPr>
          <w:rFonts w:eastAsia="SimSun"/>
          <w:szCs w:val="22"/>
          <w:lang w:eastAsia="zh-CN"/>
        </w:rPr>
        <w:t>, nie však protilátok izotypu IgE. U tohto pacienta nebola pozorovaná reakcia z precitlivenosti, ani reakcia v mieste podania injekcie.</w:t>
      </w:r>
    </w:p>
    <w:p w14:paraId="060D1222" w14:textId="77777777" w:rsidR="009700E5" w:rsidRDefault="009700E5">
      <w:pPr>
        <w:autoSpaceDE w:val="0"/>
        <w:autoSpaceDN w:val="0"/>
        <w:adjustRightInd w:val="0"/>
        <w:rPr>
          <w:rFonts w:eastAsia="SimSun"/>
          <w:szCs w:val="22"/>
          <w:lang w:eastAsia="zh-CN"/>
        </w:rPr>
      </w:pPr>
    </w:p>
    <w:p w14:paraId="3E7D5514" w14:textId="77777777" w:rsidR="009700E5" w:rsidRDefault="002C033C">
      <w:pPr>
        <w:widowControl w:val="0"/>
        <w:rPr>
          <w:i/>
          <w:iCs/>
          <w:u w:val="single"/>
        </w:rPr>
      </w:pPr>
      <w:r>
        <w:rPr>
          <w:i/>
          <w:iCs/>
          <w:u w:val="single"/>
        </w:rPr>
        <w:t>Neutrofily</w:t>
      </w:r>
    </w:p>
    <w:p w14:paraId="6935B8FB" w14:textId="77777777" w:rsidR="009700E5" w:rsidRDefault="002C033C">
      <w:pPr>
        <w:widowControl w:val="0"/>
        <w:rPr>
          <w:iCs/>
        </w:rPr>
      </w:pPr>
      <w:r>
        <w:rPr>
          <w:iCs/>
        </w:rPr>
        <w:t>Počas rutinného laboratórneho sledovania v 12</w:t>
      </w:r>
      <w:r>
        <w:rPr>
          <w:iCs/>
        </w:rPr>
        <w:noBreakHyphen/>
        <w:t>mesačnom kontrolovanom klinickom skúšaní s </w:t>
      </w:r>
      <w:r>
        <w:t>tocilizumabom</w:t>
      </w:r>
      <w:r>
        <w:rPr>
          <w:iCs/>
        </w:rPr>
        <w:t xml:space="preserve"> sa pozoroval pokles počtu neutrofilov pod 1 </w:t>
      </w:r>
      <w:r>
        <w:rPr>
          <w:szCs w:val="22"/>
          <w:lang w:eastAsia="de-DE"/>
        </w:rPr>
        <w:t>×</w:t>
      </w:r>
      <w:r>
        <w:rPr>
          <w:iCs/>
        </w:rPr>
        <w:t> 10</w:t>
      </w:r>
      <w:r>
        <w:rPr>
          <w:iCs/>
          <w:vertAlign w:val="superscript"/>
        </w:rPr>
        <w:t>9</w:t>
      </w:r>
      <w:r>
        <w:rPr>
          <w:iCs/>
        </w:rPr>
        <w:t xml:space="preserve">/l u 4 % pacientov v skupine so subkutánne podávaným </w:t>
      </w:r>
      <w:r>
        <w:t>tocilizumabom</w:t>
      </w:r>
      <w:r>
        <w:rPr>
          <w:iCs/>
        </w:rPr>
        <w:t xml:space="preserve"> raz za týždeň. Tento pokles sa nepozoroval v žiadnej skupine s placebom a s postupným znižovaním dávky prednizónu.</w:t>
      </w:r>
    </w:p>
    <w:p w14:paraId="4D06516B" w14:textId="77777777" w:rsidR="009700E5" w:rsidRDefault="009700E5">
      <w:pPr>
        <w:rPr>
          <w:i/>
          <w:iCs/>
        </w:rPr>
      </w:pPr>
    </w:p>
    <w:p w14:paraId="066E66B8" w14:textId="77777777" w:rsidR="009700E5" w:rsidRDefault="002C033C">
      <w:pPr>
        <w:rPr>
          <w:i/>
          <w:iCs/>
          <w:u w:val="single"/>
        </w:rPr>
      </w:pPr>
      <w:r>
        <w:rPr>
          <w:i/>
          <w:iCs/>
          <w:u w:val="single"/>
        </w:rPr>
        <w:t>Trombocyty</w:t>
      </w:r>
    </w:p>
    <w:p w14:paraId="54674316" w14:textId="77777777" w:rsidR="009700E5" w:rsidRDefault="002C033C">
      <w:pPr>
        <w:rPr>
          <w:szCs w:val="22"/>
          <w:lang w:eastAsia="de-DE"/>
        </w:rPr>
      </w:pPr>
      <w:r>
        <w:rPr>
          <w:iCs/>
        </w:rPr>
        <w:t>Počas rutinného laboratórneho sledovania v 12</w:t>
      </w:r>
      <w:r>
        <w:rPr>
          <w:iCs/>
        </w:rPr>
        <w:noBreakHyphen/>
        <w:t>mesačnom kontrolovanom klinickom skúšaní s </w:t>
      </w:r>
      <w:r>
        <w:t>tocilizumabom</w:t>
      </w:r>
      <w:r>
        <w:rPr>
          <w:iCs/>
        </w:rPr>
        <w:t xml:space="preserve"> sa u 1 pacienta (1 %, 1/100) v skupine so subkutánne podávaným </w:t>
      </w:r>
      <w:r>
        <w:t>tocilizumabom</w:t>
      </w:r>
      <w:r>
        <w:rPr>
          <w:iCs/>
        </w:rPr>
        <w:t xml:space="preserve"> raz za týždeň pozoroval jeden výskyt prechodného poklesu počtu trombocytov na </w:t>
      </w:r>
      <w:r>
        <w:rPr>
          <w:rFonts w:eastAsia="MS Mincho"/>
          <w:szCs w:val="22"/>
        </w:rPr>
        <w:sym w:font="Symbol" w:char="F03C"/>
      </w:r>
      <w:r>
        <w:rPr>
          <w:szCs w:val="22"/>
          <w:lang w:eastAsia="de-DE"/>
        </w:rPr>
        <w:t> 100 × 10</w:t>
      </w:r>
      <w:r>
        <w:rPr>
          <w:szCs w:val="22"/>
          <w:vertAlign w:val="superscript"/>
          <w:lang w:eastAsia="de-DE"/>
        </w:rPr>
        <w:t>3</w:t>
      </w:r>
      <w:r>
        <w:rPr>
          <w:szCs w:val="22"/>
          <w:lang w:eastAsia="de-DE"/>
        </w:rPr>
        <w:t>/μl bez súvisiacich prípadov krvácania. Pokles počtu trombocytov pod počet 100 × 10</w:t>
      </w:r>
      <w:r>
        <w:rPr>
          <w:szCs w:val="22"/>
          <w:vertAlign w:val="superscript"/>
          <w:lang w:eastAsia="de-DE"/>
        </w:rPr>
        <w:t>3</w:t>
      </w:r>
      <w:r>
        <w:rPr>
          <w:szCs w:val="22"/>
          <w:lang w:eastAsia="de-DE"/>
        </w:rPr>
        <w:t>/μl nebol pozorovaný v žiadnej skupine s placebom a s postupným znižovaním dávky prednizónu.</w:t>
      </w:r>
    </w:p>
    <w:p w14:paraId="18857D35" w14:textId="77777777" w:rsidR="009700E5" w:rsidRDefault="009700E5">
      <w:pPr>
        <w:rPr>
          <w:iCs/>
        </w:rPr>
      </w:pPr>
    </w:p>
    <w:p w14:paraId="54212867" w14:textId="77777777" w:rsidR="009700E5" w:rsidRDefault="002C033C">
      <w:pPr>
        <w:keepNext/>
        <w:keepLines/>
        <w:rPr>
          <w:i/>
          <w:iCs/>
          <w:u w:val="single"/>
        </w:rPr>
      </w:pPr>
      <w:r>
        <w:rPr>
          <w:i/>
          <w:iCs/>
          <w:u w:val="single"/>
        </w:rPr>
        <w:t>Zvýšenie pečeňových transamináz</w:t>
      </w:r>
    </w:p>
    <w:p w14:paraId="1717E291" w14:textId="77777777" w:rsidR="009700E5" w:rsidRDefault="002C033C">
      <w:pPr>
        <w:keepNext/>
        <w:keepLines/>
        <w:rPr>
          <w:iCs/>
        </w:rPr>
      </w:pPr>
      <w:r>
        <w:rPr>
          <w:iCs/>
        </w:rPr>
        <w:t>Počas rutinného laboratórneho sledovania v 12</w:t>
      </w:r>
      <w:r>
        <w:rPr>
          <w:iCs/>
        </w:rPr>
        <w:noBreakHyphen/>
        <w:t>mesačnom kontrolovanom klinickom skúšaní s </w:t>
      </w:r>
      <w:r>
        <w:t>tocilizumabom</w:t>
      </w:r>
      <w:r>
        <w:rPr>
          <w:iCs/>
        </w:rPr>
        <w:t>, sa pozoroval vzostup hodnôt ALT na </w:t>
      </w:r>
      <w:r>
        <w:rPr>
          <w:rFonts w:eastAsia="MS Mincho"/>
          <w:szCs w:val="22"/>
        </w:rPr>
        <w:sym w:font="Symbol" w:char="F03E"/>
      </w:r>
      <w:r>
        <w:rPr>
          <w:iCs/>
        </w:rPr>
        <w:t> 3</w:t>
      </w:r>
      <w:r>
        <w:rPr>
          <w:iCs/>
        </w:rPr>
        <w:noBreakHyphen/>
        <w:t xml:space="preserve">násobok ULN u 3 % pacientov v skupine so subkutánne podávaným </w:t>
      </w:r>
      <w:r>
        <w:t>tocilizumabom</w:t>
      </w:r>
      <w:r>
        <w:rPr>
          <w:iCs/>
        </w:rPr>
        <w:t xml:space="preserve"> raz za týždeň v porovnaní s 2 % pacientov v skupine s placebom </w:t>
      </w:r>
      <w:r>
        <w:rPr>
          <w:rFonts w:eastAsia="SimSun"/>
          <w:szCs w:val="22"/>
          <w:lang w:eastAsia="zh-CN"/>
        </w:rPr>
        <w:t>v kombinácii s postupným znižovaním dávky prednizónu počas</w:t>
      </w:r>
      <w:r>
        <w:rPr>
          <w:iCs/>
        </w:rPr>
        <w:t xml:space="preserve"> 52 týždňov a 0 % pacientov v skupine s placebom</w:t>
      </w:r>
      <w:r>
        <w:rPr>
          <w:rFonts w:eastAsia="SimSun"/>
          <w:szCs w:val="22"/>
          <w:lang w:eastAsia="zh-CN"/>
        </w:rPr>
        <w:t xml:space="preserve"> v kombinácii s postupným znižovaním dávky prednizónu počas</w:t>
      </w:r>
      <w:r>
        <w:rPr>
          <w:iCs/>
        </w:rPr>
        <w:t xml:space="preserve"> 26 týždňov. Vzostup hodnôt AST na </w:t>
      </w:r>
      <w:r>
        <w:rPr>
          <w:rFonts w:eastAsia="MS Mincho"/>
          <w:szCs w:val="22"/>
        </w:rPr>
        <w:sym w:font="Symbol" w:char="F03E"/>
      </w:r>
      <w:r>
        <w:rPr>
          <w:iCs/>
        </w:rPr>
        <w:t> 3</w:t>
      </w:r>
      <w:r>
        <w:rPr>
          <w:iCs/>
        </w:rPr>
        <w:noBreakHyphen/>
        <w:t>násobok ULN sa pozoroval u 1 % pacientov v skupine s </w:t>
      </w:r>
      <w:r>
        <w:t>tocilizumabom</w:t>
      </w:r>
      <w:r>
        <w:rPr>
          <w:iCs/>
        </w:rPr>
        <w:t xml:space="preserve"> podávaným subkutánne raz za týždeň v porovnaní s 0 % pacientov v oboch skupinách s placebom s postupným znižovaním dávky prednizónu.</w:t>
      </w:r>
    </w:p>
    <w:p w14:paraId="0A5BA4C7" w14:textId="77777777" w:rsidR="009700E5" w:rsidRDefault="009700E5">
      <w:pPr>
        <w:rPr>
          <w:iCs/>
        </w:rPr>
      </w:pPr>
    </w:p>
    <w:p w14:paraId="78CD206F" w14:textId="77777777" w:rsidR="009700E5" w:rsidRDefault="002C033C">
      <w:pPr>
        <w:keepNext/>
        <w:keepLines/>
        <w:outlineLvl w:val="0"/>
        <w:rPr>
          <w:i/>
          <w:u w:val="single"/>
        </w:rPr>
      </w:pPr>
      <w:r>
        <w:rPr>
          <w:i/>
          <w:u w:val="single"/>
        </w:rPr>
        <w:t>Hodnoty lipidových parametrov</w:t>
      </w:r>
    </w:p>
    <w:p w14:paraId="706240BA" w14:textId="77777777" w:rsidR="009700E5" w:rsidRDefault="002C033C">
      <w:pPr>
        <w:keepNext/>
        <w:keepLines/>
        <w:rPr>
          <w:iCs/>
        </w:rPr>
      </w:pPr>
      <w:r>
        <w:rPr>
          <w:rFonts w:eastAsia="SimSun"/>
          <w:szCs w:val="22"/>
          <w:lang w:eastAsia="zh-CN"/>
        </w:rPr>
        <w:t>Počas rutinného laboratórneho sledovania v 12</w:t>
      </w:r>
      <w:r>
        <w:rPr>
          <w:rFonts w:eastAsia="SimSun"/>
          <w:szCs w:val="22"/>
          <w:lang w:eastAsia="zh-CN"/>
        </w:rPr>
        <w:noBreakHyphen/>
        <w:t>mesačnom kontrolovanom klinickom skúšaní s </w:t>
      </w:r>
      <w:r>
        <w:t>tocilizumabom</w:t>
      </w:r>
      <w:r>
        <w:rPr>
          <w:rFonts w:eastAsia="SimSun"/>
          <w:szCs w:val="22"/>
          <w:lang w:eastAsia="zh-CN"/>
        </w:rPr>
        <w:t>, došlo k trvalému zvýšeniu hodnôt celkového cholesterolu na </w:t>
      </w:r>
      <w:r>
        <w:rPr>
          <w:rFonts w:eastAsia="MS Mincho"/>
          <w:szCs w:val="22"/>
        </w:rPr>
        <w:sym w:font="Symbol" w:char="F03E"/>
      </w:r>
      <w:r>
        <w:rPr>
          <w:rFonts w:eastAsia="SimSun"/>
          <w:szCs w:val="22"/>
          <w:lang w:eastAsia="zh-CN"/>
        </w:rPr>
        <w:t xml:space="preserve"> 6,2 mmol/l (240 mg/dl) u 34 % pacientov liečených </w:t>
      </w:r>
      <w:r>
        <w:t>tocilizumabom</w:t>
      </w:r>
      <w:r>
        <w:rPr>
          <w:rFonts w:eastAsia="SimSun"/>
          <w:szCs w:val="22"/>
          <w:lang w:eastAsia="zh-CN"/>
        </w:rPr>
        <w:t xml:space="preserve"> podávaným subkutánne raz za týždeň a u 15 % došlo k trvalému zvýšeniu hodnôt LDL na ≥ 4,1 mmol/l (160 mg/dl)</w:t>
      </w:r>
    </w:p>
    <w:p w14:paraId="045A09E6" w14:textId="77777777" w:rsidR="009700E5" w:rsidRDefault="009700E5">
      <w:pPr>
        <w:outlineLvl w:val="0"/>
        <w:rPr>
          <w:u w:val="single"/>
        </w:rPr>
      </w:pPr>
    </w:p>
    <w:p w14:paraId="0D3A6671" w14:textId="77777777" w:rsidR="009700E5" w:rsidRDefault="002C033C">
      <w:pPr>
        <w:outlineLvl w:val="0"/>
        <w:rPr>
          <w:u w:val="single"/>
        </w:rPr>
      </w:pPr>
      <w:r>
        <w:rPr>
          <w:u w:val="single"/>
        </w:rPr>
        <w:t>Opis vybraných nežiaducich reakcií (intravenózne použitie)</w:t>
      </w:r>
    </w:p>
    <w:p w14:paraId="1478C523" w14:textId="77777777" w:rsidR="009700E5" w:rsidRDefault="002C033C">
      <w:pPr>
        <w:keepNext/>
        <w:outlineLvl w:val="0"/>
        <w:rPr>
          <w:bCs/>
          <w:i/>
          <w:iCs/>
          <w:szCs w:val="22"/>
        </w:rPr>
      </w:pPr>
      <w:r>
        <w:rPr>
          <w:bCs/>
          <w:i/>
          <w:iCs/>
          <w:szCs w:val="22"/>
        </w:rPr>
        <w:t>Pacienti s RA</w:t>
      </w:r>
    </w:p>
    <w:p w14:paraId="782F7926" w14:textId="77777777" w:rsidR="009700E5" w:rsidRDefault="002C033C">
      <w:pPr>
        <w:keepNext/>
        <w:keepLines/>
      </w:pPr>
      <w:r>
        <w:t xml:space="preserve">Bezpečnosť tocilizumabu bola skúmaná </w:t>
      </w:r>
      <w:del w:id="2088" w:author="Author" w:date="2025-07-19T23:55:00Z">
        <w:r>
          <w:delText>v 4 placebom kontrolovaných štúdiách</w:delText>
        </w:r>
      </w:del>
      <w:ins w:id="2089" w:author="Author" w:date="2025-07-19T23:55:00Z">
        <w:r>
          <w:t>v</w:t>
        </w:r>
      </w:ins>
      <w:ins w:id="2090" w:author="Author" w:date="2025-07-19T23:56:00Z">
        <w:r>
          <w:t> 5 </w:t>
        </w:r>
      </w:ins>
      <w:ins w:id="2091" w:author="Author" w:date="2025-07-19T23:55:00Z">
        <w:r>
          <w:t>dvojito zaslepených kontrolovaných klini</w:t>
        </w:r>
      </w:ins>
      <w:ins w:id="2092" w:author="Author" w:date="2025-07-19T23:56:00Z">
        <w:r>
          <w:t>ckých skúšaniach vo fáze III</w:t>
        </w:r>
      </w:ins>
      <w:r>
        <w:t xml:space="preserve"> </w:t>
      </w:r>
      <w:del w:id="2093" w:author="Author" w:date="2025-07-19T23:56:00Z">
        <w:r>
          <w:delText xml:space="preserve">(štúdie II, III, IV a V), v 1 MTX kontrolovanej štúdii (štúdia I) </w:delText>
        </w:r>
      </w:del>
      <w:r>
        <w:t>a v ich predĺžených fázach (pozri časť 5.1).</w:t>
      </w:r>
    </w:p>
    <w:p w14:paraId="504791CD" w14:textId="77777777" w:rsidR="009700E5" w:rsidRDefault="009700E5"/>
    <w:p w14:paraId="64B14DFF" w14:textId="77777777" w:rsidR="009700E5" w:rsidRDefault="002C033C">
      <w:ins w:id="2094" w:author="Author" w:date="2025-08-22T14:32:00Z">
        <w:r>
          <w:rPr>
            <w:iCs/>
            <w:rPrChange w:id="2095" w:author="Author" w:date="2026-02-19T09:36:00Z">
              <w:rPr>
                <w:i/>
              </w:rPr>
            </w:rPrChange>
          </w:rPr>
          <w:t>Kompletná</w:t>
        </w:r>
      </w:ins>
      <w:ins w:id="2096" w:author="Author" w:date="2025-07-19T23:57:00Z">
        <w:r>
          <w:rPr>
            <w:iCs/>
          </w:rPr>
          <w:t xml:space="preserve"> kontrol</w:t>
        </w:r>
      </w:ins>
      <w:ins w:id="2097" w:author="Author" w:date="2025-08-22T14:32:00Z">
        <w:r>
          <w:rPr>
            <w:iCs/>
            <w:rPrChange w:id="2098" w:author="Author" w:date="2026-02-19T09:36:00Z">
              <w:rPr>
                <w:i/>
              </w:rPr>
            </w:rPrChange>
          </w:rPr>
          <w:t>ovaná</w:t>
        </w:r>
      </w:ins>
      <w:ins w:id="2099" w:author="Author" w:date="2025-07-19T23:57:00Z">
        <w:r>
          <w:t xml:space="preserve"> populácia zahŕňa všetkých pacientov z dvojito zaslepených fáz každého základného klinického skúšania od randomizácie do prvej zmeny liečebného re</w:t>
        </w:r>
      </w:ins>
      <w:ins w:id="2100" w:author="Author" w:date="2025-07-19T23:58:00Z">
        <w:r>
          <w:t>žimu alebo dosiahnutia dvoch rokov. Kontrolované obdobie v 4 z</w:t>
        </w:r>
        <w:del w:id="2101" w:author="Author" w:date="2025-07-21T10:38:00Z">
          <w:r>
            <w:delText> </w:delText>
          </w:r>
        </w:del>
      </w:ins>
      <w:ins w:id="2102" w:author="Author" w:date="2025-07-21T10:38:00Z">
        <w:r>
          <w:t> </w:t>
        </w:r>
      </w:ins>
      <w:ins w:id="2103" w:author="Author" w:date="2025-07-19T23:58:00Z">
        <w:r>
          <w:t>týchto</w:t>
        </w:r>
      </w:ins>
      <w:ins w:id="2104" w:author="Author" w:date="2025-07-21T10:38:00Z">
        <w:r>
          <w:t xml:space="preserve"> klinických</w:t>
        </w:r>
      </w:ins>
      <w:ins w:id="2105" w:author="Author" w:date="2025-07-19T23:58:00Z">
        <w:r>
          <w:t xml:space="preserve"> skúšaní </w:t>
        </w:r>
      </w:ins>
      <w:del w:id="2106" w:author="Author" w:date="2025-07-19T23:58:00Z">
        <w:r>
          <w:delText>V 4 štúdiách bolo dvojito zaslepené kontrolované</w:delText>
        </w:r>
      </w:del>
      <w:ins w:id="2107" w:author="Author" w:date="2025-07-19T23:58:00Z">
        <w:r>
          <w:t>bolo</w:t>
        </w:r>
      </w:ins>
      <w:r>
        <w:t xml:space="preserve"> obdobie 6 mesiacov </w:t>
      </w:r>
      <w:del w:id="2108" w:author="Author" w:date="2025-07-19T23:58:00Z">
        <w:r>
          <w:delText>(štúdie </w:delText>
        </w:r>
        <w:r>
          <w:rPr>
            <w:bCs/>
          </w:rPr>
          <w:delText>I, III, IV a V</w:delText>
        </w:r>
        <w:r>
          <w:delText xml:space="preserve">) </w:delText>
        </w:r>
      </w:del>
      <w:r>
        <w:t>a</w:t>
      </w:r>
      <w:del w:id="2109" w:author="Author" w:date="2025-07-19T23:58:00Z">
        <w:r>
          <w:delText> </w:delText>
        </w:r>
      </w:del>
      <w:ins w:id="2110" w:author="Author" w:date="2025-07-19T23:58:00Z">
        <w:r>
          <w:t> </w:t>
        </w:r>
      </w:ins>
      <w:del w:id="2111" w:author="Author" w:date="2025-07-19T23:58:00Z">
        <w:r>
          <w:delText>v jednej štúdii</w:delText>
        </w:r>
      </w:del>
      <w:ins w:id="2112" w:author="Author" w:date="2025-07-19T23:58:00Z">
        <w:r>
          <w:t>v 1 skúšaní</w:t>
        </w:r>
      </w:ins>
      <w:r>
        <w:t xml:space="preserve"> trvalo až 2 roky</w:t>
      </w:r>
      <w:del w:id="2113" w:author="Author" w:date="2025-07-19T23:59:00Z">
        <w:r>
          <w:delText xml:space="preserve"> (štúdia II). </w:delText>
        </w:r>
      </w:del>
      <w:ins w:id="2114" w:author="Author" w:date="2025-07-19T23:59:00Z">
        <w:r>
          <w:t xml:space="preserve">. </w:t>
        </w:r>
      </w:ins>
      <w:r>
        <w:t xml:space="preserve">V týchto dvojito zaslepených, kontrolovaných </w:t>
      </w:r>
      <w:del w:id="2115" w:author="Author" w:date="2025-07-19T23:59:00Z">
        <w:r>
          <w:delText xml:space="preserve">štúdiách </w:delText>
        </w:r>
      </w:del>
      <w:ins w:id="2116" w:author="Author" w:date="2025-07-21T10:38:00Z">
        <w:r>
          <w:t xml:space="preserve">klinických </w:t>
        </w:r>
      </w:ins>
      <w:ins w:id="2117" w:author="Author" w:date="2025-07-19T23:59:00Z">
        <w:r>
          <w:t xml:space="preserve">skúšaniach </w:t>
        </w:r>
      </w:ins>
      <w:r>
        <w:t xml:space="preserve">dostávalo 774 pacientov </w:t>
      </w:r>
      <w:r>
        <w:rPr>
          <w:rFonts w:eastAsia="SimSun"/>
          <w:lang w:eastAsia="zh-CN"/>
        </w:rPr>
        <w:t>tocilizumab</w:t>
      </w:r>
      <w:r>
        <w:t xml:space="preserve"> 4 mg/kg v kombinácii s MTX, 1 870 pacientov dostávalo </w:t>
      </w:r>
      <w:r>
        <w:rPr>
          <w:rFonts w:eastAsia="SimSun"/>
          <w:lang w:eastAsia="zh-CN"/>
        </w:rPr>
        <w:t>tocilizumab</w:t>
      </w:r>
      <w:r>
        <w:t xml:space="preserve"> 8 mg/kg v kombinácii s MTX alebo inými DMARD a 288 pacientov dostávalo </w:t>
      </w:r>
      <w:r>
        <w:rPr>
          <w:rFonts w:eastAsia="SimSun"/>
          <w:lang w:eastAsia="zh-CN"/>
        </w:rPr>
        <w:t>tocilizumab</w:t>
      </w:r>
      <w:r>
        <w:t xml:space="preserve"> 8 mg/kg v monoterapii.</w:t>
      </w:r>
    </w:p>
    <w:p w14:paraId="010A1864" w14:textId="77777777" w:rsidR="009700E5" w:rsidRDefault="009700E5"/>
    <w:p w14:paraId="7B566541" w14:textId="77777777" w:rsidR="009700E5" w:rsidRDefault="002C033C">
      <w:pPr>
        <w:keepNext/>
        <w:outlineLvl w:val="0"/>
        <w:rPr>
          <w:szCs w:val="22"/>
        </w:rPr>
      </w:pPr>
      <w:r>
        <w:t xml:space="preserve">Populácia </w:t>
      </w:r>
      <w:del w:id="2118" w:author="Author" w:date="2025-07-19T23:59:00Z">
        <w:r>
          <w:delText xml:space="preserve">dlhodobej </w:delText>
        </w:r>
      </w:del>
      <w:ins w:id="2119" w:author="Author" w:date="2025-07-19T23:59:00Z">
        <w:r>
          <w:rPr>
            <w:i/>
            <w:rPrChange w:id="2120" w:author="Author" w:date="2025-08-22T15:12:00Z">
              <w:rPr/>
            </w:rPrChange>
          </w:rPr>
          <w:t xml:space="preserve">celkovej </w:t>
        </w:r>
      </w:ins>
      <w:r>
        <w:rPr>
          <w:i/>
          <w:rPrChange w:id="2121" w:author="Author" w:date="2025-08-22T15:12:00Z">
            <w:rPr/>
          </w:rPrChange>
        </w:rPr>
        <w:t>expozície</w:t>
      </w:r>
      <w:r>
        <w:t xml:space="preserve"> zahŕňa všetkých pacientov, ktorí dostali aspoň jednu dávku </w:t>
      </w:r>
      <w:r>
        <w:rPr>
          <w:rFonts w:eastAsia="SimSun"/>
          <w:lang w:eastAsia="zh-CN"/>
        </w:rPr>
        <w:t>tocilizumabu</w:t>
      </w:r>
      <w:r>
        <w:t xml:space="preserve"> buď v dvojito zaslepenom kontrolovanom období, alebo v otvorenej predĺženej fáze týchto </w:t>
      </w:r>
      <w:del w:id="2122" w:author="Author" w:date="2025-07-20T00:00:00Z">
        <w:r>
          <w:delText>štúdií</w:delText>
        </w:r>
      </w:del>
      <w:ins w:id="2123" w:author="Author" w:date="2025-07-21T10:39:00Z">
        <w:r>
          <w:t xml:space="preserve">klinických </w:t>
        </w:r>
      </w:ins>
      <w:ins w:id="2124" w:author="Author" w:date="2025-07-20T00:00:00Z">
        <w:r>
          <w:t>skúšaní</w:t>
        </w:r>
      </w:ins>
      <w:r>
        <w:t>. Z celkovo 4 009 pacientov v tomto súbore dostávalo 3 577 pacientov liečbu aspoň počas 6 mesiacov, 3 296 aspoň počas 1 roku, 2 806 dostávalo liečbu aspoň počas 2 rokov a 1 222 počas 3 rokov.</w:t>
      </w:r>
    </w:p>
    <w:p w14:paraId="3C775FE8" w14:textId="77777777" w:rsidR="009700E5" w:rsidRDefault="009700E5">
      <w:pPr>
        <w:outlineLvl w:val="0"/>
        <w:rPr>
          <w:szCs w:val="22"/>
        </w:rPr>
      </w:pPr>
    </w:p>
    <w:p w14:paraId="4AA71EDF" w14:textId="77777777" w:rsidR="009700E5" w:rsidRDefault="002C033C">
      <w:pPr>
        <w:keepNext/>
        <w:outlineLvl w:val="0"/>
        <w:rPr>
          <w:iCs/>
          <w:u w:val="single"/>
        </w:rPr>
      </w:pPr>
      <w:r>
        <w:rPr>
          <w:i/>
          <w:u w:val="single"/>
        </w:rPr>
        <w:t>Infekcie</w:t>
      </w:r>
    </w:p>
    <w:p w14:paraId="085837D1" w14:textId="77777777" w:rsidR="009700E5" w:rsidRDefault="002C033C">
      <w:r>
        <w:t>V 6</w:t>
      </w:r>
      <w:r>
        <w:noBreakHyphen/>
        <w:t xml:space="preserve">mesačných kontrolovaných </w:t>
      </w:r>
      <w:del w:id="2125" w:author="Author" w:date="2025-07-20T00:00:00Z">
        <w:r>
          <w:delText xml:space="preserve">štúdiách </w:delText>
        </w:r>
      </w:del>
      <w:ins w:id="2126" w:author="Author" w:date="2025-07-21T10:40:00Z">
        <w:r>
          <w:t xml:space="preserve">klinických </w:t>
        </w:r>
      </w:ins>
      <w:ins w:id="2127" w:author="Author" w:date="2025-07-20T00:00:00Z">
        <w:r>
          <w:t xml:space="preserve">skúšaniach </w:t>
        </w:r>
      </w:ins>
      <w:r>
        <w:t xml:space="preserve">bola miera výskytu všetkých infekcií hlásených pri liečbe </w:t>
      </w:r>
      <w:r>
        <w:rPr>
          <w:rFonts w:eastAsia="SimSun"/>
          <w:lang w:eastAsia="zh-CN"/>
        </w:rPr>
        <w:t>tocilizumabom</w:t>
      </w:r>
      <w:r>
        <w:t xml:space="preserve"> 8 mg/kg spolu s DMARD 127 udalostí na 100 pacientorokov oproti 112 udalostiam na 100 pacientorokov v skupine s placebom v kombinácii s DMARD. V súbore dlhodobej expozície bol celkový výskyt infekcií pri liečbe </w:t>
      </w:r>
      <w:r>
        <w:rPr>
          <w:rFonts w:eastAsia="SimSun"/>
          <w:lang w:eastAsia="zh-CN"/>
        </w:rPr>
        <w:t>tocilizumabom</w:t>
      </w:r>
      <w:r>
        <w:t xml:space="preserve"> 108 udalostí na 100 pacientorokov.</w:t>
      </w:r>
    </w:p>
    <w:p w14:paraId="3B62087F" w14:textId="77777777" w:rsidR="009700E5" w:rsidRDefault="009700E5"/>
    <w:p w14:paraId="3AECB320" w14:textId="77777777" w:rsidR="009700E5" w:rsidRDefault="002C033C">
      <w:r>
        <w:t>V 6</w:t>
      </w:r>
      <w:r>
        <w:noBreakHyphen/>
        <w:t xml:space="preserve">mesačných kontrolovaných klinických skúšaniach bola miera výskytu závažných infekcií pri liečbe </w:t>
      </w:r>
      <w:r>
        <w:rPr>
          <w:rFonts w:eastAsia="SimSun"/>
          <w:lang w:eastAsia="zh-CN"/>
        </w:rPr>
        <w:t>tocilizumabom</w:t>
      </w:r>
      <w:r>
        <w:t xml:space="preserve"> 8 mg/kg v kombinácii s DMARD 5,3 udalosti na 100 pacientorokov expozície oproti 3,9 udalosti na 100 pacientorokov expozície v skupine s placebom v kombinácii s DMARD. V</w:t>
      </w:r>
      <w:del w:id="2128" w:author="Author" w:date="2025-07-20T00:01:00Z">
        <w:r>
          <w:delText> </w:delText>
        </w:r>
      </w:del>
      <w:ins w:id="2129" w:author="Author" w:date="2025-07-20T00:01:00Z">
        <w:r>
          <w:t> </w:t>
        </w:r>
      </w:ins>
      <w:del w:id="2130" w:author="Author" w:date="2025-07-20T00:01:00Z">
        <w:r>
          <w:delText xml:space="preserve">štúdii </w:delText>
        </w:r>
      </w:del>
      <w:ins w:id="2131" w:author="Author" w:date="2025-07-21T10:40:00Z">
        <w:r>
          <w:t xml:space="preserve">klinickom </w:t>
        </w:r>
      </w:ins>
      <w:ins w:id="2132" w:author="Author" w:date="2025-07-20T00:01:00Z">
        <w:r>
          <w:t xml:space="preserve">skúšaní </w:t>
        </w:r>
      </w:ins>
      <w:r>
        <w:t xml:space="preserve">monoterapie bola miera výskytu závažných infekcií 3,6 udalosti na 100 pacientorokov expozície v skupine liečenej </w:t>
      </w:r>
      <w:r>
        <w:rPr>
          <w:rFonts w:eastAsia="SimSun"/>
          <w:lang w:eastAsia="zh-CN"/>
        </w:rPr>
        <w:t>tocilizumabom</w:t>
      </w:r>
      <w:r>
        <w:t xml:space="preserve"> a 1,5 udalosti na 100 pacientorokov expozície v skupine liečenej MTX.</w:t>
      </w:r>
    </w:p>
    <w:p w14:paraId="25A094F0" w14:textId="77777777" w:rsidR="009700E5" w:rsidRDefault="009700E5"/>
    <w:p w14:paraId="1C7E8B83" w14:textId="77777777" w:rsidR="009700E5" w:rsidRDefault="002C033C">
      <w:pPr>
        <w:rPr>
          <w:szCs w:val="22"/>
        </w:rPr>
      </w:pPr>
      <w:r>
        <w:rPr>
          <w:szCs w:val="22"/>
        </w:rPr>
        <w:t>V súbore dlhodobej expozície bol celkový výskyt závažných infekcií (bakteriálne, vírusové a mykotické) 4,7 udalosti na 100</w:t>
      </w:r>
      <w:r>
        <w:t> </w:t>
      </w:r>
      <w:r>
        <w:rPr>
          <w:szCs w:val="22"/>
        </w:rPr>
        <w:t xml:space="preserve">pacientorokov. K hláseným závažným infekciám, z ktorých niektoré mali smrteľné následky, patrila </w:t>
      </w:r>
      <w:r>
        <w:t xml:space="preserve">aktívna tuberkulóza, ktorá môže byť prítomná s vnútropľúcnym alebo mimopľúcnym ochorením, invazívne pľúcne infekcie, vrátene kandidózy, aspergilózy kokcidioidomykózy a </w:t>
      </w:r>
      <w:r>
        <w:rPr>
          <w:rStyle w:val="Emphasis"/>
          <w:b w:val="0"/>
          <w:bCs w:val="0"/>
          <w:i/>
          <w:iCs/>
          <w:color w:val="000000"/>
        </w:rPr>
        <w:t>Pneumocystis jiroveci,</w:t>
      </w:r>
      <w:r>
        <w:rPr>
          <w:szCs w:val="22"/>
        </w:rPr>
        <w:t xml:space="preserve"> pneumónia, celulitída, pásový opar, gastroenteritída, divertikulitída, sepsa a bakteriálna artritída. Boli hlásené </w:t>
      </w:r>
      <w:ins w:id="2133" w:author="Author" w:date="2025-07-20T00:00:00Z">
        <w:r>
          <w:rPr>
            <w:szCs w:val="22"/>
          </w:rPr>
          <w:t xml:space="preserve">aj </w:t>
        </w:r>
      </w:ins>
      <w:r>
        <w:rPr>
          <w:szCs w:val="22"/>
        </w:rPr>
        <w:t>prípady oportúnnych infekcií.</w:t>
      </w:r>
    </w:p>
    <w:p w14:paraId="3DBAEFA4" w14:textId="77777777" w:rsidR="009700E5" w:rsidRDefault="009700E5"/>
    <w:p w14:paraId="47883241" w14:textId="77777777" w:rsidR="009700E5" w:rsidRDefault="002C033C">
      <w:pPr>
        <w:keepNext/>
        <w:keepLines/>
        <w:rPr>
          <w:i/>
          <w:iCs/>
          <w:szCs w:val="22"/>
          <w:u w:val="single"/>
        </w:rPr>
      </w:pPr>
      <w:r>
        <w:rPr>
          <w:i/>
          <w:iCs/>
          <w:szCs w:val="22"/>
          <w:u w:val="single"/>
        </w:rPr>
        <w:t>Intersticiáln</w:t>
      </w:r>
      <w:r>
        <w:rPr>
          <w:i/>
          <w:iCs/>
          <w:color w:val="000000"/>
          <w:szCs w:val="22"/>
          <w:u w:val="single"/>
        </w:rPr>
        <w:t>a</w:t>
      </w:r>
      <w:r>
        <w:rPr>
          <w:i/>
          <w:iCs/>
          <w:szCs w:val="22"/>
          <w:u w:val="single"/>
        </w:rPr>
        <w:t xml:space="preserve"> </w:t>
      </w:r>
      <w:r>
        <w:rPr>
          <w:i/>
          <w:iCs/>
          <w:color w:val="000000"/>
          <w:szCs w:val="22"/>
          <w:u w:val="single"/>
        </w:rPr>
        <w:t>choroba</w:t>
      </w:r>
      <w:r>
        <w:rPr>
          <w:i/>
          <w:iCs/>
          <w:szCs w:val="22"/>
          <w:u w:val="single"/>
        </w:rPr>
        <w:t xml:space="preserve"> pľúc</w:t>
      </w:r>
    </w:p>
    <w:p w14:paraId="4EFCD2FC" w14:textId="77777777" w:rsidR="009700E5" w:rsidRDefault="002C033C">
      <w:pPr>
        <w:keepNext/>
        <w:keepLines/>
        <w:textAlignment w:val="top"/>
        <w:rPr>
          <w:szCs w:val="22"/>
        </w:rPr>
      </w:pPr>
      <w:r>
        <w:rPr>
          <w:szCs w:val="22"/>
        </w:rPr>
        <w:t>Zhoršená funkcia pľúc môže zvýšiť riziko vzniku infekcií. Po uvedení lieku na trh boli hlásené prípady intersticiálne</w:t>
      </w:r>
      <w:r>
        <w:rPr>
          <w:color w:val="000000"/>
          <w:szCs w:val="22"/>
        </w:rPr>
        <w:t>j choroby</w:t>
      </w:r>
      <w:r>
        <w:rPr>
          <w:szCs w:val="22"/>
        </w:rPr>
        <w:t xml:space="preserve"> pľúc (vrátane pneumonitídy a pľúcnej fibrózy), z ktorých niektoré boli smrteľné.</w:t>
      </w:r>
    </w:p>
    <w:p w14:paraId="5436F28D" w14:textId="77777777" w:rsidR="009700E5" w:rsidRDefault="009700E5"/>
    <w:p w14:paraId="5B03DF5E" w14:textId="77777777" w:rsidR="009700E5" w:rsidRDefault="002C033C">
      <w:pPr>
        <w:keepNext/>
        <w:keepLines/>
        <w:ind w:left="567" w:hanging="567"/>
        <w:outlineLvl w:val="0"/>
        <w:rPr>
          <w:i/>
          <w:u w:val="single"/>
        </w:rPr>
      </w:pPr>
      <w:r>
        <w:rPr>
          <w:i/>
          <w:u w:val="single"/>
        </w:rPr>
        <w:t>Gastrointestinálne perforácie</w:t>
      </w:r>
    </w:p>
    <w:p w14:paraId="3E9CF250" w14:textId="77777777" w:rsidR="009700E5" w:rsidRDefault="002C033C">
      <w:r>
        <w:t>Pri liečbe</w:t>
      </w:r>
      <w:r>
        <w:rPr>
          <w:szCs w:val="22"/>
        </w:rPr>
        <w:t xml:space="preserve"> </w:t>
      </w:r>
      <w:r>
        <w:rPr>
          <w:rFonts w:eastAsia="SimSun"/>
          <w:lang w:eastAsia="zh-CN"/>
        </w:rPr>
        <w:t>tocilizumabom</w:t>
      </w:r>
      <w:r>
        <w:rPr>
          <w:szCs w:val="22"/>
        </w:rPr>
        <w:t xml:space="preserve"> </w:t>
      </w:r>
      <w:r>
        <w:t>počas 6</w:t>
      </w:r>
      <w:r>
        <w:noBreakHyphen/>
        <w:t>mesačných kontrolovaných klinických skúšaní bol celkový výskyt gastrointestinálnych perforácií 0,26 udalosti na 100 pacientorokov. V dlhodobej expozícií bol celkový výskyt gastrointestinálnych perforácií 0,28 udalosti na 100 pacientorokov. Hlásenia gastrointestinálnej perforácie pri liečbe boli primárne hlásené ako komplikácie divertikulitídy, zahŕňajúce generalizovanú purulentnú peritonitídu, perforáciu dolnej časti gastrointestinálneho traktu, fistulu a absces.</w:t>
      </w:r>
    </w:p>
    <w:p w14:paraId="2608C6BF" w14:textId="77777777" w:rsidR="009700E5" w:rsidRDefault="009700E5"/>
    <w:p w14:paraId="39BD6581" w14:textId="77777777" w:rsidR="009700E5" w:rsidRDefault="002C033C">
      <w:pPr>
        <w:outlineLvl w:val="0"/>
        <w:rPr>
          <w:i/>
          <w:u w:val="single"/>
        </w:rPr>
      </w:pPr>
      <w:r>
        <w:rPr>
          <w:i/>
          <w:u w:val="single"/>
        </w:rPr>
        <w:t>Reakcie súvisiace s infúziou</w:t>
      </w:r>
    </w:p>
    <w:p w14:paraId="31EBD0B8" w14:textId="77777777" w:rsidR="009700E5" w:rsidRDefault="002C033C">
      <w:r>
        <w:t>V 6</w:t>
      </w:r>
      <w:r>
        <w:noBreakHyphen/>
        <w:t xml:space="preserve">mesačných kontrolovaných klinických skúšaniach boli nežiaduce účinky súvisiace s podávaním infúzie (vybrané udalosti vyskytujúce sa počas podávania infúzie alebo v priebehu 24 hodín od podania infúzie) hlásené u 6,9 % pacientov v skupine liečenej </w:t>
      </w:r>
      <w:r>
        <w:rPr>
          <w:rFonts w:eastAsia="SimSun"/>
          <w:lang w:eastAsia="zh-CN"/>
        </w:rPr>
        <w:t>tocilizumabom</w:t>
      </w:r>
      <w:r>
        <w:t xml:space="preserve"> 8 mg/kg v kombinácii s DMARD a u 5,1 % pacientov v skupine s placebom spolu s DMARD. Udalosti hlásené počas podávania infúzie boli predovšetkým epizódy hypertenzie; udalosti hlásené v priebehu 24 hodín od ukončenia podávania infúzie boli bolesť hlavy a kožné reakcie (vyrážka, urtikária). Tieto udalosti neboli pre liečbu limitujúce.</w:t>
      </w:r>
    </w:p>
    <w:p w14:paraId="3EB2E7EE" w14:textId="77777777" w:rsidR="009700E5" w:rsidRDefault="009700E5"/>
    <w:p w14:paraId="70785B11" w14:textId="77777777" w:rsidR="009700E5" w:rsidRDefault="002C033C">
      <w:pPr>
        <w:keepNext/>
        <w:keepLines/>
      </w:pPr>
      <w:r>
        <w:t xml:space="preserve">Miera výskytu anafylaktických reakcií (vyskytujúcich sa celkovo u 8/4 009 pacientov, 0,2 %) bola niekoľkonásobne vyššia pri dávke 4 mg/kg oproti dávke 8 mg/kg. Klinicky významné reakcie z precitlivenosti súvisiace s liečbou </w:t>
      </w:r>
      <w:r>
        <w:rPr>
          <w:rFonts w:eastAsia="SimSun"/>
          <w:lang w:eastAsia="zh-CN"/>
        </w:rPr>
        <w:t>tocilizumabom</w:t>
      </w:r>
      <w:r>
        <w:t xml:space="preserve"> a vyžadujúce ukončenie liečby boli hlásené u celkovo 56 z 4 009 liečených pacientov (1,4 %) počas kontrolovaných a otvorených klinických skúšaní. Tieto reakcie sa zvyčajne pozorovali počas podávania druhej až piatej infúzie </w:t>
      </w:r>
      <w:r>
        <w:rPr>
          <w:rFonts w:eastAsia="SimSun"/>
          <w:lang w:eastAsia="zh-CN"/>
        </w:rPr>
        <w:t>tocilizumabu</w:t>
      </w:r>
      <w:r>
        <w:t xml:space="preserve"> (pozri časť 4.4). </w:t>
      </w:r>
      <w:r>
        <w:rPr>
          <w:szCs w:val="22"/>
        </w:rPr>
        <w:t xml:space="preserve">Po registrácii lieku bola počas liečby intravenózne podávaným </w:t>
      </w:r>
      <w:r>
        <w:rPr>
          <w:rFonts w:eastAsia="SimSun"/>
          <w:lang w:eastAsia="zh-CN"/>
        </w:rPr>
        <w:t>tocilizumabom</w:t>
      </w:r>
      <w:r>
        <w:rPr>
          <w:szCs w:val="22"/>
        </w:rPr>
        <w:t xml:space="preserve"> hlásená anafylaxia so smrteľnými následkami (pozri časť</w:t>
      </w:r>
      <w:r>
        <w:t> </w:t>
      </w:r>
      <w:r>
        <w:rPr>
          <w:szCs w:val="22"/>
        </w:rPr>
        <w:t>4.4).</w:t>
      </w:r>
    </w:p>
    <w:p w14:paraId="544A9190" w14:textId="77777777" w:rsidR="009700E5" w:rsidRDefault="009700E5"/>
    <w:p w14:paraId="4BBF1ADA" w14:textId="77777777" w:rsidR="009700E5" w:rsidRDefault="002C033C">
      <w:pPr>
        <w:keepNext/>
        <w:keepLines/>
        <w:outlineLvl w:val="0"/>
        <w:rPr>
          <w:i/>
          <w:u w:val="single"/>
        </w:rPr>
      </w:pPr>
      <w:r>
        <w:rPr>
          <w:i/>
          <w:u w:val="single"/>
        </w:rPr>
        <w:t>Imunogenicita</w:t>
      </w:r>
    </w:p>
    <w:p w14:paraId="7D75F95B" w14:textId="77777777" w:rsidR="009700E5" w:rsidRDefault="002C033C">
      <w:pPr>
        <w:keepNext/>
        <w:keepLines/>
        <w:outlineLvl w:val="0"/>
      </w:pPr>
      <w:r>
        <w:t>V 6</w:t>
      </w:r>
      <w:r>
        <w:noBreakHyphen/>
        <w:t xml:space="preserve">mesačných kontrolovaných klinických skúšaniach bolo celkovo 2 876 pacientov vyšetrených na protilátky proti </w:t>
      </w:r>
      <w:r>
        <w:rPr>
          <w:rFonts w:eastAsia="SimSun"/>
          <w:lang w:eastAsia="zh-CN"/>
        </w:rPr>
        <w:t>tocilizumabu</w:t>
      </w:r>
      <w:r>
        <w:t xml:space="preserve">. Zo 46 pacientov (1,6 %), u ktorých sa vytvorili protilátky proti </w:t>
      </w:r>
      <w:r>
        <w:rPr>
          <w:rFonts w:eastAsia="SimSun"/>
          <w:lang w:eastAsia="zh-CN"/>
        </w:rPr>
        <w:t>tocilizumabu</w:t>
      </w:r>
      <w:r>
        <w:t>, došlo u 6 k významnej reakcii z precitlivenosti, ktorá u 5 z nich viedla k trvalému ukončeniu liečby. U tridsiatich pacientov (1,1 %) sa vytvorili neutralizujúce protilátky.</w:t>
      </w:r>
    </w:p>
    <w:p w14:paraId="31EC01EF" w14:textId="77777777" w:rsidR="009700E5" w:rsidRDefault="009700E5">
      <w:pPr>
        <w:outlineLvl w:val="0"/>
      </w:pPr>
    </w:p>
    <w:p w14:paraId="4612FAA0" w14:textId="77777777" w:rsidR="009700E5" w:rsidRDefault="002C033C">
      <w:pPr>
        <w:outlineLvl w:val="0"/>
        <w:rPr>
          <w:i/>
          <w:iCs/>
          <w:u w:val="single"/>
        </w:rPr>
      </w:pPr>
      <w:r>
        <w:rPr>
          <w:i/>
          <w:iCs/>
          <w:u w:val="single"/>
        </w:rPr>
        <w:t>Neutrofily</w:t>
      </w:r>
    </w:p>
    <w:p w14:paraId="6125ACEE" w14:textId="77777777" w:rsidR="009700E5" w:rsidRDefault="002C033C">
      <w:pPr>
        <w:textAlignment w:val="top"/>
        <w:rPr>
          <w:szCs w:val="22"/>
        </w:rPr>
      </w:pPr>
      <w:r>
        <w:rPr>
          <w:szCs w:val="22"/>
        </w:rPr>
        <w:t>V 6</w:t>
      </w:r>
      <w:r>
        <w:rPr>
          <w:szCs w:val="22"/>
        </w:rPr>
        <w:noBreakHyphen/>
        <w:t>mesačných kontrolovaných klinických skúšaniach došlo k poklesu počtu neutrofilov pod 1 </w:t>
      </w:r>
      <w:r>
        <w:rPr>
          <w:rFonts w:eastAsia="MS Mincho"/>
          <w:szCs w:val="22"/>
        </w:rPr>
        <w:sym w:font="Symbol" w:char="F0B4"/>
      </w:r>
      <w:r>
        <w:rPr>
          <w:szCs w:val="22"/>
        </w:rPr>
        <w:t> 10</w:t>
      </w:r>
      <w:r>
        <w:rPr>
          <w:szCs w:val="22"/>
          <w:vertAlign w:val="superscript"/>
        </w:rPr>
        <w:t>9</w:t>
      </w:r>
      <w:r>
        <w:rPr>
          <w:szCs w:val="22"/>
        </w:rPr>
        <w:t>/l u</w:t>
      </w:r>
      <w:r>
        <w:t> </w:t>
      </w:r>
      <w:r>
        <w:rPr>
          <w:szCs w:val="22"/>
        </w:rPr>
        <w:t xml:space="preserve">3,4 % pacientov liečených </w:t>
      </w:r>
      <w:r>
        <w:rPr>
          <w:rFonts w:eastAsia="SimSun"/>
          <w:lang w:eastAsia="zh-CN"/>
        </w:rPr>
        <w:t>tocilizumabom</w:t>
      </w:r>
      <w:r>
        <w:rPr>
          <w:szCs w:val="22"/>
        </w:rPr>
        <w:t xml:space="preserve"> 8 mg/kg spolu s DMARD oproti </w:t>
      </w:r>
      <w:r>
        <w:rPr>
          <w:rFonts w:eastAsia="MS Mincho"/>
          <w:szCs w:val="22"/>
        </w:rPr>
        <w:sym w:font="Symbol" w:char="F03C"/>
      </w:r>
      <w:r>
        <w:rPr>
          <w:szCs w:val="22"/>
        </w:rPr>
        <w:t> 0,1 % pacientov s</w:t>
      </w:r>
      <w:r>
        <w:t> </w:t>
      </w:r>
      <w:r>
        <w:rPr>
          <w:szCs w:val="22"/>
        </w:rPr>
        <w:t xml:space="preserve">placebom spolu s DMARD. Približne u polovice pacientov, u ktorých ANC klesol na </w:t>
      </w:r>
      <w:r>
        <w:rPr>
          <w:rFonts w:eastAsia="MS Mincho"/>
          <w:szCs w:val="22"/>
        </w:rPr>
        <w:sym w:font="Symbol" w:char="F03C"/>
      </w:r>
      <w:r>
        <w:rPr>
          <w:szCs w:val="22"/>
        </w:rPr>
        <w:t> 1 </w:t>
      </w:r>
      <w:r>
        <w:rPr>
          <w:rFonts w:eastAsia="MS Mincho"/>
          <w:szCs w:val="22"/>
        </w:rPr>
        <w:sym w:font="Symbol" w:char="F0B4"/>
      </w:r>
      <w:r>
        <w:rPr>
          <w:szCs w:val="22"/>
        </w:rPr>
        <w:t> 10</w:t>
      </w:r>
      <w:r>
        <w:rPr>
          <w:szCs w:val="22"/>
          <w:vertAlign w:val="superscript"/>
        </w:rPr>
        <w:t>9</w:t>
      </w:r>
      <w:r>
        <w:rPr>
          <w:rFonts w:eastAsia="MS Mincho"/>
          <w:szCs w:val="22"/>
        </w:rPr>
        <w:t>/l,</w:t>
      </w:r>
      <w:r>
        <w:rPr>
          <w:szCs w:val="22"/>
        </w:rPr>
        <w:t xml:space="preserve"> došlo k tomuto poklesu v priebehu 8 týždňov po začatí liečby. Pokles pod 0,5 </w:t>
      </w:r>
      <w:r>
        <w:rPr>
          <w:rFonts w:eastAsia="MS Mincho"/>
          <w:szCs w:val="22"/>
        </w:rPr>
        <w:sym w:font="Symbol" w:char="F0B4"/>
      </w:r>
      <w:r>
        <w:rPr>
          <w:szCs w:val="22"/>
        </w:rPr>
        <w:t> 10</w:t>
      </w:r>
      <w:r>
        <w:rPr>
          <w:szCs w:val="22"/>
          <w:vertAlign w:val="superscript"/>
        </w:rPr>
        <w:t>9</w:t>
      </w:r>
      <w:r>
        <w:rPr>
          <w:szCs w:val="22"/>
        </w:rPr>
        <w:t xml:space="preserve">/l bol hlásený u 0,3 % pacientov liečených </w:t>
      </w:r>
      <w:r>
        <w:rPr>
          <w:rFonts w:eastAsia="SimSun"/>
          <w:lang w:eastAsia="zh-CN"/>
        </w:rPr>
        <w:t>tocilizumabom</w:t>
      </w:r>
      <w:r>
        <w:rPr>
          <w:szCs w:val="22"/>
        </w:rPr>
        <w:t xml:space="preserve"> 8 mg/kg spolu s DMARD. </w:t>
      </w:r>
      <w:r>
        <w:rPr>
          <w:color w:val="000000"/>
          <w:szCs w:val="22"/>
        </w:rPr>
        <w:t>Boli hlásené i</w:t>
      </w:r>
      <w:r>
        <w:rPr>
          <w:rFonts w:eastAsia="SimSun"/>
          <w:color w:val="000000"/>
          <w:szCs w:val="22"/>
          <w:lang w:eastAsia="zh-CN"/>
        </w:rPr>
        <w:t>nfekcie s neutropéniou.</w:t>
      </w:r>
    </w:p>
    <w:p w14:paraId="7D681A5F" w14:textId="77777777" w:rsidR="009700E5" w:rsidRDefault="009700E5">
      <w:pPr>
        <w:textAlignment w:val="top"/>
      </w:pPr>
    </w:p>
    <w:p w14:paraId="1DC8AEA4" w14:textId="77777777" w:rsidR="009700E5" w:rsidRDefault="002C033C">
      <w:r>
        <w:t>Počas dvojito zaslepeného kontrolovaného obdobia a pri dlhodobej expozícii zostával charakter a výskyt poklesu počtu neutrofilov rovnaký ako sa pozoroval počas 6</w:t>
      </w:r>
      <w:r>
        <w:noBreakHyphen/>
        <w:t>mesačných kontrolovaných klinických skúšaní.</w:t>
      </w:r>
    </w:p>
    <w:p w14:paraId="36E0946F" w14:textId="77777777" w:rsidR="009700E5" w:rsidRDefault="009700E5">
      <w:pPr>
        <w:autoSpaceDE w:val="0"/>
        <w:autoSpaceDN w:val="0"/>
        <w:adjustRightInd w:val="0"/>
      </w:pPr>
    </w:p>
    <w:p w14:paraId="60AB2B68" w14:textId="77777777" w:rsidR="009700E5" w:rsidRDefault="002C033C">
      <w:pPr>
        <w:keepNext/>
        <w:keepLines/>
        <w:autoSpaceDE w:val="0"/>
        <w:autoSpaceDN w:val="0"/>
        <w:adjustRightInd w:val="0"/>
        <w:rPr>
          <w:i/>
          <w:iCs/>
          <w:u w:val="single"/>
        </w:rPr>
      </w:pPr>
      <w:r>
        <w:rPr>
          <w:i/>
          <w:iCs/>
          <w:u w:val="single"/>
        </w:rPr>
        <w:t>Krvné doštičky</w:t>
      </w:r>
    </w:p>
    <w:p w14:paraId="21AD20C1" w14:textId="77777777" w:rsidR="009700E5" w:rsidRDefault="002C033C">
      <w:pPr>
        <w:autoSpaceDE w:val="0"/>
        <w:autoSpaceDN w:val="0"/>
        <w:adjustRightInd w:val="0"/>
      </w:pPr>
      <w:r>
        <w:t>V 6</w:t>
      </w:r>
      <w:r>
        <w:noBreakHyphen/>
        <w:t>mesačných kontrolovaných klinických skúšaniach došlo k poklesu počtu trombocytov pod 100 </w:t>
      </w:r>
      <w:r>
        <w:rPr>
          <w:rFonts w:eastAsia="MS Mincho"/>
          <w:szCs w:val="22"/>
        </w:rPr>
        <w:sym w:font="Symbol" w:char="F0B4"/>
      </w:r>
      <w:r>
        <w:rPr>
          <w:rFonts w:eastAsia="SimSun"/>
          <w:bCs/>
          <w:szCs w:val="22"/>
          <w:lang w:eastAsia="zh-CN"/>
        </w:rPr>
        <w:t> 10</w:t>
      </w:r>
      <w:r>
        <w:rPr>
          <w:rFonts w:eastAsia="SimSun"/>
          <w:bCs/>
          <w:szCs w:val="22"/>
          <w:vertAlign w:val="superscript"/>
          <w:lang w:eastAsia="zh-CN"/>
        </w:rPr>
        <w:t>3</w:t>
      </w:r>
      <w:r>
        <w:rPr>
          <w:rFonts w:eastAsia="SimSun"/>
          <w:bCs/>
          <w:szCs w:val="22"/>
          <w:lang w:eastAsia="zh-CN"/>
        </w:rPr>
        <w:t>/</w:t>
      </w:r>
      <w:r>
        <w:rPr>
          <w:rFonts w:eastAsia="SimSun"/>
          <w:szCs w:val="22"/>
          <w:lang w:eastAsia="zh-CN"/>
        </w:rPr>
        <w:t>μl u </w:t>
      </w:r>
      <w:r>
        <w:t xml:space="preserve">1,7 % pacientov liečených </w:t>
      </w:r>
      <w:r>
        <w:rPr>
          <w:rFonts w:eastAsia="SimSun"/>
          <w:lang w:eastAsia="zh-CN"/>
        </w:rPr>
        <w:t>tocilizumabom</w:t>
      </w:r>
      <w:r>
        <w:t xml:space="preserve"> 8 mg/kg spolu s DMARD oproti </w:t>
      </w:r>
      <w:r>
        <w:rPr>
          <w:rFonts w:eastAsia="MS Mincho"/>
          <w:szCs w:val="22"/>
        </w:rPr>
        <w:sym w:font="Symbol" w:char="F03C"/>
      </w:r>
      <w:r>
        <w:t> 1 % pacientov s placebom spolu s DMARD. Tieto poklesy sa vyskytli bez asociácie s krvácaním.</w:t>
      </w:r>
    </w:p>
    <w:p w14:paraId="09CE5C24" w14:textId="77777777" w:rsidR="009700E5" w:rsidRDefault="009700E5">
      <w:pPr>
        <w:outlineLvl w:val="0"/>
      </w:pPr>
    </w:p>
    <w:p w14:paraId="4CB18441" w14:textId="77777777" w:rsidR="009700E5" w:rsidRDefault="002C033C">
      <w:pPr>
        <w:outlineLvl w:val="0"/>
        <w:rPr>
          <w:iCs/>
        </w:rPr>
      </w:pPr>
      <w:r>
        <w:t>Počas dvojito zaslepeného kontrolovaného obdobia a pri dlhodobej expozícii zostával charakter a výskyt poklesu počtu krvných doštičiek rovnaký ako sa pozoroval počas 6</w:t>
      </w:r>
      <w:r>
        <w:noBreakHyphen/>
        <w:t>mesačných kontrolovaných klinických skúšaní.</w:t>
      </w:r>
    </w:p>
    <w:p w14:paraId="512B8DC6" w14:textId="77777777" w:rsidR="009700E5" w:rsidRDefault="009700E5">
      <w:pPr>
        <w:outlineLvl w:val="0"/>
        <w:rPr>
          <w:iCs/>
        </w:rPr>
      </w:pPr>
    </w:p>
    <w:p w14:paraId="0EEACECF" w14:textId="77777777" w:rsidR="009700E5" w:rsidRDefault="002C033C">
      <w:pPr>
        <w:outlineLvl w:val="0"/>
        <w:rPr>
          <w:rStyle w:val="Emphasis"/>
          <w:b w:val="0"/>
        </w:rPr>
      </w:pPr>
      <w:r>
        <w:rPr>
          <w:rStyle w:val="Emphasis"/>
          <w:b w:val="0"/>
        </w:rPr>
        <w:t>V postmarketingovom sledovaní sa vyskytli veľmi zriedkavo prípady pancytopénie.</w:t>
      </w:r>
    </w:p>
    <w:p w14:paraId="610C8190" w14:textId="77777777" w:rsidR="009700E5" w:rsidRDefault="009700E5">
      <w:pPr>
        <w:outlineLvl w:val="0"/>
        <w:rPr>
          <w:iCs/>
        </w:rPr>
      </w:pPr>
    </w:p>
    <w:p w14:paraId="37D34B27" w14:textId="77777777" w:rsidR="009700E5" w:rsidRDefault="002C033C">
      <w:pPr>
        <w:outlineLvl w:val="0"/>
        <w:rPr>
          <w:i/>
          <w:u w:val="single"/>
        </w:rPr>
      </w:pPr>
      <w:r>
        <w:rPr>
          <w:i/>
          <w:u w:val="single"/>
        </w:rPr>
        <w:t>Zvýšenie pečeňových transamináz</w:t>
      </w:r>
    </w:p>
    <w:p w14:paraId="3FF6E8D7" w14:textId="77777777" w:rsidR="009700E5" w:rsidRDefault="002C033C">
      <w:r>
        <w:t>V 6</w:t>
      </w:r>
      <w:r>
        <w:noBreakHyphen/>
        <w:t>mesačných kontrolovaných klinických skúšaniach bolo prechodné zvýšenie hodnôt ALT/AST na </w:t>
      </w:r>
      <w:r>
        <w:rPr>
          <w:rFonts w:eastAsia="MS Mincho"/>
          <w:szCs w:val="22"/>
        </w:rPr>
        <w:sym w:font="Symbol" w:char="F03E"/>
      </w:r>
      <w:r>
        <w:t> 3</w:t>
      </w:r>
      <w:r>
        <w:noBreakHyphen/>
        <w:t>násobok ULN u 2,1 % pacientov liečených tocilizumabom 8 mg/kg oproti 4,9 % pacientov liečených MTX, a u 6,5 % pacientov liečených 8 mg/kg tocilizumabu v kombinácii s DMARD oproti 1,5 % pacientov s placebom v kombinácii s DMARD.</w:t>
      </w:r>
    </w:p>
    <w:p w14:paraId="7E4F597E" w14:textId="77777777" w:rsidR="009700E5" w:rsidRDefault="009700E5"/>
    <w:p w14:paraId="45292B5D" w14:textId="77777777" w:rsidR="009700E5" w:rsidRDefault="002C033C">
      <w:pPr>
        <w:keepNext/>
        <w:keepLines/>
        <w:rPr>
          <w:bCs/>
        </w:rPr>
      </w:pPr>
      <w:r>
        <w:rPr>
          <w:szCs w:val="22"/>
        </w:rPr>
        <w:t>Pridanie potenciálne hepatotoxických liekov (napr. MTX) k t</w:t>
      </w:r>
      <w:r>
        <w:t>ocilizumabu</w:t>
      </w:r>
      <w:r>
        <w:rPr>
          <w:szCs w:val="22"/>
        </w:rPr>
        <w:t xml:space="preserve"> podávanému v monoterapii viedlo k zvýšenému výskytu vyšších hodnôt. Zvyšovanie hladín ALT/AST na </w:t>
      </w:r>
      <w:r>
        <w:rPr>
          <w:rFonts w:eastAsia="MS Mincho"/>
          <w:szCs w:val="22"/>
        </w:rPr>
        <w:sym w:font="Symbol" w:char="F03E"/>
      </w:r>
      <w:r>
        <w:rPr>
          <w:szCs w:val="22"/>
        </w:rPr>
        <w:t> 5</w:t>
      </w:r>
      <w:r>
        <w:rPr>
          <w:szCs w:val="22"/>
        </w:rPr>
        <w:noBreakHyphen/>
        <w:t>násobok ULN sa pozorovalo u 0,7 % pacientov liečených t</w:t>
      </w:r>
      <w:r>
        <w:t>ocilizumabom</w:t>
      </w:r>
      <w:r>
        <w:rPr>
          <w:szCs w:val="22"/>
        </w:rPr>
        <w:t xml:space="preserve"> v monoterapii a u 1,4 % pacientov liečených t</w:t>
      </w:r>
      <w:r>
        <w:t>ocilizumabom</w:t>
      </w:r>
      <w:r>
        <w:rPr>
          <w:szCs w:val="22"/>
        </w:rPr>
        <w:t xml:space="preserve"> v kombinácii s DMARD, pričom väčšina z nich liečbu t</w:t>
      </w:r>
      <w:r>
        <w:t>ocilizumabom</w:t>
      </w:r>
      <w:r>
        <w:rPr>
          <w:szCs w:val="22"/>
        </w:rPr>
        <w:t xml:space="preserve"> trvalo ukončila. </w:t>
      </w:r>
      <w:r>
        <w:t xml:space="preserve">Počas dvojito zaslepeného kontrolovaného obdobia sa hodnoty </w:t>
      </w:r>
      <w:r>
        <w:rPr>
          <w:bCs/>
        </w:rPr>
        <w:t>nepriameho bilirubínu, sledovaného ako rutinný laboratórny parameter, vyššie ako horná hranica referenčného rozpätia vyskytli</w:t>
      </w:r>
      <w:r>
        <w:t xml:space="preserve"> u 6,2 % </w:t>
      </w:r>
      <w:r>
        <w:rPr>
          <w:bCs/>
          <w:szCs w:val="22"/>
        </w:rPr>
        <w:t xml:space="preserve">pacientov liečených </w:t>
      </w:r>
      <w:r>
        <w:rPr>
          <w:szCs w:val="22"/>
        </w:rPr>
        <w:t>t</w:t>
      </w:r>
      <w:r>
        <w:t>ocilizumabom</w:t>
      </w:r>
      <w:r>
        <w:rPr>
          <w:bCs/>
          <w:szCs w:val="22"/>
        </w:rPr>
        <w:t xml:space="preserve"> v dávke 8 mg/kg </w:t>
      </w:r>
      <w:r>
        <w:t xml:space="preserve">+ DMARD. U celkovo 5,8 % pacientov došlo k zvýšeniu hodnoty nepriameho bilirubínu na </w:t>
      </w:r>
      <w:r>
        <w:rPr>
          <w:rFonts w:eastAsia="MS Mincho"/>
          <w:szCs w:val="22"/>
        </w:rPr>
        <w:sym w:font="Symbol" w:char="F03E"/>
      </w:r>
      <w:r>
        <w:t> 1</w:t>
      </w:r>
      <w:r>
        <w:noBreakHyphen/>
        <w:t>násobok až 2</w:t>
      </w:r>
      <w:r>
        <w:noBreakHyphen/>
        <w:t>násobok ULN a 0,4 % pacientov malo zvýšenie na </w:t>
      </w:r>
      <w:r>
        <w:rPr>
          <w:rFonts w:eastAsia="MS Mincho"/>
          <w:szCs w:val="22"/>
        </w:rPr>
        <w:sym w:font="Symbol" w:char="F03E"/>
      </w:r>
      <w:r>
        <w:t> 2</w:t>
      </w:r>
      <w:r>
        <w:noBreakHyphen/>
        <w:t>násobok ULN.</w:t>
      </w:r>
    </w:p>
    <w:p w14:paraId="57715A89" w14:textId="77777777" w:rsidR="009700E5" w:rsidRDefault="009700E5">
      <w:pPr>
        <w:outlineLvl w:val="0"/>
      </w:pPr>
    </w:p>
    <w:p w14:paraId="32AB2C1C" w14:textId="77777777" w:rsidR="009700E5" w:rsidRDefault="002C033C">
      <w:pPr>
        <w:outlineLvl w:val="0"/>
        <w:rPr>
          <w:iCs/>
        </w:rPr>
      </w:pPr>
      <w:r>
        <w:t>Počas dvojito zaslepeného kontrolovaného obdobia a pri dlhodobej expozícii zostával charakter a výskyt prípadov zvýšenia ALT/AST rovnaký ako sa pozoroval počas 6</w:t>
      </w:r>
      <w:r>
        <w:noBreakHyphen/>
        <w:t>mesačných kontrolovaných klinických skúšaní.</w:t>
      </w:r>
    </w:p>
    <w:p w14:paraId="6BC80F0D" w14:textId="77777777" w:rsidR="009700E5" w:rsidRDefault="009700E5"/>
    <w:p w14:paraId="74F6609A" w14:textId="77777777" w:rsidR="009700E5" w:rsidRDefault="002C033C">
      <w:pPr>
        <w:keepNext/>
        <w:keepLines/>
        <w:outlineLvl w:val="0"/>
        <w:rPr>
          <w:i/>
          <w:u w:val="single"/>
        </w:rPr>
      </w:pPr>
      <w:r>
        <w:rPr>
          <w:i/>
          <w:u w:val="single"/>
        </w:rPr>
        <w:t>Hodnoty lipidových parametrov</w:t>
      </w:r>
    </w:p>
    <w:p w14:paraId="2AE4EFF4" w14:textId="77777777" w:rsidR="009700E5" w:rsidRDefault="002C033C">
      <w:r>
        <w:t>Zvýšenie hodnôt lipidových parametrov, ako je napríklad celkový cholesterol, triacylglyceroly, LDL</w:t>
      </w:r>
      <w:r>
        <w:noBreakHyphen/>
        <w:t>cholesterol a/alebo HDL</w:t>
      </w:r>
      <w:r>
        <w:noBreakHyphen/>
        <w:t>cholesterol, bolo počas 6</w:t>
      </w:r>
      <w:r>
        <w:noBreakHyphen/>
        <w:t>mesačných kontrolovaných skúšaní hlásené často. Rutinným laboratórnym sledovaním sa zistilo, že</w:t>
      </w:r>
      <w:r>
        <w:rPr>
          <w:szCs w:val="22"/>
        </w:rPr>
        <w:t xml:space="preserve"> p</w:t>
      </w:r>
      <w:r>
        <w:t xml:space="preserve">ribližne u 24 % pacientov, ktorí v klinických skúšaniach dostávali </w:t>
      </w:r>
      <w:r>
        <w:rPr>
          <w:szCs w:val="22"/>
        </w:rPr>
        <w:t>t</w:t>
      </w:r>
      <w:r>
        <w:t>ocilizumab, došlo k trvalému zvýšeniu hodnôt celkového cholesterolu na </w:t>
      </w:r>
      <w:r>
        <w:rPr>
          <w:rFonts w:eastAsia="PMingLiU"/>
          <w:szCs w:val="22"/>
          <w:lang w:eastAsia="zh-CN"/>
        </w:rPr>
        <w:t>≥</w:t>
      </w:r>
      <w:r>
        <w:t> 6,2 mmol/l, pričom u 15 % pacientov došlo k trvalému zvýšeniu hodnôt LDL na </w:t>
      </w:r>
      <w:r>
        <w:rPr>
          <w:rFonts w:eastAsia="PMingLiU"/>
          <w:szCs w:val="22"/>
          <w:lang w:eastAsia="zh-CN"/>
        </w:rPr>
        <w:t>≥</w:t>
      </w:r>
      <w:r>
        <w:t> 4,1 mmol/l. Zvýšené lipidové parametre odpovedali na liečbu hypolipidemikami.</w:t>
      </w:r>
    </w:p>
    <w:p w14:paraId="2BD62ECC" w14:textId="77777777" w:rsidR="009700E5" w:rsidRDefault="009700E5">
      <w:pPr>
        <w:autoSpaceDE w:val="0"/>
        <w:autoSpaceDN w:val="0"/>
        <w:adjustRightInd w:val="0"/>
        <w:rPr>
          <w:rFonts w:eastAsia="SimSun"/>
          <w:szCs w:val="22"/>
          <w:lang w:eastAsia="zh-CN"/>
        </w:rPr>
      </w:pPr>
    </w:p>
    <w:p w14:paraId="52CE02B4" w14:textId="77777777" w:rsidR="009700E5" w:rsidRDefault="002C033C">
      <w:pPr>
        <w:outlineLvl w:val="0"/>
        <w:rPr>
          <w:iCs/>
        </w:rPr>
      </w:pPr>
      <w:r>
        <w:t>Počas dvojito zaslepeného kontrolovaného obdobia a pri dlhodobej expozícii zostával charakter a výskyt prípadov zvýšenia lipidových parametrov rovnaký ako sa pozoroval počas 6</w:t>
      </w:r>
      <w:r>
        <w:noBreakHyphen/>
        <w:t>mesačných kontrolovaných klinických skúšaní.</w:t>
      </w:r>
    </w:p>
    <w:p w14:paraId="444A8EE1" w14:textId="77777777" w:rsidR="009700E5" w:rsidRDefault="009700E5">
      <w:pPr>
        <w:autoSpaceDE w:val="0"/>
        <w:autoSpaceDN w:val="0"/>
        <w:adjustRightInd w:val="0"/>
        <w:rPr>
          <w:rFonts w:eastAsia="SimSun"/>
          <w:szCs w:val="22"/>
          <w:lang w:eastAsia="zh-CN"/>
        </w:rPr>
      </w:pPr>
    </w:p>
    <w:p w14:paraId="7B581F42" w14:textId="77777777" w:rsidR="009700E5" w:rsidRDefault="002C033C">
      <w:pPr>
        <w:shd w:val="clear" w:color="auto" w:fill="FFFFFF"/>
        <w:rPr>
          <w:color w:val="222222"/>
          <w:szCs w:val="22"/>
          <w:u w:val="single"/>
          <w:lang w:eastAsia="en-GB"/>
        </w:rPr>
      </w:pPr>
      <w:r>
        <w:rPr>
          <w:bCs/>
          <w:i/>
          <w:iCs/>
          <w:color w:val="222222"/>
          <w:szCs w:val="22"/>
          <w:u w:val="single"/>
          <w:lang w:eastAsia="en-GB"/>
        </w:rPr>
        <w:t>Kožné reakcie</w:t>
      </w:r>
    </w:p>
    <w:p w14:paraId="7EB418CA" w14:textId="77777777" w:rsidR="009700E5" w:rsidRDefault="002C033C">
      <w:pPr>
        <w:outlineLvl w:val="0"/>
        <w:rPr>
          <w:color w:val="222222"/>
          <w:szCs w:val="22"/>
          <w:lang w:eastAsia="en-GB"/>
        </w:rPr>
      </w:pPr>
      <w:r>
        <w:rPr>
          <w:rStyle w:val="Emphasis"/>
          <w:b w:val="0"/>
        </w:rPr>
        <w:t xml:space="preserve">V postmarketingovom sledovaní sa vyskytli zriedkavé </w:t>
      </w:r>
      <w:r>
        <w:rPr>
          <w:iCs/>
          <w:color w:val="222222"/>
          <w:szCs w:val="22"/>
          <w:lang w:eastAsia="en-GB"/>
        </w:rPr>
        <w:t>hlásenia Stevensovho</w:t>
      </w:r>
      <w:r>
        <w:rPr>
          <w:iCs/>
          <w:color w:val="222222"/>
          <w:szCs w:val="22"/>
          <w:lang w:eastAsia="en-GB"/>
        </w:rPr>
        <w:noBreakHyphen/>
        <w:t>Johnsonovho syndrómu.</w:t>
      </w:r>
    </w:p>
    <w:p w14:paraId="5E27FA49" w14:textId="77777777" w:rsidR="009700E5" w:rsidRDefault="009700E5">
      <w:pPr>
        <w:autoSpaceDE w:val="0"/>
        <w:autoSpaceDN w:val="0"/>
        <w:adjustRightInd w:val="0"/>
        <w:rPr>
          <w:rFonts w:eastAsia="SimSun"/>
          <w:szCs w:val="22"/>
          <w:lang w:eastAsia="zh-CN"/>
        </w:rPr>
      </w:pPr>
    </w:p>
    <w:p w14:paraId="3EB9BAEE" w14:textId="77777777" w:rsidR="009700E5" w:rsidRDefault="002C033C">
      <w:pPr>
        <w:keepNext/>
        <w:keepLines/>
        <w:tabs>
          <w:tab w:val="left" w:pos="567"/>
        </w:tabs>
        <w:autoSpaceDE w:val="0"/>
        <w:autoSpaceDN w:val="0"/>
        <w:adjustRightInd w:val="0"/>
        <w:spacing w:line="260" w:lineRule="exact"/>
        <w:rPr>
          <w:szCs w:val="22"/>
          <w:u w:val="single"/>
        </w:rPr>
      </w:pPr>
      <w:r>
        <w:rPr>
          <w:szCs w:val="22"/>
          <w:u w:val="single"/>
        </w:rPr>
        <w:t>Hlásenie podozrení na nežiaduce reakcie</w:t>
      </w:r>
    </w:p>
    <w:p w14:paraId="76451253" w14:textId="77777777" w:rsidR="009700E5" w:rsidRDefault="002C033C">
      <w:pPr>
        <w:keepNext/>
        <w:keepLines/>
        <w:autoSpaceDE w:val="0"/>
        <w:autoSpaceDN w:val="0"/>
        <w:adjustRightInd w:val="0"/>
        <w:rPr>
          <w:szCs w:val="22"/>
        </w:rPr>
      </w:pPr>
      <w:r>
        <w:rPr>
          <w:szCs w:val="22"/>
        </w:rPr>
        <w:t>Hlásenie podozrení na nežiaduce reakcie po registrácii lieku je dôležité. Umožňuje priebežné monitorovanie pomeru prínosu</w:t>
      </w:r>
      <w:r>
        <w:t xml:space="preserve"> a</w:t>
      </w:r>
      <w:r>
        <w:rPr>
          <w:szCs w:val="22"/>
        </w:rPr>
        <w:t xml:space="preserve"> rizika lieku. Od zdravotníckych pracovníkov sa vyžaduje, aby hlásili akékoľvek podozrenia na nežiaduce reakcie na </w:t>
      </w:r>
      <w:r>
        <w:rPr>
          <w:rFonts w:cs="Calibri"/>
          <w:snapToGrid w:val="0"/>
          <w:highlight w:val="lightGray"/>
        </w:rPr>
        <w:t>národné centrum hlásenia uvedené v </w:t>
      </w:r>
      <w:hyperlink r:id="rId14" w:history="1">
        <w:r>
          <w:rPr>
            <w:rStyle w:val="Hyperlink"/>
            <w:rFonts w:cs="Calibri"/>
            <w:color w:val="0033CC"/>
            <w:highlight w:val="lightGray"/>
          </w:rPr>
          <w:t>Prílohe V</w:t>
        </w:r>
      </w:hyperlink>
      <w:r>
        <w:rPr>
          <w:szCs w:val="22"/>
        </w:rPr>
        <w:t>.</w:t>
      </w:r>
    </w:p>
    <w:p w14:paraId="52DD007F" w14:textId="77777777" w:rsidR="009700E5" w:rsidRDefault="009700E5">
      <w:pPr>
        <w:autoSpaceDE w:val="0"/>
        <w:autoSpaceDN w:val="0"/>
        <w:adjustRightInd w:val="0"/>
        <w:rPr>
          <w:szCs w:val="22"/>
        </w:rPr>
      </w:pPr>
    </w:p>
    <w:p w14:paraId="0368FC34" w14:textId="77777777" w:rsidR="009700E5" w:rsidRDefault="002C033C">
      <w:pPr>
        <w:keepNext/>
        <w:outlineLvl w:val="0"/>
        <w:rPr>
          <w:szCs w:val="22"/>
        </w:rPr>
      </w:pPr>
      <w:r>
        <w:rPr>
          <w:b/>
          <w:szCs w:val="22"/>
        </w:rPr>
        <w:lastRenderedPageBreak/>
        <w:t>4.9</w:t>
      </w:r>
      <w:r>
        <w:rPr>
          <w:b/>
          <w:szCs w:val="22"/>
        </w:rPr>
        <w:tab/>
        <w:t>Predávkovanie</w:t>
      </w:r>
    </w:p>
    <w:p w14:paraId="6DA0183A" w14:textId="77777777" w:rsidR="009700E5" w:rsidRDefault="009700E5">
      <w:pPr>
        <w:keepNext/>
        <w:rPr>
          <w:szCs w:val="22"/>
        </w:rPr>
      </w:pPr>
    </w:p>
    <w:p w14:paraId="31CE51E5" w14:textId="77777777" w:rsidR="009700E5" w:rsidRDefault="002C033C">
      <w:pPr>
        <w:keepNext/>
        <w:rPr>
          <w:szCs w:val="22"/>
        </w:rPr>
      </w:pPr>
      <w:r>
        <w:rPr>
          <w:szCs w:val="22"/>
        </w:rPr>
        <w:t>K dispozícii sú obmedzené údaje o predávkovaní tocilizumabom. Hlásený bol jeden prípad náhodného predávkovania, pri ktorom pacient s mnohopočetným myelómom dostal jednorazovú intravenózne podanú dávku 40 mg/kg. Nepozorovali sa žiadne nežiaduce reakcie.</w:t>
      </w:r>
    </w:p>
    <w:p w14:paraId="53289C86" w14:textId="77777777" w:rsidR="009700E5" w:rsidRDefault="009700E5">
      <w:pPr>
        <w:rPr>
          <w:szCs w:val="22"/>
        </w:rPr>
      </w:pPr>
    </w:p>
    <w:p w14:paraId="5809B4D1" w14:textId="77777777" w:rsidR="009700E5" w:rsidRDefault="002C033C">
      <w:pPr>
        <w:rPr>
          <w:szCs w:val="22"/>
        </w:rPr>
      </w:pPr>
      <w:r>
        <w:rPr>
          <w:szCs w:val="22"/>
        </w:rPr>
        <w:t>U zdravých dobrovoľníkov, ktorí dostali jednorazovú dávku do 28 mg/kg, sa nepozorovali žiadne závažné nežiaduce reakcie, hoci došlo k výskytu neutropénie limitujúcej dávku.</w:t>
      </w:r>
    </w:p>
    <w:p w14:paraId="076AA499" w14:textId="77777777" w:rsidR="009700E5" w:rsidRDefault="009700E5">
      <w:pPr>
        <w:rPr>
          <w:szCs w:val="22"/>
        </w:rPr>
      </w:pPr>
    </w:p>
    <w:p w14:paraId="21393FED" w14:textId="77777777" w:rsidR="009700E5" w:rsidRDefault="009700E5">
      <w:pPr>
        <w:rPr>
          <w:szCs w:val="22"/>
        </w:rPr>
      </w:pPr>
    </w:p>
    <w:p w14:paraId="2C561F5F" w14:textId="77777777" w:rsidR="009700E5" w:rsidRDefault="002C033C">
      <w:pPr>
        <w:keepNext/>
        <w:keepLines/>
      </w:pPr>
      <w:r>
        <w:rPr>
          <w:b/>
        </w:rPr>
        <w:t>5.</w:t>
      </w:r>
      <w:r>
        <w:rPr>
          <w:b/>
        </w:rPr>
        <w:tab/>
      </w:r>
      <w:r>
        <w:rPr>
          <w:b/>
          <w:szCs w:val="22"/>
        </w:rPr>
        <w:t>FARMAKOLOGICKÉ VLASTNOSTI</w:t>
      </w:r>
    </w:p>
    <w:p w14:paraId="7EFE42CB" w14:textId="77777777" w:rsidR="009700E5" w:rsidRDefault="009700E5"/>
    <w:p w14:paraId="7B556A4A" w14:textId="77777777" w:rsidR="009700E5" w:rsidRDefault="002C033C">
      <w:pPr>
        <w:outlineLvl w:val="0"/>
      </w:pPr>
      <w:r>
        <w:rPr>
          <w:b/>
        </w:rPr>
        <w:t>5.1</w:t>
      </w:r>
      <w:r>
        <w:rPr>
          <w:b/>
        </w:rPr>
        <w:tab/>
      </w:r>
      <w:r>
        <w:rPr>
          <w:b/>
          <w:szCs w:val="22"/>
        </w:rPr>
        <w:t>Farmakodynamické vlastnosti</w:t>
      </w:r>
    </w:p>
    <w:p w14:paraId="16DBA587" w14:textId="77777777" w:rsidR="009700E5" w:rsidRDefault="009700E5"/>
    <w:p w14:paraId="0369DD46" w14:textId="77777777" w:rsidR="009700E5" w:rsidRDefault="002C033C">
      <w:pPr>
        <w:numPr>
          <w:ilvl w:val="12"/>
          <w:numId w:val="0"/>
        </w:numPr>
        <w:ind w:right="-2"/>
      </w:pPr>
      <w:r>
        <w:rPr>
          <w:szCs w:val="22"/>
        </w:rPr>
        <w:t>Farmakoterapeutická skupina</w:t>
      </w:r>
      <w:r>
        <w:t>: Imunosupresíva, inhibítory interleukínu; ATC kód: L04AC07.</w:t>
      </w:r>
    </w:p>
    <w:p w14:paraId="0F5A86DF" w14:textId="77777777" w:rsidR="009700E5" w:rsidRDefault="009700E5">
      <w:pPr>
        <w:numPr>
          <w:ilvl w:val="12"/>
          <w:numId w:val="0"/>
        </w:numPr>
        <w:ind w:right="-2"/>
      </w:pPr>
    </w:p>
    <w:p w14:paraId="1EF4D495" w14:textId="77777777" w:rsidR="009700E5" w:rsidRDefault="002C033C">
      <w:pPr>
        <w:keepNext/>
        <w:keepLines/>
        <w:numPr>
          <w:ilvl w:val="12"/>
          <w:numId w:val="0"/>
        </w:numPr>
        <w:rPr>
          <w:iCs/>
          <w:u w:val="single"/>
        </w:rPr>
      </w:pPr>
      <w:r>
        <w:rPr>
          <w:iCs/>
          <w:u w:val="single"/>
        </w:rPr>
        <w:t>Mechanizmus účinku</w:t>
      </w:r>
    </w:p>
    <w:p w14:paraId="318C1B1E" w14:textId="77777777" w:rsidR="009700E5" w:rsidRDefault="002C033C">
      <w:pPr>
        <w:keepNext/>
        <w:keepLines/>
        <w:numPr>
          <w:ilvl w:val="12"/>
          <w:numId w:val="0"/>
        </w:numPr>
      </w:pPr>
      <w:r>
        <w:t>T</w:t>
      </w:r>
      <w:r>
        <w:rPr>
          <w:szCs w:val="22"/>
        </w:rPr>
        <w:t>ocilizumab</w:t>
      </w:r>
      <w:r>
        <w:t xml:space="preserve"> sa špecificky viaže na rozpustný aj na membránovo</w:t>
      </w:r>
      <w:r>
        <w:noBreakHyphen/>
        <w:t>viazaný receptor pre IL</w:t>
      </w:r>
      <w:r>
        <w:noBreakHyphen/>
        <w:t>6 (sIL</w:t>
      </w:r>
      <w:r>
        <w:noBreakHyphen/>
        <w:t>6R a mIL</w:t>
      </w:r>
      <w:r>
        <w:noBreakHyphen/>
        <w:t xml:space="preserve">6R). Dokázalo sa, že </w:t>
      </w:r>
      <w:r>
        <w:rPr>
          <w:szCs w:val="22"/>
        </w:rPr>
        <w:t>tocilizumab</w:t>
      </w:r>
      <w:r>
        <w:t xml:space="preserve"> inhibuje prenos signálu sprostredkovaný </w:t>
      </w:r>
      <w:r>
        <w:rPr>
          <w:iCs/>
        </w:rPr>
        <w:t>sIL</w:t>
      </w:r>
      <w:r>
        <w:rPr>
          <w:iCs/>
        </w:rPr>
        <w:noBreakHyphen/>
        <w:t xml:space="preserve">6R a </w:t>
      </w:r>
      <w:r>
        <w:t>mIL</w:t>
      </w:r>
      <w:r>
        <w:noBreakHyphen/>
        <w:t>6R. IL</w:t>
      </w:r>
      <w:r>
        <w:noBreakHyphen/>
        <w:t>6 je pleiotropný prozápalový cytokín, ktorý produkujú rôzne typy buniek, vrátane T</w:t>
      </w:r>
      <w:r>
        <w:noBreakHyphen/>
        <w:t> a B</w:t>
      </w:r>
      <w:r>
        <w:noBreakHyphen/>
        <w:t>buniek, monocytov a fibroblastov. IL</w:t>
      </w:r>
      <w:r>
        <w:noBreakHyphen/>
        <w:t>6 sa zúčastňuje na rôznorodých fyziologických procesoch, ako je aktivácia T</w:t>
      </w:r>
      <w:r>
        <w:noBreakHyphen/>
        <w:t>buniek, indukcia sekrécie imunoglobulínov, indukcia syntézy proteínov akútnej fázy v pečeni a stimulácia krvotvorby. IL</w:t>
      </w:r>
      <w:r>
        <w:noBreakHyphen/>
        <w:t>6 sa podieľa na patogenéze ochorení, medzi ktoré patria zápalové ochorenia, osteoporóza a neoplázie.</w:t>
      </w:r>
    </w:p>
    <w:p w14:paraId="66F91035" w14:textId="77777777" w:rsidR="009700E5" w:rsidRDefault="009700E5">
      <w:pPr>
        <w:numPr>
          <w:ilvl w:val="12"/>
          <w:numId w:val="0"/>
        </w:numPr>
        <w:ind w:right="-2"/>
      </w:pPr>
    </w:p>
    <w:p w14:paraId="7BEFB7F0" w14:textId="77777777" w:rsidR="009700E5" w:rsidRDefault="002C033C">
      <w:pPr>
        <w:numPr>
          <w:ilvl w:val="12"/>
          <w:numId w:val="0"/>
        </w:numPr>
        <w:rPr>
          <w:bCs/>
        </w:rPr>
      </w:pPr>
      <w:r>
        <w:rPr>
          <w:u w:val="single"/>
        </w:rPr>
        <w:t>Farmakodynamické účinky</w:t>
      </w:r>
    </w:p>
    <w:p w14:paraId="3670679A" w14:textId="77777777" w:rsidR="009700E5" w:rsidRDefault="002C033C">
      <w:pPr>
        <w:numPr>
          <w:ilvl w:val="12"/>
          <w:numId w:val="0"/>
        </w:numPr>
      </w:pPr>
      <w:r>
        <w:rPr>
          <w:bCs/>
        </w:rPr>
        <w:t>V klinických skúšaniach RA s </w:t>
      </w:r>
      <w:r>
        <w:rPr>
          <w:szCs w:val="22"/>
        </w:rPr>
        <w:t>tocilizumabom</w:t>
      </w:r>
      <w:r>
        <w:rPr>
          <w:bCs/>
        </w:rPr>
        <w:t xml:space="preserve"> sa pozoroval rýchly pokles hodnôt CRP, sedimentácie erytrocytov (ESR), sérového </w:t>
      </w:r>
      <w:r>
        <w:t>amyloidu A (SAA) a fibrinogénu</w:t>
      </w:r>
      <w:r>
        <w:rPr>
          <w:bCs/>
        </w:rPr>
        <w:t xml:space="preserve">. V zhode s účinkom na reaktanty akútnej fázy bola liečba </w:t>
      </w:r>
      <w:r>
        <w:rPr>
          <w:szCs w:val="22"/>
        </w:rPr>
        <w:t>tocilizumabom</w:t>
      </w:r>
      <w:r>
        <w:rPr>
          <w:bCs/>
        </w:rPr>
        <w:t xml:space="preserve"> spojená s poklesom počtu trombocytov na hodnoty v rámci referenčného rozpätia. Pozorovalo sa zvýšenie hladín hemoglobínu, ktoré </w:t>
      </w:r>
      <w:r>
        <w:rPr>
          <w:szCs w:val="22"/>
        </w:rPr>
        <w:t>tocilizumab</w:t>
      </w:r>
      <w:r>
        <w:rPr>
          <w:bCs/>
        </w:rPr>
        <w:t xml:space="preserve"> vyvoláva tým, že znižuje IL</w:t>
      </w:r>
      <w:r>
        <w:rPr>
          <w:bCs/>
        </w:rPr>
        <w:noBreakHyphen/>
        <w:t>6 navodené účinky na tvorbu hepcidínu, čím sa zvyšuje dostupnosť železa.</w:t>
      </w:r>
      <w:r>
        <w:t xml:space="preserve"> U liečených pacientov sa pokles hladín CRP na hodnoty v rámci referenčného rozpätia pozoroval už od 2. týždňa a počas trvania liečby sa tento pokles udržal.</w:t>
      </w:r>
    </w:p>
    <w:p w14:paraId="11434AB3" w14:textId="77777777" w:rsidR="009700E5" w:rsidRDefault="009700E5">
      <w:pPr>
        <w:numPr>
          <w:ilvl w:val="12"/>
          <w:numId w:val="0"/>
        </w:numPr>
        <w:ind w:right="-2"/>
      </w:pPr>
    </w:p>
    <w:p w14:paraId="5D958101" w14:textId="77777777" w:rsidR="009700E5" w:rsidRDefault="002C033C">
      <w:pPr>
        <w:numPr>
          <w:ilvl w:val="12"/>
          <w:numId w:val="0"/>
        </w:numPr>
        <w:ind w:right="-2"/>
        <w:rPr>
          <w:ins w:id="2134" w:author="Author" w:date="2025-07-24T21:14:00Z"/>
        </w:rPr>
      </w:pPr>
      <w:r>
        <w:t>V klinick</w:t>
      </w:r>
      <w:del w:id="2135" w:author="Author" w:date="2025-07-20T00:02:00Z">
        <w:r>
          <w:delText xml:space="preserve">ej štúdii </w:delText>
        </w:r>
      </w:del>
      <w:ins w:id="2136" w:author="Author" w:date="2025-07-20T00:02:00Z">
        <w:r>
          <w:t>om sk</w:t>
        </w:r>
      </w:ins>
      <w:ins w:id="2137" w:author="Author" w:date="2025-07-20T00:03:00Z">
        <w:r>
          <w:t xml:space="preserve">úšaní </w:t>
        </w:r>
      </w:ins>
      <w:r>
        <w:t xml:space="preserve">OBA WA28119 sa pozoroval podobný rýchly pokles hodnôt CRP a sedimentácie erytrocytov (ESR) s miernym zvýšením priemernej koncentrácie korpuskulárneho hemoglobínu. U zdravých dobrovoľníkov, ktorým sa podával </w:t>
      </w:r>
      <w:r>
        <w:rPr>
          <w:szCs w:val="22"/>
        </w:rPr>
        <w:t>tocilizumab</w:t>
      </w:r>
      <w:r>
        <w:t xml:space="preserve"> v dávkach od 2 do 28 mg/kg intravenózne a od 81 do 162 mg subkutánne, klesal absolútny počet neutrofilov k najnižším hladinám 2 až 5 dní po podaní. Potom sa počet neutrofilov vrátil k východiskovým hodnotám v závislosti od dávky. </w:t>
      </w:r>
    </w:p>
    <w:p w14:paraId="4B82E43F" w14:textId="77777777" w:rsidR="009700E5" w:rsidRDefault="009700E5">
      <w:pPr>
        <w:numPr>
          <w:ilvl w:val="12"/>
          <w:numId w:val="0"/>
        </w:numPr>
        <w:ind w:right="-2"/>
        <w:rPr>
          <w:ins w:id="2138" w:author="Author" w:date="2025-07-24T21:14:00Z"/>
        </w:rPr>
      </w:pPr>
    </w:p>
    <w:p w14:paraId="777B1967" w14:textId="77777777" w:rsidR="009700E5" w:rsidRDefault="002C033C">
      <w:pPr>
        <w:numPr>
          <w:ilvl w:val="12"/>
          <w:numId w:val="0"/>
        </w:numPr>
        <w:ind w:right="-2"/>
      </w:pPr>
      <w:r>
        <w:t xml:space="preserve">Pacienti s RA a OBA po podaní </w:t>
      </w:r>
      <w:r>
        <w:rPr>
          <w:szCs w:val="22"/>
        </w:rPr>
        <w:t>tocilizumabu</w:t>
      </w:r>
      <w:r>
        <w:t xml:space="preserve"> vykazujú porovnateľný (oproti zdravým osobám) pokles absolútneho počtu neutrofilov (pozri časť 4.8).</w:t>
      </w:r>
    </w:p>
    <w:p w14:paraId="488A806D" w14:textId="77777777" w:rsidR="009700E5" w:rsidRDefault="009700E5">
      <w:pPr>
        <w:numPr>
          <w:ilvl w:val="12"/>
          <w:numId w:val="0"/>
        </w:numPr>
        <w:ind w:right="-2"/>
      </w:pPr>
    </w:p>
    <w:p w14:paraId="046DA0C1" w14:textId="77777777" w:rsidR="009700E5" w:rsidRDefault="002C033C">
      <w:pPr>
        <w:numPr>
          <w:ilvl w:val="12"/>
          <w:numId w:val="0"/>
        </w:numPr>
        <w:ind w:right="-2"/>
        <w:rPr>
          <w:u w:val="single"/>
        </w:rPr>
      </w:pPr>
      <w:r>
        <w:rPr>
          <w:u w:val="single"/>
        </w:rPr>
        <w:t>Subkutánne použitie</w:t>
      </w:r>
    </w:p>
    <w:p w14:paraId="7CBCC6B4" w14:textId="77777777" w:rsidR="009700E5" w:rsidRDefault="002C033C">
      <w:pPr>
        <w:numPr>
          <w:ilvl w:val="12"/>
          <w:numId w:val="0"/>
        </w:numPr>
        <w:ind w:right="-2"/>
        <w:rPr>
          <w:bCs/>
          <w:i/>
          <w:iCs/>
        </w:rPr>
      </w:pPr>
      <w:r>
        <w:rPr>
          <w:bCs/>
          <w:i/>
          <w:iCs/>
        </w:rPr>
        <w:t>Pacienti s RA</w:t>
      </w:r>
    </w:p>
    <w:p w14:paraId="711FE93D" w14:textId="77777777" w:rsidR="009700E5" w:rsidRDefault="009700E5">
      <w:pPr>
        <w:numPr>
          <w:ilvl w:val="12"/>
          <w:numId w:val="0"/>
        </w:numPr>
        <w:ind w:right="-2"/>
        <w:rPr>
          <w:ins w:id="2139" w:author="Author" w:date="2025-07-22T18:04:00Z"/>
          <w:i/>
          <w:iCs/>
          <w:u w:val="single"/>
        </w:rPr>
      </w:pPr>
    </w:p>
    <w:p w14:paraId="7043C11E" w14:textId="77777777" w:rsidR="009700E5" w:rsidRDefault="002C033C">
      <w:pPr>
        <w:numPr>
          <w:ilvl w:val="12"/>
          <w:numId w:val="0"/>
        </w:numPr>
        <w:ind w:right="-2"/>
        <w:rPr>
          <w:i/>
          <w:iCs/>
          <w:u w:val="single"/>
        </w:rPr>
      </w:pPr>
      <w:r>
        <w:rPr>
          <w:i/>
          <w:iCs/>
          <w:u w:val="single"/>
        </w:rPr>
        <w:t>Klinická účinnosť</w:t>
      </w:r>
    </w:p>
    <w:p w14:paraId="725494C1" w14:textId="77777777" w:rsidR="009700E5" w:rsidRDefault="002C033C">
      <w:pPr>
        <w:numPr>
          <w:ilvl w:val="12"/>
          <w:numId w:val="0"/>
        </w:numPr>
        <w:ind w:right="-2"/>
      </w:pPr>
      <w:r>
        <w:t xml:space="preserve">Účinnosť subkutánne podávaného </w:t>
      </w:r>
      <w:r>
        <w:rPr>
          <w:szCs w:val="22"/>
        </w:rPr>
        <w:t>tocilizumabu</w:t>
      </w:r>
      <w:r>
        <w:t xml:space="preserve"> v zmierňovaní prejavov a príznakov RA a rádiografická odpoveď sa hodnotili v dvoch randomizovaných, dvojito zaslepených, kontrolovaných, multicentrických </w:t>
      </w:r>
      <w:del w:id="2140" w:author="Author" w:date="2025-07-20T00:03:00Z">
        <w:r>
          <w:delText>štúdiách</w:delText>
        </w:r>
      </w:del>
      <w:ins w:id="2141" w:author="Author" w:date="2025-07-21T10:41:00Z">
        <w:r>
          <w:t xml:space="preserve">klinických </w:t>
        </w:r>
      </w:ins>
      <w:ins w:id="2142" w:author="Author" w:date="2025-07-20T00:03:00Z">
        <w:r>
          <w:t>skúšaniach</w:t>
        </w:r>
      </w:ins>
      <w:r>
        <w:t>. V</w:t>
      </w:r>
      <w:del w:id="2143" w:author="Author" w:date="2025-07-20T00:03:00Z">
        <w:r>
          <w:delText> </w:delText>
        </w:r>
      </w:del>
      <w:ins w:id="2144" w:author="Author" w:date="2025-07-20T00:03:00Z">
        <w:r>
          <w:t> </w:t>
        </w:r>
      </w:ins>
      <w:del w:id="2145" w:author="Author" w:date="2025-07-20T00:03:00Z">
        <w:r>
          <w:delText>štúdii </w:delText>
        </w:r>
      </w:del>
      <w:ins w:id="2146" w:author="Author" w:date="2025-07-21T10:41:00Z">
        <w:r>
          <w:t xml:space="preserve">klinickom </w:t>
        </w:r>
      </w:ins>
      <w:ins w:id="2147" w:author="Author" w:date="2025-07-20T00:03:00Z">
        <w:r>
          <w:t xml:space="preserve">skúšaní </w:t>
        </w:r>
      </w:ins>
      <w:r>
        <w:t>I (SC</w:t>
      </w:r>
      <w:r>
        <w:noBreakHyphen/>
        <w:t>I) sa vyžadovalo, aby mali pacienti vek </w:t>
      </w:r>
      <w:r>
        <w:rPr>
          <w:rFonts w:eastAsia="MS Mincho"/>
          <w:szCs w:val="22"/>
        </w:rPr>
        <w:sym w:font="Symbol" w:char="F03E"/>
      </w:r>
      <w:r>
        <w:t xml:space="preserve"> 18 rokov, stredne ťažkú až ťažkú aktívnu RA diagnostikovanú podľa kritérií ACR a aby mali pred začiatkom liečby minimálne 4 bolestivé a 4 opuchnuté kĺby. </w:t>
      </w:r>
      <w:r>
        <w:rPr>
          <w:rFonts w:eastAsia="SimSun"/>
          <w:szCs w:val="22"/>
          <w:lang w:eastAsia="zh-CN"/>
        </w:rPr>
        <w:t>Všetkým pacientom boli v rámci základnej liečby podávané nebiologické DMARD.</w:t>
      </w:r>
      <w:r>
        <w:t xml:space="preserve"> V </w:t>
      </w:r>
      <w:del w:id="2148" w:author="Author" w:date="2025-07-20T00:04:00Z">
        <w:r>
          <w:delText>štúdii </w:delText>
        </w:r>
      </w:del>
      <w:ins w:id="2149" w:author="Author" w:date="2025-07-21T10:41:00Z">
        <w:r>
          <w:t xml:space="preserve">klinickom </w:t>
        </w:r>
      </w:ins>
      <w:ins w:id="2150" w:author="Author" w:date="2025-07-20T00:04:00Z">
        <w:r>
          <w:t>skúšaní </w:t>
        </w:r>
      </w:ins>
      <w:r>
        <w:t>II (SC</w:t>
      </w:r>
      <w:r>
        <w:noBreakHyphen/>
        <w:t>II) sa vyžadovalo, aby pacienti mali vek </w:t>
      </w:r>
      <w:r>
        <w:rPr>
          <w:rFonts w:eastAsia="MS Mincho"/>
          <w:szCs w:val="22"/>
        </w:rPr>
        <w:sym w:font="Symbol" w:char="F03E"/>
      </w:r>
      <w:r>
        <w:t> 18 rokov, stredne ťažkú až ťažkú aktívnu RA diagnostikovanú podľa kritérií ACR a aby mali pred začiatkom liečby minimálne 8 bolestivých a 6 opuchnutých kĺbov.</w:t>
      </w:r>
    </w:p>
    <w:p w14:paraId="31DBAFDE" w14:textId="77777777" w:rsidR="009700E5" w:rsidRDefault="009700E5">
      <w:pPr>
        <w:numPr>
          <w:ilvl w:val="12"/>
          <w:numId w:val="0"/>
        </w:numPr>
        <w:ind w:right="-2"/>
      </w:pPr>
    </w:p>
    <w:p w14:paraId="53F6A5F3" w14:textId="77777777" w:rsidR="009700E5" w:rsidRDefault="002C033C">
      <w:pPr>
        <w:numPr>
          <w:ilvl w:val="12"/>
          <w:numId w:val="0"/>
        </w:numPr>
        <w:ind w:right="-2"/>
      </w:pPr>
      <w:r>
        <w:t>Po prechode z dávky 8 mg/kg podávanej intravenózne raz za 4 týždne na dávku 162 mg podávanú subkutánne raz za týždeň dôjde u pacienta k zmene expozície. Rozsah tejto zmeny sa líši v závislosti od telesnej hmotnosti pacienta (zvýšenie expozície u pacientov s nízkou telesnou hmotnosťou a zníženie expozície u pacientov s vysokou telesnou hmotnosťou), ale klinický výsledok sa zhoduje s klinickým výsledkom pozorovaným u pacientov liečených intravenóznou formou lieku.</w:t>
      </w:r>
    </w:p>
    <w:p w14:paraId="38492E00" w14:textId="77777777" w:rsidR="009700E5" w:rsidRDefault="009700E5">
      <w:pPr>
        <w:numPr>
          <w:ilvl w:val="12"/>
          <w:numId w:val="0"/>
        </w:numPr>
        <w:ind w:right="-2"/>
      </w:pPr>
    </w:p>
    <w:p w14:paraId="6A767DDB" w14:textId="77777777" w:rsidR="009700E5" w:rsidRDefault="002C033C">
      <w:pPr>
        <w:keepNext/>
        <w:keepLines/>
        <w:numPr>
          <w:ilvl w:val="12"/>
          <w:numId w:val="0"/>
        </w:numPr>
        <w:rPr>
          <w:i/>
          <w:u w:val="single"/>
        </w:rPr>
      </w:pPr>
      <w:r>
        <w:rPr>
          <w:i/>
          <w:u w:val="single"/>
        </w:rPr>
        <w:t>Klinická odpoveď</w:t>
      </w:r>
    </w:p>
    <w:p w14:paraId="5EC71BD0" w14:textId="77777777" w:rsidR="009700E5" w:rsidRDefault="002C033C">
      <w:pPr>
        <w:keepNext/>
        <w:keepLines/>
        <w:numPr>
          <w:ilvl w:val="12"/>
          <w:numId w:val="0"/>
        </w:numPr>
        <w:ind w:right="-2"/>
      </w:pPr>
      <w:del w:id="2151" w:author="Author" w:date="2025-07-20T00:04:00Z">
        <w:r>
          <w:delText xml:space="preserve">Štúdia </w:delText>
        </w:r>
      </w:del>
      <w:ins w:id="2152" w:author="Author" w:date="2025-07-21T10:41:00Z">
        <w:r>
          <w:t>Klinické s</w:t>
        </w:r>
      </w:ins>
      <w:ins w:id="2153" w:author="Author" w:date="2025-07-20T00:04:00Z">
        <w:del w:id="2154" w:author="Author" w:date="2025-07-21T10:41:00Z">
          <w:r>
            <w:delText>S</w:delText>
          </w:r>
        </w:del>
        <w:r>
          <w:t xml:space="preserve">kúšanie </w:t>
        </w:r>
      </w:ins>
      <w:r>
        <w:t>SC</w:t>
      </w:r>
      <w:r>
        <w:noBreakHyphen/>
        <w:t xml:space="preserve">I </w:t>
      </w:r>
      <w:del w:id="2155" w:author="Author" w:date="2025-07-20T00:04:00Z">
        <w:r>
          <w:delText xml:space="preserve">hodnotila </w:delText>
        </w:r>
      </w:del>
      <w:ins w:id="2156" w:author="Author" w:date="2025-07-20T00:04:00Z">
        <w:r>
          <w:t xml:space="preserve">hodnotilo </w:t>
        </w:r>
      </w:ins>
      <w:r>
        <w:t xml:space="preserve">pacientov so stredne ťažkou až ťažkou aktívnou RA, ktorí nedosiahli dostatočnú klinickú odpoveď na existujúcu reumatologickú liečbu zahŕňajúcu jedno alebo viac DMARD, pričom približne 20 % malo v anamnéze nedostatočnú odpoveď na liečbu najmenej jedným inhibítorom TNF. V </w:t>
      </w:r>
      <w:del w:id="2157" w:author="Author" w:date="2025-07-20T00:04:00Z">
        <w:r>
          <w:delText xml:space="preserve">štúdii </w:delText>
        </w:r>
      </w:del>
      <w:ins w:id="2158" w:author="Author" w:date="2025-07-21T10:42:00Z">
        <w:r>
          <w:t xml:space="preserve">klinickom </w:t>
        </w:r>
      </w:ins>
      <w:ins w:id="2159" w:author="Author" w:date="2025-07-20T00:04:00Z">
        <w:r>
          <w:t xml:space="preserve">skúšaní </w:t>
        </w:r>
      </w:ins>
      <w:r>
        <w:t>SC</w:t>
      </w:r>
      <w:r>
        <w:noBreakHyphen/>
        <w:t>I bolo 1 262 pacientov randomizovaných v pomere 1:1 do skupiny s </w:t>
      </w:r>
      <w:r>
        <w:rPr>
          <w:szCs w:val="22"/>
        </w:rPr>
        <w:t>tocilizumabom</w:t>
      </w:r>
      <w:r>
        <w:t xml:space="preserve"> podávaným subkutánne v dávke 162 mg každý týždeň, alebo do skupiny s </w:t>
      </w:r>
      <w:r>
        <w:rPr>
          <w:szCs w:val="22"/>
        </w:rPr>
        <w:t>tocilizumabom</w:t>
      </w:r>
      <w:r>
        <w:t xml:space="preserve"> podávaným intravenózne v dávke 8 mg/kg každé štyri týždne v kombinácii s nebiologickým(i) DMARD(s). Primárny cieľový ukazovateľ v </w:t>
      </w:r>
      <w:del w:id="2160" w:author="Author" w:date="2025-07-20T00:04:00Z">
        <w:r>
          <w:delText xml:space="preserve">štúdii </w:delText>
        </w:r>
      </w:del>
      <w:ins w:id="2161" w:author="Author" w:date="2025-07-21T10:42:00Z">
        <w:r>
          <w:t xml:space="preserve">klinickom </w:t>
        </w:r>
      </w:ins>
      <w:ins w:id="2162" w:author="Author" w:date="2025-07-20T00:04:00Z">
        <w:r>
          <w:t xml:space="preserve">skúšaní </w:t>
        </w:r>
      </w:ins>
      <w:r>
        <w:t>bol rozdiel v podiele pacientov, ktorí dosiahli odpoveď ACR 20 v 24. týždni. Výsledky z</w:t>
      </w:r>
      <w:ins w:id="2163" w:author="Author" w:date="2025-07-21T10:42:00Z">
        <w:r>
          <w:t> </w:t>
        </w:r>
      </w:ins>
      <w:del w:id="2164" w:author="Author" w:date="2025-07-21T10:42:00Z">
        <w:r>
          <w:delText xml:space="preserve">o </w:delText>
        </w:r>
      </w:del>
      <w:del w:id="2165" w:author="Author" w:date="2025-07-20T00:04:00Z">
        <w:r>
          <w:delText xml:space="preserve">štúdie </w:delText>
        </w:r>
      </w:del>
      <w:ins w:id="2166" w:author="Author" w:date="2025-07-21T10:42:00Z">
        <w:r>
          <w:t xml:space="preserve">klinického </w:t>
        </w:r>
      </w:ins>
      <w:ins w:id="2167" w:author="Author" w:date="2025-07-20T00:04:00Z">
        <w:r>
          <w:t xml:space="preserve">skúšania </w:t>
        </w:r>
      </w:ins>
      <w:r>
        <w:t>SC</w:t>
      </w:r>
      <w:r>
        <w:noBreakHyphen/>
        <w:t>I sú uvedené v tabuľke 2.</w:t>
      </w:r>
    </w:p>
    <w:p w14:paraId="1782F1ED" w14:textId="77777777" w:rsidR="009700E5" w:rsidRDefault="009700E5">
      <w:pPr>
        <w:numPr>
          <w:ilvl w:val="12"/>
          <w:numId w:val="0"/>
        </w:numPr>
        <w:ind w:right="-2"/>
      </w:pPr>
    </w:p>
    <w:p w14:paraId="1587D223" w14:textId="77777777" w:rsidR="009700E5" w:rsidRDefault="002C033C">
      <w:pPr>
        <w:keepNext/>
        <w:keepLines/>
        <w:numPr>
          <w:ilvl w:val="12"/>
          <w:numId w:val="0"/>
        </w:numPr>
        <w:ind w:right="-2"/>
        <w:rPr>
          <w:bCs/>
          <w:i/>
        </w:rPr>
      </w:pPr>
      <w:r>
        <w:rPr>
          <w:bCs/>
          <w:i/>
        </w:rPr>
        <w:t xml:space="preserve">Tabuľka 2. Odpovede ACR v </w:t>
      </w:r>
      <w:del w:id="2168" w:author="Author" w:date="2025-07-20T00:04:00Z">
        <w:r>
          <w:rPr>
            <w:bCs/>
            <w:i/>
          </w:rPr>
          <w:delText>štúdii </w:delText>
        </w:r>
      </w:del>
      <w:ins w:id="2169" w:author="Author" w:date="2025-07-21T10:42:00Z">
        <w:r>
          <w:rPr>
            <w:bCs/>
            <w:i/>
          </w:rPr>
          <w:t xml:space="preserve">klinickom </w:t>
        </w:r>
      </w:ins>
      <w:ins w:id="2170" w:author="Author" w:date="2025-07-20T00:04:00Z">
        <w:r>
          <w:rPr>
            <w:bCs/>
            <w:i/>
          </w:rPr>
          <w:t>sk</w:t>
        </w:r>
      </w:ins>
      <w:ins w:id="2171" w:author="Author" w:date="2025-07-20T00:05:00Z">
        <w:r>
          <w:rPr>
            <w:bCs/>
            <w:i/>
          </w:rPr>
          <w:t>úšaní</w:t>
        </w:r>
      </w:ins>
      <w:ins w:id="2172" w:author="Author" w:date="2025-07-20T00:04:00Z">
        <w:r>
          <w:rPr>
            <w:bCs/>
            <w:i/>
          </w:rPr>
          <w:t> </w:t>
        </w:r>
      </w:ins>
      <w:r>
        <w:rPr>
          <w:bCs/>
          <w:i/>
        </w:rPr>
        <w:t>SC</w:t>
      </w:r>
      <w:r>
        <w:rPr>
          <w:bCs/>
          <w:i/>
        </w:rPr>
        <w:noBreakHyphen/>
        <w:t>I (% pacientov) v 24. týždni</w:t>
      </w:r>
    </w:p>
    <w:p w14:paraId="169555AB" w14:textId="77777777" w:rsidR="009700E5" w:rsidRDefault="009700E5">
      <w:pPr>
        <w:keepNext/>
        <w:keepLines/>
        <w:numPr>
          <w:ilvl w:val="12"/>
          <w:numId w:val="0"/>
        </w:numPr>
        <w:ind w:right="-2"/>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173" w:author="Author" w:date="2025-07-22T18:05: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972"/>
        <w:gridCol w:w="2835"/>
        <w:gridCol w:w="2835"/>
        <w:tblGridChange w:id="2174">
          <w:tblGrid>
            <w:gridCol w:w="2718"/>
            <w:gridCol w:w="1926"/>
            <w:gridCol w:w="2977"/>
          </w:tblGrid>
        </w:tblGridChange>
      </w:tblGrid>
      <w:tr w:rsidR="009700E5" w14:paraId="27DB3593" w14:textId="77777777" w:rsidTr="009700E5">
        <w:tc>
          <w:tcPr>
            <w:tcW w:w="2972" w:type="dxa"/>
            <w:tcPrChange w:id="2175" w:author="Author" w:date="2025-07-22T18:05:00Z">
              <w:tcPr>
                <w:tcW w:w="2718" w:type="dxa"/>
              </w:tcPr>
            </w:tcPrChange>
          </w:tcPr>
          <w:p w14:paraId="7A044980" w14:textId="77777777" w:rsidR="009700E5" w:rsidRDefault="009700E5">
            <w:pPr>
              <w:keepNext/>
              <w:keepLines/>
              <w:spacing w:line="280" w:lineRule="atLeast"/>
              <w:rPr>
                <w:sz w:val="20"/>
                <w:lang w:eastAsia="de-DE"/>
              </w:rPr>
            </w:pPr>
          </w:p>
        </w:tc>
        <w:tc>
          <w:tcPr>
            <w:tcW w:w="5670" w:type="dxa"/>
            <w:gridSpan w:val="2"/>
            <w:tcPrChange w:id="2176" w:author="Author" w:date="2025-07-22T18:05:00Z">
              <w:tcPr>
                <w:tcW w:w="4903" w:type="dxa"/>
                <w:gridSpan w:val="2"/>
              </w:tcPr>
            </w:tcPrChange>
          </w:tcPr>
          <w:p w14:paraId="11849F2D" w14:textId="77777777" w:rsidR="009700E5" w:rsidRDefault="002C033C">
            <w:pPr>
              <w:keepNext/>
              <w:keepLines/>
              <w:spacing w:line="280" w:lineRule="atLeast"/>
              <w:jc w:val="center"/>
              <w:rPr>
                <w:sz w:val="20"/>
                <w:lang w:eastAsia="de-DE"/>
              </w:rPr>
            </w:pPr>
            <w:r>
              <w:rPr>
                <w:sz w:val="20"/>
                <w:lang w:eastAsia="de-DE"/>
              </w:rPr>
              <w:t>SC</w:t>
            </w:r>
            <w:r>
              <w:rPr>
                <w:sz w:val="20"/>
                <w:lang w:eastAsia="de-DE"/>
              </w:rPr>
              <w:noBreakHyphen/>
              <w:t>I</w:t>
            </w:r>
            <w:r>
              <w:rPr>
                <w:sz w:val="20"/>
                <w:vertAlign w:val="superscript"/>
                <w:lang w:eastAsia="de-DE"/>
              </w:rPr>
              <w:t>a</w:t>
            </w:r>
          </w:p>
        </w:tc>
      </w:tr>
      <w:tr w:rsidR="009700E5" w14:paraId="170C3BD4" w14:textId="77777777" w:rsidTr="009700E5">
        <w:tc>
          <w:tcPr>
            <w:tcW w:w="2972" w:type="dxa"/>
            <w:tcPrChange w:id="2177" w:author="Author" w:date="2025-07-22T18:05:00Z">
              <w:tcPr>
                <w:tcW w:w="2718" w:type="dxa"/>
              </w:tcPr>
            </w:tcPrChange>
          </w:tcPr>
          <w:p w14:paraId="1FA31309" w14:textId="77777777" w:rsidR="009700E5" w:rsidRDefault="009700E5">
            <w:pPr>
              <w:keepNext/>
              <w:keepLines/>
              <w:spacing w:line="280" w:lineRule="atLeast"/>
              <w:rPr>
                <w:sz w:val="20"/>
                <w:lang w:eastAsia="de-DE"/>
              </w:rPr>
            </w:pPr>
          </w:p>
        </w:tc>
        <w:tc>
          <w:tcPr>
            <w:tcW w:w="2835" w:type="dxa"/>
            <w:tcPrChange w:id="2178" w:author="Author" w:date="2025-07-22T18:05:00Z">
              <w:tcPr>
                <w:tcW w:w="1926" w:type="dxa"/>
              </w:tcPr>
            </w:tcPrChange>
          </w:tcPr>
          <w:p w14:paraId="4E1DF073" w14:textId="77777777" w:rsidR="009700E5" w:rsidRDefault="002C033C">
            <w:pPr>
              <w:keepNext/>
              <w:keepLines/>
              <w:spacing w:line="280" w:lineRule="atLeast"/>
              <w:jc w:val="center"/>
              <w:rPr>
                <w:sz w:val="20"/>
                <w:lang w:eastAsia="de-DE"/>
              </w:rPr>
            </w:pPr>
            <w:r>
              <w:rPr>
                <w:sz w:val="20"/>
                <w:lang w:eastAsia="de-DE"/>
              </w:rPr>
              <w:t>TCZ s.c. 162 mg každý týždeň</w:t>
            </w:r>
          </w:p>
          <w:p w14:paraId="6D9E3DBF" w14:textId="77777777" w:rsidR="009700E5" w:rsidRDefault="002C033C">
            <w:pPr>
              <w:keepNext/>
              <w:keepLines/>
              <w:spacing w:line="280" w:lineRule="atLeast"/>
              <w:jc w:val="center"/>
              <w:rPr>
                <w:sz w:val="20"/>
                <w:lang w:eastAsia="de-DE"/>
              </w:rPr>
            </w:pPr>
            <w:r>
              <w:rPr>
                <w:sz w:val="20"/>
                <w:lang w:eastAsia="de-DE"/>
              </w:rPr>
              <w:t>+ DMARD</w:t>
            </w:r>
          </w:p>
          <w:p w14:paraId="6AB3BDA6" w14:textId="77777777" w:rsidR="009700E5" w:rsidRDefault="002C033C">
            <w:pPr>
              <w:keepNext/>
              <w:keepLines/>
              <w:spacing w:line="280" w:lineRule="atLeast"/>
              <w:jc w:val="center"/>
              <w:rPr>
                <w:sz w:val="20"/>
                <w:lang w:eastAsia="de-DE"/>
              </w:rPr>
            </w:pPr>
            <w:del w:id="2179" w:author="Author" w:date="2025-07-20T00:05:00Z">
              <w:r>
                <w:rPr>
                  <w:sz w:val="20"/>
                  <w:lang w:eastAsia="de-DE"/>
                </w:rPr>
                <w:delText>N </w:delText>
              </w:r>
            </w:del>
            <w:ins w:id="2180" w:author="Author" w:date="2025-07-20T00:05:00Z">
              <w:r>
                <w:rPr>
                  <w:sz w:val="20"/>
                  <w:lang w:eastAsia="de-DE"/>
                </w:rPr>
                <w:t>n </w:t>
              </w:r>
            </w:ins>
            <w:r>
              <w:rPr>
                <w:sz w:val="20"/>
                <w:lang w:eastAsia="de-DE"/>
              </w:rPr>
              <w:t>= 558</w:t>
            </w:r>
          </w:p>
        </w:tc>
        <w:tc>
          <w:tcPr>
            <w:tcW w:w="2835" w:type="dxa"/>
            <w:tcPrChange w:id="2181" w:author="Author" w:date="2025-07-22T18:05:00Z">
              <w:tcPr>
                <w:tcW w:w="2977" w:type="dxa"/>
              </w:tcPr>
            </w:tcPrChange>
          </w:tcPr>
          <w:p w14:paraId="0C7F6D7D" w14:textId="77777777" w:rsidR="009700E5" w:rsidRDefault="002C033C">
            <w:pPr>
              <w:keepNext/>
              <w:keepLines/>
              <w:spacing w:line="280" w:lineRule="atLeast"/>
              <w:jc w:val="center"/>
              <w:rPr>
                <w:sz w:val="20"/>
                <w:lang w:eastAsia="de-DE"/>
              </w:rPr>
            </w:pPr>
            <w:r>
              <w:rPr>
                <w:sz w:val="20"/>
                <w:lang w:eastAsia="de-DE"/>
              </w:rPr>
              <w:t>TCZ i.v. 8 mg/kg</w:t>
            </w:r>
          </w:p>
          <w:p w14:paraId="0F980245" w14:textId="77777777" w:rsidR="009700E5" w:rsidRDefault="002C033C">
            <w:pPr>
              <w:keepNext/>
              <w:keepLines/>
              <w:spacing w:line="280" w:lineRule="atLeast"/>
              <w:jc w:val="center"/>
              <w:rPr>
                <w:sz w:val="20"/>
                <w:lang w:eastAsia="de-DE"/>
              </w:rPr>
            </w:pPr>
            <w:r>
              <w:rPr>
                <w:sz w:val="20"/>
                <w:lang w:eastAsia="de-DE"/>
              </w:rPr>
              <w:t>+ DMARD</w:t>
            </w:r>
          </w:p>
          <w:p w14:paraId="559BCAD6" w14:textId="77777777" w:rsidR="009700E5" w:rsidRDefault="009700E5">
            <w:pPr>
              <w:keepNext/>
              <w:keepLines/>
              <w:spacing w:line="280" w:lineRule="atLeast"/>
              <w:jc w:val="center"/>
              <w:rPr>
                <w:sz w:val="20"/>
                <w:lang w:eastAsia="de-DE"/>
              </w:rPr>
            </w:pPr>
          </w:p>
          <w:p w14:paraId="54C14F4E" w14:textId="77777777" w:rsidR="009700E5" w:rsidRDefault="002C033C">
            <w:pPr>
              <w:keepNext/>
              <w:keepLines/>
              <w:spacing w:line="280" w:lineRule="atLeast"/>
              <w:jc w:val="center"/>
              <w:rPr>
                <w:sz w:val="20"/>
                <w:lang w:eastAsia="de-DE"/>
              </w:rPr>
            </w:pPr>
            <w:del w:id="2182" w:author="Author" w:date="2025-07-20T00:05:00Z">
              <w:r>
                <w:rPr>
                  <w:sz w:val="20"/>
                  <w:lang w:eastAsia="de-DE"/>
                </w:rPr>
                <w:delText>N </w:delText>
              </w:r>
            </w:del>
            <w:ins w:id="2183" w:author="Author" w:date="2025-07-20T00:05:00Z">
              <w:r>
                <w:rPr>
                  <w:sz w:val="20"/>
                  <w:lang w:eastAsia="de-DE"/>
                </w:rPr>
                <w:t>n </w:t>
              </w:r>
            </w:ins>
            <w:r>
              <w:rPr>
                <w:sz w:val="20"/>
                <w:lang w:eastAsia="de-DE"/>
              </w:rPr>
              <w:t>= 537</w:t>
            </w:r>
          </w:p>
        </w:tc>
      </w:tr>
      <w:tr w:rsidR="009700E5" w14:paraId="5AC036CB" w14:textId="77777777" w:rsidTr="009700E5">
        <w:tc>
          <w:tcPr>
            <w:tcW w:w="2972" w:type="dxa"/>
            <w:tcPrChange w:id="2184" w:author="Author" w:date="2025-07-22T18:05:00Z">
              <w:tcPr>
                <w:tcW w:w="2718" w:type="dxa"/>
              </w:tcPr>
            </w:tcPrChange>
          </w:tcPr>
          <w:p w14:paraId="4B5FFB59" w14:textId="77777777" w:rsidR="009700E5" w:rsidRDefault="002C033C">
            <w:pPr>
              <w:keepNext/>
              <w:keepLines/>
              <w:spacing w:line="280" w:lineRule="atLeast"/>
              <w:jc w:val="right"/>
              <w:rPr>
                <w:sz w:val="20"/>
                <w:lang w:eastAsia="de-DE"/>
              </w:rPr>
            </w:pPr>
            <w:r>
              <w:rPr>
                <w:sz w:val="20"/>
                <w:lang w:eastAsia="de-DE"/>
              </w:rPr>
              <w:t>ACR 20 24. týždeň</w:t>
            </w:r>
          </w:p>
        </w:tc>
        <w:tc>
          <w:tcPr>
            <w:tcW w:w="2835" w:type="dxa"/>
            <w:tcPrChange w:id="2185" w:author="Author" w:date="2025-07-22T18:05:00Z">
              <w:tcPr>
                <w:tcW w:w="1926" w:type="dxa"/>
              </w:tcPr>
            </w:tcPrChange>
          </w:tcPr>
          <w:p w14:paraId="3C3A5C2D" w14:textId="77777777" w:rsidR="009700E5" w:rsidRDefault="002C033C">
            <w:pPr>
              <w:keepNext/>
              <w:keepLines/>
              <w:spacing w:line="280" w:lineRule="atLeast"/>
              <w:jc w:val="center"/>
              <w:rPr>
                <w:sz w:val="20"/>
                <w:lang w:eastAsia="de-DE"/>
              </w:rPr>
            </w:pPr>
            <w:r>
              <w:rPr>
                <w:sz w:val="20"/>
                <w:lang w:eastAsia="de-DE"/>
              </w:rPr>
              <w:t>69,4 %</w:t>
            </w:r>
          </w:p>
        </w:tc>
        <w:tc>
          <w:tcPr>
            <w:tcW w:w="2835" w:type="dxa"/>
            <w:tcPrChange w:id="2186" w:author="Author" w:date="2025-07-22T18:05:00Z">
              <w:tcPr>
                <w:tcW w:w="2977" w:type="dxa"/>
              </w:tcPr>
            </w:tcPrChange>
          </w:tcPr>
          <w:p w14:paraId="25EEF1D5" w14:textId="77777777" w:rsidR="009700E5" w:rsidRDefault="002C033C">
            <w:pPr>
              <w:keepNext/>
              <w:keepLines/>
              <w:spacing w:line="280" w:lineRule="atLeast"/>
              <w:jc w:val="center"/>
              <w:rPr>
                <w:sz w:val="20"/>
                <w:lang w:eastAsia="de-DE"/>
              </w:rPr>
            </w:pPr>
            <w:r>
              <w:rPr>
                <w:sz w:val="20"/>
                <w:lang w:eastAsia="de-DE"/>
              </w:rPr>
              <w:t>73,4 %</w:t>
            </w:r>
          </w:p>
        </w:tc>
      </w:tr>
      <w:tr w:rsidR="009700E5" w14:paraId="0937EC7C" w14:textId="77777777" w:rsidTr="009700E5">
        <w:tc>
          <w:tcPr>
            <w:tcW w:w="2972" w:type="dxa"/>
            <w:tcPrChange w:id="2187" w:author="Author" w:date="2025-07-22T18:05:00Z">
              <w:tcPr>
                <w:tcW w:w="2718" w:type="dxa"/>
              </w:tcPr>
            </w:tcPrChange>
          </w:tcPr>
          <w:p w14:paraId="1B02EF5A" w14:textId="77777777" w:rsidR="009700E5" w:rsidRDefault="002C033C">
            <w:pPr>
              <w:keepNext/>
              <w:keepLines/>
              <w:spacing w:line="280" w:lineRule="atLeast"/>
              <w:jc w:val="right"/>
              <w:rPr>
                <w:sz w:val="20"/>
                <w:lang w:eastAsia="de-DE"/>
              </w:rPr>
            </w:pPr>
            <w:r>
              <w:rPr>
                <w:sz w:val="20"/>
                <w:lang w:eastAsia="de-DE"/>
              </w:rPr>
              <w:t>Vážený rozdiel (95% IS)</w:t>
            </w:r>
          </w:p>
        </w:tc>
        <w:tc>
          <w:tcPr>
            <w:tcW w:w="5670" w:type="dxa"/>
            <w:gridSpan w:val="2"/>
            <w:tcPrChange w:id="2188" w:author="Author" w:date="2025-07-22T18:05:00Z">
              <w:tcPr>
                <w:tcW w:w="4903" w:type="dxa"/>
                <w:gridSpan w:val="2"/>
              </w:tcPr>
            </w:tcPrChange>
          </w:tcPr>
          <w:p w14:paraId="5AA50EDC" w14:textId="77777777" w:rsidR="009700E5" w:rsidRDefault="002C033C">
            <w:pPr>
              <w:keepNext/>
              <w:keepLines/>
              <w:spacing w:line="280" w:lineRule="atLeast"/>
              <w:jc w:val="center"/>
              <w:rPr>
                <w:sz w:val="20"/>
                <w:lang w:eastAsia="de-DE"/>
              </w:rPr>
            </w:pPr>
            <w:r>
              <w:rPr>
                <w:sz w:val="20"/>
                <w:lang w:eastAsia="de-DE"/>
              </w:rPr>
              <w:noBreakHyphen/>
              <w:t>4,0 (</w:t>
            </w:r>
            <w:r>
              <w:rPr>
                <w:sz w:val="20"/>
                <w:lang w:eastAsia="de-DE"/>
              </w:rPr>
              <w:noBreakHyphen/>
              <w:t>9,2; 1,2)</w:t>
            </w:r>
          </w:p>
        </w:tc>
      </w:tr>
      <w:tr w:rsidR="009700E5" w14:paraId="68ACFA24" w14:textId="77777777" w:rsidTr="009700E5">
        <w:tc>
          <w:tcPr>
            <w:tcW w:w="2972" w:type="dxa"/>
            <w:tcPrChange w:id="2189" w:author="Author" w:date="2025-07-22T18:05:00Z">
              <w:tcPr>
                <w:tcW w:w="2718" w:type="dxa"/>
              </w:tcPr>
            </w:tcPrChange>
          </w:tcPr>
          <w:p w14:paraId="41780D5D" w14:textId="77777777" w:rsidR="009700E5" w:rsidRDefault="002C033C">
            <w:pPr>
              <w:keepNext/>
              <w:keepLines/>
              <w:spacing w:line="280" w:lineRule="atLeast"/>
              <w:jc w:val="right"/>
              <w:rPr>
                <w:sz w:val="20"/>
                <w:lang w:eastAsia="de-DE"/>
              </w:rPr>
            </w:pPr>
            <w:r>
              <w:rPr>
                <w:sz w:val="20"/>
                <w:lang w:eastAsia="de-DE"/>
              </w:rPr>
              <w:t>ACR 50 24. týždeň</w:t>
            </w:r>
          </w:p>
        </w:tc>
        <w:tc>
          <w:tcPr>
            <w:tcW w:w="2835" w:type="dxa"/>
            <w:tcPrChange w:id="2190" w:author="Author" w:date="2025-07-22T18:05:00Z">
              <w:tcPr>
                <w:tcW w:w="1926" w:type="dxa"/>
              </w:tcPr>
            </w:tcPrChange>
          </w:tcPr>
          <w:p w14:paraId="35A58B18" w14:textId="77777777" w:rsidR="009700E5" w:rsidRDefault="002C033C">
            <w:pPr>
              <w:keepNext/>
              <w:keepLines/>
              <w:spacing w:line="280" w:lineRule="atLeast"/>
              <w:jc w:val="center"/>
              <w:rPr>
                <w:sz w:val="20"/>
                <w:lang w:eastAsia="de-DE"/>
              </w:rPr>
            </w:pPr>
            <w:r>
              <w:rPr>
                <w:sz w:val="20"/>
                <w:lang w:eastAsia="de-DE"/>
              </w:rPr>
              <w:t>47,0 %</w:t>
            </w:r>
          </w:p>
        </w:tc>
        <w:tc>
          <w:tcPr>
            <w:tcW w:w="2835" w:type="dxa"/>
            <w:tcPrChange w:id="2191" w:author="Author" w:date="2025-07-22T18:05:00Z">
              <w:tcPr>
                <w:tcW w:w="2977" w:type="dxa"/>
              </w:tcPr>
            </w:tcPrChange>
          </w:tcPr>
          <w:p w14:paraId="2AD5D72F" w14:textId="77777777" w:rsidR="009700E5" w:rsidRDefault="002C033C">
            <w:pPr>
              <w:keepNext/>
              <w:keepLines/>
              <w:spacing w:line="280" w:lineRule="atLeast"/>
              <w:jc w:val="center"/>
              <w:rPr>
                <w:sz w:val="20"/>
                <w:lang w:eastAsia="de-DE"/>
              </w:rPr>
            </w:pPr>
            <w:r>
              <w:rPr>
                <w:sz w:val="20"/>
                <w:lang w:eastAsia="de-DE"/>
              </w:rPr>
              <w:t>48,6 %</w:t>
            </w:r>
          </w:p>
        </w:tc>
      </w:tr>
      <w:tr w:rsidR="009700E5" w14:paraId="7166EB8E" w14:textId="77777777" w:rsidTr="009700E5">
        <w:tc>
          <w:tcPr>
            <w:tcW w:w="2972" w:type="dxa"/>
            <w:tcPrChange w:id="2192" w:author="Author" w:date="2025-07-22T18:05:00Z">
              <w:tcPr>
                <w:tcW w:w="2718" w:type="dxa"/>
              </w:tcPr>
            </w:tcPrChange>
          </w:tcPr>
          <w:p w14:paraId="4F052FA3" w14:textId="77777777" w:rsidR="009700E5" w:rsidRDefault="002C033C">
            <w:pPr>
              <w:keepNext/>
              <w:keepLines/>
              <w:spacing w:line="280" w:lineRule="atLeast"/>
              <w:jc w:val="right"/>
              <w:rPr>
                <w:sz w:val="20"/>
                <w:lang w:eastAsia="de-DE"/>
              </w:rPr>
            </w:pPr>
            <w:r>
              <w:rPr>
                <w:sz w:val="20"/>
                <w:lang w:eastAsia="de-DE"/>
              </w:rPr>
              <w:t>Vážený rozdiel (95% IS)</w:t>
            </w:r>
          </w:p>
        </w:tc>
        <w:tc>
          <w:tcPr>
            <w:tcW w:w="5670" w:type="dxa"/>
            <w:gridSpan w:val="2"/>
            <w:tcPrChange w:id="2193" w:author="Author" w:date="2025-07-22T18:05:00Z">
              <w:tcPr>
                <w:tcW w:w="4903" w:type="dxa"/>
                <w:gridSpan w:val="2"/>
              </w:tcPr>
            </w:tcPrChange>
          </w:tcPr>
          <w:p w14:paraId="15016406" w14:textId="77777777" w:rsidR="009700E5" w:rsidRDefault="002C033C">
            <w:pPr>
              <w:keepNext/>
              <w:keepLines/>
              <w:spacing w:line="280" w:lineRule="atLeast"/>
              <w:jc w:val="center"/>
              <w:rPr>
                <w:sz w:val="20"/>
                <w:lang w:eastAsia="de-DE"/>
              </w:rPr>
            </w:pPr>
            <w:r>
              <w:rPr>
                <w:sz w:val="20"/>
                <w:lang w:eastAsia="de-DE"/>
              </w:rPr>
              <w:noBreakHyphen/>
              <w:t>1,8 (</w:t>
            </w:r>
            <w:r>
              <w:rPr>
                <w:sz w:val="20"/>
                <w:lang w:eastAsia="de-DE"/>
              </w:rPr>
              <w:noBreakHyphen/>
              <w:t>7,5; 4,0)</w:t>
            </w:r>
          </w:p>
        </w:tc>
      </w:tr>
      <w:tr w:rsidR="009700E5" w14:paraId="0AF0324F" w14:textId="77777777" w:rsidTr="009700E5">
        <w:tc>
          <w:tcPr>
            <w:tcW w:w="2972" w:type="dxa"/>
            <w:tcPrChange w:id="2194" w:author="Author" w:date="2025-07-22T18:05:00Z">
              <w:tcPr>
                <w:tcW w:w="2718" w:type="dxa"/>
              </w:tcPr>
            </w:tcPrChange>
          </w:tcPr>
          <w:p w14:paraId="14679B54" w14:textId="77777777" w:rsidR="009700E5" w:rsidRDefault="002C033C">
            <w:pPr>
              <w:keepNext/>
              <w:keepLines/>
              <w:spacing w:line="280" w:lineRule="atLeast"/>
              <w:jc w:val="right"/>
              <w:rPr>
                <w:sz w:val="20"/>
                <w:lang w:eastAsia="de-DE"/>
              </w:rPr>
            </w:pPr>
            <w:r>
              <w:rPr>
                <w:sz w:val="20"/>
                <w:lang w:eastAsia="de-DE"/>
              </w:rPr>
              <w:t>ACR 70 24. týždeň</w:t>
            </w:r>
          </w:p>
        </w:tc>
        <w:tc>
          <w:tcPr>
            <w:tcW w:w="2835" w:type="dxa"/>
            <w:tcPrChange w:id="2195" w:author="Author" w:date="2025-07-22T18:05:00Z">
              <w:tcPr>
                <w:tcW w:w="1926" w:type="dxa"/>
              </w:tcPr>
            </w:tcPrChange>
          </w:tcPr>
          <w:p w14:paraId="65BE98FD" w14:textId="77777777" w:rsidR="009700E5" w:rsidRDefault="002C033C">
            <w:pPr>
              <w:keepNext/>
              <w:keepLines/>
              <w:spacing w:line="280" w:lineRule="atLeast"/>
              <w:jc w:val="center"/>
              <w:rPr>
                <w:sz w:val="20"/>
                <w:lang w:eastAsia="de-DE"/>
              </w:rPr>
            </w:pPr>
            <w:r>
              <w:rPr>
                <w:sz w:val="20"/>
                <w:lang w:eastAsia="de-DE"/>
              </w:rPr>
              <w:t>24,0 %</w:t>
            </w:r>
          </w:p>
        </w:tc>
        <w:tc>
          <w:tcPr>
            <w:tcW w:w="2835" w:type="dxa"/>
            <w:tcPrChange w:id="2196" w:author="Author" w:date="2025-07-22T18:05:00Z">
              <w:tcPr>
                <w:tcW w:w="2977" w:type="dxa"/>
              </w:tcPr>
            </w:tcPrChange>
          </w:tcPr>
          <w:p w14:paraId="5C0019F2" w14:textId="77777777" w:rsidR="009700E5" w:rsidRDefault="002C033C">
            <w:pPr>
              <w:keepNext/>
              <w:keepLines/>
              <w:spacing w:line="280" w:lineRule="atLeast"/>
              <w:jc w:val="center"/>
              <w:rPr>
                <w:sz w:val="20"/>
                <w:lang w:eastAsia="de-DE"/>
              </w:rPr>
            </w:pPr>
            <w:r>
              <w:rPr>
                <w:sz w:val="20"/>
                <w:lang w:eastAsia="de-DE"/>
              </w:rPr>
              <w:t>27,9 %</w:t>
            </w:r>
          </w:p>
        </w:tc>
      </w:tr>
      <w:tr w:rsidR="009700E5" w14:paraId="01CE2028" w14:textId="77777777" w:rsidTr="009700E5">
        <w:tc>
          <w:tcPr>
            <w:tcW w:w="2972" w:type="dxa"/>
            <w:tcPrChange w:id="2197" w:author="Author" w:date="2025-07-22T18:05:00Z">
              <w:tcPr>
                <w:tcW w:w="2718" w:type="dxa"/>
              </w:tcPr>
            </w:tcPrChange>
          </w:tcPr>
          <w:p w14:paraId="3BC6A890" w14:textId="77777777" w:rsidR="009700E5" w:rsidRDefault="002C033C">
            <w:pPr>
              <w:keepNext/>
              <w:keepLines/>
              <w:spacing w:line="280" w:lineRule="atLeast"/>
              <w:jc w:val="right"/>
              <w:rPr>
                <w:sz w:val="20"/>
                <w:lang w:eastAsia="de-DE"/>
              </w:rPr>
            </w:pPr>
            <w:r>
              <w:rPr>
                <w:sz w:val="20"/>
                <w:lang w:eastAsia="de-DE"/>
              </w:rPr>
              <w:t>Vážený rozdiel (95% IS)</w:t>
            </w:r>
          </w:p>
        </w:tc>
        <w:tc>
          <w:tcPr>
            <w:tcW w:w="5670" w:type="dxa"/>
            <w:gridSpan w:val="2"/>
            <w:tcPrChange w:id="2198" w:author="Author" w:date="2025-07-22T18:05:00Z">
              <w:tcPr>
                <w:tcW w:w="4903" w:type="dxa"/>
                <w:gridSpan w:val="2"/>
              </w:tcPr>
            </w:tcPrChange>
          </w:tcPr>
          <w:p w14:paraId="4F3D6810" w14:textId="77777777" w:rsidR="009700E5" w:rsidRDefault="002C033C">
            <w:pPr>
              <w:keepNext/>
              <w:keepLines/>
              <w:spacing w:line="280" w:lineRule="atLeast"/>
              <w:jc w:val="center"/>
              <w:rPr>
                <w:sz w:val="20"/>
                <w:lang w:eastAsia="de-DE"/>
              </w:rPr>
            </w:pPr>
            <w:r>
              <w:rPr>
                <w:sz w:val="20"/>
                <w:lang w:eastAsia="de-DE"/>
              </w:rPr>
              <w:noBreakHyphen/>
              <w:t>3,8 (</w:t>
            </w:r>
            <w:r>
              <w:rPr>
                <w:sz w:val="20"/>
                <w:lang w:eastAsia="de-DE"/>
              </w:rPr>
              <w:noBreakHyphen/>
              <w:t>9,0; 1,3)</w:t>
            </w:r>
          </w:p>
        </w:tc>
      </w:tr>
    </w:tbl>
    <w:p w14:paraId="5BB4590D" w14:textId="77777777" w:rsidR="009700E5" w:rsidRDefault="002C033C">
      <w:pPr>
        <w:rPr>
          <w:sz w:val="18"/>
          <w:szCs w:val="18"/>
          <w:lang w:eastAsia="de-DE"/>
        </w:rPr>
      </w:pPr>
      <w:r>
        <w:rPr>
          <w:sz w:val="18"/>
          <w:szCs w:val="18"/>
          <w:lang w:eastAsia="de-DE"/>
        </w:rPr>
        <w:t>DMAR</w:t>
      </w:r>
      <w:ins w:id="2199" w:author="Author" w:date="2025-07-20T00:05:00Z">
        <w:r>
          <w:rPr>
            <w:sz w:val="18"/>
            <w:szCs w:val="18"/>
            <w:lang w:eastAsia="de-DE"/>
          </w:rPr>
          <w:t>D</w:t>
        </w:r>
      </w:ins>
      <w:r>
        <w:rPr>
          <w:sz w:val="18"/>
          <w:szCs w:val="18"/>
          <w:lang w:eastAsia="de-DE"/>
        </w:rPr>
        <w:t xml:space="preserve"> = antireumatiká modifikujúce priebeh choroby</w:t>
      </w:r>
    </w:p>
    <w:p w14:paraId="30C91C3F" w14:textId="77777777" w:rsidR="009700E5" w:rsidRDefault="002C033C">
      <w:pPr>
        <w:rPr>
          <w:sz w:val="18"/>
          <w:szCs w:val="18"/>
          <w:lang w:eastAsia="de-DE"/>
        </w:rPr>
      </w:pPr>
      <w:r>
        <w:rPr>
          <w:sz w:val="18"/>
          <w:szCs w:val="18"/>
          <w:lang w:eastAsia="de-DE"/>
        </w:rPr>
        <w:t>TCZ = tocilizumab</w:t>
      </w:r>
    </w:p>
    <w:p w14:paraId="2E4D632C" w14:textId="77777777" w:rsidR="009700E5" w:rsidRDefault="002C033C">
      <w:pPr>
        <w:rPr>
          <w:sz w:val="18"/>
          <w:szCs w:val="18"/>
          <w:lang w:eastAsia="de-DE"/>
        </w:rPr>
      </w:pPr>
      <w:r>
        <w:rPr>
          <w:sz w:val="18"/>
          <w:szCs w:val="18"/>
          <w:lang w:eastAsia="de-DE"/>
        </w:rPr>
        <w:t>i.v. = intravenózny</w:t>
      </w:r>
    </w:p>
    <w:p w14:paraId="69E250FE" w14:textId="77777777" w:rsidR="009700E5" w:rsidRDefault="002C033C">
      <w:pPr>
        <w:rPr>
          <w:sz w:val="18"/>
          <w:szCs w:val="18"/>
          <w:lang w:eastAsia="de-DE"/>
        </w:rPr>
      </w:pPr>
      <w:r>
        <w:rPr>
          <w:sz w:val="18"/>
          <w:szCs w:val="18"/>
          <w:lang w:eastAsia="de-DE"/>
        </w:rPr>
        <w:t>s.c. = subkutánny</w:t>
      </w:r>
    </w:p>
    <w:p w14:paraId="2A4A2174" w14:textId="77777777" w:rsidR="009700E5" w:rsidRDefault="002C033C">
      <w:pPr>
        <w:rPr>
          <w:sz w:val="18"/>
          <w:szCs w:val="18"/>
          <w:lang w:eastAsia="de-DE"/>
        </w:rPr>
      </w:pPr>
      <w:r>
        <w:rPr>
          <w:sz w:val="18"/>
          <w:szCs w:val="18"/>
          <w:lang w:eastAsia="de-DE"/>
        </w:rPr>
        <w:t>a = populácia podľa protokolu</w:t>
      </w:r>
    </w:p>
    <w:p w14:paraId="78F2184F" w14:textId="77777777" w:rsidR="009700E5" w:rsidRDefault="009700E5">
      <w:pPr>
        <w:numPr>
          <w:ilvl w:val="12"/>
          <w:numId w:val="0"/>
        </w:numPr>
        <w:ind w:right="-2"/>
      </w:pPr>
    </w:p>
    <w:p w14:paraId="7A9B7F3D" w14:textId="77777777" w:rsidR="009700E5" w:rsidRDefault="002C033C">
      <w:r>
        <w:t xml:space="preserve">Pacienti v </w:t>
      </w:r>
      <w:del w:id="2200" w:author="Author" w:date="2025-07-20T00:05:00Z">
        <w:r>
          <w:delText xml:space="preserve">štúdii </w:delText>
        </w:r>
      </w:del>
      <w:ins w:id="2201" w:author="Author" w:date="2025-07-21T10:43:00Z">
        <w:r>
          <w:t xml:space="preserve">klinickom </w:t>
        </w:r>
      </w:ins>
      <w:ins w:id="2202" w:author="Author" w:date="2025-07-20T00:05:00Z">
        <w:r>
          <w:t>skúš</w:t>
        </w:r>
      </w:ins>
      <w:ins w:id="2203" w:author="Author" w:date="2025-07-20T00:06:00Z">
        <w:r>
          <w:t>aní</w:t>
        </w:r>
      </w:ins>
      <w:ins w:id="2204" w:author="Author" w:date="2025-07-20T00:05:00Z">
        <w:r>
          <w:t xml:space="preserve"> </w:t>
        </w:r>
      </w:ins>
      <w:r>
        <w:t>SC</w:t>
      </w:r>
      <w:r>
        <w:noBreakHyphen/>
        <w:t>I mali pred začiatkom liečby priemerné skóre aktivity ochorenia (DAS28) 6,6 v skupine so subkutánnym tocilizumabom a 6,7 v skupine s intravenóznym tocilizumabom. V 24. týždni sa v oboch liečebných skupinách pozorovalo významné zníženie DAS28 oproti východiskovej hodnote (priemerné zlepšenie) o 3,5 a porovnateľný podiel pacientov dosiahol klinickú remisiu ochorenia podľa DAS28 (DAS28 </w:t>
      </w:r>
      <w:r>
        <w:rPr>
          <w:rFonts w:eastAsia="MS Mincho"/>
          <w:szCs w:val="22"/>
        </w:rPr>
        <w:sym w:font="Symbol" w:char="F03C"/>
      </w:r>
      <w:r>
        <w:t xml:space="preserve"> 2,6) v skupine so subkutánnym </w:t>
      </w:r>
      <w:r>
        <w:rPr>
          <w:bCs/>
        </w:rPr>
        <w:t xml:space="preserve">tocilizumabom </w:t>
      </w:r>
      <w:r>
        <w:t>(38,4 %) a v skupine s intravenóznym</w:t>
      </w:r>
      <w:r>
        <w:rPr>
          <w:bCs/>
        </w:rPr>
        <w:t xml:space="preserve"> tocilizumabom</w:t>
      </w:r>
      <w:r>
        <w:t xml:space="preserve"> (36,9 %).</w:t>
      </w:r>
    </w:p>
    <w:p w14:paraId="3A6D40C5" w14:textId="77777777" w:rsidR="009700E5" w:rsidRDefault="009700E5">
      <w:pPr>
        <w:numPr>
          <w:ilvl w:val="12"/>
          <w:numId w:val="0"/>
        </w:numPr>
        <w:ind w:right="-2"/>
        <w:rPr>
          <w:iCs/>
        </w:rPr>
      </w:pPr>
    </w:p>
    <w:p w14:paraId="0C5A97EB" w14:textId="77777777" w:rsidR="009700E5" w:rsidRDefault="002C033C">
      <w:pPr>
        <w:keepNext/>
        <w:keepLines/>
        <w:autoSpaceDE w:val="0"/>
        <w:autoSpaceDN w:val="0"/>
        <w:adjustRightInd w:val="0"/>
        <w:spacing w:line="280" w:lineRule="atLeast"/>
        <w:rPr>
          <w:i/>
          <w:szCs w:val="22"/>
          <w:u w:val="single"/>
          <w:lang w:eastAsia="de-DE"/>
        </w:rPr>
      </w:pPr>
      <w:r>
        <w:rPr>
          <w:i/>
          <w:szCs w:val="22"/>
          <w:u w:val="single"/>
          <w:lang w:eastAsia="de-DE"/>
        </w:rPr>
        <w:t>Rádiografická odpoveď</w:t>
      </w:r>
    </w:p>
    <w:p w14:paraId="0A82B764" w14:textId="77777777" w:rsidR="009700E5" w:rsidRDefault="002C033C">
      <w:r>
        <w:t xml:space="preserve">Rádiografická odpoveď subkutánne podávaného </w:t>
      </w:r>
      <w:r>
        <w:rPr>
          <w:bCs/>
        </w:rPr>
        <w:t>tocilizumabu</w:t>
      </w:r>
      <w:r>
        <w:t xml:space="preserve"> sa hodnotila v dvojito zaslepen</w:t>
      </w:r>
      <w:ins w:id="2205" w:author="Author" w:date="2025-07-20T00:06:00Z">
        <w:r>
          <w:t>om</w:t>
        </w:r>
      </w:ins>
      <w:del w:id="2206" w:author="Author" w:date="2025-07-20T00:06:00Z">
        <w:r>
          <w:delText>ej</w:delText>
        </w:r>
      </w:del>
      <w:r>
        <w:t>, kontrolovan</w:t>
      </w:r>
      <w:ins w:id="2207" w:author="Author" w:date="2025-07-20T00:06:00Z">
        <w:r>
          <w:t>om</w:t>
        </w:r>
      </w:ins>
      <w:del w:id="2208" w:author="Author" w:date="2025-07-20T00:06:00Z">
        <w:r>
          <w:delText>ej</w:delText>
        </w:r>
      </w:del>
      <w:r>
        <w:t>, multicentrick</w:t>
      </w:r>
      <w:ins w:id="2209" w:author="Author" w:date="2025-07-20T00:06:00Z">
        <w:r>
          <w:t xml:space="preserve">om </w:t>
        </w:r>
      </w:ins>
      <w:ins w:id="2210" w:author="Author" w:date="2025-07-21T10:43:00Z">
        <w:r>
          <w:t>klinickom</w:t>
        </w:r>
      </w:ins>
      <w:ins w:id="2211" w:author="Author" w:date="2025-07-21T11:31:00Z">
        <w:r>
          <w:t xml:space="preserve"> </w:t>
        </w:r>
      </w:ins>
      <w:ins w:id="2212" w:author="Author" w:date="2025-07-20T00:06:00Z">
        <w:r>
          <w:t>skúšaní</w:t>
        </w:r>
      </w:ins>
      <w:del w:id="2213" w:author="Author" w:date="2025-07-20T00:06:00Z">
        <w:r>
          <w:delText>ej štúdii</w:delText>
        </w:r>
      </w:del>
      <w:r>
        <w:t xml:space="preserve"> s pacientmi s aktívnou RA (SC</w:t>
      </w:r>
      <w:r>
        <w:noBreakHyphen/>
        <w:t xml:space="preserve">II). </w:t>
      </w:r>
      <w:del w:id="2214" w:author="Author" w:date="2025-07-20T00:06:00Z">
        <w:r>
          <w:delText xml:space="preserve">Štúdia </w:delText>
        </w:r>
      </w:del>
      <w:ins w:id="2215" w:author="Author" w:date="2025-07-21T10:43:00Z">
        <w:r>
          <w:t>Klinické s</w:t>
        </w:r>
      </w:ins>
      <w:ins w:id="2216" w:author="Author" w:date="2025-07-20T00:06:00Z">
        <w:del w:id="2217" w:author="Author" w:date="2025-07-21T10:43:00Z">
          <w:r>
            <w:delText>S</w:delText>
          </w:r>
        </w:del>
        <w:r>
          <w:t xml:space="preserve">kúšanie </w:t>
        </w:r>
      </w:ins>
      <w:r>
        <w:t>SC</w:t>
      </w:r>
      <w:r>
        <w:noBreakHyphen/>
        <w:t>II hodnotil</w:t>
      </w:r>
      <w:ins w:id="2218" w:author="Author" w:date="2025-07-20T00:06:00Z">
        <w:r>
          <w:t>o</w:t>
        </w:r>
      </w:ins>
      <w:del w:id="2219" w:author="Author" w:date="2025-07-20T00:06:00Z">
        <w:r>
          <w:delText>a</w:delText>
        </w:r>
      </w:del>
      <w:r>
        <w:t xml:space="preserve"> pacientov so stredne ťažkou až ťažkou aktívnou RA, ktorí nedosiahli dostatočnú klinickú odpoveď na existujúcu reumatologickú liečbu zahŕňajúcu jedno alebo viac DMARD, pričom približne 20 % malo v anamnéze nedostatočnú odpoveď na liečbu najmenej jedným inhibítorom TNF. Vyžadovalo sa, aby pacienti mali vek </w:t>
      </w:r>
      <w:r>
        <w:rPr>
          <w:rFonts w:eastAsia="MS Mincho"/>
          <w:szCs w:val="22"/>
        </w:rPr>
        <w:sym w:font="Symbol" w:char="F03E"/>
      </w:r>
      <w:r>
        <w:t xml:space="preserve"> 18 rokov a aktívnu RA diagnostikovanú podľa kritérií ACR a aby mali pred začiatkom liečby minimálne 8 bolestivých a 6 opuchnutých kĺbov. V </w:t>
      </w:r>
      <w:del w:id="2220" w:author="Author" w:date="2025-07-20T00:06:00Z">
        <w:r>
          <w:delText xml:space="preserve">štúdii </w:delText>
        </w:r>
      </w:del>
      <w:ins w:id="2221" w:author="Author" w:date="2025-07-21T10:44:00Z">
        <w:r>
          <w:t xml:space="preserve">klinickom </w:t>
        </w:r>
      </w:ins>
      <w:ins w:id="2222" w:author="Author" w:date="2025-07-20T00:06:00Z">
        <w:r>
          <w:t xml:space="preserve">skúšaní </w:t>
        </w:r>
      </w:ins>
      <w:r>
        <w:t>SC</w:t>
      </w:r>
      <w:r>
        <w:noBreakHyphen/>
        <w:t>II bolo 656 pacientov randomizovaných v pomere 2:1 do skupiny s </w:t>
      </w:r>
      <w:r>
        <w:rPr>
          <w:bCs/>
        </w:rPr>
        <w:t>tocilizumabom</w:t>
      </w:r>
      <w:r>
        <w:t xml:space="preserve"> podávaným subkutánne v dávke 162 mg každý druhý týždeň, alebo do skupiny s placebom, v kombinácii s nebiologickým(i) DMARD(s).</w:t>
      </w:r>
    </w:p>
    <w:p w14:paraId="53C22076" w14:textId="77777777" w:rsidR="009700E5" w:rsidRDefault="009700E5"/>
    <w:p w14:paraId="5964445B" w14:textId="77777777" w:rsidR="009700E5" w:rsidRDefault="002C033C">
      <w:r>
        <w:lastRenderedPageBreak/>
        <w:t xml:space="preserve">V </w:t>
      </w:r>
      <w:del w:id="2223" w:author="Author" w:date="2025-07-20T00:06:00Z">
        <w:r>
          <w:delText xml:space="preserve">štúdii </w:delText>
        </w:r>
      </w:del>
      <w:ins w:id="2224" w:author="Author" w:date="2025-07-21T10:44:00Z">
        <w:r>
          <w:t xml:space="preserve">klinickom </w:t>
        </w:r>
      </w:ins>
      <w:ins w:id="2225" w:author="Author" w:date="2025-07-20T00:06:00Z">
        <w:r>
          <w:t xml:space="preserve">skúšaní </w:t>
        </w:r>
      </w:ins>
      <w:r>
        <w:t>SC</w:t>
      </w:r>
      <w:r>
        <w:noBreakHyphen/>
        <w:t xml:space="preserve">II sa inhibícia štrukturálneho poškodenia kĺbov hodnotila rádiograficky a vyjadrila sa ako zmena oproti východiskovej hodnote v priemernom celkovom Sharpovom skóre modifikovanom van der Heijdom (mTSS). V 24. týždni sa preukázala inhibícia štrukturálneho poškodenia kĺbov s významne nižšou rádiografickou progresiou ochorenia u pacientov, ktorým bol subkutánne podávaný </w:t>
      </w:r>
      <w:r>
        <w:rPr>
          <w:bCs/>
        </w:rPr>
        <w:t>tocilizumab</w:t>
      </w:r>
      <w:r>
        <w:t xml:space="preserve">, v porovnaní s pacientmi, ktorým bolo podávané placebo (priemerné mTSS 0,62 oproti 1,23; p = 0,0149 (van Elteren)). Tieto výsledky sa zhodujú s výsledkami pozorovanými u pacientov liečených intravenóznym </w:t>
      </w:r>
      <w:r>
        <w:rPr>
          <w:bCs/>
        </w:rPr>
        <w:t>tocilizumabom</w:t>
      </w:r>
      <w:r>
        <w:t>.</w:t>
      </w:r>
    </w:p>
    <w:p w14:paraId="769F29B4" w14:textId="77777777" w:rsidR="009700E5" w:rsidRDefault="009700E5"/>
    <w:p w14:paraId="530FC5A4" w14:textId="77777777" w:rsidR="009700E5" w:rsidRDefault="002C033C">
      <w:pPr>
        <w:keepNext/>
        <w:keepLines/>
        <w:rPr>
          <w:szCs w:val="22"/>
        </w:rPr>
      </w:pPr>
      <w:r>
        <w:rPr>
          <w:rFonts w:eastAsia="MS PGothic"/>
          <w:color w:val="000000"/>
          <w:szCs w:val="22"/>
        </w:rPr>
        <w:t xml:space="preserve">V </w:t>
      </w:r>
      <w:del w:id="2226" w:author="Author" w:date="2025-07-20T00:07:00Z">
        <w:r>
          <w:rPr>
            <w:rFonts w:eastAsia="MS PGothic"/>
            <w:color w:val="000000"/>
            <w:szCs w:val="22"/>
          </w:rPr>
          <w:delText xml:space="preserve">štúdii </w:delText>
        </w:r>
      </w:del>
      <w:ins w:id="2227" w:author="Author" w:date="2025-07-21T10:44:00Z">
        <w:r>
          <w:rPr>
            <w:rFonts w:eastAsia="MS PGothic"/>
            <w:color w:val="000000"/>
            <w:szCs w:val="22"/>
          </w:rPr>
          <w:t xml:space="preserve">klinickom </w:t>
        </w:r>
      </w:ins>
      <w:ins w:id="2228" w:author="Author" w:date="2025-07-20T00:07:00Z">
        <w:r>
          <w:rPr>
            <w:rFonts w:eastAsia="MS PGothic"/>
            <w:color w:val="000000"/>
            <w:szCs w:val="22"/>
          </w:rPr>
          <w:t xml:space="preserve">skúšaní </w:t>
        </w:r>
      </w:ins>
      <w:r>
        <w:rPr>
          <w:rFonts w:eastAsia="MS PGothic"/>
          <w:color w:val="000000"/>
          <w:szCs w:val="22"/>
        </w:rPr>
        <w:t>SC</w:t>
      </w:r>
      <w:r>
        <w:rPr>
          <w:rFonts w:eastAsia="MS PGothic"/>
          <w:color w:val="000000"/>
          <w:szCs w:val="22"/>
        </w:rPr>
        <w:noBreakHyphen/>
        <w:t xml:space="preserve">II sa v 24. týždni dosiahla odpoveď </w:t>
      </w:r>
      <w:r>
        <w:rPr>
          <w:rFonts w:eastAsia="MS PGothic"/>
          <w:bCs/>
          <w:color w:val="000000"/>
          <w:szCs w:val="22"/>
        </w:rPr>
        <w:t>ACR </w:t>
      </w:r>
      <w:r>
        <w:rPr>
          <w:rFonts w:eastAsia="MS PGothic"/>
          <w:color w:val="000000"/>
          <w:szCs w:val="22"/>
        </w:rPr>
        <w:t xml:space="preserve">20 u 60,9 %, ACR 50 u 39,8 % a ACR 70 u 19,7 % pacientov liečených </w:t>
      </w:r>
      <w:r>
        <w:rPr>
          <w:bCs/>
        </w:rPr>
        <w:t>tocilizumabom</w:t>
      </w:r>
      <w:r>
        <w:rPr>
          <w:rFonts w:eastAsia="MS PGothic"/>
          <w:color w:val="000000"/>
          <w:szCs w:val="22"/>
        </w:rPr>
        <w:t xml:space="preserve"> podávaným subkutánne každý druhý týždeň oproti odpovedi ACR 20 dosiahnutej u 31,5 %, ACR 50 u 12,3 % a ACR 70 u 5,0 % pacientov, ktorým bolo podávané placebo. Pacienti mali pred začiatkom liečby priemerné DAS28 6,7 v skupine so subkutánnym</w:t>
      </w:r>
      <w:r>
        <w:rPr>
          <w:bCs/>
        </w:rPr>
        <w:t xml:space="preserve"> tocilizumabom</w:t>
      </w:r>
      <w:r>
        <w:rPr>
          <w:rFonts w:eastAsia="MS PGothic"/>
          <w:color w:val="000000"/>
          <w:szCs w:val="22"/>
        </w:rPr>
        <w:t xml:space="preserve"> a 6,6 v skupine s placebom. V 24. týždni sa pozorovalo významné zníženie DAS28 oproti východiskovej hodnote o 3,1 v skupine so subkutánnymu</w:t>
      </w:r>
      <w:r>
        <w:rPr>
          <w:bCs/>
        </w:rPr>
        <w:t xml:space="preserve"> tocilizumabom</w:t>
      </w:r>
      <w:r>
        <w:rPr>
          <w:rFonts w:eastAsia="MS PGothic"/>
          <w:color w:val="000000"/>
          <w:szCs w:val="22"/>
        </w:rPr>
        <w:t xml:space="preserve"> a o 1,7 v skupine s placebom a </w:t>
      </w:r>
      <w:r>
        <w:rPr>
          <w:rFonts w:eastAsia="MS PGothic"/>
          <w:bCs/>
          <w:color w:val="000000"/>
          <w:szCs w:val="22"/>
        </w:rPr>
        <w:t>DAS28 </w:t>
      </w:r>
      <w:r>
        <w:rPr>
          <w:rFonts w:eastAsia="MS Mincho"/>
          <w:szCs w:val="22"/>
        </w:rPr>
        <w:sym w:font="Symbol" w:char="F03C"/>
      </w:r>
      <w:r>
        <w:rPr>
          <w:rFonts w:eastAsia="MS PGothic"/>
          <w:bCs/>
          <w:color w:val="000000"/>
          <w:szCs w:val="22"/>
        </w:rPr>
        <w:t xml:space="preserve"> 2,6 sa pozorovalo u </w:t>
      </w:r>
      <w:r>
        <w:rPr>
          <w:rFonts w:eastAsia="MS PGothic"/>
          <w:color w:val="000000"/>
          <w:szCs w:val="22"/>
        </w:rPr>
        <w:t>32,0 % pacientov v skupine so subkutánnym</w:t>
      </w:r>
      <w:r>
        <w:rPr>
          <w:bCs/>
        </w:rPr>
        <w:t xml:space="preserve"> tocilizumabom</w:t>
      </w:r>
      <w:r>
        <w:rPr>
          <w:rFonts w:eastAsia="MS PGothic"/>
          <w:color w:val="000000"/>
          <w:szCs w:val="22"/>
        </w:rPr>
        <w:t xml:space="preserve"> a u 4,0 % pacientov v skupine s placebom.</w:t>
      </w:r>
    </w:p>
    <w:p w14:paraId="1F1E0A1C" w14:textId="77777777" w:rsidR="009700E5" w:rsidRDefault="009700E5">
      <w:pPr>
        <w:rPr>
          <w:iCs/>
        </w:rPr>
      </w:pPr>
    </w:p>
    <w:p w14:paraId="5E768C5E" w14:textId="77777777" w:rsidR="009700E5" w:rsidRDefault="002C033C">
      <w:pPr>
        <w:keepNext/>
        <w:keepLines/>
        <w:rPr>
          <w:i/>
          <w:u w:val="single"/>
        </w:rPr>
      </w:pPr>
      <w:r>
        <w:rPr>
          <w:i/>
          <w:u w:val="single"/>
        </w:rPr>
        <w:t>Zdravotné výsledky a výsledky týkajúce sa kvality života</w:t>
      </w:r>
    </w:p>
    <w:p w14:paraId="04F3D4D5" w14:textId="77777777" w:rsidR="009700E5" w:rsidRDefault="002C033C">
      <w:pPr>
        <w:keepNext/>
        <w:keepLines/>
      </w:pPr>
      <w:r>
        <w:t xml:space="preserve">V </w:t>
      </w:r>
      <w:del w:id="2229" w:author="Author" w:date="2025-07-20T00:07:00Z">
        <w:r>
          <w:delText xml:space="preserve">štúdii </w:delText>
        </w:r>
      </w:del>
      <w:ins w:id="2230" w:author="Author" w:date="2025-07-21T10:44:00Z">
        <w:r>
          <w:t xml:space="preserve">klinickom </w:t>
        </w:r>
      </w:ins>
      <w:ins w:id="2231" w:author="Author" w:date="2025-07-20T00:07:00Z">
        <w:r>
          <w:t xml:space="preserve">skúšaní </w:t>
        </w:r>
      </w:ins>
      <w:r>
        <w:t>SC</w:t>
      </w:r>
      <w:r>
        <w:noBreakHyphen/>
        <w:t>I sa skóre HAQ</w:t>
      </w:r>
      <w:r>
        <w:noBreakHyphen/>
        <w:t xml:space="preserve">DI od začiatku </w:t>
      </w:r>
      <w:del w:id="2232" w:author="Author" w:date="2025-07-20T00:07:00Z">
        <w:r>
          <w:delText xml:space="preserve">štúdie </w:delText>
        </w:r>
      </w:del>
      <w:ins w:id="2233" w:author="Author" w:date="2025-07-21T10:44:00Z">
        <w:r>
          <w:t xml:space="preserve">klinického </w:t>
        </w:r>
      </w:ins>
      <w:ins w:id="2234" w:author="Author" w:date="2025-07-20T00:07:00Z">
        <w:r>
          <w:t xml:space="preserve">skúšania </w:t>
        </w:r>
      </w:ins>
      <w:r>
        <w:t>po 24. týždeň znížilo priemerne o 0,6 v skupine so subkutánnym</w:t>
      </w:r>
      <w:r>
        <w:rPr>
          <w:bCs/>
        </w:rPr>
        <w:t xml:space="preserve"> tocilizumabom </w:t>
      </w:r>
      <w:r>
        <w:t>aj v skupine s intravenóznym</w:t>
      </w:r>
      <w:r>
        <w:rPr>
          <w:bCs/>
        </w:rPr>
        <w:t xml:space="preserve"> tocilizumabom</w:t>
      </w:r>
      <w:r>
        <w:t>. Podiel pacientov, ktorí dosiahli klinicky významné zlepšenie skóre HAQ</w:t>
      </w:r>
      <w:r>
        <w:noBreakHyphen/>
        <w:t>DI v 24. týždni (zmena oproti východiskovému skóre o ≥ 0,3 jednotky), bol tiež porovnateľný v skupine so subkutánnym</w:t>
      </w:r>
      <w:r>
        <w:rPr>
          <w:bCs/>
        </w:rPr>
        <w:t xml:space="preserve"> tocilizumabom</w:t>
      </w:r>
      <w:r>
        <w:t xml:space="preserve"> (65,2 %) oproti skupine s intravenóznym</w:t>
      </w:r>
      <w:r>
        <w:rPr>
          <w:bCs/>
        </w:rPr>
        <w:t xml:space="preserve"> tocilizumabom</w:t>
      </w:r>
      <w:r>
        <w:t xml:space="preserve"> (67,4 %), pričom vážený rozdiel v podieloch bol </w:t>
      </w:r>
      <w:r>
        <w:noBreakHyphen/>
        <w:t xml:space="preserve">2,3 % (95 % IS </w:t>
      </w:r>
      <w:r>
        <w:noBreakHyphen/>
        <w:t>8,1; 3,4). Pokiaľ ide o SF</w:t>
      </w:r>
      <w:r>
        <w:noBreakHyphen/>
        <w:t>36, v 24. týždni bola priemerná zmena oproti východiskovej hodnote v skóre mentálneho komponentu 6,22 v skupine so subkutánnym</w:t>
      </w:r>
      <w:r>
        <w:rPr>
          <w:bCs/>
        </w:rPr>
        <w:t xml:space="preserve"> tocilizumabom</w:t>
      </w:r>
      <w:r>
        <w:t xml:space="preserve"> a 6,54 v skupine s intravenóznym</w:t>
      </w:r>
      <w:r>
        <w:rPr>
          <w:bCs/>
        </w:rPr>
        <w:t xml:space="preserve"> tocilizumabom</w:t>
      </w:r>
      <w:r>
        <w:t xml:space="preserve"> a zmena v skóre fyzického komponentu bola tiež podobná, a to 9,49 v skupine so subkutánnym</w:t>
      </w:r>
      <w:r>
        <w:rPr>
          <w:bCs/>
        </w:rPr>
        <w:t xml:space="preserve"> tocilizumabom</w:t>
      </w:r>
      <w:r>
        <w:t xml:space="preserve"> a 9,65 v v skupine s intravenóznym</w:t>
      </w:r>
      <w:r>
        <w:rPr>
          <w:bCs/>
        </w:rPr>
        <w:t xml:space="preserve"> tocilizumabom</w:t>
      </w:r>
      <w:r>
        <w:t>.</w:t>
      </w:r>
    </w:p>
    <w:p w14:paraId="1938AB53" w14:textId="77777777" w:rsidR="009700E5" w:rsidRDefault="009700E5"/>
    <w:p w14:paraId="2E114E9E" w14:textId="77777777" w:rsidR="009700E5" w:rsidRDefault="002C033C">
      <w:r>
        <w:t xml:space="preserve">V </w:t>
      </w:r>
      <w:del w:id="2235" w:author="Author" w:date="2025-07-20T00:07:00Z">
        <w:r>
          <w:delText xml:space="preserve">štúdii </w:delText>
        </w:r>
      </w:del>
      <w:ins w:id="2236" w:author="Author" w:date="2025-07-21T10:44:00Z">
        <w:r>
          <w:t xml:space="preserve">klinického </w:t>
        </w:r>
      </w:ins>
      <w:ins w:id="2237" w:author="Author" w:date="2025-07-20T00:07:00Z">
        <w:r>
          <w:t xml:space="preserve">skúšaní </w:t>
        </w:r>
      </w:ins>
      <w:r>
        <w:t>SC</w:t>
      </w:r>
      <w:r>
        <w:noBreakHyphen/>
        <w:t>II bolo priemerné zníženie skóre HAQ</w:t>
      </w:r>
      <w:r>
        <w:noBreakHyphen/>
        <w:t xml:space="preserve">DI od začiatku </w:t>
      </w:r>
      <w:del w:id="2238" w:author="Author" w:date="2025-07-20T00:07:00Z">
        <w:r>
          <w:delText xml:space="preserve">štúdie </w:delText>
        </w:r>
      </w:del>
      <w:ins w:id="2239" w:author="Author" w:date="2025-07-21T10:44:00Z">
        <w:r>
          <w:t xml:space="preserve">klinického </w:t>
        </w:r>
      </w:ins>
      <w:ins w:id="2240" w:author="Author" w:date="2025-07-20T00:07:00Z">
        <w:r>
          <w:t xml:space="preserve">skúšania </w:t>
        </w:r>
      </w:ins>
      <w:r>
        <w:t xml:space="preserve">po 24. týždeň významne väčšie u pacientov liečených </w:t>
      </w:r>
      <w:r>
        <w:rPr>
          <w:bCs/>
        </w:rPr>
        <w:t>tocilizumabom</w:t>
      </w:r>
      <w:r>
        <w:t xml:space="preserve"> podávaným subkutánne každý druhý týždeň (0,4) v porovnaní s pacientmi, ktorým bolo podávané placebo (0,3). Podiel pacientov, ktorí dosiahli klinicky významné zlepšenie skóre HAQ</w:t>
      </w:r>
      <w:r>
        <w:noBreakHyphen/>
        <w:t xml:space="preserve">DI v 24. týždni (zmena oproti východiskovému skóre o ≥ 0,3 jednotky), bol vyšší u pacientov liečených </w:t>
      </w:r>
      <w:r>
        <w:rPr>
          <w:bCs/>
        </w:rPr>
        <w:t>tocilizumabom</w:t>
      </w:r>
      <w:r>
        <w:t xml:space="preserve"> podávaným subkutánne každý druhý týždeň (58 %) v porovnaní s pacientmi, ktorým bolo podávané placebo (46,8 %). Zmena v SF</w:t>
      </w:r>
      <w:r>
        <w:noBreakHyphen/>
        <w:t>36 (priemerná zmena v skóre mentálneho a fyzického komponentu) bola významne väčšia v skupine so subkutánn</w:t>
      </w:r>
      <w:ins w:id="2241" w:author="Author" w:date="2025-07-20T00:08:00Z">
        <w:r>
          <w:rPr>
            <w:bCs/>
          </w:rPr>
          <w:t>ou liečbou</w:t>
        </w:r>
      </w:ins>
      <w:del w:id="2242" w:author="Author" w:date="2025-07-20T00:08:00Z">
        <w:r>
          <w:delText>ym</w:delText>
        </w:r>
        <w:r>
          <w:rPr>
            <w:bCs/>
          </w:rPr>
          <w:delText xml:space="preserve"> tocilizumabom</w:delText>
        </w:r>
      </w:del>
      <w:r>
        <w:t xml:space="preserve"> (6,5 a 5,3) v porovnaní so skupinou s placebom (3,8 a 2,9).</w:t>
      </w:r>
    </w:p>
    <w:p w14:paraId="6901D777" w14:textId="77777777" w:rsidR="009700E5" w:rsidRDefault="009700E5"/>
    <w:p w14:paraId="06B3E8CB" w14:textId="77777777" w:rsidR="009700E5" w:rsidRDefault="002C033C">
      <w:pPr>
        <w:rPr>
          <w:u w:val="single"/>
        </w:rPr>
      </w:pPr>
      <w:r>
        <w:rPr>
          <w:u w:val="single"/>
        </w:rPr>
        <w:t>Subkutánne použitie</w:t>
      </w:r>
    </w:p>
    <w:p w14:paraId="3EF67130" w14:textId="77777777" w:rsidR="009700E5" w:rsidRDefault="002C033C">
      <w:pPr>
        <w:rPr>
          <w:bCs/>
          <w:i/>
          <w:iCs/>
          <w:lang w:eastAsia="de-DE"/>
        </w:rPr>
      </w:pPr>
      <w:r>
        <w:rPr>
          <w:bCs/>
          <w:i/>
          <w:iCs/>
          <w:lang w:eastAsia="de-DE"/>
        </w:rPr>
        <w:t>Pacienti so sJIA</w:t>
      </w:r>
    </w:p>
    <w:p w14:paraId="0F61162F" w14:textId="77777777" w:rsidR="009700E5" w:rsidRDefault="009700E5">
      <w:pPr>
        <w:rPr>
          <w:ins w:id="2243" w:author="Author" w:date="2025-07-22T18:05:00Z"/>
          <w:i/>
          <w:iCs/>
          <w:u w:val="single"/>
          <w:lang w:eastAsia="de-DE"/>
        </w:rPr>
      </w:pPr>
    </w:p>
    <w:p w14:paraId="1A9CB117" w14:textId="77777777" w:rsidR="009700E5" w:rsidRDefault="002C033C">
      <w:pPr>
        <w:rPr>
          <w:i/>
          <w:iCs/>
          <w:u w:val="single"/>
          <w:lang w:eastAsia="de-DE"/>
        </w:rPr>
      </w:pPr>
      <w:r>
        <w:rPr>
          <w:i/>
          <w:iCs/>
          <w:u w:val="single"/>
          <w:lang w:eastAsia="de-DE"/>
        </w:rPr>
        <w:t>Klinická účinnosť</w:t>
      </w:r>
    </w:p>
    <w:p w14:paraId="084272AF" w14:textId="77777777" w:rsidR="009700E5" w:rsidRDefault="002C033C">
      <w:r>
        <w:t>Uskutočnil</w:t>
      </w:r>
      <w:ins w:id="2244" w:author="Author" w:date="2025-07-20T00:08:00Z">
        <w:r>
          <w:t>o</w:t>
        </w:r>
      </w:ins>
      <w:del w:id="2245" w:author="Author" w:date="2025-07-20T00:08:00Z">
        <w:r>
          <w:delText>a</w:delText>
        </w:r>
      </w:del>
      <w:r>
        <w:t xml:space="preserve"> sa 52</w:t>
      </w:r>
      <w:r>
        <w:noBreakHyphen/>
      </w:r>
      <w:del w:id="2246" w:author="Author" w:date="2025-07-20T00:08:00Z">
        <w:r>
          <w:delText>týždňová</w:delText>
        </w:r>
      </w:del>
      <w:ins w:id="2247" w:author="Author" w:date="2025-07-20T00:08:00Z">
        <w:r>
          <w:t>týždňové</w:t>
        </w:r>
      </w:ins>
      <w:r>
        <w:t xml:space="preserve">, </w:t>
      </w:r>
      <w:del w:id="2248" w:author="Author" w:date="2025-07-20T00:08:00Z">
        <w:r>
          <w:delText>otvorená</w:delText>
        </w:r>
      </w:del>
      <w:ins w:id="2249" w:author="Author" w:date="2025-07-20T00:08:00Z">
        <w:r>
          <w:t>otvorené</w:t>
        </w:r>
      </w:ins>
      <w:r>
        <w:t>, multicentrick</w:t>
      </w:r>
      <w:del w:id="2250" w:author="Author" w:date="2025-07-20T00:08:00Z">
        <w:r>
          <w:delText>á štúdia</w:delText>
        </w:r>
      </w:del>
      <w:ins w:id="2251" w:author="Author" w:date="2025-07-20T00:08:00Z">
        <w:r>
          <w:t xml:space="preserve">é </w:t>
        </w:r>
      </w:ins>
      <w:ins w:id="2252" w:author="Author" w:date="2025-07-21T10:44:00Z">
        <w:r>
          <w:t xml:space="preserve">klinické </w:t>
        </w:r>
      </w:ins>
      <w:ins w:id="2253" w:author="Author" w:date="2025-07-20T00:08:00Z">
        <w:r>
          <w:t>skúšanie</w:t>
        </w:r>
      </w:ins>
      <w:r>
        <w:t xml:space="preserve"> </w:t>
      </w:r>
      <w:r>
        <w:rPr>
          <w:lang w:eastAsia="de-DE"/>
        </w:rPr>
        <w:t>(WA28118)</w:t>
      </w:r>
      <w:r>
        <w:t xml:space="preserve"> </w:t>
      </w:r>
      <w:del w:id="2254" w:author="Author" w:date="2025-07-20T00:08:00Z">
        <w:r>
          <w:delText xml:space="preserve">skúmajúca </w:delText>
        </w:r>
      </w:del>
      <w:ins w:id="2255" w:author="Author" w:date="2025-07-20T00:08:00Z">
        <w:r>
          <w:t xml:space="preserve">skúmajúce </w:t>
        </w:r>
      </w:ins>
      <w:r>
        <w:t>farmakokinetiku (FK)/farmakodynamiku (FD) a bezpečnosť u pediatrických pacientov so sJIA vo veku od 1 do 17 rokov, ktor</w:t>
      </w:r>
      <w:ins w:id="2256" w:author="Author" w:date="2025-07-21T10:44:00Z">
        <w:r>
          <w:t>ého</w:t>
        </w:r>
      </w:ins>
      <w:del w:id="2257" w:author="Author" w:date="2025-07-21T10:44:00Z">
        <w:r>
          <w:delText>ej</w:delText>
        </w:r>
      </w:del>
      <w:r>
        <w:t xml:space="preserve"> cieľom bolo určiť vhodnú subkutánnu dávku tocilizumabu, pri ktorej sa dosiahne FK/FD profil a bezpečnostný profil, ktoré sú porovnateľné s tými, ktoré sa dosiahnu pri režime s intravenóznou dávkou.</w:t>
      </w:r>
    </w:p>
    <w:p w14:paraId="7836674E" w14:textId="77777777" w:rsidR="009700E5" w:rsidRDefault="009700E5">
      <w:pPr>
        <w:rPr>
          <w:lang w:eastAsia="de-DE"/>
        </w:rPr>
      </w:pPr>
    </w:p>
    <w:p w14:paraId="5A262354" w14:textId="77777777" w:rsidR="009700E5" w:rsidRDefault="002C033C">
      <w:r>
        <w:t>Vhodným pacientom sa tocilizumab podával v dávke určenej podľa telesnej hmotnosti, pričom pacientom s telesnou hmotnosťou </w:t>
      </w:r>
      <w:r>
        <w:rPr>
          <w:szCs w:val="22"/>
          <w:lang w:eastAsia="de-DE"/>
        </w:rPr>
        <w:t>≥</w:t>
      </w:r>
      <w:r>
        <w:t> 30 kg (n </w:t>
      </w:r>
      <w:r>
        <w:rPr>
          <w:szCs w:val="22"/>
          <w:lang w:eastAsia="de-DE"/>
        </w:rPr>
        <w:t>=</w:t>
      </w:r>
      <w:r>
        <w:t> 26) sa tocilizumab podával v dávke 162 mg raz za týždeň (QW) a pacientom s telesnou hmotnosťou nižšou ako 30 kg (n </w:t>
      </w:r>
      <w:r>
        <w:rPr>
          <w:szCs w:val="22"/>
          <w:lang w:eastAsia="de-DE"/>
        </w:rPr>
        <w:t>=</w:t>
      </w:r>
      <w:r>
        <w:t> 25) sa tocilizumab podával v dávke 162 mg každých 10 dní (Q10D; n = 8)) alebo raz za 2 týždne (Q2W; n = 17) počas 52 týždňov. Týchto 51 pacientov zahŕňalo 26 (51 %) pacientov, ktorí dovtedy neboli liečení, a 25 (49 %) pacientov, ktorí boli liečení intravenózne podávaným tocilizumabom a pri zaradení do </w:t>
      </w:r>
      <w:del w:id="2258" w:author="Author" w:date="2025-07-20T00:08:00Z">
        <w:r>
          <w:delText xml:space="preserve">štúdie </w:delText>
        </w:r>
      </w:del>
      <w:ins w:id="2259" w:author="Author" w:date="2025-07-21T10:45:00Z">
        <w:r>
          <w:t xml:space="preserve">klinického </w:t>
        </w:r>
      </w:ins>
      <w:ins w:id="2260" w:author="Author" w:date="2025-07-20T00:08:00Z">
        <w:r>
          <w:t xml:space="preserve">skúšania </w:t>
        </w:r>
      </w:ins>
      <w:r>
        <w:t>prešli na subkutánne podávaný tocilizumab.</w:t>
      </w:r>
    </w:p>
    <w:p w14:paraId="0426416F" w14:textId="77777777" w:rsidR="009700E5" w:rsidRDefault="009700E5">
      <w:pPr>
        <w:rPr>
          <w:lang w:eastAsia="de-DE"/>
        </w:rPr>
      </w:pPr>
    </w:p>
    <w:p w14:paraId="4AA8F2BA" w14:textId="77777777" w:rsidR="009700E5" w:rsidRDefault="002C033C">
      <w:pPr>
        <w:rPr>
          <w:lang w:eastAsia="de-DE"/>
        </w:rPr>
      </w:pPr>
      <w:r>
        <w:lastRenderedPageBreak/>
        <w:t>Výsledky exploračnej analýzy účinnosti ukázali, že subkutánne podávaný tocilizumab zlepšil všetky exploračné parametre účinnosti vrátane skóre JADAS</w:t>
      </w:r>
      <w:r>
        <w:noBreakHyphen/>
        <w:t xml:space="preserve">71 (Juvenile Arthritis Disease Activity Score) u pacientov dovtedy neliečených tocilizumabom a udržala všetky exploračné parametre účinnosti u pacientov, ktorí prešli z intravenóznej liečby na subkutánnu liečbu, počas celej doby trvania </w:t>
      </w:r>
      <w:del w:id="2261" w:author="Author" w:date="2025-07-20T00:10:00Z">
        <w:r>
          <w:delText xml:space="preserve">štúdie </w:delText>
        </w:r>
      </w:del>
      <w:ins w:id="2262" w:author="Author" w:date="2025-07-21T10:45:00Z">
        <w:r>
          <w:t xml:space="preserve">klinického </w:t>
        </w:r>
      </w:ins>
      <w:ins w:id="2263" w:author="Author" w:date="2025-07-20T00:10:00Z">
        <w:r>
          <w:t xml:space="preserve">skúšania </w:t>
        </w:r>
      </w:ins>
      <w:r>
        <w:t>u pacientov v obidvoch hmotnostných skupinách (telesná hmotnosť nižšia ako 30 kg a telesná hmotnosť </w:t>
      </w:r>
      <w:r>
        <w:rPr>
          <w:szCs w:val="22"/>
          <w:lang w:eastAsia="de-DE"/>
        </w:rPr>
        <w:t>≥</w:t>
      </w:r>
      <w:r>
        <w:t> 30 kg).</w:t>
      </w:r>
    </w:p>
    <w:p w14:paraId="4E749446" w14:textId="77777777" w:rsidR="009700E5" w:rsidRDefault="009700E5"/>
    <w:p w14:paraId="69691EF0" w14:textId="77777777" w:rsidR="009700E5" w:rsidRDefault="002C033C">
      <w:pPr>
        <w:keepNext/>
        <w:keepLines/>
        <w:rPr>
          <w:u w:val="single"/>
        </w:rPr>
      </w:pPr>
      <w:r>
        <w:rPr>
          <w:u w:val="single"/>
        </w:rPr>
        <w:t>Subkutánne použitie</w:t>
      </w:r>
    </w:p>
    <w:p w14:paraId="00D4D168" w14:textId="77777777" w:rsidR="009700E5" w:rsidRDefault="002C033C">
      <w:pPr>
        <w:keepNext/>
        <w:keepLines/>
        <w:rPr>
          <w:bCs/>
          <w:i/>
          <w:iCs/>
          <w:szCs w:val="22"/>
        </w:rPr>
      </w:pPr>
      <w:r>
        <w:rPr>
          <w:bCs/>
          <w:i/>
          <w:iCs/>
          <w:szCs w:val="22"/>
        </w:rPr>
        <w:t>Pacienti s pJIA</w:t>
      </w:r>
    </w:p>
    <w:p w14:paraId="7F722BB0" w14:textId="77777777" w:rsidR="009700E5" w:rsidRDefault="009700E5">
      <w:pPr>
        <w:keepNext/>
        <w:keepLines/>
        <w:rPr>
          <w:ins w:id="2264" w:author="Author" w:date="2025-07-22T18:06:00Z"/>
          <w:i/>
          <w:iCs/>
          <w:u w:val="single"/>
        </w:rPr>
      </w:pPr>
    </w:p>
    <w:p w14:paraId="5A0305E2" w14:textId="77777777" w:rsidR="009700E5" w:rsidRDefault="002C033C">
      <w:pPr>
        <w:keepNext/>
        <w:keepLines/>
        <w:rPr>
          <w:i/>
          <w:iCs/>
          <w:u w:val="single"/>
        </w:rPr>
      </w:pPr>
      <w:r>
        <w:rPr>
          <w:i/>
          <w:iCs/>
          <w:u w:val="single"/>
        </w:rPr>
        <w:t>Klinická účinnosť</w:t>
      </w:r>
    </w:p>
    <w:p w14:paraId="410599BA" w14:textId="77777777" w:rsidR="009700E5" w:rsidRDefault="002C033C">
      <w:pPr>
        <w:keepNext/>
        <w:keepLines/>
      </w:pPr>
      <w:del w:id="2265" w:author="Author" w:date="2025-07-20T00:10:00Z">
        <w:r>
          <w:delText xml:space="preserve">Uskutočnila </w:delText>
        </w:r>
      </w:del>
      <w:ins w:id="2266" w:author="Author" w:date="2025-07-20T00:10:00Z">
        <w:r>
          <w:t xml:space="preserve">Uskutočnilo </w:t>
        </w:r>
      </w:ins>
      <w:r>
        <w:t>sa 52</w:t>
      </w:r>
      <w:r>
        <w:noBreakHyphen/>
        <w:t>týždňov</w:t>
      </w:r>
      <w:ins w:id="2267" w:author="Author" w:date="2025-07-20T00:10:00Z">
        <w:r>
          <w:t>é</w:t>
        </w:r>
      </w:ins>
      <w:del w:id="2268" w:author="Author" w:date="2025-07-20T00:10:00Z">
        <w:r>
          <w:delText>á</w:delText>
        </w:r>
      </w:del>
      <w:r>
        <w:t>, otvoren</w:t>
      </w:r>
      <w:ins w:id="2269" w:author="Author" w:date="2025-07-20T00:10:00Z">
        <w:r>
          <w:t>é</w:t>
        </w:r>
      </w:ins>
      <w:del w:id="2270" w:author="Author" w:date="2025-07-20T00:10:00Z">
        <w:r>
          <w:delText>á</w:delText>
        </w:r>
      </w:del>
      <w:r>
        <w:t>, multicentrick</w:t>
      </w:r>
      <w:ins w:id="2271" w:author="Author" w:date="2025-07-20T00:10:00Z">
        <w:r>
          <w:t xml:space="preserve">é </w:t>
        </w:r>
      </w:ins>
      <w:ins w:id="2272" w:author="Author" w:date="2025-07-21T10:45:00Z">
        <w:r>
          <w:t xml:space="preserve">klinické </w:t>
        </w:r>
      </w:ins>
      <w:ins w:id="2273" w:author="Author" w:date="2025-07-20T00:10:00Z">
        <w:r>
          <w:t>skúšanie</w:t>
        </w:r>
      </w:ins>
      <w:del w:id="2274" w:author="Author" w:date="2025-07-20T00:10:00Z">
        <w:r>
          <w:delText>á</w:delText>
        </w:r>
      </w:del>
      <w:r>
        <w:t xml:space="preserve"> </w:t>
      </w:r>
      <w:del w:id="2275" w:author="Author" w:date="2025-07-20T00:10:00Z">
        <w:r>
          <w:delText xml:space="preserve">štúdia </w:delText>
        </w:r>
      </w:del>
      <w:r>
        <w:t>skúmajúc</w:t>
      </w:r>
      <w:del w:id="2276" w:author="Author" w:date="2025-07-20T00:10:00Z">
        <w:r>
          <w:delText>a</w:delText>
        </w:r>
      </w:del>
      <w:ins w:id="2277" w:author="Author" w:date="2025-07-20T00:10:00Z">
        <w:r>
          <w:t>e</w:t>
        </w:r>
      </w:ins>
      <w:r>
        <w:t xml:space="preserve"> FK </w:t>
      </w:r>
      <w:r>
        <w:noBreakHyphen/>
        <w:t> FD a bezpečnosť u pediatrických pacientov s pJIA vo veku od 1 do 17 rokov, ktor</w:t>
      </w:r>
      <w:ins w:id="2278" w:author="Author" w:date="2025-07-21T10:45:00Z">
        <w:r>
          <w:t>ého</w:t>
        </w:r>
      </w:ins>
      <w:del w:id="2279" w:author="Author" w:date="2025-07-21T10:45:00Z">
        <w:r>
          <w:delText>ej</w:delText>
        </w:r>
      </w:del>
      <w:r>
        <w:t xml:space="preserve"> cieľom bolo určiť vhodnú subkutánnu dávku tocilizumabu, pri ktorej sa dosiahne FK/FD profil a bezpečnostný profil, ktoré sú porovnateľné s tými, ktoré sa dosiahnu pri režime s intravenóznou dávkou.</w:t>
      </w:r>
    </w:p>
    <w:p w14:paraId="0EE73A42" w14:textId="77777777" w:rsidR="009700E5" w:rsidRDefault="009700E5"/>
    <w:p w14:paraId="57B2A69B" w14:textId="77777777" w:rsidR="009700E5" w:rsidRDefault="002C033C">
      <w:pPr>
        <w:keepNext/>
        <w:keepLines/>
      </w:pPr>
      <w:r>
        <w:t>Vhodným pacientom sa tocilizumab podával v dávke určenej podľa telesnej hmotnosti, pričom pacientom s telesnou hmotnosťou </w:t>
      </w:r>
      <w:r>
        <w:rPr>
          <w:szCs w:val="22"/>
        </w:rPr>
        <w:t>≥</w:t>
      </w:r>
      <w:r>
        <w:t> 30 kg (n </w:t>
      </w:r>
      <w:r>
        <w:rPr>
          <w:szCs w:val="22"/>
          <w:lang w:eastAsia="de-DE"/>
        </w:rPr>
        <w:t>=</w:t>
      </w:r>
      <w:r>
        <w:sym w:font="Symbol" w:char="F03D"/>
      </w:r>
      <w:r>
        <w:t> 25) sa tocilizumab podával v dávke 162 mg raz za 2 týždne (Q2W) a pacientom s telesnou hmotnosťou nižšou ako 30 kg (n </w:t>
      </w:r>
      <w:r>
        <w:rPr>
          <w:szCs w:val="22"/>
          <w:lang w:eastAsia="de-DE"/>
        </w:rPr>
        <w:t>=</w:t>
      </w:r>
      <w:r>
        <w:sym w:font="Symbol" w:char="F03D"/>
      </w:r>
      <w:r>
        <w:t xml:space="preserve"> 27) sa tocilizumab podával v dávke 162 mg raz za 3 týždne (Q3W) počas 52 týždňov. Títo 52 pacienti zahŕňali 37 (71 %) pacientov, ktorí dovtedy neboli liečení, a 15 (29 %) pacientov, ktorí boli liečení intravenózne podávaným tocilizumabom a pri zaradení do </w:t>
      </w:r>
      <w:del w:id="2280" w:author="Author" w:date="2025-07-20T00:11:00Z">
        <w:r>
          <w:delText xml:space="preserve">štúdie </w:delText>
        </w:r>
      </w:del>
      <w:ins w:id="2281" w:author="Author" w:date="2025-07-21T10:45:00Z">
        <w:r>
          <w:t xml:space="preserve">klinického </w:t>
        </w:r>
      </w:ins>
      <w:ins w:id="2282" w:author="Author" w:date="2025-07-20T00:11:00Z">
        <w:r>
          <w:t xml:space="preserve">skúšania </w:t>
        </w:r>
      </w:ins>
      <w:r>
        <w:t>prešli na subkutánne podávaný tocilizumab.</w:t>
      </w:r>
    </w:p>
    <w:p w14:paraId="7BAE5DB9" w14:textId="77777777" w:rsidR="009700E5" w:rsidRDefault="009700E5"/>
    <w:p w14:paraId="6B4E851B" w14:textId="77777777" w:rsidR="009700E5" w:rsidRDefault="002C033C">
      <w:pPr>
        <w:rPr>
          <w:iCs/>
        </w:rPr>
      </w:pPr>
      <w:r>
        <w:rPr>
          <w:iCs/>
        </w:rPr>
        <w:t xml:space="preserve">Režimy so subkutánne podávaným </w:t>
      </w:r>
      <w:r>
        <w:t>tocilizumabom</w:t>
      </w:r>
      <w:r>
        <w:rPr>
          <w:iCs/>
        </w:rPr>
        <w:t>, v dávke 162 mg Q3W určenej pre pacientov s telesnou hmotnosťou nižšou ako 30 kg a v dávke 162 mg Q2W určenej pre pacientov s telesnou hmotnosťou </w:t>
      </w:r>
      <w:r>
        <w:rPr>
          <w:szCs w:val="22"/>
        </w:rPr>
        <w:t>≥</w:t>
      </w:r>
      <w:r>
        <w:rPr>
          <w:iCs/>
        </w:rPr>
        <w:t xml:space="preserve"> 30 kg, poskytujú FK expozíciu a FD odpovede podporujúce dosiahnutie podobných výsledkov účinnosti a bezpečnosti ako pri režimoch s intravenózne podávaným </w:t>
      </w:r>
      <w:r>
        <w:t>tocilizumabom</w:t>
      </w:r>
      <w:r>
        <w:rPr>
          <w:iCs/>
        </w:rPr>
        <w:t xml:space="preserve"> schválených pre pacientov s pJIA.</w:t>
      </w:r>
    </w:p>
    <w:p w14:paraId="3E55433C" w14:textId="77777777" w:rsidR="009700E5" w:rsidRDefault="009700E5"/>
    <w:p w14:paraId="68013A53" w14:textId="77777777" w:rsidR="009700E5" w:rsidRDefault="002C033C">
      <w:r>
        <w:t>Výsledky exploračnej analýzy účinnosti ukázali, že subkutánne podávaný tocilizumab zlepšil priemerné skóre JADAS</w:t>
      </w:r>
      <w:r>
        <w:noBreakHyphen/>
        <w:t>71 (Juvenile Arthritis Disease Activity Score) u pacientov dovtedy neliečených a udržala medián skóre JADAS</w:t>
      </w:r>
      <w:r>
        <w:noBreakHyphen/>
        <w:t xml:space="preserve">71 u pacientov, ktorí prešli z intravenóznej liečby na subkutánnu liečbu, počas celej doby trvania </w:t>
      </w:r>
      <w:del w:id="2283" w:author="Author" w:date="2025-07-20T00:11:00Z">
        <w:r>
          <w:delText xml:space="preserve">štúdie </w:delText>
        </w:r>
      </w:del>
      <w:ins w:id="2284" w:author="Author" w:date="2025-07-21T10:45:00Z">
        <w:r>
          <w:t xml:space="preserve">klinického </w:t>
        </w:r>
      </w:ins>
      <w:ins w:id="2285" w:author="Author" w:date="2025-07-20T00:11:00Z">
        <w:r>
          <w:t xml:space="preserve">skúšania </w:t>
        </w:r>
      </w:ins>
      <w:r>
        <w:t>u pacientov v obidvoch hmotnostných skupinách (telesná hmotnosť nižšia ako 30 kg a telesná hmotnosť </w:t>
      </w:r>
      <w:r>
        <w:rPr>
          <w:szCs w:val="22"/>
        </w:rPr>
        <w:t>≥</w:t>
      </w:r>
      <w:r>
        <w:t> 30 kg).</w:t>
      </w:r>
    </w:p>
    <w:p w14:paraId="122760B7" w14:textId="77777777" w:rsidR="009700E5" w:rsidRDefault="009700E5"/>
    <w:p w14:paraId="0BB608CD" w14:textId="77777777" w:rsidR="009700E5" w:rsidRDefault="002C033C">
      <w:pPr>
        <w:rPr>
          <w:u w:val="single"/>
        </w:rPr>
      </w:pPr>
      <w:r>
        <w:rPr>
          <w:u w:val="single"/>
        </w:rPr>
        <w:t>Subkutánne použitie</w:t>
      </w:r>
    </w:p>
    <w:p w14:paraId="617C5C6A" w14:textId="77777777" w:rsidR="009700E5" w:rsidRDefault="002C033C">
      <w:pPr>
        <w:rPr>
          <w:bCs/>
          <w:i/>
          <w:iCs/>
        </w:rPr>
      </w:pPr>
      <w:r>
        <w:rPr>
          <w:bCs/>
          <w:i/>
          <w:iCs/>
        </w:rPr>
        <w:t>Pacienti s OBA</w:t>
      </w:r>
    </w:p>
    <w:p w14:paraId="7AF23455" w14:textId="77777777" w:rsidR="009700E5" w:rsidRDefault="009700E5">
      <w:pPr>
        <w:rPr>
          <w:ins w:id="2286" w:author="Author" w:date="2025-07-22T18:06:00Z"/>
          <w:i/>
          <w:iCs/>
          <w:u w:val="single"/>
        </w:rPr>
      </w:pPr>
    </w:p>
    <w:p w14:paraId="38CE9B50" w14:textId="77777777" w:rsidR="009700E5" w:rsidRDefault="002C033C">
      <w:pPr>
        <w:rPr>
          <w:i/>
          <w:iCs/>
          <w:u w:val="single"/>
        </w:rPr>
      </w:pPr>
      <w:r>
        <w:rPr>
          <w:i/>
          <w:iCs/>
          <w:u w:val="single"/>
        </w:rPr>
        <w:t>Klinická účinnosť</w:t>
      </w:r>
    </w:p>
    <w:p w14:paraId="69291E68" w14:textId="77777777" w:rsidR="009700E5" w:rsidRDefault="002C033C">
      <w:r>
        <w:t>Klinick</w:t>
      </w:r>
      <w:del w:id="2287" w:author="Author" w:date="2025-07-20T00:11:00Z">
        <w:r>
          <w:delText xml:space="preserve">á štúdia </w:delText>
        </w:r>
      </w:del>
      <w:ins w:id="2288" w:author="Author" w:date="2025-07-20T00:11:00Z">
        <w:r>
          <w:t xml:space="preserve">é skúšanie </w:t>
        </w:r>
      </w:ins>
      <w:r>
        <w:t xml:space="preserve">WA28119 </w:t>
      </w:r>
      <w:del w:id="2289" w:author="Author" w:date="2025-07-20T00:11:00Z">
        <w:r>
          <w:delText xml:space="preserve">bola </w:delText>
        </w:r>
      </w:del>
      <w:ins w:id="2290" w:author="Author" w:date="2025-07-20T00:11:00Z">
        <w:r>
          <w:t xml:space="preserve">bolo </w:t>
        </w:r>
      </w:ins>
      <w:del w:id="2291" w:author="Author" w:date="2025-07-20T00:11:00Z">
        <w:r>
          <w:delText>randomizovaná</w:delText>
        </w:r>
      </w:del>
      <w:ins w:id="2292" w:author="Author" w:date="2025-07-20T00:11:00Z">
        <w:r>
          <w:t>randomizované</w:t>
        </w:r>
      </w:ins>
      <w:r>
        <w:t xml:space="preserve">, </w:t>
      </w:r>
      <w:del w:id="2293" w:author="Author" w:date="2025-07-20T00:11:00Z">
        <w:r>
          <w:delText>multicentrická</w:delText>
        </w:r>
      </w:del>
      <w:ins w:id="2294" w:author="Author" w:date="2025-07-20T00:11:00Z">
        <w:r>
          <w:t>multicentrické</w:t>
        </w:r>
      </w:ins>
      <w:r>
        <w:t xml:space="preserve">, dvojito </w:t>
      </w:r>
      <w:del w:id="2295" w:author="Author" w:date="2025-07-20T00:11:00Z">
        <w:r>
          <w:delText>zaslepená</w:delText>
        </w:r>
      </w:del>
      <w:ins w:id="2296" w:author="Author" w:date="2025-07-20T00:11:00Z">
        <w:r>
          <w:t>zaslepené</w:t>
        </w:r>
      </w:ins>
      <w:r>
        <w:t>, placebom kontrolovan</w:t>
      </w:r>
      <w:del w:id="2297" w:author="Author" w:date="2025-07-20T00:11:00Z">
        <w:r>
          <w:delText xml:space="preserve">á štúdia </w:delText>
        </w:r>
      </w:del>
      <w:ins w:id="2298" w:author="Author" w:date="2025-07-20T00:11:00Z">
        <w:r>
          <w:t xml:space="preserve">é </w:t>
        </w:r>
      </w:ins>
      <w:ins w:id="2299" w:author="Author" w:date="2025-07-21T10:45:00Z">
        <w:r>
          <w:t xml:space="preserve">klinické </w:t>
        </w:r>
      </w:ins>
      <w:ins w:id="2300" w:author="Author" w:date="2025-07-20T00:11:00Z">
        <w:r>
          <w:t xml:space="preserve">skúšanie </w:t>
        </w:r>
      </w:ins>
      <w:r>
        <w:t xml:space="preserve">superiority fázy III, </w:t>
      </w:r>
      <w:del w:id="2301" w:author="Author" w:date="2025-07-20T00:12:00Z">
        <w:r>
          <w:delText xml:space="preserve">ktorá </w:delText>
        </w:r>
      </w:del>
      <w:ins w:id="2302" w:author="Author" w:date="2025-07-20T00:12:00Z">
        <w:r>
          <w:t xml:space="preserve">ktoré </w:t>
        </w:r>
      </w:ins>
      <w:del w:id="2303" w:author="Author" w:date="2025-07-20T00:12:00Z">
        <w:r>
          <w:delText xml:space="preserve">skúmala </w:delText>
        </w:r>
      </w:del>
      <w:ins w:id="2304" w:author="Author" w:date="2025-07-20T00:12:00Z">
        <w:r>
          <w:t xml:space="preserve">skúmalo </w:t>
        </w:r>
      </w:ins>
      <w:r>
        <w:t>účinnosť a bezpečnosť tocilizumabu u pacientov s OBA.</w:t>
      </w:r>
    </w:p>
    <w:p w14:paraId="69806D85" w14:textId="77777777" w:rsidR="009700E5" w:rsidRDefault="009700E5"/>
    <w:p w14:paraId="7EF67D2D" w14:textId="77777777" w:rsidR="009700E5" w:rsidRDefault="002C033C">
      <w:r>
        <w:t xml:space="preserve">Do </w:t>
      </w:r>
      <w:del w:id="2305" w:author="Author" w:date="2025-07-20T00:12:00Z">
        <w:r>
          <w:delText xml:space="preserve">štúdie </w:delText>
        </w:r>
      </w:del>
      <w:ins w:id="2306" w:author="Author" w:date="2025-07-21T10:45:00Z">
        <w:r>
          <w:t xml:space="preserve">klinického </w:t>
        </w:r>
      </w:ins>
      <w:ins w:id="2307" w:author="Author" w:date="2025-07-20T00:12:00Z">
        <w:r>
          <w:t xml:space="preserve">skúšania </w:t>
        </w:r>
      </w:ins>
      <w:r>
        <w:t>bolo zaradených dvestopäťdesiatjeden (251) pacientov s novým nástupom alebo relapsom OBA, ktorí boli rozdelení do štyroch liečebných skupín. T</w:t>
      </w:r>
      <w:ins w:id="2308" w:author="Author" w:date="2025-07-20T00:12:00Z">
        <w:r>
          <w:t xml:space="preserve">oto </w:t>
        </w:r>
      </w:ins>
      <w:ins w:id="2309" w:author="Author" w:date="2025-07-21T10:46:00Z">
        <w:r>
          <w:t xml:space="preserve">klinické </w:t>
        </w:r>
      </w:ins>
      <w:ins w:id="2310" w:author="Author" w:date="2025-07-20T00:12:00Z">
        <w:r>
          <w:t>skúšanie</w:t>
        </w:r>
      </w:ins>
      <w:del w:id="2311" w:author="Author" w:date="2025-07-20T00:12:00Z">
        <w:r>
          <w:delText>áto štúdia</w:delText>
        </w:r>
      </w:del>
      <w:r>
        <w:t xml:space="preserve"> sa </w:t>
      </w:r>
      <w:del w:id="2312" w:author="Author" w:date="2025-07-20T00:12:00Z">
        <w:r>
          <w:delText xml:space="preserve">skladala </w:delText>
        </w:r>
      </w:del>
      <w:ins w:id="2313" w:author="Author" w:date="2025-07-20T00:12:00Z">
        <w:r>
          <w:t xml:space="preserve">skladalo </w:t>
        </w:r>
      </w:ins>
      <w:r>
        <w:t>z 52</w:t>
      </w:r>
      <w:r>
        <w:noBreakHyphen/>
        <w:t>týždňového zaslepeného obdobia (1. časť), po ktorom nasledovalo 104</w:t>
      </w:r>
      <w:r>
        <w:noBreakHyphen/>
        <w:t>týždňové otvorené predĺženie (2. časť). Účelom 2. časti bolo popísať dlhodobú bezpečnosť a udržanie účinnosti po 52 týždňoch liečby tocilizumabom, preskúmať mieru výskytu relapsu ochorenia a potrebu liečby nad rámec 52 týždňov, a pochopiť potenciálnu dlhodobú účinnosť tohto lieku bez potreby podávania steroidov (steroidy šetriaci účinok).</w:t>
      </w:r>
    </w:p>
    <w:p w14:paraId="512D1CD6" w14:textId="77777777" w:rsidR="009700E5" w:rsidRDefault="009700E5"/>
    <w:p w14:paraId="4AB81063" w14:textId="77777777" w:rsidR="009700E5" w:rsidRDefault="002C033C">
      <w:r>
        <w:t>Dve subkutánne dávky tocilizumabu (162 mg každý týždeň a 162 mg každý druhý týždeň) sa porovnávali s dvomi rozdielnymi placebom kontrolovanými skupinami randomizovanými v pomere 2:1:1:1.</w:t>
      </w:r>
    </w:p>
    <w:p w14:paraId="12598D38" w14:textId="77777777" w:rsidR="009700E5" w:rsidRDefault="009700E5"/>
    <w:p w14:paraId="108B5C5D" w14:textId="77777777" w:rsidR="009700E5" w:rsidRDefault="002C033C">
      <w:r>
        <w:t>Všetkým pacientom boli v rámci základnej liečby podávané glukokortikoidy (prednizón). Každá liečebná skupina s tocilizumabom a jedna z liečebných skupín s placebom nasledovala po vopred špecifikovanom režime postupného znižovania dávky prednizónu v priebehu 26 týždňov, kým druhá skupina s placebom nasledovala po vopred špecifikovanom režime postupného znižovania prednizónu počas 52 týždňov, čo viac zodpovedá štandardnej klinickej praxi.</w:t>
      </w:r>
    </w:p>
    <w:p w14:paraId="4D63060B" w14:textId="77777777" w:rsidR="009700E5" w:rsidRDefault="009700E5"/>
    <w:p w14:paraId="6AEBBEEB" w14:textId="77777777" w:rsidR="009700E5" w:rsidRDefault="002C033C">
      <w:r>
        <w:t>Trvanie liečby glukokortikoidmi počas fázy skríningu a pred začatím podávania tocilizumabu (alebo placeba) bolo podobné vo všetkých 4 skupinách liečby (pozri tabuľku 3).</w:t>
      </w:r>
    </w:p>
    <w:p w14:paraId="71081EED" w14:textId="77777777" w:rsidR="009700E5" w:rsidRDefault="009700E5">
      <w:pPr>
        <w:numPr>
          <w:ilvl w:val="12"/>
          <w:numId w:val="0"/>
        </w:numPr>
        <w:rPr>
          <w:rFonts w:eastAsia="SimSun"/>
          <w:bCs/>
          <w:szCs w:val="22"/>
          <w:lang w:eastAsia="zh-CN"/>
        </w:rPr>
      </w:pPr>
    </w:p>
    <w:p w14:paraId="5F97571E" w14:textId="77777777" w:rsidR="009700E5" w:rsidRDefault="002C033C">
      <w:pPr>
        <w:keepNext/>
        <w:keepLines/>
        <w:numPr>
          <w:ilvl w:val="12"/>
          <w:numId w:val="0"/>
        </w:numPr>
        <w:ind w:right="-2"/>
        <w:rPr>
          <w:rFonts w:eastAsia="SimSun"/>
          <w:bCs/>
          <w:i/>
          <w:szCs w:val="22"/>
          <w:lang w:eastAsia="zh-CN"/>
        </w:rPr>
      </w:pPr>
      <w:r>
        <w:rPr>
          <w:rFonts w:eastAsia="SimSun"/>
          <w:bCs/>
          <w:i/>
          <w:szCs w:val="22"/>
          <w:lang w:eastAsia="zh-CN"/>
        </w:rPr>
        <w:t xml:space="preserve">Tabuľka 3. Trvanie liečby kortikosteroidmi počas obdobia skríningu v </w:t>
      </w:r>
      <w:del w:id="2314" w:author="Author" w:date="2025-07-20T00:12:00Z">
        <w:r>
          <w:rPr>
            <w:rFonts w:eastAsia="SimSun"/>
            <w:bCs/>
            <w:i/>
            <w:szCs w:val="22"/>
            <w:lang w:eastAsia="zh-CN"/>
          </w:rPr>
          <w:delText xml:space="preserve">štúdii </w:delText>
        </w:r>
      </w:del>
      <w:ins w:id="2315" w:author="Author" w:date="2025-07-21T10:46:00Z">
        <w:r>
          <w:rPr>
            <w:rFonts w:eastAsia="SimSun"/>
            <w:bCs/>
            <w:i/>
            <w:szCs w:val="22"/>
            <w:lang w:eastAsia="zh-CN"/>
          </w:rPr>
          <w:t xml:space="preserve">klinickom </w:t>
        </w:r>
      </w:ins>
      <w:ins w:id="2316" w:author="Author" w:date="2025-07-20T00:12:00Z">
        <w:r>
          <w:rPr>
            <w:rFonts w:eastAsia="SimSun"/>
            <w:bCs/>
            <w:i/>
            <w:szCs w:val="22"/>
            <w:lang w:eastAsia="zh-CN"/>
          </w:rPr>
          <w:t xml:space="preserve">skúšaní </w:t>
        </w:r>
      </w:ins>
      <w:r>
        <w:rPr>
          <w:rFonts w:eastAsia="SimSun"/>
          <w:bCs/>
          <w:i/>
          <w:szCs w:val="22"/>
          <w:lang w:eastAsia="zh-CN"/>
        </w:rPr>
        <w:t xml:space="preserve">WA28119 </w:t>
      </w:r>
    </w:p>
    <w:p w14:paraId="4BF5FED4" w14:textId="77777777" w:rsidR="009700E5" w:rsidRDefault="009700E5">
      <w:pPr>
        <w:keepNext/>
        <w:keepLines/>
        <w:numPr>
          <w:ilvl w:val="12"/>
          <w:numId w:val="0"/>
        </w:numPr>
        <w:ind w:right="-2"/>
        <w:rPr>
          <w:rFonts w:eastAsia="SimSun"/>
          <w:i/>
          <w:szCs w:val="22"/>
          <w:lang w:eastAsia="zh-CN"/>
        </w:rPr>
      </w:pPr>
    </w:p>
    <w:tbl>
      <w:tblPr>
        <w:tblW w:w="9214" w:type="dxa"/>
        <w:tblInd w:w="-85" w:type="dxa"/>
        <w:tblLayout w:type="fixed"/>
        <w:tblCellMar>
          <w:left w:w="0" w:type="dxa"/>
          <w:right w:w="0" w:type="dxa"/>
        </w:tblCellMar>
        <w:tblLook w:val="04A0" w:firstRow="1" w:lastRow="0" w:firstColumn="1" w:lastColumn="0" w:noHBand="0" w:noVBand="1"/>
      </w:tblPr>
      <w:tblGrid>
        <w:gridCol w:w="2410"/>
        <w:gridCol w:w="1540"/>
        <w:gridCol w:w="19"/>
        <w:gridCol w:w="1399"/>
        <w:gridCol w:w="19"/>
        <w:gridCol w:w="1823"/>
        <w:gridCol w:w="19"/>
        <w:gridCol w:w="1985"/>
      </w:tblGrid>
      <w:tr w:rsidR="009700E5" w14:paraId="0509CE02" w14:textId="77777777">
        <w:trPr>
          <w:cantSplit/>
        </w:trPr>
        <w:tc>
          <w:tcPr>
            <w:tcW w:w="2410"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373DD831" w14:textId="77777777" w:rsidR="009700E5" w:rsidRPr="009700E5" w:rsidRDefault="009700E5">
            <w:pPr>
              <w:keepNext/>
              <w:keepLines/>
              <w:spacing w:before="50" w:after="50" w:line="240" w:lineRule="exact"/>
              <w:rPr>
                <w:rFonts w:eastAsia="SimSun"/>
                <w:strike/>
                <w:sz w:val="18"/>
                <w:szCs w:val="18"/>
                <w:lang w:eastAsia="zh-CN"/>
                <w:rPrChange w:id="2317" w:author="Author" w:date="2025-08-22T15:12:00Z">
                  <w:rPr>
                    <w:rFonts w:ascii="Arial" w:eastAsia="SimSun" w:hAnsi="Arial"/>
                    <w:strike/>
                    <w:sz w:val="18"/>
                    <w:szCs w:val="18"/>
                    <w:lang w:eastAsia="zh-CN"/>
                  </w:rPr>
                </w:rPrChange>
              </w:rPr>
            </w:pPr>
          </w:p>
        </w:tc>
        <w:tc>
          <w:tcPr>
            <w:tcW w:w="1559" w:type="dxa"/>
            <w:gridSpan w:val="2"/>
            <w:tcBorders>
              <w:top w:val="single" w:sz="8" w:space="0" w:color="auto"/>
              <w:left w:val="nil"/>
              <w:bottom w:val="single" w:sz="8" w:space="0" w:color="auto"/>
              <w:right w:val="nil"/>
            </w:tcBorders>
            <w:tcMar>
              <w:top w:w="0" w:type="dxa"/>
              <w:left w:w="57" w:type="dxa"/>
              <w:bottom w:w="0" w:type="dxa"/>
              <w:right w:w="57" w:type="dxa"/>
            </w:tcMar>
          </w:tcPr>
          <w:p w14:paraId="5A9BAD16" w14:textId="77777777" w:rsidR="009700E5" w:rsidRPr="009700E5" w:rsidRDefault="002C033C">
            <w:pPr>
              <w:keepNext/>
              <w:keepLines/>
              <w:spacing w:before="50" w:after="50" w:line="240" w:lineRule="exact"/>
              <w:jc w:val="center"/>
              <w:rPr>
                <w:rFonts w:eastAsia="SimSun"/>
                <w:b/>
                <w:sz w:val="18"/>
                <w:szCs w:val="18"/>
                <w:lang w:eastAsia="zh-CN"/>
                <w:rPrChange w:id="2318" w:author="Author" w:date="2025-08-22T15:12:00Z">
                  <w:rPr>
                    <w:rFonts w:ascii="Arial" w:eastAsia="SimSun" w:hAnsi="Arial" w:cs="Arial"/>
                    <w:b/>
                    <w:sz w:val="18"/>
                    <w:szCs w:val="18"/>
                    <w:lang w:eastAsia="zh-CN"/>
                  </w:rPr>
                </w:rPrChange>
              </w:rPr>
            </w:pPr>
            <w:r>
              <w:rPr>
                <w:rFonts w:eastAsia="SimSun"/>
                <w:b/>
                <w:sz w:val="18"/>
                <w:szCs w:val="18"/>
                <w:lang w:eastAsia="zh-CN"/>
                <w:rPrChange w:id="2319" w:author="Author" w:date="2025-08-22T15:12:00Z">
                  <w:rPr>
                    <w:rFonts w:ascii="Arial" w:eastAsia="SimSun" w:hAnsi="Arial"/>
                    <w:b/>
                    <w:sz w:val="18"/>
                    <w:szCs w:val="18"/>
                    <w:lang w:eastAsia="zh-CN"/>
                  </w:rPr>
                </w:rPrChange>
              </w:rPr>
              <w:t xml:space="preserve">Placebo + 26 týždňov </w:t>
            </w:r>
            <w:r>
              <w:rPr>
                <w:rFonts w:eastAsia="SimSun"/>
                <w:b/>
                <w:sz w:val="18"/>
                <w:szCs w:val="18"/>
                <w:lang w:eastAsia="zh-CN"/>
                <w:rPrChange w:id="2320" w:author="Author" w:date="2025-08-22T15:12:00Z">
                  <w:rPr>
                    <w:rFonts w:ascii="Arial" w:eastAsia="SimSun" w:hAnsi="Arial" w:cs="Arial"/>
                    <w:b/>
                    <w:sz w:val="18"/>
                    <w:szCs w:val="18"/>
                    <w:lang w:eastAsia="zh-CN"/>
                  </w:rPr>
                </w:rPrChange>
              </w:rPr>
              <w:t>postupne znižovanej dávky prednizónu</w:t>
            </w:r>
          </w:p>
          <w:p w14:paraId="214C044E" w14:textId="77777777" w:rsidR="009700E5" w:rsidRPr="009700E5" w:rsidRDefault="002C033C">
            <w:pPr>
              <w:keepNext/>
              <w:keepLines/>
              <w:spacing w:before="50" w:after="50" w:line="240" w:lineRule="exact"/>
              <w:jc w:val="center"/>
              <w:rPr>
                <w:rFonts w:eastAsia="SimSun"/>
                <w:b/>
                <w:sz w:val="18"/>
                <w:szCs w:val="18"/>
                <w:lang w:eastAsia="zh-CN"/>
                <w:rPrChange w:id="2321" w:author="Author" w:date="2025-08-22T15:12:00Z">
                  <w:rPr>
                    <w:rFonts w:ascii="Arial" w:eastAsia="SimSun" w:hAnsi="Arial"/>
                    <w:b/>
                    <w:sz w:val="18"/>
                    <w:szCs w:val="18"/>
                    <w:lang w:eastAsia="zh-CN"/>
                  </w:rPr>
                </w:rPrChange>
              </w:rPr>
            </w:pPr>
            <w:del w:id="2322" w:author="Author" w:date="2025-07-20T00:12:00Z">
              <w:r>
                <w:rPr>
                  <w:rFonts w:eastAsia="SimSun"/>
                  <w:b/>
                  <w:sz w:val="18"/>
                  <w:szCs w:val="18"/>
                  <w:lang w:eastAsia="zh-CN"/>
                  <w:rPrChange w:id="2323" w:author="Author" w:date="2025-08-22T15:12:00Z">
                    <w:rPr>
                      <w:rFonts w:ascii="Arial" w:eastAsia="SimSun" w:hAnsi="Arial"/>
                      <w:b/>
                      <w:sz w:val="18"/>
                      <w:szCs w:val="18"/>
                      <w:lang w:eastAsia="zh-CN"/>
                    </w:rPr>
                  </w:rPrChange>
                </w:rPr>
                <w:delText>N </w:delText>
              </w:r>
            </w:del>
            <w:ins w:id="2324" w:author="Author" w:date="2025-07-20T00:12:00Z">
              <w:r>
                <w:rPr>
                  <w:rFonts w:eastAsia="SimSun"/>
                  <w:b/>
                  <w:sz w:val="18"/>
                  <w:szCs w:val="18"/>
                  <w:lang w:eastAsia="zh-CN"/>
                  <w:rPrChange w:id="2325" w:author="Author" w:date="2025-08-22T15:12:00Z">
                    <w:rPr>
                      <w:rFonts w:ascii="Arial" w:eastAsia="SimSun" w:hAnsi="Arial"/>
                      <w:b/>
                      <w:sz w:val="18"/>
                      <w:szCs w:val="18"/>
                      <w:lang w:eastAsia="zh-CN"/>
                    </w:rPr>
                  </w:rPrChange>
                </w:rPr>
                <w:t>n </w:t>
              </w:r>
            </w:ins>
            <w:r>
              <w:rPr>
                <w:rFonts w:eastAsia="SimSun"/>
                <w:b/>
                <w:sz w:val="18"/>
                <w:szCs w:val="18"/>
                <w:lang w:eastAsia="zh-CN"/>
                <w:rPrChange w:id="2326" w:author="Author" w:date="2025-08-22T15:12:00Z">
                  <w:rPr>
                    <w:rFonts w:ascii="Arial" w:eastAsia="SimSun" w:hAnsi="Arial"/>
                    <w:b/>
                    <w:sz w:val="18"/>
                    <w:szCs w:val="18"/>
                    <w:lang w:eastAsia="zh-CN"/>
                  </w:rPr>
                </w:rPrChange>
              </w:rPr>
              <w:t>= 50</w:t>
            </w:r>
          </w:p>
        </w:tc>
        <w:tc>
          <w:tcPr>
            <w:tcW w:w="1418" w:type="dxa"/>
            <w:gridSpan w:val="2"/>
            <w:tcBorders>
              <w:top w:val="single" w:sz="8" w:space="0" w:color="auto"/>
              <w:left w:val="nil"/>
              <w:bottom w:val="single" w:sz="8" w:space="0" w:color="auto"/>
              <w:right w:val="nil"/>
            </w:tcBorders>
            <w:tcMar>
              <w:top w:w="0" w:type="dxa"/>
              <w:left w:w="57" w:type="dxa"/>
              <w:bottom w:w="0" w:type="dxa"/>
              <w:right w:w="57" w:type="dxa"/>
            </w:tcMar>
          </w:tcPr>
          <w:p w14:paraId="7C4DD99B" w14:textId="77777777" w:rsidR="009700E5" w:rsidRPr="009700E5" w:rsidRDefault="002C033C">
            <w:pPr>
              <w:keepNext/>
              <w:keepLines/>
              <w:spacing w:before="50" w:after="50" w:line="240" w:lineRule="exact"/>
              <w:jc w:val="center"/>
              <w:rPr>
                <w:rFonts w:eastAsia="SimSun"/>
                <w:b/>
                <w:sz w:val="18"/>
                <w:szCs w:val="18"/>
                <w:lang w:eastAsia="zh-CN"/>
                <w:rPrChange w:id="2327" w:author="Author" w:date="2025-08-22T15:12:00Z">
                  <w:rPr>
                    <w:rFonts w:ascii="Arial" w:eastAsia="SimSun" w:hAnsi="Arial"/>
                    <w:b/>
                    <w:sz w:val="18"/>
                    <w:szCs w:val="18"/>
                    <w:lang w:eastAsia="zh-CN"/>
                  </w:rPr>
                </w:rPrChange>
              </w:rPr>
            </w:pPr>
            <w:r>
              <w:rPr>
                <w:rFonts w:eastAsia="SimSun"/>
                <w:b/>
                <w:sz w:val="18"/>
                <w:szCs w:val="18"/>
                <w:lang w:eastAsia="zh-CN"/>
                <w:rPrChange w:id="2328" w:author="Author" w:date="2025-08-22T15:12:00Z">
                  <w:rPr>
                    <w:rFonts w:ascii="Arial" w:eastAsia="SimSun" w:hAnsi="Arial"/>
                    <w:b/>
                    <w:sz w:val="18"/>
                    <w:szCs w:val="18"/>
                    <w:lang w:eastAsia="zh-CN"/>
                  </w:rPr>
                </w:rPrChange>
              </w:rPr>
              <w:t xml:space="preserve">Placebo + 52 týždňov </w:t>
            </w:r>
            <w:r>
              <w:rPr>
                <w:rFonts w:eastAsia="SimSun"/>
                <w:b/>
                <w:sz w:val="18"/>
                <w:szCs w:val="18"/>
                <w:lang w:eastAsia="zh-CN"/>
                <w:rPrChange w:id="2329" w:author="Author" w:date="2025-08-22T15:12:00Z">
                  <w:rPr>
                    <w:rFonts w:ascii="Arial" w:eastAsia="SimSun" w:hAnsi="Arial" w:cs="Arial"/>
                    <w:b/>
                    <w:sz w:val="18"/>
                    <w:szCs w:val="18"/>
                    <w:lang w:eastAsia="zh-CN"/>
                  </w:rPr>
                </w:rPrChange>
              </w:rPr>
              <w:t>postupne znižovanej dávky prednizónu</w:t>
            </w:r>
          </w:p>
          <w:p w14:paraId="51A21521" w14:textId="77777777" w:rsidR="009700E5" w:rsidRPr="009700E5" w:rsidRDefault="002C033C">
            <w:pPr>
              <w:keepNext/>
              <w:keepLines/>
              <w:spacing w:before="50" w:after="50" w:line="240" w:lineRule="exact"/>
              <w:jc w:val="center"/>
              <w:rPr>
                <w:rFonts w:eastAsia="SimSun"/>
                <w:b/>
                <w:sz w:val="18"/>
                <w:szCs w:val="18"/>
                <w:lang w:eastAsia="zh-CN"/>
                <w:rPrChange w:id="2330" w:author="Author" w:date="2025-08-22T15:12:00Z">
                  <w:rPr>
                    <w:rFonts w:ascii="Arial" w:eastAsia="SimSun" w:hAnsi="Arial"/>
                    <w:b/>
                    <w:sz w:val="18"/>
                    <w:szCs w:val="18"/>
                    <w:lang w:eastAsia="zh-CN"/>
                  </w:rPr>
                </w:rPrChange>
              </w:rPr>
            </w:pPr>
            <w:del w:id="2331" w:author="Author" w:date="2025-07-20T00:12:00Z">
              <w:r>
                <w:rPr>
                  <w:rFonts w:eastAsia="SimSun"/>
                  <w:b/>
                  <w:sz w:val="18"/>
                  <w:szCs w:val="18"/>
                  <w:lang w:eastAsia="zh-CN"/>
                  <w:rPrChange w:id="2332" w:author="Author" w:date="2025-08-22T15:12:00Z">
                    <w:rPr>
                      <w:rFonts w:ascii="Arial" w:eastAsia="SimSun" w:hAnsi="Arial"/>
                      <w:b/>
                      <w:sz w:val="18"/>
                      <w:szCs w:val="18"/>
                      <w:lang w:eastAsia="zh-CN"/>
                    </w:rPr>
                  </w:rPrChange>
                </w:rPr>
                <w:delText>N </w:delText>
              </w:r>
            </w:del>
            <w:ins w:id="2333" w:author="Author" w:date="2025-07-20T00:12:00Z">
              <w:r>
                <w:rPr>
                  <w:rFonts w:eastAsia="SimSun"/>
                  <w:b/>
                  <w:sz w:val="18"/>
                  <w:szCs w:val="18"/>
                  <w:lang w:eastAsia="zh-CN"/>
                  <w:rPrChange w:id="2334" w:author="Author" w:date="2025-08-22T15:12:00Z">
                    <w:rPr>
                      <w:rFonts w:ascii="Arial" w:eastAsia="SimSun" w:hAnsi="Arial"/>
                      <w:b/>
                      <w:sz w:val="18"/>
                      <w:szCs w:val="18"/>
                      <w:lang w:eastAsia="zh-CN"/>
                    </w:rPr>
                  </w:rPrChange>
                </w:rPr>
                <w:t>n </w:t>
              </w:r>
            </w:ins>
            <w:r>
              <w:rPr>
                <w:rFonts w:eastAsia="SimSun"/>
                <w:b/>
                <w:sz w:val="18"/>
                <w:szCs w:val="18"/>
                <w:lang w:eastAsia="zh-CN"/>
                <w:rPrChange w:id="2335" w:author="Author" w:date="2025-08-22T15:12:00Z">
                  <w:rPr>
                    <w:rFonts w:ascii="Arial" w:eastAsia="SimSun" w:hAnsi="Arial"/>
                    <w:b/>
                    <w:sz w:val="18"/>
                    <w:szCs w:val="18"/>
                    <w:lang w:eastAsia="zh-CN"/>
                  </w:rPr>
                </w:rPrChange>
              </w:rPr>
              <w:t>= 51</w:t>
            </w:r>
          </w:p>
        </w:tc>
        <w:tc>
          <w:tcPr>
            <w:tcW w:w="1842" w:type="dxa"/>
            <w:gridSpan w:val="2"/>
            <w:tcBorders>
              <w:top w:val="single" w:sz="8" w:space="0" w:color="auto"/>
              <w:left w:val="nil"/>
              <w:bottom w:val="single" w:sz="8" w:space="0" w:color="auto"/>
              <w:right w:val="nil"/>
            </w:tcBorders>
          </w:tcPr>
          <w:p w14:paraId="52117CB6" w14:textId="77777777" w:rsidR="009700E5" w:rsidRPr="009700E5" w:rsidRDefault="002C033C">
            <w:pPr>
              <w:keepNext/>
              <w:keepLines/>
              <w:spacing w:before="50" w:after="50" w:line="240" w:lineRule="exact"/>
              <w:jc w:val="center"/>
              <w:rPr>
                <w:rFonts w:eastAsia="SimSun"/>
                <w:b/>
                <w:sz w:val="18"/>
                <w:szCs w:val="18"/>
                <w:lang w:eastAsia="zh-CN"/>
                <w:rPrChange w:id="2336" w:author="Author" w:date="2025-08-22T15:12:00Z">
                  <w:rPr>
                    <w:rFonts w:ascii="Arial" w:eastAsia="SimSun" w:hAnsi="Arial"/>
                    <w:b/>
                    <w:sz w:val="18"/>
                    <w:szCs w:val="18"/>
                    <w:lang w:eastAsia="zh-CN"/>
                  </w:rPr>
                </w:rPrChange>
              </w:rPr>
            </w:pPr>
            <w:r>
              <w:rPr>
                <w:rFonts w:eastAsia="SimSun"/>
                <w:b/>
                <w:sz w:val="18"/>
                <w:szCs w:val="18"/>
                <w:lang w:eastAsia="zh-CN"/>
                <w:rPrChange w:id="2337" w:author="Author" w:date="2025-08-22T15:12:00Z">
                  <w:rPr>
                    <w:rFonts w:ascii="Arial" w:eastAsia="SimSun" w:hAnsi="Arial"/>
                    <w:b/>
                    <w:sz w:val="18"/>
                    <w:szCs w:val="18"/>
                    <w:lang w:eastAsia="zh-CN"/>
                  </w:rPr>
                </w:rPrChange>
              </w:rPr>
              <w:t>Tocilizumab 162 mg s.c. raz týždenne + 26 týždňov postupne znižovanej dávky prednizónu</w:t>
            </w:r>
          </w:p>
          <w:p w14:paraId="03EA3746" w14:textId="77777777" w:rsidR="009700E5" w:rsidRPr="009700E5" w:rsidRDefault="002C033C">
            <w:pPr>
              <w:keepNext/>
              <w:keepLines/>
              <w:spacing w:before="50" w:after="50" w:line="240" w:lineRule="exact"/>
              <w:jc w:val="center"/>
              <w:rPr>
                <w:rFonts w:eastAsia="SimSun"/>
                <w:b/>
                <w:sz w:val="18"/>
                <w:szCs w:val="18"/>
                <w:lang w:eastAsia="zh-CN"/>
                <w:rPrChange w:id="2338" w:author="Author" w:date="2025-08-22T15:12:00Z">
                  <w:rPr>
                    <w:rFonts w:ascii="Arial" w:eastAsia="SimSun" w:hAnsi="Arial"/>
                    <w:b/>
                    <w:sz w:val="18"/>
                    <w:szCs w:val="18"/>
                    <w:lang w:eastAsia="zh-CN"/>
                  </w:rPr>
                </w:rPrChange>
              </w:rPr>
            </w:pPr>
            <w:del w:id="2339" w:author="Author" w:date="2025-07-20T00:12:00Z">
              <w:r>
                <w:rPr>
                  <w:rFonts w:eastAsia="SimSun"/>
                  <w:b/>
                  <w:sz w:val="18"/>
                  <w:szCs w:val="18"/>
                  <w:lang w:eastAsia="zh-CN"/>
                  <w:rPrChange w:id="2340" w:author="Author" w:date="2025-08-22T15:12:00Z">
                    <w:rPr>
                      <w:rFonts w:ascii="Arial" w:eastAsia="SimSun" w:hAnsi="Arial"/>
                      <w:b/>
                      <w:sz w:val="18"/>
                      <w:szCs w:val="18"/>
                      <w:lang w:eastAsia="zh-CN"/>
                    </w:rPr>
                  </w:rPrChange>
                </w:rPr>
                <w:delText>N </w:delText>
              </w:r>
            </w:del>
            <w:ins w:id="2341" w:author="Author" w:date="2025-07-20T00:12:00Z">
              <w:r>
                <w:rPr>
                  <w:rFonts w:eastAsia="SimSun"/>
                  <w:b/>
                  <w:sz w:val="18"/>
                  <w:szCs w:val="18"/>
                  <w:lang w:eastAsia="zh-CN"/>
                  <w:rPrChange w:id="2342" w:author="Author" w:date="2025-08-22T15:12:00Z">
                    <w:rPr>
                      <w:rFonts w:ascii="Arial" w:eastAsia="SimSun" w:hAnsi="Arial"/>
                      <w:b/>
                      <w:sz w:val="18"/>
                      <w:szCs w:val="18"/>
                      <w:lang w:eastAsia="zh-CN"/>
                    </w:rPr>
                  </w:rPrChange>
                </w:rPr>
                <w:t>n </w:t>
              </w:r>
            </w:ins>
            <w:r>
              <w:rPr>
                <w:rFonts w:eastAsia="SimSun"/>
                <w:b/>
                <w:sz w:val="18"/>
                <w:szCs w:val="18"/>
                <w:lang w:eastAsia="zh-CN"/>
                <w:rPrChange w:id="2343" w:author="Author" w:date="2025-08-22T15:12:00Z">
                  <w:rPr>
                    <w:rFonts w:ascii="Arial" w:eastAsia="SimSun" w:hAnsi="Arial"/>
                    <w:b/>
                    <w:sz w:val="18"/>
                    <w:szCs w:val="18"/>
                    <w:lang w:eastAsia="zh-CN"/>
                  </w:rPr>
                </w:rPrChange>
              </w:rPr>
              <w:t>= 100</w:t>
            </w:r>
          </w:p>
        </w:tc>
        <w:tc>
          <w:tcPr>
            <w:tcW w:w="1985" w:type="dxa"/>
            <w:tcBorders>
              <w:top w:val="single" w:sz="8" w:space="0" w:color="auto"/>
              <w:left w:val="nil"/>
              <w:bottom w:val="single" w:sz="8" w:space="0" w:color="auto"/>
              <w:right w:val="single" w:sz="8" w:space="0" w:color="auto"/>
            </w:tcBorders>
            <w:tcMar>
              <w:top w:w="0" w:type="dxa"/>
              <w:left w:w="57" w:type="dxa"/>
              <w:bottom w:w="0" w:type="dxa"/>
              <w:right w:w="57" w:type="dxa"/>
            </w:tcMar>
          </w:tcPr>
          <w:p w14:paraId="4B573426" w14:textId="77777777" w:rsidR="009700E5" w:rsidRPr="009700E5" w:rsidRDefault="002C033C">
            <w:pPr>
              <w:keepNext/>
              <w:keepLines/>
              <w:spacing w:before="50" w:after="50" w:line="240" w:lineRule="exact"/>
              <w:jc w:val="center"/>
              <w:rPr>
                <w:rFonts w:eastAsia="SimSun"/>
                <w:b/>
                <w:sz w:val="18"/>
                <w:szCs w:val="18"/>
                <w:lang w:eastAsia="zh-CN"/>
                <w:rPrChange w:id="2344" w:author="Author" w:date="2025-08-22T15:12:00Z">
                  <w:rPr>
                    <w:rFonts w:ascii="Arial" w:eastAsia="SimSun" w:hAnsi="Arial"/>
                    <w:b/>
                    <w:sz w:val="18"/>
                    <w:szCs w:val="18"/>
                    <w:lang w:eastAsia="zh-CN"/>
                  </w:rPr>
                </w:rPrChange>
              </w:rPr>
            </w:pPr>
            <w:r>
              <w:rPr>
                <w:rFonts w:eastAsia="SimSun"/>
                <w:b/>
                <w:sz w:val="18"/>
                <w:szCs w:val="18"/>
                <w:lang w:eastAsia="zh-CN"/>
                <w:rPrChange w:id="2345" w:author="Author" w:date="2025-08-22T15:12:00Z">
                  <w:rPr>
                    <w:rFonts w:ascii="Arial" w:eastAsia="SimSun" w:hAnsi="Arial"/>
                    <w:b/>
                    <w:sz w:val="18"/>
                    <w:szCs w:val="18"/>
                    <w:lang w:eastAsia="zh-CN"/>
                  </w:rPr>
                </w:rPrChange>
              </w:rPr>
              <w:t>Tocilizumab 162 mg s.c. každý druhý týždeň + 26 týždňov postupne znižovanej dávky prednizónu</w:t>
            </w:r>
          </w:p>
          <w:p w14:paraId="6B7866BA" w14:textId="77777777" w:rsidR="009700E5" w:rsidRPr="009700E5" w:rsidRDefault="002C033C">
            <w:pPr>
              <w:keepNext/>
              <w:keepLines/>
              <w:spacing w:before="50" w:after="50" w:line="240" w:lineRule="exact"/>
              <w:jc w:val="center"/>
              <w:rPr>
                <w:rFonts w:eastAsia="SimSun"/>
                <w:b/>
                <w:sz w:val="18"/>
                <w:szCs w:val="18"/>
                <w:lang w:eastAsia="zh-CN"/>
                <w:rPrChange w:id="2346" w:author="Author" w:date="2025-08-22T15:12:00Z">
                  <w:rPr>
                    <w:rFonts w:ascii="Arial" w:eastAsia="SimSun" w:hAnsi="Arial"/>
                    <w:b/>
                    <w:sz w:val="18"/>
                    <w:szCs w:val="18"/>
                    <w:lang w:eastAsia="zh-CN"/>
                  </w:rPr>
                </w:rPrChange>
              </w:rPr>
            </w:pPr>
            <w:del w:id="2347" w:author="Author" w:date="2025-07-20T00:12:00Z">
              <w:r>
                <w:rPr>
                  <w:rFonts w:eastAsia="SimSun"/>
                  <w:b/>
                  <w:sz w:val="18"/>
                  <w:szCs w:val="18"/>
                  <w:lang w:eastAsia="zh-CN"/>
                  <w:rPrChange w:id="2348" w:author="Author" w:date="2025-08-22T15:12:00Z">
                    <w:rPr>
                      <w:rFonts w:ascii="Arial" w:eastAsia="SimSun" w:hAnsi="Arial"/>
                      <w:b/>
                      <w:sz w:val="18"/>
                      <w:szCs w:val="18"/>
                      <w:lang w:eastAsia="zh-CN"/>
                    </w:rPr>
                  </w:rPrChange>
                </w:rPr>
                <w:delText>N </w:delText>
              </w:r>
            </w:del>
            <w:ins w:id="2349" w:author="Author" w:date="2025-07-20T00:12:00Z">
              <w:r>
                <w:rPr>
                  <w:rFonts w:eastAsia="SimSun"/>
                  <w:b/>
                  <w:sz w:val="18"/>
                  <w:szCs w:val="18"/>
                  <w:lang w:eastAsia="zh-CN"/>
                  <w:rPrChange w:id="2350" w:author="Author" w:date="2025-08-22T15:12:00Z">
                    <w:rPr>
                      <w:rFonts w:ascii="Arial" w:eastAsia="SimSun" w:hAnsi="Arial"/>
                      <w:b/>
                      <w:sz w:val="18"/>
                      <w:szCs w:val="18"/>
                      <w:lang w:eastAsia="zh-CN"/>
                    </w:rPr>
                  </w:rPrChange>
                </w:rPr>
                <w:t>n </w:t>
              </w:r>
            </w:ins>
            <w:r>
              <w:rPr>
                <w:rFonts w:eastAsia="SimSun"/>
                <w:b/>
                <w:sz w:val="18"/>
                <w:szCs w:val="18"/>
                <w:lang w:eastAsia="zh-CN"/>
                <w:rPrChange w:id="2351" w:author="Author" w:date="2025-08-22T15:12:00Z">
                  <w:rPr>
                    <w:rFonts w:ascii="Arial" w:eastAsia="SimSun" w:hAnsi="Arial"/>
                    <w:b/>
                    <w:sz w:val="18"/>
                    <w:szCs w:val="18"/>
                    <w:lang w:eastAsia="zh-CN"/>
                  </w:rPr>
                </w:rPrChange>
              </w:rPr>
              <w:t>= 49</w:t>
            </w:r>
          </w:p>
        </w:tc>
      </w:tr>
      <w:tr w:rsidR="009700E5" w14:paraId="70C1B318" w14:textId="77777777">
        <w:trPr>
          <w:cantSplit/>
        </w:trPr>
        <w:tc>
          <w:tcPr>
            <w:tcW w:w="5387" w:type="dxa"/>
            <w:gridSpan w:val="5"/>
            <w:tcBorders>
              <w:top w:val="single" w:sz="4" w:space="0" w:color="auto"/>
              <w:left w:val="single" w:sz="4" w:space="0" w:color="auto"/>
            </w:tcBorders>
            <w:tcMar>
              <w:top w:w="0" w:type="dxa"/>
              <w:left w:w="57" w:type="dxa"/>
              <w:bottom w:w="0" w:type="dxa"/>
              <w:right w:w="57" w:type="dxa"/>
            </w:tcMar>
          </w:tcPr>
          <w:p w14:paraId="6430CD82" w14:textId="77777777" w:rsidR="009700E5" w:rsidRPr="009700E5" w:rsidRDefault="002C033C">
            <w:pPr>
              <w:keepNext/>
              <w:keepLines/>
              <w:spacing w:before="50" w:after="50" w:line="240" w:lineRule="exact"/>
              <w:rPr>
                <w:rFonts w:eastAsia="SimSun"/>
                <w:sz w:val="18"/>
                <w:szCs w:val="18"/>
                <w:lang w:eastAsia="zh-CN"/>
                <w:rPrChange w:id="2352" w:author="Author" w:date="2025-08-22T15:12:00Z">
                  <w:rPr>
                    <w:rFonts w:ascii="Arial" w:eastAsia="SimSun" w:hAnsi="Arial"/>
                    <w:sz w:val="18"/>
                    <w:szCs w:val="18"/>
                    <w:lang w:eastAsia="zh-CN"/>
                  </w:rPr>
                </w:rPrChange>
              </w:rPr>
            </w:pPr>
            <w:r>
              <w:rPr>
                <w:rFonts w:eastAsia="SimSun"/>
                <w:sz w:val="18"/>
                <w:szCs w:val="18"/>
                <w:lang w:eastAsia="zh-CN"/>
                <w:rPrChange w:id="2353" w:author="Author" w:date="2025-08-22T15:12:00Z">
                  <w:rPr>
                    <w:rFonts w:ascii="Arial" w:eastAsia="SimSun" w:hAnsi="Arial"/>
                    <w:sz w:val="18"/>
                    <w:szCs w:val="18"/>
                    <w:lang w:eastAsia="zh-CN"/>
                  </w:rPr>
                </w:rPrChange>
              </w:rPr>
              <w:t xml:space="preserve">Trvanie (dni)                       </w:t>
            </w:r>
          </w:p>
        </w:tc>
        <w:tc>
          <w:tcPr>
            <w:tcW w:w="1842" w:type="dxa"/>
            <w:gridSpan w:val="2"/>
            <w:tcBorders>
              <w:top w:val="single" w:sz="4" w:space="0" w:color="auto"/>
              <w:left w:val="nil"/>
              <w:right w:val="nil"/>
            </w:tcBorders>
          </w:tcPr>
          <w:p w14:paraId="3F48E991" w14:textId="77777777" w:rsidR="009700E5" w:rsidRPr="009700E5" w:rsidRDefault="009700E5">
            <w:pPr>
              <w:keepNext/>
              <w:keepLines/>
              <w:spacing w:before="50" w:after="50" w:line="240" w:lineRule="exact"/>
              <w:jc w:val="center"/>
              <w:rPr>
                <w:rFonts w:eastAsia="SimSun"/>
                <w:strike/>
                <w:sz w:val="18"/>
                <w:szCs w:val="18"/>
                <w:lang w:eastAsia="zh-CN"/>
                <w:rPrChange w:id="2354" w:author="Author" w:date="2025-08-22T15:12:00Z">
                  <w:rPr>
                    <w:rFonts w:ascii="Arial" w:eastAsia="SimSun" w:hAnsi="Arial"/>
                    <w:strike/>
                    <w:sz w:val="18"/>
                    <w:szCs w:val="18"/>
                    <w:lang w:eastAsia="zh-CN"/>
                  </w:rPr>
                </w:rPrChange>
              </w:rPr>
            </w:pPr>
          </w:p>
        </w:tc>
        <w:tc>
          <w:tcPr>
            <w:tcW w:w="1985" w:type="dxa"/>
            <w:tcBorders>
              <w:top w:val="single" w:sz="4" w:space="0" w:color="auto"/>
              <w:left w:val="nil"/>
              <w:right w:val="single" w:sz="8" w:space="0" w:color="auto"/>
            </w:tcBorders>
            <w:tcMar>
              <w:top w:w="0" w:type="dxa"/>
              <w:left w:w="57" w:type="dxa"/>
              <w:bottom w:w="0" w:type="dxa"/>
              <w:right w:w="57" w:type="dxa"/>
            </w:tcMar>
          </w:tcPr>
          <w:p w14:paraId="6B352462" w14:textId="77777777" w:rsidR="009700E5" w:rsidRPr="009700E5" w:rsidRDefault="009700E5">
            <w:pPr>
              <w:keepNext/>
              <w:keepLines/>
              <w:spacing w:before="50" w:after="50" w:line="240" w:lineRule="exact"/>
              <w:jc w:val="center"/>
              <w:rPr>
                <w:rFonts w:eastAsia="SimSun"/>
                <w:strike/>
                <w:sz w:val="18"/>
                <w:szCs w:val="18"/>
                <w:lang w:eastAsia="zh-CN"/>
                <w:rPrChange w:id="2355" w:author="Author" w:date="2025-08-22T15:12:00Z">
                  <w:rPr>
                    <w:rFonts w:ascii="Arial" w:eastAsia="SimSun" w:hAnsi="Arial"/>
                    <w:strike/>
                    <w:sz w:val="18"/>
                    <w:szCs w:val="18"/>
                    <w:lang w:eastAsia="zh-CN"/>
                  </w:rPr>
                </w:rPrChange>
              </w:rPr>
            </w:pPr>
          </w:p>
        </w:tc>
      </w:tr>
      <w:tr w:rsidR="009700E5" w14:paraId="2BF6D038" w14:textId="77777777">
        <w:trPr>
          <w:cantSplit/>
        </w:trPr>
        <w:tc>
          <w:tcPr>
            <w:tcW w:w="2410" w:type="dxa"/>
            <w:tcBorders>
              <w:left w:val="single" w:sz="4" w:space="0" w:color="auto"/>
            </w:tcBorders>
            <w:tcMar>
              <w:top w:w="0" w:type="dxa"/>
              <w:left w:w="57" w:type="dxa"/>
              <w:bottom w:w="0" w:type="dxa"/>
              <w:right w:w="57" w:type="dxa"/>
            </w:tcMar>
          </w:tcPr>
          <w:p w14:paraId="52008459" w14:textId="77777777" w:rsidR="009700E5" w:rsidRPr="009700E5" w:rsidRDefault="002C033C">
            <w:pPr>
              <w:keepNext/>
              <w:keepLines/>
              <w:spacing w:before="50" w:after="50" w:line="240" w:lineRule="exact"/>
              <w:ind w:left="720"/>
              <w:rPr>
                <w:rFonts w:eastAsia="SimSun"/>
                <w:sz w:val="18"/>
                <w:szCs w:val="18"/>
                <w:lang w:eastAsia="zh-CN"/>
                <w:rPrChange w:id="2356" w:author="Author" w:date="2025-08-22T15:12:00Z">
                  <w:rPr>
                    <w:rFonts w:ascii="Arial" w:eastAsia="SimSun" w:hAnsi="Arial"/>
                    <w:sz w:val="18"/>
                    <w:szCs w:val="18"/>
                    <w:lang w:eastAsia="zh-CN"/>
                  </w:rPr>
                </w:rPrChange>
              </w:rPr>
            </w:pPr>
            <w:r>
              <w:rPr>
                <w:rFonts w:eastAsia="SimSun"/>
                <w:sz w:val="18"/>
                <w:szCs w:val="18"/>
                <w:lang w:eastAsia="zh-CN"/>
                <w:rPrChange w:id="2357" w:author="Author" w:date="2025-08-22T15:12:00Z">
                  <w:rPr>
                    <w:rFonts w:ascii="Arial" w:eastAsia="SimSun" w:hAnsi="Arial"/>
                    <w:sz w:val="18"/>
                    <w:szCs w:val="18"/>
                    <w:lang w:eastAsia="zh-CN"/>
                  </w:rPr>
                </w:rPrChange>
              </w:rPr>
              <w:t>Priemer (SD)</w:t>
            </w:r>
          </w:p>
        </w:tc>
        <w:tc>
          <w:tcPr>
            <w:tcW w:w="1540" w:type="dxa"/>
            <w:tcMar>
              <w:top w:w="0" w:type="dxa"/>
              <w:left w:w="57" w:type="dxa"/>
              <w:bottom w:w="0" w:type="dxa"/>
              <w:right w:w="57" w:type="dxa"/>
            </w:tcMar>
          </w:tcPr>
          <w:p w14:paraId="78E22212" w14:textId="77777777" w:rsidR="009700E5" w:rsidRPr="009700E5" w:rsidRDefault="002C033C">
            <w:pPr>
              <w:keepNext/>
              <w:keepLines/>
              <w:spacing w:before="50" w:after="50" w:line="240" w:lineRule="exact"/>
              <w:jc w:val="center"/>
              <w:rPr>
                <w:rFonts w:eastAsia="SimSun"/>
                <w:sz w:val="18"/>
                <w:szCs w:val="18"/>
                <w:lang w:eastAsia="zh-CN"/>
                <w:rPrChange w:id="2358" w:author="Author" w:date="2025-08-22T15:12:00Z">
                  <w:rPr>
                    <w:rFonts w:ascii="Arial" w:eastAsia="SimSun" w:hAnsi="Arial"/>
                    <w:sz w:val="18"/>
                    <w:szCs w:val="18"/>
                    <w:lang w:eastAsia="zh-CN"/>
                  </w:rPr>
                </w:rPrChange>
              </w:rPr>
            </w:pPr>
            <w:r>
              <w:rPr>
                <w:rFonts w:eastAsia="SimSun"/>
                <w:sz w:val="18"/>
                <w:szCs w:val="18"/>
                <w:lang w:eastAsia="zh-CN"/>
                <w:rPrChange w:id="2359" w:author="Author" w:date="2025-08-22T15:12:00Z">
                  <w:rPr>
                    <w:rFonts w:ascii="Arial" w:eastAsia="SimSun" w:hAnsi="Arial"/>
                    <w:sz w:val="18"/>
                    <w:szCs w:val="18"/>
                    <w:lang w:eastAsia="zh-CN"/>
                  </w:rPr>
                </w:rPrChange>
              </w:rPr>
              <w:t>35,7 (11,5)</w:t>
            </w:r>
          </w:p>
        </w:tc>
        <w:tc>
          <w:tcPr>
            <w:tcW w:w="1418" w:type="dxa"/>
            <w:gridSpan w:val="2"/>
            <w:tcMar>
              <w:top w:w="0" w:type="dxa"/>
              <w:left w:w="57" w:type="dxa"/>
              <w:bottom w:w="0" w:type="dxa"/>
              <w:right w:w="57" w:type="dxa"/>
            </w:tcMar>
          </w:tcPr>
          <w:p w14:paraId="16420148" w14:textId="77777777" w:rsidR="009700E5" w:rsidRPr="009700E5" w:rsidRDefault="002C033C">
            <w:pPr>
              <w:keepNext/>
              <w:keepLines/>
              <w:spacing w:before="50" w:after="50" w:line="240" w:lineRule="exact"/>
              <w:jc w:val="center"/>
              <w:rPr>
                <w:rFonts w:eastAsia="SimSun"/>
                <w:sz w:val="18"/>
                <w:szCs w:val="18"/>
                <w:lang w:eastAsia="zh-CN"/>
                <w:rPrChange w:id="2360" w:author="Author" w:date="2025-08-22T15:12:00Z">
                  <w:rPr>
                    <w:rFonts w:ascii="Arial" w:eastAsia="SimSun" w:hAnsi="Arial"/>
                    <w:sz w:val="18"/>
                    <w:szCs w:val="18"/>
                    <w:lang w:eastAsia="zh-CN"/>
                  </w:rPr>
                </w:rPrChange>
              </w:rPr>
            </w:pPr>
            <w:r>
              <w:rPr>
                <w:rFonts w:eastAsia="SimSun"/>
                <w:sz w:val="18"/>
                <w:szCs w:val="18"/>
                <w:lang w:eastAsia="zh-CN"/>
                <w:rPrChange w:id="2361" w:author="Author" w:date="2025-08-22T15:12:00Z">
                  <w:rPr>
                    <w:rFonts w:ascii="Arial" w:eastAsia="SimSun" w:hAnsi="Arial"/>
                    <w:sz w:val="18"/>
                    <w:szCs w:val="18"/>
                    <w:lang w:eastAsia="zh-CN"/>
                  </w:rPr>
                </w:rPrChange>
              </w:rPr>
              <w:t>36,3 (12,5)</w:t>
            </w:r>
          </w:p>
        </w:tc>
        <w:tc>
          <w:tcPr>
            <w:tcW w:w="1842" w:type="dxa"/>
            <w:gridSpan w:val="2"/>
            <w:tcBorders>
              <w:right w:val="nil"/>
            </w:tcBorders>
          </w:tcPr>
          <w:p w14:paraId="7D37DAA1" w14:textId="77777777" w:rsidR="009700E5" w:rsidRPr="009700E5" w:rsidRDefault="002C033C">
            <w:pPr>
              <w:keepNext/>
              <w:keepLines/>
              <w:spacing w:before="50" w:after="50" w:line="240" w:lineRule="exact"/>
              <w:jc w:val="center"/>
              <w:rPr>
                <w:rFonts w:eastAsia="SimSun"/>
                <w:sz w:val="18"/>
                <w:szCs w:val="18"/>
                <w:lang w:eastAsia="zh-CN"/>
                <w:rPrChange w:id="2362" w:author="Author" w:date="2025-08-22T15:12:00Z">
                  <w:rPr>
                    <w:rFonts w:ascii="Arial" w:eastAsia="SimSun" w:hAnsi="Arial"/>
                    <w:sz w:val="18"/>
                    <w:szCs w:val="18"/>
                    <w:lang w:eastAsia="zh-CN"/>
                  </w:rPr>
                </w:rPrChange>
              </w:rPr>
            </w:pPr>
            <w:r>
              <w:rPr>
                <w:rFonts w:eastAsia="SimSun"/>
                <w:sz w:val="18"/>
                <w:szCs w:val="18"/>
                <w:lang w:eastAsia="zh-CN"/>
                <w:rPrChange w:id="2363" w:author="Author" w:date="2025-08-22T15:12:00Z">
                  <w:rPr>
                    <w:rFonts w:ascii="Arial" w:eastAsia="SimSun" w:hAnsi="Arial"/>
                    <w:sz w:val="18"/>
                    <w:szCs w:val="18"/>
                    <w:lang w:eastAsia="zh-CN"/>
                  </w:rPr>
                </w:rPrChange>
              </w:rPr>
              <w:t>35,6 (13,2)</w:t>
            </w:r>
          </w:p>
        </w:tc>
        <w:tc>
          <w:tcPr>
            <w:tcW w:w="2004" w:type="dxa"/>
            <w:gridSpan w:val="2"/>
            <w:tcBorders>
              <w:left w:val="nil"/>
              <w:right w:val="single" w:sz="8" w:space="0" w:color="auto"/>
            </w:tcBorders>
            <w:tcMar>
              <w:top w:w="0" w:type="dxa"/>
              <w:left w:w="57" w:type="dxa"/>
              <w:bottom w:w="0" w:type="dxa"/>
              <w:right w:w="57" w:type="dxa"/>
            </w:tcMar>
          </w:tcPr>
          <w:p w14:paraId="62CB4A86" w14:textId="77777777" w:rsidR="009700E5" w:rsidRPr="009700E5" w:rsidRDefault="002C033C">
            <w:pPr>
              <w:keepNext/>
              <w:keepLines/>
              <w:spacing w:before="50" w:after="50" w:line="240" w:lineRule="exact"/>
              <w:jc w:val="center"/>
              <w:rPr>
                <w:rFonts w:eastAsia="SimSun"/>
                <w:sz w:val="18"/>
                <w:szCs w:val="18"/>
                <w:lang w:eastAsia="zh-CN"/>
                <w:rPrChange w:id="2364" w:author="Author" w:date="2025-08-22T15:12:00Z">
                  <w:rPr>
                    <w:rFonts w:ascii="Arial" w:eastAsia="SimSun" w:hAnsi="Arial"/>
                    <w:sz w:val="18"/>
                    <w:szCs w:val="18"/>
                    <w:lang w:eastAsia="zh-CN"/>
                  </w:rPr>
                </w:rPrChange>
              </w:rPr>
            </w:pPr>
            <w:r>
              <w:rPr>
                <w:rFonts w:eastAsia="SimSun"/>
                <w:sz w:val="18"/>
                <w:szCs w:val="18"/>
                <w:lang w:eastAsia="zh-CN"/>
                <w:rPrChange w:id="2365" w:author="Author" w:date="2025-08-22T15:12:00Z">
                  <w:rPr>
                    <w:rFonts w:ascii="Arial" w:eastAsia="SimSun" w:hAnsi="Arial"/>
                    <w:sz w:val="18"/>
                    <w:szCs w:val="18"/>
                    <w:lang w:eastAsia="zh-CN"/>
                  </w:rPr>
                </w:rPrChange>
              </w:rPr>
              <w:t>37,4 (14,4)</w:t>
            </w:r>
          </w:p>
        </w:tc>
      </w:tr>
      <w:tr w:rsidR="009700E5" w14:paraId="651F749D" w14:textId="77777777">
        <w:trPr>
          <w:cantSplit/>
        </w:trPr>
        <w:tc>
          <w:tcPr>
            <w:tcW w:w="2410" w:type="dxa"/>
            <w:tcBorders>
              <w:left w:val="single" w:sz="4" w:space="0" w:color="auto"/>
            </w:tcBorders>
            <w:tcMar>
              <w:top w:w="0" w:type="dxa"/>
              <w:left w:w="57" w:type="dxa"/>
              <w:bottom w:w="0" w:type="dxa"/>
              <w:right w:w="57" w:type="dxa"/>
            </w:tcMar>
          </w:tcPr>
          <w:p w14:paraId="369ED082" w14:textId="77777777" w:rsidR="009700E5" w:rsidRPr="009700E5" w:rsidRDefault="002C033C">
            <w:pPr>
              <w:keepNext/>
              <w:keepLines/>
              <w:spacing w:before="50" w:after="50" w:line="240" w:lineRule="exact"/>
              <w:ind w:left="720"/>
              <w:rPr>
                <w:rFonts w:eastAsia="SimSun"/>
                <w:sz w:val="18"/>
                <w:szCs w:val="18"/>
                <w:lang w:eastAsia="zh-CN"/>
                <w:rPrChange w:id="2366" w:author="Author" w:date="2025-08-22T15:12:00Z">
                  <w:rPr>
                    <w:rFonts w:ascii="Arial" w:eastAsia="SimSun" w:hAnsi="Arial"/>
                    <w:sz w:val="18"/>
                    <w:szCs w:val="18"/>
                    <w:lang w:eastAsia="zh-CN"/>
                  </w:rPr>
                </w:rPrChange>
              </w:rPr>
            </w:pPr>
            <w:r>
              <w:rPr>
                <w:rFonts w:eastAsia="SimSun"/>
                <w:sz w:val="18"/>
                <w:szCs w:val="18"/>
                <w:lang w:eastAsia="zh-CN"/>
                <w:rPrChange w:id="2367" w:author="Author" w:date="2025-08-22T15:12:00Z">
                  <w:rPr>
                    <w:rFonts w:ascii="Arial" w:eastAsia="SimSun" w:hAnsi="Arial"/>
                    <w:sz w:val="18"/>
                    <w:szCs w:val="18"/>
                    <w:lang w:eastAsia="zh-CN"/>
                  </w:rPr>
                </w:rPrChange>
              </w:rPr>
              <w:t>Medián</w:t>
            </w:r>
          </w:p>
        </w:tc>
        <w:tc>
          <w:tcPr>
            <w:tcW w:w="1540" w:type="dxa"/>
            <w:tcMar>
              <w:top w:w="0" w:type="dxa"/>
              <w:left w:w="57" w:type="dxa"/>
              <w:bottom w:w="0" w:type="dxa"/>
              <w:right w:w="57" w:type="dxa"/>
            </w:tcMar>
          </w:tcPr>
          <w:p w14:paraId="05B1CEBE" w14:textId="77777777" w:rsidR="009700E5" w:rsidRPr="009700E5" w:rsidRDefault="002C033C">
            <w:pPr>
              <w:keepNext/>
              <w:keepLines/>
              <w:spacing w:before="50" w:after="50" w:line="240" w:lineRule="exact"/>
              <w:jc w:val="center"/>
              <w:rPr>
                <w:rFonts w:eastAsia="SimSun"/>
                <w:sz w:val="18"/>
                <w:szCs w:val="18"/>
                <w:lang w:eastAsia="zh-CN"/>
                <w:rPrChange w:id="2368" w:author="Author" w:date="2025-08-22T15:12:00Z">
                  <w:rPr>
                    <w:rFonts w:ascii="Arial" w:eastAsia="SimSun" w:hAnsi="Arial"/>
                    <w:sz w:val="18"/>
                    <w:szCs w:val="18"/>
                    <w:lang w:eastAsia="zh-CN"/>
                  </w:rPr>
                </w:rPrChange>
              </w:rPr>
            </w:pPr>
            <w:r>
              <w:rPr>
                <w:rFonts w:eastAsia="SimSun"/>
                <w:sz w:val="18"/>
                <w:szCs w:val="18"/>
                <w:lang w:eastAsia="zh-CN"/>
                <w:rPrChange w:id="2369" w:author="Author" w:date="2025-08-22T15:12:00Z">
                  <w:rPr>
                    <w:rFonts w:ascii="Arial" w:eastAsia="SimSun" w:hAnsi="Arial"/>
                    <w:sz w:val="18"/>
                    <w:szCs w:val="18"/>
                    <w:lang w:eastAsia="zh-CN"/>
                  </w:rPr>
                </w:rPrChange>
              </w:rPr>
              <w:t>42,0</w:t>
            </w:r>
          </w:p>
        </w:tc>
        <w:tc>
          <w:tcPr>
            <w:tcW w:w="1418" w:type="dxa"/>
            <w:gridSpan w:val="2"/>
            <w:tcMar>
              <w:top w:w="0" w:type="dxa"/>
              <w:left w:w="57" w:type="dxa"/>
              <w:bottom w:w="0" w:type="dxa"/>
              <w:right w:w="57" w:type="dxa"/>
            </w:tcMar>
          </w:tcPr>
          <w:p w14:paraId="1154F564" w14:textId="77777777" w:rsidR="009700E5" w:rsidRPr="009700E5" w:rsidRDefault="002C033C">
            <w:pPr>
              <w:keepNext/>
              <w:keepLines/>
              <w:spacing w:before="50" w:after="50" w:line="240" w:lineRule="exact"/>
              <w:jc w:val="center"/>
              <w:rPr>
                <w:rFonts w:eastAsia="SimSun"/>
                <w:sz w:val="18"/>
                <w:szCs w:val="18"/>
                <w:lang w:eastAsia="zh-CN"/>
                <w:rPrChange w:id="2370" w:author="Author" w:date="2025-08-22T15:12:00Z">
                  <w:rPr>
                    <w:rFonts w:ascii="Arial" w:eastAsia="SimSun" w:hAnsi="Arial"/>
                    <w:sz w:val="18"/>
                    <w:szCs w:val="18"/>
                    <w:lang w:eastAsia="zh-CN"/>
                  </w:rPr>
                </w:rPrChange>
              </w:rPr>
            </w:pPr>
            <w:r>
              <w:rPr>
                <w:rFonts w:eastAsia="SimSun"/>
                <w:sz w:val="18"/>
                <w:szCs w:val="18"/>
                <w:lang w:eastAsia="zh-CN"/>
                <w:rPrChange w:id="2371" w:author="Author" w:date="2025-08-22T15:12:00Z">
                  <w:rPr>
                    <w:rFonts w:ascii="Arial" w:eastAsia="SimSun" w:hAnsi="Arial"/>
                    <w:sz w:val="18"/>
                    <w:szCs w:val="18"/>
                    <w:lang w:eastAsia="zh-CN"/>
                  </w:rPr>
                </w:rPrChange>
              </w:rPr>
              <w:t>41,0</w:t>
            </w:r>
          </w:p>
        </w:tc>
        <w:tc>
          <w:tcPr>
            <w:tcW w:w="1842" w:type="dxa"/>
            <w:gridSpan w:val="2"/>
            <w:tcBorders>
              <w:right w:val="nil"/>
            </w:tcBorders>
          </w:tcPr>
          <w:p w14:paraId="0356B0CF" w14:textId="77777777" w:rsidR="009700E5" w:rsidRPr="009700E5" w:rsidRDefault="002C033C">
            <w:pPr>
              <w:keepNext/>
              <w:keepLines/>
              <w:spacing w:before="50" w:after="50" w:line="240" w:lineRule="exact"/>
              <w:jc w:val="center"/>
              <w:rPr>
                <w:rFonts w:eastAsia="SimSun"/>
                <w:sz w:val="18"/>
                <w:szCs w:val="18"/>
                <w:lang w:eastAsia="zh-CN"/>
                <w:rPrChange w:id="2372" w:author="Author" w:date="2025-08-22T15:12:00Z">
                  <w:rPr>
                    <w:rFonts w:ascii="Arial" w:eastAsia="SimSun" w:hAnsi="Arial"/>
                    <w:sz w:val="18"/>
                    <w:szCs w:val="18"/>
                    <w:lang w:eastAsia="zh-CN"/>
                  </w:rPr>
                </w:rPrChange>
              </w:rPr>
            </w:pPr>
            <w:r>
              <w:rPr>
                <w:rFonts w:eastAsia="SimSun"/>
                <w:sz w:val="18"/>
                <w:szCs w:val="18"/>
                <w:lang w:eastAsia="zh-CN"/>
                <w:rPrChange w:id="2373" w:author="Author" w:date="2025-08-22T15:12:00Z">
                  <w:rPr>
                    <w:rFonts w:ascii="Arial" w:eastAsia="SimSun" w:hAnsi="Arial"/>
                    <w:sz w:val="18"/>
                    <w:szCs w:val="18"/>
                    <w:lang w:eastAsia="zh-CN"/>
                  </w:rPr>
                </w:rPrChange>
              </w:rPr>
              <w:t>41,0</w:t>
            </w:r>
          </w:p>
        </w:tc>
        <w:tc>
          <w:tcPr>
            <w:tcW w:w="2004" w:type="dxa"/>
            <w:gridSpan w:val="2"/>
            <w:tcBorders>
              <w:left w:val="nil"/>
              <w:right w:val="single" w:sz="8" w:space="0" w:color="auto"/>
            </w:tcBorders>
            <w:tcMar>
              <w:top w:w="0" w:type="dxa"/>
              <w:left w:w="57" w:type="dxa"/>
              <w:bottom w:w="0" w:type="dxa"/>
              <w:right w:w="57" w:type="dxa"/>
            </w:tcMar>
          </w:tcPr>
          <w:p w14:paraId="2FC9A082" w14:textId="77777777" w:rsidR="009700E5" w:rsidRPr="009700E5" w:rsidRDefault="002C033C">
            <w:pPr>
              <w:keepNext/>
              <w:keepLines/>
              <w:spacing w:before="50" w:after="50" w:line="240" w:lineRule="exact"/>
              <w:jc w:val="center"/>
              <w:rPr>
                <w:rFonts w:eastAsia="SimSun"/>
                <w:sz w:val="18"/>
                <w:szCs w:val="18"/>
                <w:lang w:eastAsia="zh-CN"/>
                <w:rPrChange w:id="2374" w:author="Author" w:date="2025-08-22T15:12:00Z">
                  <w:rPr>
                    <w:rFonts w:ascii="Arial" w:eastAsia="SimSun" w:hAnsi="Arial"/>
                    <w:sz w:val="18"/>
                    <w:szCs w:val="18"/>
                    <w:lang w:eastAsia="zh-CN"/>
                  </w:rPr>
                </w:rPrChange>
              </w:rPr>
            </w:pPr>
            <w:r>
              <w:rPr>
                <w:rFonts w:eastAsia="SimSun"/>
                <w:sz w:val="18"/>
                <w:szCs w:val="18"/>
                <w:lang w:eastAsia="zh-CN"/>
                <w:rPrChange w:id="2375" w:author="Author" w:date="2025-08-22T15:12:00Z">
                  <w:rPr>
                    <w:rFonts w:ascii="Arial" w:eastAsia="SimSun" w:hAnsi="Arial"/>
                    <w:sz w:val="18"/>
                    <w:szCs w:val="18"/>
                    <w:lang w:eastAsia="zh-CN"/>
                  </w:rPr>
                </w:rPrChange>
              </w:rPr>
              <w:t>42,0</w:t>
            </w:r>
          </w:p>
        </w:tc>
      </w:tr>
      <w:tr w:rsidR="009700E5" w14:paraId="47045133" w14:textId="77777777">
        <w:trPr>
          <w:cantSplit/>
        </w:trPr>
        <w:tc>
          <w:tcPr>
            <w:tcW w:w="2410" w:type="dxa"/>
            <w:tcBorders>
              <w:left w:val="single" w:sz="4" w:space="0" w:color="auto"/>
              <w:bottom w:val="single" w:sz="4" w:space="0" w:color="auto"/>
            </w:tcBorders>
            <w:tcMar>
              <w:top w:w="0" w:type="dxa"/>
              <w:left w:w="57" w:type="dxa"/>
              <w:bottom w:w="0" w:type="dxa"/>
              <w:right w:w="57" w:type="dxa"/>
            </w:tcMar>
          </w:tcPr>
          <w:p w14:paraId="02C99FA1" w14:textId="77777777" w:rsidR="009700E5" w:rsidRPr="009700E5" w:rsidRDefault="002C033C">
            <w:pPr>
              <w:keepNext/>
              <w:keepLines/>
              <w:spacing w:before="50" w:after="50" w:line="240" w:lineRule="exact"/>
              <w:ind w:left="720"/>
              <w:rPr>
                <w:rFonts w:eastAsia="SimSun"/>
                <w:sz w:val="18"/>
                <w:szCs w:val="18"/>
                <w:lang w:eastAsia="zh-CN"/>
                <w:rPrChange w:id="2376" w:author="Author" w:date="2025-08-22T15:12:00Z">
                  <w:rPr>
                    <w:rFonts w:ascii="Arial" w:eastAsia="SimSun" w:hAnsi="Arial"/>
                    <w:sz w:val="18"/>
                    <w:szCs w:val="18"/>
                    <w:lang w:eastAsia="zh-CN"/>
                  </w:rPr>
                </w:rPrChange>
              </w:rPr>
            </w:pPr>
            <w:r>
              <w:rPr>
                <w:rFonts w:eastAsia="SimSun"/>
                <w:sz w:val="18"/>
                <w:szCs w:val="18"/>
                <w:lang w:eastAsia="zh-CN"/>
                <w:rPrChange w:id="2377" w:author="Author" w:date="2025-08-22T15:12:00Z">
                  <w:rPr>
                    <w:rFonts w:ascii="Arial" w:eastAsia="SimSun" w:hAnsi="Arial"/>
                    <w:sz w:val="18"/>
                    <w:szCs w:val="18"/>
                    <w:lang w:eastAsia="zh-CN"/>
                  </w:rPr>
                </w:rPrChange>
              </w:rPr>
              <w:t>Min - Max</w:t>
            </w:r>
          </w:p>
        </w:tc>
        <w:tc>
          <w:tcPr>
            <w:tcW w:w="1540" w:type="dxa"/>
            <w:tcBorders>
              <w:bottom w:val="single" w:sz="4" w:space="0" w:color="auto"/>
            </w:tcBorders>
            <w:tcMar>
              <w:top w:w="0" w:type="dxa"/>
              <w:left w:w="57" w:type="dxa"/>
              <w:bottom w:w="0" w:type="dxa"/>
              <w:right w:w="57" w:type="dxa"/>
            </w:tcMar>
          </w:tcPr>
          <w:p w14:paraId="0BFD88E2" w14:textId="77777777" w:rsidR="009700E5" w:rsidRPr="009700E5" w:rsidRDefault="002C033C">
            <w:pPr>
              <w:keepNext/>
              <w:keepLines/>
              <w:spacing w:before="50" w:after="50" w:line="240" w:lineRule="exact"/>
              <w:jc w:val="center"/>
              <w:rPr>
                <w:rFonts w:eastAsia="SimSun"/>
                <w:sz w:val="18"/>
                <w:szCs w:val="18"/>
                <w:lang w:eastAsia="zh-CN"/>
                <w:rPrChange w:id="2378" w:author="Author" w:date="2025-08-22T15:12:00Z">
                  <w:rPr>
                    <w:rFonts w:ascii="Arial" w:eastAsia="SimSun" w:hAnsi="Arial"/>
                    <w:sz w:val="18"/>
                    <w:szCs w:val="18"/>
                    <w:lang w:eastAsia="zh-CN"/>
                  </w:rPr>
                </w:rPrChange>
              </w:rPr>
            </w:pPr>
            <w:r>
              <w:rPr>
                <w:rFonts w:eastAsia="SimSun"/>
                <w:sz w:val="18"/>
                <w:szCs w:val="18"/>
                <w:lang w:eastAsia="zh-CN"/>
                <w:rPrChange w:id="2379" w:author="Author" w:date="2025-08-22T15:12:00Z">
                  <w:rPr>
                    <w:rFonts w:ascii="Arial" w:eastAsia="SimSun" w:hAnsi="Arial"/>
                    <w:sz w:val="18"/>
                    <w:szCs w:val="18"/>
                    <w:lang w:eastAsia="zh-CN"/>
                  </w:rPr>
                </w:rPrChange>
              </w:rPr>
              <w:t>6 - 63</w:t>
            </w:r>
          </w:p>
        </w:tc>
        <w:tc>
          <w:tcPr>
            <w:tcW w:w="1418" w:type="dxa"/>
            <w:gridSpan w:val="2"/>
            <w:tcBorders>
              <w:bottom w:val="single" w:sz="4" w:space="0" w:color="auto"/>
            </w:tcBorders>
            <w:tcMar>
              <w:top w:w="0" w:type="dxa"/>
              <w:left w:w="57" w:type="dxa"/>
              <w:bottom w:w="0" w:type="dxa"/>
              <w:right w:w="57" w:type="dxa"/>
            </w:tcMar>
          </w:tcPr>
          <w:p w14:paraId="1878EBB8" w14:textId="77777777" w:rsidR="009700E5" w:rsidRPr="009700E5" w:rsidRDefault="002C033C">
            <w:pPr>
              <w:keepNext/>
              <w:keepLines/>
              <w:spacing w:before="50" w:after="50" w:line="240" w:lineRule="exact"/>
              <w:jc w:val="center"/>
              <w:rPr>
                <w:rFonts w:eastAsia="SimSun"/>
                <w:sz w:val="18"/>
                <w:szCs w:val="18"/>
                <w:lang w:eastAsia="zh-CN"/>
                <w:rPrChange w:id="2380" w:author="Author" w:date="2025-08-22T15:12:00Z">
                  <w:rPr>
                    <w:rFonts w:ascii="Arial" w:eastAsia="SimSun" w:hAnsi="Arial"/>
                    <w:sz w:val="18"/>
                    <w:szCs w:val="18"/>
                    <w:lang w:eastAsia="zh-CN"/>
                  </w:rPr>
                </w:rPrChange>
              </w:rPr>
            </w:pPr>
            <w:r>
              <w:rPr>
                <w:rFonts w:eastAsia="SimSun"/>
                <w:sz w:val="18"/>
                <w:szCs w:val="18"/>
                <w:lang w:eastAsia="zh-CN"/>
                <w:rPrChange w:id="2381" w:author="Author" w:date="2025-08-22T15:12:00Z">
                  <w:rPr>
                    <w:rFonts w:ascii="Arial" w:eastAsia="SimSun" w:hAnsi="Arial"/>
                    <w:sz w:val="18"/>
                    <w:szCs w:val="18"/>
                    <w:lang w:eastAsia="zh-CN"/>
                  </w:rPr>
                </w:rPrChange>
              </w:rPr>
              <w:t>12 – 82</w:t>
            </w:r>
          </w:p>
        </w:tc>
        <w:tc>
          <w:tcPr>
            <w:tcW w:w="1842" w:type="dxa"/>
            <w:gridSpan w:val="2"/>
            <w:tcBorders>
              <w:bottom w:val="single" w:sz="4" w:space="0" w:color="auto"/>
              <w:right w:val="nil"/>
            </w:tcBorders>
          </w:tcPr>
          <w:p w14:paraId="71F7C35B" w14:textId="77777777" w:rsidR="009700E5" w:rsidRPr="009700E5" w:rsidRDefault="002C033C">
            <w:pPr>
              <w:keepNext/>
              <w:keepLines/>
              <w:spacing w:before="50" w:after="50" w:line="240" w:lineRule="exact"/>
              <w:jc w:val="center"/>
              <w:rPr>
                <w:rFonts w:eastAsia="SimSun"/>
                <w:sz w:val="18"/>
                <w:szCs w:val="18"/>
                <w:lang w:eastAsia="zh-CN"/>
                <w:rPrChange w:id="2382" w:author="Author" w:date="2025-08-22T15:12:00Z">
                  <w:rPr>
                    <w:rFonts w:ascii="Arial" w:eastAsia="SimSun" w:hAnsi="Arial"/>
                    <w:sz w:val="18"/>
                    <w:szCs w:val="18"/>
                    <w:lang w:eastAsia="zh-CN"/>
                  </w:rPr>
                </w:rPrChange>
              </w:rPr>
            </w:pPr>
            <w:r>
              <w:rPr>
                <w:rFonts w:eastAsia="SimSun"/>
                <w:sz w:val="18"/>
                <w:szCs w:val="18"/>
                <w:lang w:eastAsia="zh-CN"/>
                <w:rPrChange w:id="2383" w:author="Author" w:date="2025-08-22T15:12:00Z">
                  <w:rPr>
                    <w:rFonts w:ascii="Arial" w:eastAsia="SimSun" w:hAnsi="Arial"/>
                    <w:sz w:val="18"/>
                    <w:szCs w:val="18"/>
                    <w:lang w:eastAsia="zh-CN"/>
                  </w:rPr>
                </w:rPrChange>
              </w:rPr>
              <w:t xml:space="preserve">1 </w:t>
            </w:r>
            <w:del w:id="2384" w:author="Author" w:date="2025-07-20T00:13:00Z">
              <w:r>
                <w:rPr>
                  <w:rFonts w:eastAsia="SimSun"/>
                  <w:sz w:val="18"/>
                  <w:szCs w:val="18"/>
                  <w:lang w:eastAsia="zh-CN"/>
                  <w:rPrChange w:id="2385" w:author="Author" w:date="2025-08-22T15:12:00Z">
                    <w:rPr>
                      <w:rFonts w:ascii="Arial" w:eastAsia="SimSun" w:hAnsi="Arial"/>
                      <w:sz w:val="18"/>
                      <w:szCs w:val="18"/>
                      <w:lang w:eastAsia="zh-CN"/>
                    </w:rPr>
                  </w:rPrChange>
                </w:rPr>
                <w:delText>-</w:delText>
              </w:r>
            </w:del>
            <w:ins w:id="2386" w:author="Author" w:date="2025-07-20T00:13:00Z">
              <w:r>
                <w:rPr>
                  <w:rFonts w:eastAsia="SimSun"/>
                  <w:sz w:val="18"/>
                  <w:szCs w:val="18"/>
                  <w:lang w:eastAsia="zh-CN"/>
                  <w:rPrChange w:id="2387" w:author="Author" w:date="2025-08-22T15:12:00Z">
                    <w:rPr>
                      <w:rFonts w:ascii="Arial" w:eastAsia="SimSun" w:hAnsi="Arial"/>
                      <w:sz w:val="18"/>
                      <w:szCs w:val="18"/>
                      <w:lang w:eastAsia="zh-CN"/>
                    </w:rPr>
                  </w:rPrChange>
                </w:rPr>
                <w:t>–</w:t>
              </w:r>
            </w:ins>
            <w:r>
              <w:rPr>
                <w:rFonts w:eastAsia="SimSun"/>
                <w:sz w:val="18"/>
                <w:szCs w:val="18"/>
                <w:lang w:eastAsia="zh-CN"/>
                <w:rPrChange w:id="2388" w:author="Author" w:date="2025-08-22T15:12:00Z">
                  <w:rPr>
                    <w:rFonts w:ascii="Arial" w:eastAsia="SimSun" w:hAnsi="Arial"/>
                    <w:sz w:val="18"/>
                    <w:szCs w:val="18"/>
                    <w:lang w:eastAsia="zh-CN"/>
                  </w:rPr>
                </w:rPrChange>
              </w:rPr>
              <w:t xml:space="preserve"> 87</w:t>
            </w:r>
          </w:p>
        </w:tc>
        <w:tc>
          <w:tcPr>
            <w:tcW w:w="2004" w:type="dxa"/>
            <w:gridSpan w:val="2"/>
            <w:tcBorders>
              <w:left w:val="nil"/>
              <w:bottom w:val="single" w:sz="4" w:space="0" w:color="auto"/>
              <w:right w:val="single" w:sz="8" w:space="0" w:color="auto"/>
            </w:tcBorders>
            <w:tcMar>
              <w:top w:w="0" w:type="dxa"/>
              <w:left w:w="57" w:type="dxa"/>
              <w:bottom w:w="0" w:type="dxa"/>
              <w:right w:w="57" w:type="dxa"/>
            </w:tcMar>
          </w:tcPr>
          <w:p w14:paraId="490E5CA0" w14:textId="77777777" w:rsidR="009700E5" w:rsidRPr="009700E5" w:rsidRDefault="002C033C">
            <w:pPr>
              <w:keepNext/>
              <w:keepLines/>
              <w:spacing w:before="50" w:after="50" w:line="240" w:lineRule="exact"/>
              <w:jc w:val="center"/>
              <w:rPr>
                <w:rFonts w:eastAsia="SimSun"/>
                <w:sz w:val="18"/>
                <w:szCs w:val="18"/>
                <w:lang w:eastAsia="zh-CN"/>
                <w:rPrChange w:id="2389" w:author="Author" w:date="2025-08-22T15:12:00Z">
                  <w:rPr>
                    <w:rFonts w:ascii="Arial" w:eastAsia="SimSun" w:hAnsi="Arial"/>
                    <w:sz w:val="18"/>
                    <w:szCs w:val="18"/>
                    <w:lang w:eastAsia="zh-CN"/>
                  </w:rPr>
                </w:rPrChange>
              </w:rPr>
            </w:pPr>
            <w:r>
              <w:rPr>
                <w:rFonts w:eastAsia="SimSun"/>
                <w:sz w:val="18"/>
                <w:szCs w:val="18"/>
                <w:lang w:eastAsia="zh-CN"/>
                <w:rPrChange w:id="2390" w:author="Author" w:date="2025-08-22T15:12:00Z">
                  <w:rPr>
                    <w:rFonts w:ascii="Arial" w:eastAsia="SimSun" w:hAnsi="Arial"/>
                    <w:sz w:val="18"/>
                    <w:szCs w:val="18"/>
                    <w:lang w:eastAsia="zh-CN"/>
                  </w:rPr>
                </w:rPrChange>
              </w:rPr>
              <w:t>9 - 87</w:t>
            </w:r>
          </w:p>
        </w:tc>
      </w:tr>
    </w:tbl>
    <w:p w14:paraId="0BABDAA9" w14:textId="77777777" w:rsidR="009700E5" w:rsidRDefault="002C033C">
      <w:pPr>
        <w:rPr>
          <w:sz w:val="18"/>
          <w:szCs w:val="18"/>
        </w:rPr>
      </w:pPr>
      <w:r>
        <w:rPr>
          <w:sz w:val="18"/>
          <w:szCs w:val="18"/>
        </w:rPr>
        <w:t>s.c.</w:t>
      </w:r>
      <w:ins w:id="2391" w:author="Author" w:date="2025-07-21T10:46:00Z">
        <w:r>
          <w:rPr>
            <w:sz w:val="18"/>
            <w:szCs w:val="18"/>
          </w:rPr>
          <w:t> </w:t>
        </w:r>
      </w:ins>
      <w:del w:id="2392" w:author="Author" w:date="2025-07-21T10:46:00Z">
        <w:r>
          <w:rPr>
            <w:sz w:val="18"/>
            <w:szCs w:val="18"/>
          </w:rPr>
          <w:delText xml:space="preserve"> </w:delText>
        </w:r>
      </w:del>
      <w:r>
        <w:rPr>
          <w:sz w:val="18"/>
          <w:szCs w:val="18"/>
          <w:lang w:eastAsia="de-DE"/>
        </w:rPr>
        <w:t>=</w:t>
      </w:r>
      <w:ins w:id="2393" w:author="Author" w:date="2025-07-21T10:46:00Z">
        <w:r>
          <w:rPr>
            <w:sz w:val="18"/>
            <w:szCs w:val="18"/>
          </w:rPr>
          <w:t> </w:t>
        </w:r>
      </w:ins>
      <w:del w:id="2394" w:author="Author" w:date="2025-07-21T10:46:00Z">
        <w:r>
          <w:rPr>
            <w:sz w:val="18"/>
            <w:szCs w:val="18"/>
          </w:rPr>
          <w:delText xml:space="preserve"> </w:delText>
        </w:r>
      </w:del>
      <w:r>
        <w:rPr>
          <w:sz w:val="18"/>
          <w:szCs w:val="18"/>
        </w:rPr>
        <w:t>subkutánne</w:t>
      </w:r>
    </w:p>
    <w:p w14:paraId="5AF043A9" w14:textId="77777777" w:rsidR="009700E5" w:rsidRDefault="009700E5"/>
    <w:p w14:paraId="4E60820F" w14:textId="77777777" w:rsidR="009700E5" w:rsidRDefault="002C033C">
      <w:r>
        <w:t>Primárny cieľový ukazovateľ účinnosti hodnotený na základe pomeru pacientov, ktorí dosiahli trvalú remisiu ochorenia bez steroidov v 52. týždni liečby tocilizumabom plus 26</w:t>
      </w:r>
      <w:r>
        <w:noBreakHyphen/>
        <w:t>týždňovým obdobím postupného znižovania dávky prednizónu v porovnaní so skupinou s placebom plus 26</w:t>
      </w:r>
      <w:r>
        <w:noBreakHyphen/>
        <w:t>týždňové obdobie postupného znižovania dávky prednizónu, bol dosiahnutý (tabuľka 4).</w:t>
      </w:r>
    </w:p>
    <w:p w14:paraId="676A6738" w14:textId="77777777" w:rsidR="009700E5" w:rsidRDefault="009700E5"/>
    <w:p w14:paraId="7806AD27" w14:textId="77777777" w:rsidR="009700E5" w:rsidRDefault="002C033C">
      <w:r>
        <w:t>Kľúčový sekundárny cieľový ukazovateľ účinnosti, ktorý sa rovnako zakladal na pomere pacientov, ktorí dosiahli pretrvávajúcu remisiu ochorenia v 52. týždni, porovnávajúci skupinu s tocilizumabom plus 26 týždňov postupného znižovania dávky prednizónu a skupinu s placebom plus 52 týždňov postupného znižovania dávky prednizónu, bol rovnako dosiahnutý (tabuľka 4).</w:t>
      </w:r>
    </w:p>
    <w:p w14:paraId="332D9AE5" w14:textId="77777777" w:rsidR="009700E5" w:rsidRDefault="009700E5"/>
    <w:p w14:paraId="779C020E" w14:textId="77777777" w:rsidR="009700E5" w:rsidRDefault="002C033C">
      <w:r>
        <w:t>Štatisticky významný superiórny účinok liečby sa pozoroval v prospech tocilizumabu oproti placebu v dosiahnutí pretrvávajúcej remisie bez steroidov v 52. týždni liečby tocilizumabom plus 26</w:t>
      </w:r>
      <w:r>
        <w:noBreakHyphen/>
        <w:t>týždňové obdobie postupného znižovania dávky prednizónu v porovnaní so skupinou s placebom plus 26</w:t>
      </w:r>
      <w:r>
        <w:noBreakHyphen/>
        <w:t>týždňové obdobie postupného znižovania dávky prednizónu a so skupinou s placebom plus 52</w:t>
      </w:r>
      <w:r>
        <w:noBreakHyphen/>
        <w:t>týždňové obdobie postupného znižovania dávky prednizónu.</w:t>
      </w:r>
    </w:p>
    <w:p w14:paraId="3707BC23" w14:textId="77777777" w:rsidR="009700E5" w:rsidRDefault="009700E5"/>
    <w:p w14:paraId="3EC957AB" w14:textId="77777777" w:rsidR="009700E5" w:rsidRDefault="002C033C">
      <w:r>
        <w:t>Percento pacientov, ktorí dosiahli pertrvávajúcu remisiu ochorenia v 52. týždni liečby, je znázornená v tabuľke 4.</w:t>
      </w:r>
    </w:p>
    <w:p w14:paraId="4D350380" w14:textId="77777777" w:rsidR="009700E5" w:rsidRDefault="009700E5"/>
    <w:p w14:paraId="05D4312D" w14:textId="77777777" w:rsidR="009700E5" w:rsidRDefault="002C033C">
      <w:pPr>
        <w:rPr>
          <w:i/>
          <w:u w:val="single"/>
        </w:rPr>
      </w:pPr>
      <w:r>
        <w:rPr>
          <w:i/>
          <w:u w:val="single"/>
        </w:rPr>
        <w:t>Sekundárne cieľové ukazovatele</w:t>
      </w:r>
    </w:p>
    <w:p w14:paraId="386F3F80" w14:textId="77777777" w:rsidR="009700E5" w:rsidRDefault="002C033C">
      <w:r>
        <w:t>Pri posudzovaní času do nástupu prvého vzplanutia OBA sa pozorovalo výrazne menšie riziko vzplanutia ochorenia v skupine s tocilizumabom podávaným subkutánne raz za týždeň v porovnaní so skupinou s placebom plus 26 týždňov postupného znižovania prednizónu a so skupinou s placebom plus 52 týždňov postupného znižovania prednizónu, a v skupine s tocilizumabom podávaným subkutánne každý druhý týždeň, v porovnaní so skupinou s placebom plus 26 týždňov postupného znižovania prednizónu (porovnávané pri hladine významnosti 0,01). Tocilizumab podávaný subkutánne raz za týždeň rovnako preukázal klinicky významný pokles rizika vzplanutia ochorenia v porovnaní so skupinou s placebom plus 26 týždňov prednizónu u pacientov, ktorí vstúpili do skúšania s relapsujúcim OBA, rovnako ako aj u pacientov s novým nástupom ochorenia (tabuľka 4).</w:t>
      </w:r>
    </w:p>
    <w:p w14:paraId="1EE3D52A" w14:textId="77777777" w:rsidR="009700E5" w:rsidRDefault="009700E5"/>
    <w:p w14:paraId="2575608F" w14:textId="77777777" w:rsidR="009700E5" w:rsidRDefault="002C033C">
      <w:pPr>
        <w:keepNext/>
        <w:keepLines/>
        <w:rPr>
          <w:i/>
          <w:u w:val="single"/>
        </w:rPr>
      </w:pPr>
      <w:r>
        <w:rPr>
          <w:i/>
          <w:u w:val="single"/>
        </w:rPr>
        <w:t>Kumulatívna dávka glukokortikoidov</w:t>
      </w:r>
    </w:p>
    <w:p w14:paraId="23061F8C" w14:textId="77777777" w:rsidR="009700E5" w:rsidRDefault="002C033C">
      <w:r>
        <w:t>Kumulatívna dávka prednizónu bola v 52. týždni výrazne nižšia v obidvoch skupinách s tocilizumabom v porovnaní s dvoma skupinami s placebom (tabuľka 4). V osobitnej analýze pacientov, ktorí dostávali prednizón ako emergentnú liečbu pri vzplanutí OBA počas prvých 52 týždňov, sa veľkosť kumulatívnej dávky prednizónu významne líšila. Priemerné dávky u pacientov, ktorým bola podávaná emergentná liečba, boli v skupine s tocilizumabom podávaným raz za týždeň v dávke 3 129,75 mg a v skupine s tocilizumabom podávaným každý druhý týždeň v dávke 3 847 mg. V oboch prípadoch bola táto dávka významne nižšia ako v skupinách s placebom plus 26 týždňov postupného znižovania prednizónu, kde bola 4 023,5 mg, a v skupine s placebom plus 52 týždňov postupného znižovania prednizónu, kde bola 5 389,5 mg.</w:t>
      </w:r>
    </w:p>
    <w:p w14:paraId="3CF51048" w14:textId="77777777" w:rsidR="009700E5" w:rsidRDefault="009700E5"/>
    <w:p w14:paraId="207E6C81" w14:textId="77777777" w:rsidR="009700E5" w:rsidRDefault="002C033C">
      <w:pPr>
        <w:numPr>
          <w:ilvl w:val="12"/>
          <w:numId w:val="0"/>
        </w:numPr>
        <w:rPr>
          <w:bCs/>
          <w:i/>
          <w:szCs w:val="22"/>
        </w:rPr>
      </w:pPr>
      <w:r>
        <w:rPr>
          <w:bCs/>
          <w:i/>
          <w:szCs w:val="22"/>
        </w:rPr>
        <w:t>Tabuľka 4. Výsledky účinnosti z</w:t>
      </w:r>
      <w:del w:id="2395" w:author="Author" w:date="2025-08-22T14:42:00Z">
        <w:r>
          <w:rPr>
            <w:bCs/>
            <w:i/>
            <w:szCs w:val="22"/>
          </w:rPr>
          <w:delText>o</w:delText>
        </w:r>
      </w:del>
      <w:del w:id="2396" w:author="Author" w:date="2025-07-20T00:13:00Z">
        <w:r>
          <w:rPr>
            <w:bCs/>
            <w:i/>
            <w:szCs w:val="22"/>
          </w:rPr>
          <w:delText xml:space="preserve"> štúdie</w:delText>
        </w:r>
      </w:del>
      <w:ins w:id="2397" w:author="Author" w:date="2025-07-20T00:13:00Z">
        <w:r>
          <w:rPr>
            <w:bCs/>
            <w:i/>
            <w:szCs w:val="22"/>
          </w:rPr>
          <w:t xml:space="preserve"> </w:t>
        </w:r>
      </w:ins>
      <w:ins w:id="2398" w:author="Author" w:date="2025-07-21T10:48:00Z">
        <w:r>
          <w:rPr>
            <w:i/>
            <w:rPrChange w:id="2399" w:author="Author" w:date="2025-08-22T15:12:00Z">
              <w:rPr/>
            </w:rPrChange>
          </w:rPr>
          <w:t>klinického</w:t>
        </w:r>
        <w:r>
          <w:rPr>
            <w:bCs/>
            <w:i/>
            <w:szCs w:val="22"/>
          </w:rPr>
          <w:t xml:space="preserve"> </w:t>
        </w:r>
      </w:ins>
      <w:ins w:id="2400" w:author="Author" w:date="2025-07-20T00:13:00Z">
        <w:r>
          <w:rPr>
            <w:bCs/>
            <w:i/>
            <w:szCs w:val="22"/>
          </w:rPr>
          <w:t>skúšania</w:t>
        </w:r>
      </w:ins>
      <w:r>
        <w:rPr>
          <w:bCs/>
          <w:i/>
          <w:szCs w:val="22"/>
        </w:rPr>
        <w:t xml:space="preserve"> WA28119 </w:t>
      </w:r>
    </w:p>
    <w:p w14:paraId="2D155C3E" w14:textId="77777777" w:rsidR="009700E5" w:rsidRDefault="009700E5">
      <w:pPr>
        <w:numPr>
          <w:ilvl w:val="12"/>
          <w:numId w:val="0"/>
        </w:numPr>
        <w:rPr>
          <w:i/>
          <w:szCs w:val="22"/>
        </w:rPr>
      </w:pPr>
    </w:p>
    <w:tbl>
      <w:tblPr>
        <w:tblW w:w="9214" w:type="dxa"/>
        <w:tblInd w:w="-85" w:type="dxa"/>
        <w:tblLayout w:type="fixed"/>
        <w:tblCellMar>
          <w:left w:w="0" w:type="dxa"/>
          <w:right w:w="0" w:type="dxa"/>
        </w:tblCellMar>
        <w:tblLook w:val="04A0" w:firstRow="1" w:lastRow="0" w:firstColumn="1" w:lastColumn="0" w:noHBand="0" w:noVBand="1"/>
      </w:tblPr>
      <w:tblGrid>
        <w:gridCol w:w="3119"/>
        <w:gridCol w:w="142"/>
        <w:gridCol w:w="425"/>
        <w:gridCol w:w="283"/>
        <w:gridCol w:w="709"/>
        <w:gridCol w:w="1418"/>
        <w:gridCol w:w="1842"/>
        <w:gridCol w:w="1276"/>
      </w:tblGrid>
      <w:tr w:rsidR="009700E5" w14:paraId="27DED07B" w14:textId="77777777">
        <w:trPr>
          <w:cantSplit/>
          <w:tblHeader/>
        </w:trPr>
        <w:tc>
          <w:tcPr>
            <w:tcW w:w="3119"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27808606" w14:textId="77777777" w:rsidR="009700E5" w:rsidRDefault="009700E5">
            <w:pPr>
              <w:spacing w:before="50" w:after="50" w:line="240" w:lineRule="exact"/>
              <w:rPr>
                <w:rFonts w:eastAsia="SimSun"/>
                <w:strike/>
                <w:sz w:val="18"/>
                <w:szCs w:val="18"/>
                <w:lang w:eastAsia="zh-CN"/>
              </w:rPr>
            </w:pPr>
          </w:p>
        </w:tc>
        <w:tc>
          <w:tcPr>
            <w:tcW w:w="1559" w:type="dxa"/>
            <w:gridSpan w:val="4"/>
            <w:tcBorders>
              <w:top w:val="single" w:sz="8" w:space="0" w:color="auto"/>
              <w:left w:val="nil"/>
              <w:bottom w:val="single" w:sz="8" w:space="0" w:color="auto"/>
              <w:right w:val="nil"/>
            </w:tcBorders>
            <w:tcMar>
              <w:top w:w="0" w:type="dxa"/>
              <w:left w:w="57" w:type="dxa"/>
              <w:bottom w:w="0" w:type="dxa"/>
              <w:right w:w="57" w:type="dxa"/>
            </w:tcMar>
          </w:tcPr>
          <w:p w14:paraId="08A2634F" w14:textId="77777777" w:rsidR="009700E5" w:rsidRDefault="002C033C">
            <w:pPr>
              <w:spacing w:before="50" w:after="50" w:line="240" w:lineRule="exact"/>
              <w:jc w:val="center"/>
              <w:rPr>
                <w:rFonts w:eastAsia="SimSun"/>
                <w:b/>
                <w:sz w:val="18"/>
                <w:szCs w:val="18"/>
                <w:lang w:eastAsia="zh-CN"/>
              </w:rPr>
            </w:pPr>
            <w:r>
              <w:rPr>
                <w:rFonts w:eastAsia="SimSun"/>
                <w:b/>
                <w:sz w:val="18"/>
                <w:szCs w:val="18"/>
                <w:lang w:eastAsia="zh-CN"/>
              </w:rPr>
              <w:t>Placebo + 26 týždňov postupne znižovanej dávky prednizónu</w:t>
            </w:r>
          </w:p>
          <w:p w14:paraId="58C879FB" w14:textId="77777777" w:rsidR="009700E5" w:rsidRDefault="002C033C">
            <w:pPr>
              <w:spacing w:before="50" w:after="50" w:line="240" w:lineRule="exact"/>
              <w:jc w:val="center"/>
              <w:rPr>
                <w:rFonts w:eastAsia="SimSun"/>
                <w:b/>
                <w:sz w:val="18"/>
                <w:szCs w:val="18"/>
                <w:lang w:eastAsia="zh-CN"/>
              </w:rPr>
            </w:pPr>
            <w:del w:id="2401" w:author="Author" w:date="2025-07-20T00:13:00Z">
              <w:r>
                <w:rPr>
                  <w:rFonts w:eastAsia="SimSun"/>
                  <w:b/>
                  <w:sz w:val="18"/>
                  <w:szCs w:val="18"/>
                  <w:lang w:eastAsia="zh-CN"/>
                </w:rPr>
                <w:delText>N </w:delText>
              </w:r>
            </w:del>
            <w:ins w:id="2402" w:author="Author" w:date="2025-07-20T00:13:00Z">
              <w:r>
                <w:rPr>
                  <w:rFonts w:eastAsia="SimSun"/>
                  <w:b/>
                  <w:sz w:val="18"/>
                  <w:szCs w:val="18"/>
                  <w:lang w:eastAsia="zh-CN"/>
                </w:rPr>
                <w:t>n </w:t>
              </w:r>
            </w:ins>
            <w:r>
              <w:rPr>
                <w:rFonts w:eastAsia="SimSun"/>
                <w:b/>
                <w:sz w:val="18"/>
                <w:szCs w:val="18"/>
                <w:lang w:eastAsia="zh-CN"/>
              </w:rPr>
              <w:t>= 50</w:t>
            </w:r>
          </w:p>
        </w:tc>
        <w:tc>
          <w:tcPr>
            <w:tcW w:w="1418" w:type="dxa"/>
            <w:tcBorders>
              <w:top w:val="single" w:sz="8" w:space="0" w:color="auto"/>
              <w:left w:val="nil"/>
              <w:bottom w:val="single" w:sz="8" w:space="0" w:color="auto"/>
              <w:right w:val="nil"/>
            </w:tcBorders>
            <w:tcMar>
              <w:top w:w="0" w:type="dxa"/>
              <w:left w:w="57" w:type="dxa"/>
              <w:bottom w:w="0" w:type="dxa"/>
              <w:right w:w="57" w:type="dxa"/>
            </w:tcMar>
          </w:tcPr>
          <w:p w14:paraId="1DFC7970" w14:textId="77777777" w:rsidR="009700E5" w:rsidRDefault="002C033C">
            <w:pPr>
              <w:spacing w:before="50" w:after="50" w:line="240" w:lineRule="exact"/>
              <w:jc w:val="center"/>
              <w:rPr>
                <w:rFonts w:eastAsia="SimSun"/>
                <w:b/>
                <w:sz w:val="18"/>
                <w:szCs w:val="18"/>
                <w:lang w:eastAsia="zh-CN"/>
              </w:rPr>
            </w:pPr>
            <w:r>
              <w:rPr>
                <w:rFonts w:eastAsia="SimSun"/>
                <w:b/>
                <w:sz w:val="18"/>
                <w:szCs w:val="18"/>
                <w:lang w:eastAsia="zh-CN"/>
              </w:rPr>
              <w:t>Placebo + 52 týždňov postupne znižovanej dávky prednizónu</w:t>
            </w:r>
          </w:p>
          <w:p w14:paraId="79CB7CB3" w14:textId="77777777" w:rsidR="009700E5" w:rsidRDefault="002C033C">
            <w:pPr>
              <w:spacing w:before="50" w:after="50" w:line="240" w:lineRule="exact"/>
              <w:jc w:val="center"/>
              <w:rPr>
                <w:rFonts w:eastAsia="SimSun"/>
                <w:b/>
                <w:sz w:val="18"/>
                <w:szCs w:val="18"/>
                <w:lang w:eastAsia="zh-CN"/>
              </w:rPr>
            </w:pPr>
            <w:del w:id="2403" w:author="Author" w:date="2025-07-20T00:13:00Z">
              <w:r>
                <w:rPr>
                  <w:rFonts w:eastAsia="SimSun"/>
                  <w:b/>
                  <w:sz w:val="18"/>
                  <w:szCs w:val="18"/>
                  <w:lang w:eastAsia="zh-CN"/>
                </w:rPr>
                <w:delText>N </w:delText>
              </w:r>
            </w:del>
            <w:ins w:id="2404" w:author="Author" w:date="2025-07-20T00:13:00Z">
              <w:r>
                <w:rPr>
                  <w:rFonts w:eastAsia="SimSun"/>
                  <w:b/>
                  <w:sz w:val="18"/>
                  <w:szCs w:val="18"/>
                  <w:lang w:eastAsia="zh-CN"/>
                </w:rPr>
                <w:t>n </w:t>
              </w:r>
            </w:ins>
            <w:r>
              <w:rPr>
                <w:rFonts w:eastAsia="SimSun"/>
                <w:b/>
                <w:sz w:val="18"/>
                <w:szCs w:val="18"/>
                <w:lang w:eastAsia="zh-CN"/>
              </w:rPr>
              <w:t>= 51</w:t>
            </w:r>
          </w:p>
        </w:tc>
        <w:tc>
          <w:tcPr>
            <w:tcW w:w="1842" w:type="dxa"/>
            <w:tcBorders>
              <w:top w:val="single" w:sz="8" w:space="0" w:color="auto"/>
              <w:left w:val="nil"/>
              <w:bottom w:val="single" w:sz="8" w:space="0" w:color="auto"/>
              <w:right w:val="nil"/>
            </w:tcBorders>
          </w:tcPr>
          <w:p w14:paraId="0E7BD604" w14:textId="77777777" w:rsidR="009700E5" w:rsidRDefault="002C033C">
            <w:pPr>
              <w:spacing w:before="50" w:after="50" w:line="240" w:lineRule="exact"/>
              <w:jc w:val="center"/>
              <w:rPr>
                <w:rFonts w:eastAsia="SimSun"/>
                <w:b/>
                <w:sz w:val="18"/>
                <w:szCs w:val="18"/>
                <w:lang w:eastAsia="zh-CN"/>
              </w:rPr>
            </w:pPr>
            <w:r>
              <w:rPr>
                <w:rFonts w:eastAsia="SimSun"/>
                <w:b/>
                <w:sz w:val="18"/>
                <w:szCs w:val="18"/>
                <w:lang w:eastAsia="zh-CN"/>
              </w:rPr>
              <w:t>Tocilizumab 162 mg s.c. raz za týždeň + 26 týždňov postupne znižovanej dávky prednizónu</w:t>
            </w:r>
          </w:p>
          <w:p w14:paraId="3FCE1C03" w14:textId="77777777" w:rsidR="009700E5" w:rsidRDefault="002C033C">
            <w:pPr>
              <w:spacing w:before="50" w:after="50" w:line="240" w:lineRule="exact"/>
              <w:jc w:val="center"/>
              <w:rPr>
                <w:rFonts w:eastAsia="SimSun"/>
                <w:b/>
                <w:sz w:val="18"/>
                <w:szCs w:val="18"/>
                <w:lang w:eastAsia="zh-CN"/>
              </w:rPr>
            </w:pPr>
            <w:del w:id="2405" w:author="Author" w:date="2025-07-20T00:13:00Z">
              <w:r>
                <w:rPr>
                  <w:rFonts w:eastAsia="SimSun"/>
                  <w:b/>
                  <w:sz w:val="18"/>
                  <w:szCs w:val="18"/>
                  <w:lang w:eastAsia="zh-CN"/>
                </w:rPr>
                <w:delText>N </w:delText>
              </w:r>
            </w:del>
            <w:ins w:id="2406" w:author="Author" w:date="2025-07-20T00:13:00Z">
              <w:r>
                <w:rPr>
                  <w:rFonts w:eastAsia="SimSun"/>
                  <w:b/>
                  <w:sz w:val="18"/>
                  <w:szCs w:val="18"/>
                  <w:lang w:eastAsia="zh-CN"/>
                </w:rPr>
                <w:t>n </w:t>
              </w:r>
            </w:ins>
            <w:r>
              <w:rPr>
                <w:rFonts w:eastAsia="SimSun"/>
                <w:b/>
                <w:sz w:val="18"/>
                <w:szCs w:val="18"/>
                <w:lang w:eastAsia="zh-CN"/>
              </w:rPr>
              <w:t>= 100</w:t>
            </w:r>
          </w:p>
        </w:tc>
        <w:tc>
          <w:tcPr>
            <w:tcW w:w="1276" w:type="dxa"/>
            <w:tcBorders>
              <w:top w:val="single" w:sz="8" w:space="0" w:color="auto"/>
              <w:left w:val="nil"/>
              <w:bottom w:val="single" w:sz="8" w:space="0" w:color="auto"/>
              <w:right w:val="single" w:sz="8" w:space="0" w:color="auto"/>
            </w:tcBorders>
            <w:tcMar>
              <w:top w:w="0" w:type="dxa"/>
              <w:left w:w="57" w:type="dxa"/>
              <w:bottom w:w="0" w:type="dxa"/>
              <w:right w:w="57" w:type="dxa"/>
            </w:tcMar>
          </w:tcPr>
          <w:p w14:paraId="611580A5" w14:textId="77777777" w:rsidR="009700E5" w:rsidRDefault="002C033C">
            <w:pPr>
              <w:spacing w:before="50" w:after="50" w:line="240" w:lineRule="exact"/>
              <w:jc w:val="center"/>
              <w:rPr>
                <w:rFonts w:eastAsia="SimSun"/>
                <w:b/>
                <w:sz w:val="18"/>
                <w:szCs w:val="18"/>
                <w:lang w:eastAsia="zh-CN"/>
              </w:rPr>
            </w:pPr>
            <w:r>
              <w:rPr>
                <w:rFonts w:eastAsia="SimSun"/>
                <w:b/>
                <w:sz w:val="18"/>
                <w:szCs w:val="18"/>
                <w:lang w:eastAsia="zh-CN"/>
              </w:rPr>
              <w:t>Tocilizumab 162 mg s.c. každý druhý týždeň + 26 týždňov postupne znižovanej dávky prednizónu</w:t>
            </w:r>
          </w:p>
          <w:p w14:paraId="10F526D1" w14:textId="77777777" w:rsidR="009700E5" w:rsidRDefault="002C033C">
            <w:pPr>
              <w:spacing w:before="50" w:after="50" w:line="240" w:lineRule="exact"/>
              <w:jc w:val="center"/>
              <w:rPr>
                <w:rFonts w:eastAsia="SimSun"/>
                <w:b/>
                <w:sz w:val="18"/>
                <w:szCs w:val="18"/>
                <w:lang w:eastAsia="zh-CN"/>
              </w:rPr>
            </w:pPr>
            <w:ins w:id="2407" w:author="Author" w:date="2025-07-20T00:13:00Z">
              <w:r>
                <w:rPr>
                  <w:rFonts w:eastAsia="SimSun"/>
                  <w:b/>
                  <w:sz w:val="18"/>
                  <w:szCs w:val="18"/>
                  <w:lang w:eastAsia="zh-CN"/>
                </w:rPr>
                <w:t>n</w:t>
              </w:r>
            </w:ins>
            <w:del w:id="2408" w:author="Author" w:date="2025-07-20T00:13:00Z">
              <w:r>
                <w:rPr>
                  <w:rFonts w:eastAsia="SimSun"/>
                  <w:b/>
                  <w:sz w:val="18"/>
                  <w:szCs w:val="18"/>
                  <w:lang w:eastAsia="zh-CN"/>
                </w:rPr>
                <w:delText>N</w:delText>
              </w:r>
            </w:del>
            <w:r>
              <w:rPr>
                <w:rFonts w:eastAsia="SimSun"/>
                <w:b/>
                <w:sz w:val="18"/>
                <w:szCs w:val="18"/>
                <w:lang w:eastAsia="zh-CN"/>
              </w:rPr>
              <w:t> = 49</w:t>
            </w:r>
          </w:p>
        </w:tc>
      </w:tr>
      <w:tr w:rsidR="009700E5" w14:paraId="15FA7203" w14:textId="77777777">
        <w:trPr>
          <w:cantSplit/>
        </w:trPr>
        <w:tc>
          <w:tcPr>
            <w:tcW w:w="9214" w:type="dxa"/>
            <w:gridSpan w:val="8"/>
            <w:tcBorders>
              <w:left w:val="single" w:sz="4" w:space="0" w:color="auto"/>
              <w:right w:val="single" w:sz="8" w:space="0" w:color="auto"/>
            </w:tcBorders>
          </w:tcPr>
          <w:p w14:paraId="29F0CD23" w14:textId="77777777" w:rsidR="009700E5" w:rsidRDefault="002C033C">
            <w:pPr>
              <w:spacing w:before="50" w:after="50" w:line="240" w:lineRule="exact"/>
              <w:rPr>
                <w:rFonts w:eastAsia="SimSun"/>
                <w:b/>
                <w:sz w:val="18"/>
                <w:szCs w:val="18"/>
                <w:lang w:eastAsia="zh-CN"/>
              </w:rPr>
            </w:pPr>
            <w:r>
              <w:rPr>
                <w:rFonts w:eastAsia="SimSun"/>
                <w:b/>
                <w:sz w:val="18"/>
                <w:szCs w:val="18"/>
                <w:lang w:eastAsia="zh-CN"/>
              </w:rPr>
              <w:t xml:space="preserve"> Primárny cieľový ukazovateľ </w:t>
            </w:r>
          </w:p>
        </w:tc>
      </w:tr>
      <w:tr w:rsidR="009700E5" w14:paraId="44B31748" w14:textId="77777777">
        <w:trPr>
          <w:cantSplit/>
        </w:trPr>
        <w:tc>
          <w:tcPr>
            <w:tcW w:w="6096" w:type="dxa"/>
            <w:gridSpan w:val="6"/>
            <w:tcBorders>
              <w:top w:val="single" w:sz="4" w:space="0" w:color="auto"/>
              <w:left w:val="single" w:sz="4" w:space="0" w:color="auto"/>
            </w:tcBorders>
            <w:tcMar>
              <w:top w:w="0" w:type="dxa"/>
              <w:left w:w="57" w:type="dxa"/>
              <w:bottom w:w="0" w:type="dxa"/>
              <w:right w:w="57" w:type="dxa"/>
            </w:tcMar>
          </w:tcPr>
          <w:p w14:paraId="43F49CB4" w14:textId="77777777" w:rsidR="009700E5" w:rsidRDefault="002C033C">
            <w:pPr>
              <w:spacing w:before="50" w:after="50" w:line="240" w:lineRule="exact"/>
              <w:rPr>
                <w:rFonts w:eastAsia="SimSun"/>
                <w:sz w:val="18"/>
                <w:szCs w:val="18"/>
                <w:lang w:eastAsia="zh-CN"/>
              </w:rPr>
            </w:pPr>
            <w:r>
              <w:rPr>
                <w:rFonts w:eastAsia="SimSun"/>
                <w:sz w:val="18"/>
                <w:szCs w:val="18"/>
                <w:lang w:eastAsia="zh-CN"/>
              </w:rPr>
              <w:t xml:space="preserve">****Pretrvávajúca remisia (skupiny s tocilizumabom vs placebo+26)                       </w:t>
            </w:r>
          </w:p>
        </w:tc>
        <w:tc>
          <w:tcPr>
            <w:tcW w:w="1842" w:type="dxa"/>
            <w:tcBorders>
              <w:top w:val="single" w:sz="4" w:space="0" w:color="auto"/>
              <w:left w:val="nil"/>
              <w:right w:val="nil"/>
            </w:tcBorders>
          </w:tcPr>
          <w:p w14:paraId="1A2C8766" w14:textId="77777777" w:rsidR="009700E5" w:rsidRDefault="009700E5">
            <w:pPr>
              <w:spacing w:before="50" w:after="50" w:line="240" w:lineRule="exact"/>
              <w:jc w:val="center"/>
              <w:rPr>
                <w:rFonts w:eastAsia="SimSun"/>
                <w:strike/>
                <w:sz w:val="18"/>
                <w:szCs w:val="18"/>
                <w:lang w:eastAsia="zh-CN"/>
              </w:rPr>
            </w:pPr>
          </w:p>
        </w:tc>
        <w:tc>
          <w:tcPr>
            <w:tcW w:w="1276" w:type="dxa"/>
            <w:tcBorders>
              <w:top w:val="single" w:sz="4" w:space="0" w:color="auto"/>
              <w:left w:val="nil"/>
              <w:right w:val="single" w:sz="8" w:space="0" w:color="auto"/>
            </w:tcBorders>
            <w:tcMar>
              <w:top w:w="0" w:type="dxa"/>
              <w:left w:w="57" w:type="dxa"/>
              <w:bottom w:w="0" w:type="dxa"/>
              <w:right w:w="57" w:type="dxa"/>
            </w:tcMar>
          </w:tcPr>
          <w:p w14:paraId="39531E02" w14:textId="77777777" w:rsidR="009700E5" w:rsidRDefault="009700E5">
            <w:pPr>
              <w:spacing w:before="50" w:after="50" w:line="240" w:lineRule="exact"/>
              <w:jc w:val="center"/>
              <w:rPr>
                <w:rFonts w:eastAsia="SimSun"/>
                <w:strike/>
                <w:sz w:val="18"/>
                <w:szCs w:val="18"/>
                <w:lang w:eastAsia="zh-CN"/>
              </w:rPr>
            </w:pPr>
          </w:p>
        </w:tc>
      </w:tr>
      <w:tr w:rsidR="009700E5" w14:paraId="2F71687F" w14:textId="77777777">
        <w:trPr>
          <w:cantSplit/>
        </w:trPr>
        <w:tc>
          <w:tcPr>
            <w:tcW w:w="3686" w:type="dxa"/>
            <w:gridSpan w:val="3"/>
            <w:tcBorders>
              <w:left w:val="single" w:sz="4" w:space="0" w:color="auto"/>
            </w:tcBorders>
            <w:tcMar>
              <w:top w:w="0" w:type="dxa"/>
              <w:left w:w="57" w:type="dxa"/>
              <w:bottom w:w="0" w:type="dxa"/>
              <w:right w:w="57" w:type="dxa"/>
            </w:tcMar>
          </w:tcPr>
          <w:p w14:paraId="2590F5DB" w14:textId="77777777" w:rsidR="009700E5" w:rsidRDefault="002C033C">
            <w:pPr>
              <w:spacing w:before="50" w:after="50" w:line="240" w:lineRule="exact"/>
              <w:rPr>
                <w:rFonts w:eastAsia="SimSun"/>
                <w:sz w:val="18"/>
                <w:szCs w:val="18"/>
                <w:lang w:eastAsia="zh-CN"/>
              </w:rPr>
            </w:pPr>
            <w:r>
              <w:rPr>
                <w:rFonts w:eastAsia="SimSun"/>
                <w:sz w:val="18"/>
                <w:szCs w:val="18"/>
                <w:lang w:eastAsia="zh-CN"/>
              </w:rPr>
              <w:t>Pacienti, ktorí odpovedali na liečbu v 52. týždni, n (%)</w:t>
            </w:r>
          </w:p>
        </w:tc>
        <w:tc>
          <w:tcPr>
            <w:tcW w:w="992" w:type="dxa"/>
            <w:gridSpan w:val="2"/>
            <w:tcMar>
              <w:top w:w="0" w:type="dxa"/>
              <w:left w:w="57" w:type="dxa"/>
              <w:bottom w:w="0" w:type="dxa"/>
              <w:right w:w="57" w:type="dxa"/>
            </w:tcMar>
          </w:tcPr>
          <w:p w14:paraId="45349E16"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7 (14 %)</w:t>
            </w:r>
          </w:p>
        </w:tc>
        <w:tc>
          <w:tcPr>
            <w:tcW w:w="1418" w:type="dxa"/>
            <w:tcMar>
              <w:top w:w="0" w:type="dxa"/>
              <w:left w:w="57" w:type="dxa"/>
              <w:bottom w:w="0" w:type="dxa"/>
              <w:right w:w="57" w:type="dxa"/>
            </w:tcMar>
          </w:tcPr>
          <w:p w14:paraId="0EA18F6E"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9 (17,6 %)</w:t>
            </w:r>
          </w:p>
        </w:tc>
        <w:tc>
          <w:tcPr>
            <w:tcW w:w="1842" w:type="dxa"/>
            <w:tcBorders>
              <w:right w:val="nil"/>
            </w:tcBorders>
          </w:tcPr>
          <w:p w14:paraId="670835D7"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56 (56 %)</w:t>
            </w:r>
          </w:p>
        </w:tc>
        <w:tc>
          <w:tcPr>
            <w:tcW w:w="1276" w:type="dxa"/>
            <w:tcBorders>
              <w:left w:val="nil"/>
              <w:right w:val="single" w:sz="8" w:space="0" w:color="auto"/>
            </w:tcBorders>
            <w:tcMar>
              <w:top w:w="0" w:type="dxa"/>
              <w:left w:w="57" w:type="dxa"/>
              <w:bottom w:w="0" w:type="dxa"/>
              <w:right w:w="57" w:type="dxa"/>
            </w:tcMar>
          </w:tcPr>
          <w:p w14:paraId="410672DD"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26 (53,1 %)</w:t>
            </w:r>
          </w:p>
        </w:tc>
      </w:tr>
      <w:tr w:rsidR="009700E5" w14:paraId="408A1F25" w14:textId="77777777">
        <w:trPr>
          <w:cantSplit/>
        </w:trPr>
        <w:tc>
          <w:tcPr>
            <w:tcW w:w="3686" w:type="dxa"/>
            <w:gridSpan w:val="3"/>
            <w:tcBorders>
              <w:left w:val="single" w:sz="4" w:space="0" w:color="auto"/>
              <w:bottom w:val="single" w:sz="4" w:space="0" w:color="auto"/>
            </w:tcBorders>
            <w:tcMar>
              <w:top w:w="0" w:type="dxa"/>
              <w:left w:w="57" w:type="dxa"/>
              <w:bottom w:w="0" w:type="dxa"/>
              <w:right w:w="57" w:type="dxa"/>
            </w:tcMar>
          </w:tcPr>
          <w:p w14:paraId="2CC28C4E" w14:textId="77777777" w:rsidR="009700E5" w:rsidRDefault="002C033C">
            <w:pPr>
              <w:spacing w:before="50" w:after="50" w:line="240" w:lineRule="exact"/>
              <w:rPr>
                <w:rFonts w:eastAsia="SimSun"/>
                <w:sz w:val="18"/>
                <w:szCs w:val="18"/>
                <w:lang w:eastAsia="zh-CN"/>
              </w:rPr>
            </w:pPr>
            <w:r>
              <w:rPr>
                <w:rFonts w:eastAsia="SimSun"/>
                <w:sz w:val="18"/>
                <w:szCs w:val="18"/>
                <w:lang w:eastAsia="zh-CN"/>
              </w:rPr>
              <w:t>Neupravený rozdiel v proporciách</w:t>
            </w:r>
          </w:p>
          <w:p w14:paraId="3E8D60B5" w14:textId="77777777" w:rsidR="009700E5" w:rsidRDefault="002C033C">
            <w:pPr>
              <w:spacing w:before="50" w:after="50" w:line="240" w:lineRule="exact"/>
              <w:rPr>
                <w:rFonts w:eastAsia="SimSun"/>
                <w:sz w:val="18"/>
                <w:szCs w:val="18"/>
                <w:lang w:eastAsia="zh-CN"/>
              </w:rPr>
            </w:pPr>
            <w:r>
              <w:rPr>
                <w:rFonts w:eastAsia="SimSun"/>
                <w:sz w:val="18"/>
                <w:szCs w:val="18"/>
                <w:lang w:eastAsia="zh-CN"/>
              </w:rPr>
              <w:t>(99,5 % IS)</w:t>
            </w:r>
          </w:p>
        </w:tc>
        <w:tc>
          <w:tcPr>
            <w:tcW w:w="992" w:type="dxa"/>
            <w:gridSpan w:val="2"/>
            <w:tcBorders>
              <w:bottom w:val="single" w:sz="4" w:space="0" w:color="auto"/>
            </w:tcBorders>
            <w:tcMar>
              <w:top w:w="0" w:type="dxa"/>
              <w:left w:w="57" w:type="dxa"/>
              <w:bottom w:w="0" w:type="dxa"/>
              <w:right w:w="57" w:type="dxa"/>
            </w:tcMar>
          </w:tcPr>
          <w:p w14:paraId="50C3C776"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N/A</w:t>
            </w:r>
          </w:p>
        </w:tc>
        <w:tc>
          <w:tcPr>
            <w:tcW w:w="1418" w:type="dxa"/>
            <w:tcBorders>
              <w:bottom w:val="single" w:sz="4" w:space="0" w:color="auto"/>
            </w:tcBorders>
            <w:tcMar>
              <w:top w:w="0" w:type="dxa"/>
              <w:left w:w="57" w:type="dxa"/>
              <w:bottom w:w="0" w:type="dxa"/>
              <w:right w:w="57" w:type="dxa"/>
            </w:tcMar>
          </w:tcPr>
          <w:p w14:paraId="01C7CD31"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N/A</w:t>
            </w:r>
          </w:p>
        </w:tc>
        <w:tc>
          <w:tcPr>
            <w:tcW w:w="1842" w:type="dxa"/>
            <w:tcBorders>
              <w:bottom w:val="single" w:sz="4" w:space="0" w:color="auto"/>
              <w:right w:val="nil"/>
            </w:tcBorders>
          </w:tcPr>
          <w:p w14:paraId="691783AD"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42 %*</w:t>
            </w:r>
          </w:p>
          <w:p w14:paraId="46236A80"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(18,00 ; 66,00)</w:t>
            </w:r>
          </w:p>
        </w:tc>
        <w:tc>
          <w:tcPr>
            <w:tcW w:w="1276" w:type="dxa"/>
            <w:tcBorders>
              <w:left w:val="nil"/>
              <w:bottom w:val="single" w:sz="4" w:space="0" w:color="auto"/>
              <w:right w:val="single" w:sz="8" w:space="0" w:color="auto"/>
            </w:tcBorders>
            <w:tcMar>
              <w:top w:w="0" w:type="dxa"/>
              <w:left w:w="57" w:type="dxa"/>
              <w:bottom w:w="0" w:type="dxa"/>
              <w:right w:w="57" w:type="dxa"/>
            </w:tcMar>
          </w:tcPr>
          <w:p w14:paraId="57B99B7F"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39,06 %*</w:t>
            </w:r>
          </w:p>
          <w:p w14:paraId="068F3FAA"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(12,46 ; 65,66)</w:t>
            </w:r>
          </w:p>
        </w:tc>
      </w:tr>
      <w:tr w:rsidR="009700E5" w14:paraId="71B7E839" w14:textId="77777777">
        <w:trPr>
          <w:cantSplit/>
        </w:trPr>
        <w:tc>
          <w:tcPr>
            <w:tcW w:w="9214" w:type="dxa"/>
            <w:gridSpan w:val="8"/>
            <w:tcBorders>
              <w:top w:val="single" w:sz="4" w:space="0" w:color="auto"/>
              <w:left w:val="single" w:sz="4" w:space="0" w:color="auto"/>
              <w:bottom w:val="single" w:sz="4" w:space="0" w:color="auto"/>
              <w:right w:val="single" w:sz="8" w:space="0" w:color="auto"/>
            </w:tcBorders>
          </w:tcPr>
          <w:p w14:paraId="0DD9A5BC" w14:textId="77777777" w:rsidR="009700E5" w:rsidRDefault="002C033C">
            <w:pPr>
              <w:spacing w:before="50" w:after="50" w:line="240" w:lineRule="exact"/>
              <w:rPr>
                <w:rFonts w:eastAsia="SimSun"/>
                <w:b/>
                <w:sz w:val="18"/>
                <w:szCs w:val="18"/>
                <w:lang w:eastAsia="zh-CN"/>
              </w:rPr>
            </w:pPr>
            <w:r>
              <w:rPr>
                <w:rFonts w:eastAsia="SimSun"/>
                <w:b/>
                <w:sz w:val="18"/>
                <w:szCs w:val="18"/>
                <w:lang w:eastAsia="zh-CN"/>
              </w:rPr>
              <w:t xml:space="preserve"> Kľúčový sekundárny cieľový ukazovateľ </w:t>
            </w:r>
          </w:p>
        </w:tc>
      </w:tr>
      <w:tr w:rsidR="009700E5" w14:paraId="011326BD" w14:textId="77777777">
        <w:trPr>
          <w:cantSplit/>
        </w:trPr>
        <w:tc>
          <w:tcPr>
            <w:tcW w:w="6096" w:type="dxa"/>
            <w:gridSpan w:val="6"/>
            <w:tcBorders>
              <w:top w:val="single" w:sz="4" w:space="0" w:color="auto"/>
              <w:left w:val="single" w:sz="4" w:space="0" w:color="auto"/>
            </w:tcBorders>
            <w:tcMar>
              <w:top w:w="0" w:type="dxa"/>
              <w:left w:w="57" w:type="dxa"/>
              <w:bottom w:w="0" w:type="dxa"/>
              <w:right w:w="57" w:type="dxa"/>
            </w:tcMar>
          </w:tcPr>
          <w:p w14:paraId="3754C520" w14:textId="77777777" w:rsidR="009700E5" w:rsidRDefault="002C033C">
            <w:pPr>
              <w:spacing w:before="50" w:after="50" w:line="240" w:lineRule="exact"/>
              <w:rPr>
                <w:rFonts w:eastAsia="SimSun"/>
                <w:sz w:val="18"/>
                <w:szCs w:val="18"/>
                <w:lang w:eastAsia="zh-CN"/>
              </w:rPr>
            </w:pPr>
            <w:r>
              <w:rPr>
                <w:rFonts w:eastAsia="SimSun"/>
                <w:sz w:val="18"/>
                <w:szCs w:val="18"/>
                <w:lang w:eastAsia="zh-CN"/>
              </w:rPr>
              <w:t xml:space="preserve">Pretrvávajúca remisia (skupiny s tocilizumabom vs placebo+52)                       </w:t>
            </w:r>
          </w:p>
        </w:tc>
        <w:tc>
          <w:tcPr>
            <w:tcW w:w="1842" w:type="dxa"/>
            <w:tcBorders>
              <w:top w:val="single" w:sz="4" w:space="0" w:color="auto"/>
              <w:left w:val="nil"/>
              <w:right w:val="nil"/>
            </w:tcBorders>
          </w:tcPr>
          <w:p w14:paraId="4A1B1E30" w14:textId="77777777" w:rsidR="009700E5" w:rsidRDefault="009700E5">
            <w:pPr>
              <w:spacing w:before="50" w:after="50" w:line="240" w:lineRule="exact"/>
              <w:jc w:val="center"/>
              <w:rPr>
                <w:rFonts w:eastAsia="SimSun"/>
                <w:sz w:val="18"/>
                <w:szCs w:val="18"/>
                <w:lang w:eastAsia="zh-CN"/>
              </w:rPr>
            </w:pPr>
          </w:p>
        </w:tc>
        <w:tc>
          <w:tcPr>
            <w:tcW w:w="1276" w:type="dxa"/>
            <w:tcBorders>
              <w:top w:val="single" w:sz="4" w:space="0" w:color="auto"/>
              <w:left w:val="nil"/>
              <w:right w:val="single" w:sz="8" w:space="0" w:color="auto"/>
            </w:tcBorders>
            <w:tcMar>
              <w:top w:w="0" w:type="dxa"/>
              <w:left w:w="57" w:type="dxa"/>
              <w:bottom w:w="0" w:type="dxa"/>
              <w:right w:w="57" w:type="dxa"/>
            </w:tcMar>
          </w:tcPr>
          <w:p w14:paraId="0D61EECF" w14:textId="77777777" w:rsidR="009700E5" w:rsidRDefault="009700E5">
            <w:pPr>
              <w:spacing w:before="50" w:after="50" w:line="240" w:lineRule="exact"/>
              <w:jc w:val="center"/>
              <w:rPr>
                <w:rFonts w:eastAsia="SimSun"/>
                <w:sz w:val="18"/>
                <w:szCs w:val="18"/>
                <w:lang w:eastAsia="zh-CN"/>
              </w:rPr>
            </w:pPr>
          </w:p>
        </w:tc>
      </w:tr>
      <w:tr w:rsidR="009700E5" w14:paraId="7A8485CA" w14:textId="77777777">
        <w:trPr>
          <w:cantSplit/>
        </w:trPr>
        <w:tc>
          <w:tcPr>
            <w:tcW w:w="3969" w:type="dxa"/>
            <w:gridSpan w:val="4"/>
            <w:tcBorders>
              <w:left w:val="single" w:sz="4" w:space="0" w:color="auto"/>
            </w:tcBorders>
            <w:tcMar>
              <w:top w:w="0" w:type="dxa"/>
              <w:left w:w="57" w:type="dxa"/>
              <w:bottom w:w="0" w:type="dxa"/>
              <w:right w:w="57" w:type="dxa"/>
            </w:tcMar>
          </w:tcPr>
          <w:p w14:paraId="56C1C23A" w14:textId="77777777" w:rsidR="009700E5" w:rsidRDefault="002C033C">
            <w:pPr>
              <w:spacing w:before="50" w:after="50" w:line="240" w:lineRule="exact"/>
              <w:rPr>
                <w:rFonts w:eastAsia="SimSun"/>
                <w:sz w:val="18"/>
                <w:szCs w:val="18"/>
                <w:lang w:eastAsia="zh-CN"/>
              </w:rPr>
            </w:pPr>
            <w:r>
              <w:rPr>
                <w:rFonts w:eastAsia="SimSun"/>
                <w:sz w:val="18"/>
                <w:szCs w:val="18"/>
                <w:lang w:eastAsia="zh-CN"/>
              </w:rPr>
              <w:t>Pacienti, ktorí odpovedali na liečbu v 52. týždni, n (%)</w:t>
            </w:r>
          </w:p>
        </w:tc>
        <w:tc>
          <w:tcPr>
            <w:tcW w:w="709" w:type="dxa"/>
            <w:tcMar>
              <w:top w:w="0" w:type="dxa"/>
              <w:left w:w="57" w:type="dxa"/>
              <w:bottom w:w="0" w:type="dxa"/>
              <w:right w:w="57" w:type="dxa"/>
            </w:tcMar>
          </w:tcPr>
          <w:p w14:paraId="6245134C" w14:textId="77777777" w:rsidR="009700E5" w:rsidRDefault="002C033C">
            <w:pPr>
              <w:spacing w:before="50" w:after="50" w:line="240" w:lineRule="exact"/>
              <w:ind w:right="-128"/>
              <w:rPr>
                <w:rFonts w:eastAsia="SimSun"/>
                <w:sz w:val="18"/>
                <w:szCs w:val="18"/>
                <w:lang w:eastAsia="zh-CN"/>
              </w:rPr>
            </w:pPr>
            <w:r>
              <w:rPr>
                <w:rFonts w:eastAsia="SimSun"/>
                <w:sz w:val="18"/>
                <w:szCs w:val="18"/>
                <w:lang w:eastAsia="zh-CN"/>
              </w:rPr>
              <w:t>7 (14 %)</w:t>
            </w:r>
          </w:p>
        </w:tc>
        <w:tc>
          <w:tcPr>
            <w:tcW w:w="1418" w:type="dxa"/>
            <w:tcMar>
              <w:top w:w="0" w:type="dxa"/>
              <w:left w:w="57" w:type="dxa"/>
              <w:bottom w:w="0" w:type="dxa"/>
              <w:right w:w="57" w:type="dxa"/>
            </w:tcMar>
          </w:tcPr>
          <w:p w14:paraId="0F0222F4"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9 (17,6 %)</w:t>
            </w:r>
          </w:p>
        </w:tc>
        <w:tc>
          <w:tcPr>
            <w:tcW w:w="1842" w:type="dxa"/>
            <w:tcBorders>
              <w:right w:val="nil"/>
            </w:tcBorders>
          </w:tcPr>
          <w:p w14:paraId="6003A409"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56 (56 %)</w:t>
            </w:r>
          </w:p>
        </w:tc>
        <w:tc>
          <w:tcPr>
            <w:tcW w:w="1276" w:type="dxa"/>
            <w:tcBorders>
              <w:left w:val="nil"/>
              <w:right w:val="single" w:sz="4" w:space="0" w:color="auto"/>
            </w:tcBorders>
            <w:tcMar>
              <w:top w:w="0" w:type="dxa"/>
              <w:left w:w="57" w:type="dxa"/>
              <w:bottom w:w="0" w:type="dxa"/>
              <w:right w:w="57" w:type="dxa"/>
            </w:tcMar>
          </w:tcPr>
          <w:p w14:paraId="06B8CC5B"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26 (53,1 %)</w:t>
            </w:r>
          </w:p>
        </w:tc>
      </w:tr>
      <w:tr w:rsidR="009700E5" w14:paraId="43268CAD" w14:textId="77777777">
        <w:trPr>
          <w:cantSplit/>
        </w:trPr>
        <w:tc>
          <w:tcPr>
            <w:tcW w:w="3969" w:type="dxa"/>
            <w:gridSpan w:val="4"/>
            <w:tcBorders>
              <w:left w:val="single" w:sz="4" w:space="0" w:color="auto"/>
              <w:bottom w:val="single" w:sz="4" w:space="0" w:color="auto"/>
            </w:tcBorders>
            <w:tcMar>
              <w:top w:w="0" w:type="dxa"/>
              <w:left w:w="57" w:type="dxa"/>
              <w:bottom w:w="0" w:type="dxa"/>
              <w:right w:w="57" w:type="dxa"/>
            </w:tcMar>
          </w:tcPr>
          <w:p w14:paraId="490D8234" w14:textId="77777777" w:rsidR="009700E5" w:rsidRDefault="002C033C">
            <w:pPr>
              <w:spacing w:before="50" w:after="50" w:line="240" w:lineRule="exact"/>
              <w:rPr>
                <w:rFonts w:eastAsia="SimSun"/>
                <w:sz w:val="18"/>
                <w:szCs w:val="18"/>
                <w:lang w:eastAsia="zh-CN"/>
              </w:rPr>
            </w:pPr>
            <w:r>
              <w:rPr>
                <w:rFonts w:eastAsia="SimSun"/>
                <w:sz w:val="18"/>
                <w:szCs w:val="18"/>
                <w:lang w:eastAsia="zh-CN"/>
              </w:rPr>
              <w:t xml:space="preserve">Neupravený rozdiel v proporciách </w:t>
            </w:r>
          </w:p>
          <w:p w14:paraId="2648ED6B" w14:textId="77777777" w:rsidR="009700E5" w:rsidRDefault="002C033C">
            <w:pPr>
              <w:spacing w:before="50" w:after="50" w:line="240" w:lineRule="exact"/>
              <w:rPr>
                <w:rFonts w:eastAsia="SimSun"/>
                <w:sz w:val="18"/>
                <w:szCs w:val="18"/>
                <w:lang w:eastAsia="zh-CN"/>
              </w:rPr>
            </w:pPr>
            <w:r>
              <w:rPr>
                <w:rFonts w:eastAsia="SimSun"/>
                <w:sz w:val="18"/>
                <w:szCs w:val="18"/>
                <w:lang w:eastAsia="zh-CN"/>
              </w:rPr>
              <w:t>(99,5 % IS)</w:t>
            </w:r>
          </w:p>
        </w:tc>
        <w:tc>
          <w:tcPr>
            <w:tcW w:w="709" w:type="dxa"/>
            <w:tcBorders>
              <w:bottom w:val="single" w:sz="4" w:space="0" w:color="auto"/>
            </w:tcBorders>
            <w:tcMar>
              <w:top w:w="0" w:type="dxa"/>
              <w:left w:w="57" w:type="dxa"/>
              <w:bottom w:w="0" w:type="dxa"/>
              <w:right w:w="57" w:type="dxa"/>
            </w:tcMar>
          </w:tcPr>
          <w:p w14:paraId="56C8E442"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N/A</w:t>
            </w:r>
          </w:p>
        </w:tc>
        <w:tc>
          <w:tcPr>
            <w:tcW w:w="1418" w:type="dxa"/>
            <w:tcBorders>
              <w:bottom w:val="single" w:sz="4" w:space="0" w:color="auto"/>
            </w:tcBorders>
            <w:tcMar>
              <w:top w:w="0" w:type="dxa"/>
              <w:left w:w="57" w:type="dxa"/>
              <w:bottom w:w="0" w:type="dxa"/>
              <w:right w:w="57" w:type="dxa"/>
            </w:tcMar>
          </w:tcPr>
          <w:p w14:paraId="73E98F44"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N/A</w:t>
            </w:r>
          </w:p>
        </w:tc>
        <w:tc>
          <w:tcPr>
            <w:tcW w:w="1842" w:type="dxa"/>
            <w:tcBorders>
              <w:bottom w:val="single" w:sz="4" w:space="0" w:color="auto"/>
              <w:right w:val="nil"/>
            </w:tcBorders>
          </w:tcPr>
          <w:p w14:paraId="622A14FE"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38,35 %*</w:t>
            </w:r>
          </w:p>
          <w:p w14:paraId="037446B1"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(17,89 ; 58,81)</w:t>
            </w:r>
          </w:p>
        </w:tc>
        <w:tc>
          <w:tcPr>
            <w:tcW w:w="1276" w:type="dxa"/>
            <w:tcBorders>
              <w:left w:val="nil"/>
              <w:bottom w:val="single" w:sz="4" w:space="0" w:color="auto"/>
              <w:right w:val="single" w:sz="4" w:space="0" w:color="auto"/>
            </w:tcBorders>
            <w:tcMar>
              <w:top w:w="0" w:type="dxa"/>
              <w:left w:w="57" w:type="dxa"/>
              <w:bottom w:w="0" w:type="dxa"/>
              <w:right w:w="57" w:type="dxa"/>
            </w:tcMar>
          </w:tcPr>
          <w:p w14:paraId="1EC8B5CA"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35,41 %**</w:t>
            </w:r>
          </w:p>
          <w:p w14:paraId="14F2D6C9"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(10,41 ; 60,41)</w:t>
            </w:r>
          </w:p>
        </w:tc>
      </w:tr>
      <w:tr w:rsidR="009700E5" w14:paraId="50D70CC5" w14:textId="77777777">
        <w:trPr>
          <w:cantSplit/>
        </w:trPr>
        <w:tc>
          <w:tcPr>
            <w:tcW w:w="3969" w:type="dxa"/>
            <w:gridSpan w:val="4"/>
            <w:tcBorders>
              <w:top w:val="single" w:sz="4" w:space="0" w:color="auto"/>
              <w:left w:val="single" w:sz="4" w:space="0" w:color="auto"/>
              <w:bottom w:val="single" w:sz="4" w:space="0" w:color="auto"/>
            </w:tcBorders>
            <w:tcMar>
              <w:top w:w="0" w:type="dxa"/>
              <w:left w:w="57" w:type="dxa"/>
              <w:bottom w:w="0" w:type="dxa"/>
              <w:right w:w="57" w:type="dxa"/>
            </w:tcMar>
          </w:tcPr>
          <w:p w14:paraId="38EF9068" w14:textId="77777777" w:rsidR="009700E5" w:rsidRDefault="002C033C">
            <w:pPr>
              <w:keepNext/>
              <w:keepLines/>
              <w:spacing w:before="50" w:after="50" w:line="240" w:lineRule="exact"/>
              <w:rPr>
                <w:rFonts w:eastAsia="SimSun"/>
                <w:sz w:val="18"/>
                <w:szCs w:val="18"/>
                <w:lang w:eastAsia="zh-CN"/>
              </w:rPr>
            </w:pPr>
            <w:r>
              <w:rPr>
                <w:rFonts w:eastAsia="SimSun"/>
                <w:b/>
                <w:sz w:val="18"/>
                <w:szCs w:val="18"/>
                <w:lang w:eastAsia="zh-CN"/>
              </w:rPr>
              <w:lastRenderedPageBreak/>
              <w:t xml:space="preserve">Ďalšie sekundárne cieľové ukazovatele </w:t>
            </w:r>
          </w:p>
        </w:tc>
        <w:tc>
          <w:tcPr>
            <w:tcW w:w="709" w:type="dxa"/>
            <w:tcBorders>
              <w:top w:val="single" w:sz="4" w:space="0" w:color="auto"/>
              <w:bottom w:val="single" w:sz="4" w:space="0" w:color="auto"/>
            </w:tcBorders>
            <w:tcMar>
              <w:top w:w="0" w:type="dxa"/>
              <w:left w:w="57" w:type="dxa"/>
              <w:bottom w:w="0" w:type="dxa"/>
              <w:right w:w="57" w:type="dxa"/>
            </w:tcMar>
          </w:tcPr>
          <w:p w14:paraId="5983AB2A" w14:textId="77777777" w:rsidR="009700E5" w:rsidRDefault="009700E5">
            <w:pPr>
              <w:keepNext/>
              <w:keepLines/>
              <w:spacing w:before="50" w:after="50" w:line="240" w:lineRule="exact"/>
              <w:jc w:val="center"/>
              <w:rPr>
                <w:rFonts w:eastAsia="SimSun"/>
                <w:sz w:val="18"/>
                <w:szCs w:val="18"/>
                <w:lang w:eastAsia="zh-CN"/>
              </w:rPr>
            </w:pPr>
          </w:p>
        </w:tc>
        <w:tc>
          <w:tcPr>
            <w:tcW w:w="1418" w:type="dxa"/>
            <w:tcBorders>
              <w:top w:val="single" w:sz="4" w:space="0" w:color="auto"/>
              <w:bottom w:val="single" w:sz="4" w:space="0" w:color="auto"/>
            </w:tcBorders>
            <w:tcMar>
              <w:top w:w="0" w:type="dxa"/>
              <w:left w:w="57" w:type="dxa"/>
              <w:bottom w:w="0" w:type="dxa"/>
              <w:right w:w="57" w:type="dxa"/>
            </w:tcMar>
          </w:tcPr>
          <w:p w14:paraId="2B4A4BBE" w14:textId="77777777" w:rsidR="009700E5" w:rsidRDefault="009700E5">
            <w:pPr>
              <w:keepNext/>
              <w:keepLines/>
              <w:spacing w:before="50" w:after="50" w:line="240" w:lineRule="exact"/>
              <w:jc w:val="center"/>
              <w:rPr>
                <w:rFonts w:eastAsia="SimSun"/>
                <w:sz w:val="18"/>
                <w:szCs w:val="18"/>
                <w:lang w:eastAsia="zh-CN"/>
              </w:rPr>
            </w:pPr>
          </w:p>
        </w:tc>
        <w:tc>
          <w:tcPr>
            <w:tcW w:w="1842" w:type="dxa"/>
            <w:tcBorders>
              <w:top w:val="single" w:sz="4" w:space="0" w:color="auto"/>
              <w:bottom w:val="single" w:sz="4" w:space="0" w:color="auto"/>
              <w:right w:val="nil"/>
            </w:tcBorders>
          </w:tcPr>
          <w:p w14:paraId="5C487790" w14:textId="77777777" w:rsidR="009700E5" w:rsidRDefault="009700E5">
            <w:pPr>
              <w:keepNext/>
              <w:keepLines/>
              <w:spacing w:before="50" w:after="50" w:line="240" w:lineRule="exact"/>
              <w:jc w:val="center"/>
              <w:rPr>
                <w:rFonts w:eastAsia="SimSun"/>
                <w:sz w:val="18"/>
                <w:szCs w:val="18"/>
                <w:lang w:eastAsia="zh-CN"/>
              </w:rPr>
            </w:pPr>
          </w:p>
        </w:tc>
        <w:tc>
          <w:tcPr>
            <w:tcW w:w="1276" w:type="dxa"/>
            <w:tcBorders>
              <w:top w:val="single" w:sz="4" w:space="0" w:color="auto"/>
              <w:left w:val="nil"/>
              <w:bottom w:val="single" w:sz="4" w:space="0" w:color="auto"/>
              <w:right w:val="single" w:sz="4" w:space="0" w:color="auto"/>
            </w:tcBorders>
            <w:tcMar>
              <w:top w:w="0" w:type="dxa"/>
              <w:left w:w="57" w:type="dxa"/>
              <w:bottom w:w="0" w:type="dxa"/>
              <w:right w:w="57" w:type="dxa"/>
            </w:tcMar>
          </w:tcPr>
          <w:p w14:paraId="631FAA59" w14:textId="77777777" w:rsidR="009700E5" w:rsidRDefault="009700E5">
            <w:pPr>
              <w:keepNext/>
              <w:keepLines/>
              <w:spacing w:before="50" w:after="50" w:line="240" w:lineRule="exact"/>
              <w:jc w:val="center"/>
              <w:rPr>
                <w:rFonts w:eastAsia="SimSun"/>
                <w:sz w:val="18"/>
                <w:szCs w:val="18"/>
                <w:lang w:eastAsia="zh-CN"/>
              </w:rPr>
            </w:pPr>
          </w:p>
        </w:tc>
      </w:tr>
      <w:tr w:rsidR="009700E5" w14:paraId="2B1C77AB" w14:textId="77777777">
        <w:trPr>
          <w:cantSplit/>
        </w:trPr>
        <w:tc>
          <w:tcPr>
            <w:tcW w:w="3969" w:type="dxa"/>
            <w:gridSpan w:val="4"/>
            <w:tcBorders>
              <w:top w:val="single" w:sz="4" w:space="0" w:color="auto"/>
              <w:left w:val="single" w:sz="4" w:space="0" w:color="auto"/>
            </w:tcBorders>
            <w:tcMar>
              <w:top w:w="0" w:type="dxa"/>
              <w:left w:w="57" w:type="dxa"/>
              <w:bottom w:w="0" w:type="dxa"/>
              <w:right w:w="57" w:type="dxa"/>
            </w:tcMar>
          </w:tcPr>
          <w:p w14:paraId="6511C5BE" w14:textId="77777777" w:rsidR="009700E5" w:rsidRDefault="002C033C">
            <w:pPr>
              <w:keepNext/>
              <w:keepLines/>
              <w:spacing w:before="50" w:after="50" w:line="240" w:lineRule="exact"/>
              <w:rPr>
                <w:rFonts w:eastAsia="SimSun"/>
                <w:sz w:val="18"/>
                <w:szCs w:val="18"/>
                <w:lang w:eastAsia="zh-CN"/>
              </w:rPr>
            </w:pPr>
            <w:r>
              <w:rPr>
                <w:rFonts w:eastAsia="SimSun"/>
                <w:sz w:val="18"/>
                <w:szCs w:val="18"/>
                <w:lang w:eastAsia="zh-CN"/>
              </w:rPr>
              <w:t>Čas do nástupu prvého vzplanutia OBA¹ (skupiny s tocilizumabom vs placebo+26)</w:t>
            </w:r>
          </w:p>
          <w:p w14:paraId="75DC049A" w14:textId="77777777" w:rsidR="009700E5" w:rsidRDefault="002C033C">
            <w:pPr>
              <w:keepNext/>
              <w:keepLines/>
              <w:spacing w:before="50" w:after="50" w:line="240" w:lineRule="exact"/>
              <w:rPr>
                <w:rFonts w:eastAsia="SimSun"/>
                <w:sz w:val="18"/>
                <w:szCs w:val="18"/>
                <w:lang w:eastAsia="zh-CN"/>
              </w:rPr>
            </w:pPr>
            <w:r>
              <w:rPr>
                <w:rFonts w:eastAsia="SimSun"/>
                <w:sz w:val="18"/>
                <w:szCs w:val="18"/>
                <w:lang w:eastAsia="zh-CN"/>
              </w:rPr>
              <w:t>HR (99 % IS)</w:t>
            </w:r>
          </w:p>
          <w:p w14:paraId="14A98E72" w14:textId="77777777" w:rsidR="009700E5" w:rsidRDefault="002C033C">
            <w:pPr>
              <w:keepNext/>
              <w:keepLines/>
              <w:spacing w:before="50" w:after="50" w:line="240" w:lineRule="exact"/>
              <w:rPr>
                <w:rFonts w:eastAsia="SimSun"/>
                <w:sz w:val="18"/>
                <w:szCs w:val="18"/>
                <w:lang w:eastAsia="zh-CN"/>
              </w:rPr>
            </w:pPr>
            <w:r>
              <w:rPr>
                <w:rFonts w:eastAsia="SimSun"/>
                <w:sz w:val="18"/>
                <w:szCs w:val="18"/>
                <w:lang w:eastAsia="zh-CN"/>
              </w:rPr>
              <w:t xml:space="preserve"> Čas do nástupu prvého vzplanutia OBA ¹ (skupiny s tocilizumabom vs placebo+52)</w:t>
            </w:r>
          </w:p>
          <w:p w14:paraId="47CA60B0" w14:textId="77777777" w:rsidR="009700E5" w:rsidRDefault="002C033C">
            <w:pPr>
              <w:keepNext/>
              <w:keepLines/>
              <w:spacing w:before="50" w:after="50" w:line="240" w:lineRule="exact"/>
              <w:rPr>
                <w:rFonts w:eastAsia="SimSun"/>
                <w:sz w:val="18"/>
                <w:szCs w:val="18"/>
                <w:lang w:eastAsia="zh-CN"/>
              </w:rPr>
            </w:pPr>
            <w:r>
              <w:rPr>
                <w:rFonts w:eastAsia="SimSun"/>
                <w:sz w:val="18"/>
                <w:szCs w:val="18"/>
                <w:lang w:eastAsia="zh-CN"/>
              </w:rPr>
              <w:t xml:space="preserve">                                HR (99 % IS)</w:t>
            </w:r>
          </w:p>
          <w:p w14:paraId="39EC1F66" w14:textId="77777777" w:rsidR="009700E5" w:rsidRDefault="002C033C">
            <w:pPr>
              <w:keepNext/>
              <w:keepLines/>
              <w:spacing w:before="50" w:after="50" w:line="240" w:lineRule="exact"/>
              <w:rPr>
                <w:rFonts w:eastAsia="SimSun"/>
                <w:sz w:val="18"/>
                <w:szCs w:val="18"/>
                <w:lang w:eastAsia="zh-CN"/>
              </w:rPr>
            </w:pPr>
            <w:r>
              <w:rPr>
                <w:rFonts w:eastAsia="SimSun"/>
                <w:sz w:val="18"/>
                <w:szCs w:val="18"/>
                <w:lang w:eastAsia="zh-CN"/>
              </w:rPr>
              <w:t>Čas do nástupu prvého vzplanutia OBA ¹ (pacienti s relapsom ochorenia; skupiny s tocilizumabom vs placebo +26) HR (99 % IS)</w:t>
            </w:r>
          </w:p>
          <w:p w14:paraId="327D4F44" w14:textId="77777777" w:rsidR="009700E5" w:rsidRDefault="002C033C">
            <w:pPr>
              <w:keepNext/>
              <w:keepLines/>
              <w:spacing w:before="50" w:after="50" w:line="240" w:lineRule="exact"/>
              <w:rPr>
                <w:rFonts w:eastAsia="SimSun"/>
                <w:sz w:val="18"/>
                <w:szCs w:val="18"/>
                <w:lang w:eastAsia="zh-CN"/>
              </w:rPr>
            </w:pPr>
            <w:r>
              <w:rPr>
                <w:rFonts w:eastAsia="SimSun"/>
                <w:sz w:val="18"/>
                <w:szCs w:val="18"/>
                <w:lang w:eastAsia="zh-CN"/>
              </w:rPr>
              <w:t>Čas do nástupu prvého vzplanutia OBA ¹ (pacienti s relapsom ochorenia; skupiny s tocilizumabom vs placebo + 52) HR (99 % IS)</w:t>
            </w:r>
          </w:p>
          <w:p w14:paraId="0C56BAEC" w14:textId="77777777" w:rsidR="009700E5" w:rsidRDefault="002C033C">
            <w:pPr>
              <w:keepNext/>
              <w:keepLines/>
              <w:spacing w:before="50" w:after="50" w:line="240" w:lineRule="exact"/>
              <w:rPr>
                <w:rFonts w:eastAsia="SimSun"/>
                <w:sz w:val="18"/>
                <w:szCs w:val="18"/>
                <w:lang w:eastAsia="zh-CN"/>
              </w:rPr>
            </w:pPr>
            <w:r>
              <w:rPr>
                <w:rFonts w:eastAsia="SimSun"/>
                <w:sz w:val="18"/>
                <w:szCs w:val="18"/>
                <w:lang w:eastAsia="zh-CN"/>
              </w:rPr>
              <w:t>Čas do nástupu prvého vzplanutia OBA ¹ (pacienti s novým nástupom ochorenia; skupiny s tocilizumabom vs placebo +26) HR (99 % IS)</w:t>
            </w:r>
          </w:p>
          <w:p w14:paraId="764DB3B1" w14:textId="77777777" w:rsidR="009700E5" w:rsidRDefault="002C033C">
            <w:pPr>
              <w:keepNext/>
              <w:keepLines/>
              <w:spacing w:before="50" w:after="50" w:line="240" w:lineRule="exact"/>
              <w:rPr>
                <w:rFonts w:eastAsia="SimSun"/>
                <w:sz w:val="18"/>
                <w:szCs w:val="18"/>
                <w:lang w:eastAsia="zh-CN"/>
              </w:rPr>
            </w:pPr>
            <w:r>
              <w:rPr>
                <w:rFonts w:eastAsia="SimSun"/>
                <w:sz w:val="18"/>
                <w:szCs w:val="18"/>
                <w:lang w:eastAsia="zh-CN"/>
              </w:rPr>
              <w:t>Čas do nástupu prvého vzplanutia OBA ¹ (pacienti s novým nástupom ochorenia; skupiny s tocilizumabom vs placebo + 52) HR (99 % IS)</w:t>
            </w:r>
          </w:p>
        </w:tc>
        <w:tc>
          <w:tcPr>
            <w:tcW w:w="709" w:type="dxa"/>
            <w:tcBorders>
              <w:top w:val="single" w:sz="4" w:space="0" w:color="auto"/>
            </w:tcBorders>
            <w:tcMar>
              <w:top w:w="0" w:type="dxa"/>
              <w:left w:w="57" w:type="dxa"/>
              <w:bottom w:w="0" w:type="dxa"/>
              <w:right w:w="57" w:type="dxa"/>
            </w:tcMar>
          </w:tcPr>
          <w:p w14:paraId="1DF383D7" w14:textId="77777777" w:rsidR="009700E5" w:rsidRDefault="002C033C">
            <w:pPr>
              <w:keepNext/>
              <w:keepLines/>
              <w:spacing w:before="50" w:after="50" w:line="240" w:lineRule="exact"/>
              <w:jc w:val="center"/>
              <w:rPr>
                <w:rFonts w:eastAsia="SimSun"/>
                <w:sz w:val="18"/>
                <w:szCs w:val="18"/>
                <w:lang w:eastAsia="zh-CN"/>
              </w:rPr>
            </w:pPr>
            <w:r>
              <w:rPr>
                <w:rFonts w:eastAsia="SimSun"/>
                <w:sz w:val="18"/>
                <w:szCs w:val="18"/>
                <w:lang w:eastAsia="zh-CN"/>
              </w:rPr>
              <w:t>N/A</w:t>
            </w:r>
          </w:p>
          <w:p w14:paraId="2215905F" w14:textId="77777777" w:rsidR="009700E5" w:rsidRDefault="009700E5">
            <w:pPr>
              <w:keepNext/>
              <w:keepLines/>
              <w:spacing w:before="50" w:after="50" w:line="240" w:lineRule="exact"/>
              <w:jc w:val="center"/>
              <w:rPr>
                <w:rFonts w:eastAsia="SimSun"/>
                <w:sz w:val="18"/>
                <w:szCs w:val="18"/>
                <w:lang w:eastAsia="zh-CN"/>
              </w:rPr>
            </w:pPr>
          </w:p>
          <w:p w14:paraId="30504802" w14:textId="77777777" w:rsidR="009700E5" w:rsidRDefault="002C033C">
            <w:pPr>
              <w:keepNext/>
              <w:keepLines/>
              <w:spacing w:before="50" w:after="50" w:line="240" w:lineRule="exact"/>
              <w:jc w:val="center"/>
              <w:rPr>
                <w:rFonts w:eastAsia="SimSun"/>
                <w:sz w:val="18"/>
                <w:szCs w:val="18"/>
                <w:lang w:eastAsia="zh-CN"/>
              </w:rPr>
            </w:pPr>
            <w:r>
              <w:rPr>
                <w:rFonts w:eastAsia="SimSun"/>
                <w:sz w:val="18"/>
                <w:szCs w:val="18"/>
                <w:lang w:eastAsia="zh-CN"/>
              </w:rPr>
              <w:t>N/A</w:t>
            </w:r>
          </w:p>
          <w:p w14:paraId="12E730BF" w14:textId="77777777" w:rsidR="009700E5" w:rsidRDefault="009700E5">
            <w:pPr>
              <w:keepNext/>
              <w:keepLines/>
              <w:spacing w:before="50" w:after="50" w:line="240" w:lineRule="exact"/>
              <w:jc w:val="center"/>
              <w:rPr>
                <w:rFonts w:eastAsia="SimSun"/>
                <w:sz w:val="18"/>
                <w:szCs w:val="18"/>
                <w:lang w:eastAsia="zh-CN"/>
              </w:rPr>
            </w:pPr>
          </w:p>
          <w:p w14:paraId="4A45D5D2" w14:textId="77777777" w:rsidR="009700E5" w:rsidRDefault="009700E5">
            <w:pPr>
              <w:keepNext/>
              <w:keepLines/>
              <w:spacing w:before="50" w:after="50" w:line="240" w:lineRule="exact"/>
              <w:jc w:val="center"/>
              <w:rPr>
                <w:rFonts w:eastAsia="SimSun"/>
                <w:sz w:val="18"/>
                <w:szCs w:val="18"/>
                <w:lang w:eastAsia="zh-CN"/>
              </w:rPr>
            </w:pPr>
          </w:p>
          <w:p w14:paraId="7428A93C" w14:textId="77777777" w:rsidR="009700E5" w:rsidRDefault="002C033C">
            <w:pPr>
              <w:keepNext/>
              <w:keepLines/>
              <w:spacing w:before="50" w:after="50" w:line="240" w:lineRule="exact"/>
              <w:jc w:val="center"/>
              <w:rPr>
                <w:rFonts w:eastAsia="SimSun"/>
                <w:sz w:val="18"/>
                <w:szCs w:val="18"/>
                <w:lang w:eastAsia="zh-CN"/>
              </w:rPr>
            </w:pPr>
            <w:r>
              <w:rPr>
                <w:rFonts w:eastAsia="SimSun"/>
                <w:sz w:val="18"/>
                <w:szCs w:val="18"/>
                <w:lang w:eastAsia="zh-CN"/>
              </w:rPr>
              <w:t>N/A</w:t>
            </w:r>
          </w:p>
          <w:p w14:paraId="56F15BBB" w14:textId="77777777" w:rsidR="009700E5" w:rsidRDefault="009700E5">
            <w:pPr>
              <w:keepNext/>
              <w:keepLines/>
              <w:spacing w:before="50" w:after="50" w:line="240" w:lineRule="exact"/>
              <w:rPr>
                <w:rFonts w:eastAsia="SimSun"/>
                <w:sz w:val="18"/>
                <w:szCs w:val="18"/>
                <w:lang w:eastAsia="zh-CN"/>
              </w:rPr>
            </w:pPr>
          </w:p>
          <w:p w14:paraId="0458F55F" w14:textId="77777777" w:rsidR="009700E5" w:rsidRDefault="009700E5">
            <w:pPr>
              <w:keepNext/>
              <w:keepLines/>
              <w:spacing w:before="50" w:after="50" w:line="240" w:lineRule="exact"/>
              <w:jc w:val="center"/>
              <w:rPr>
                <w:rFonts w:eastAsia="SimSun"/>
                <w:sz w:val="18"/>
                <w:szCs w:val="18"/>
                <w:lang w:eastAsia="zh-CN"/>
              </w:rPr>
            </w:pPr>
          </w:p>
          <w:p w14:paraId="63C9E838" w14:textId="77777777" w:rsidR="009700E5" w:rsidRDefault="002C033C">
            <w:pPr>
              <w:keepNext/>
              <w:keepLines/>
              <w:spacing w:before="50" w:after="50" w:line="240" w:lineRule="exact"/>
              <w:rPr>
                <w:rFonts w:eastAsia="SimSun"/>
                <w:sz w:val="18"/>
                <w:szCs w:val="18"/>
                <w:lang w:eastAsia="zh-CN"/>
              </w:rPr>
            </w:pPr>
            <w:r>
              <w:rPr>
                <w:rFonts w:eastAsia="SimSun"/>
                <w:sz w:val="18"/>
                <w:szCs w:val="18"/>
                <w:lang w:eastAsia="zh-CN"/>
              </w:rPr>
              <w:t>N/A</w:t>
            </w:r>
          </w:p>
          <w:p w14:paraId="53DE9AB6" w14:textId="77777777" w:rsidR="009700E5" w:rsidRDefault="009700E5">
            <w:pPr>
              <w:keepNext/>
              <w:keepLines/>
              <w:spacing w:before="50" w:after="50" w:line="240" w:lineRule="exact"/>
              <w:jc w:val="center"/>
              <w:rPr>
                <w:rFonts w:eastAsia="SimSun"/>
                <w:sz w:val="18"/>
                <w:szCs w:val="18"/>
                <w:lang w:eastAsia="zh-CN"/>
              </w:rPr>
            </w:pPr>
          </w:p>
          <w:p w14:paraId="1DE22750" w14:textId="77777777" w:rsidR="009700E5" w:rsidRDefault="009700E5">
            <w:pPr>
              <w:keepNext/>
              <w:keepLines/>
              <w:spacing w:before="50" w:after="50" w:line="240" w:lineRule="exact"/>
              <w:jc w:val="center"/>
              <w:rPr>
                <w:rFonts w:eastAsia="SimSun"/>
                <w:sz w:val="18"/>
                <w:szCs w:val="18"/>
                <w:lang w:eastAsia="zh-CN"/>
              </w:rPr>
            </w:pPr>
          </w:p>
          <w:p w14:paraId="080AF0D2" w14:textId="77777777" w:rsidR="009700E5" w:rsidRDefault="002C033C">
            <w:pPr>
              <w:keepNext/>
              <w:keepLines/>
              <w:spacing w:before="50" w:after="50" w:line="240" w:lineRule="exact"/>
              <w:rPr>
                <w:rFonts w:eastAsia="SimSun"/>
                <w:sz w:val="18"/>
                <w:szCs w:val="18"/>
                <w:lang w:eastAsia="zh-CN"/>
              </w:rPr>
            </w:pPr>
            <w:r>
              <w:rPr>
                <w:rFonts w:eastAsia="SimSun"/>
                <w:sz w:val="18"/>
                <w:szCs w:val="18"/>
                <w:lang w:eastAsia="zh-CN"/>
              </w:rPr>
              <w:t>N/A</w:t>
            </w:r>
          </w:p>
          <w:p w14:paraId="26C56A14" w14:textId="77777777" w:rsidR="009700E5" w:rsidRDefault="009700E5">
            <w:pPr>
              <w:keepNext/>
              <w:keepLines/>
              <w:spacing w:before="50" w:after="50" w:line="240" w:lineRule="exact"/>
              <w:rPr>
                <w:rFonts w:eastAsia="SimSun"/>
                <w:sz w:val="18"/>
                <w:szCs w:val="18"/>
                <w:lang w:eastAsia="zh-CN"/>
              </w:rPr>
            </w:pPr>
          </w:p>
          <w:p w14:paraId="7E83472C" w14:textId="77777777" w:rsidR="009700E5" w:rsidRDefault="009700E5">
            <w:pPr>
              <w:keepNext/>
              <w:keepLines/>
              <w:spacing w:before="50" w:after="50" w:line="240" w:lineRule="exact"/>
              <w:rPr>
                <w:rFonts w:eastAsia="SimSun"/>
                <w:sz w:val="18"/>
                <w:szCs w:val="18"/>
                <w:lang w:eastAsia="zh-CN"/>
              </w:rPr>
            </w:pPr>
          </w:p>
          <w:p w14:paraId="0D4E4EE2" w14:textId="77777777" w:rsidR="009700E5" w:rsidRDefault="002C033C">
            <w:pPr>
              <w:keepNext/>
              <w:keepLines/>
              <w:spacing w:before="50" w:after="50" w:line="240" w:lineRule="exact"/>
              <w:rPr>
                <w:rFonts w:eastAsia="SimSun"/>
                <w:sz w:val="18"/>
                <w:szCs w:val="18"/>
                <w:lang w:eastAsia="zh-CN"/>
              </w:rPr>
            </w:pPr>
            <w:r>
              <w:rPr>
                <w:rFonts w:eastAsia="SimSun"/>
                <w:sz w:val="18"/>
                <w:szCs w:val="18"/>
                <w:lang w:eastAsia="zh-CN"/>
              </w:rPr>
              <w:t>N/A</w:t>
            </w:r>
          </w:p>
        </w:tc>
        <w:tc>
          <w:tcPr>
            <w:tcW w:w="1418" w:type="dxa"/>
            <w:tcBorders>
              <w:top w:val="single" w:sz="4" w:space="0" w:color="auto"/>
            </w:tcBorders>
            <w:tcMar>
              <w:top w:w="0" w:type="dxa"/>
              <w:left w:w="57" w:type="dxa"/>
              <w:bottom w:w="0" w:type="dxa"/>
              <w:right w:w="57" w:type="dxa"/>
            </w:tcMar>
          </w:tcPr>
          <w:p w14:paraId="1034FD29" w14:textId="77777777" w:rsidR="009700E5" w:rsidRDefault="002C033C">
            <w:pPr>
              <w:keepNext/>
              <w:keepLines/>
              <w:spacing w:before="50" w:after="50" w:line="240" w:lineRule="exact"/>
              <w:jc w:val="center"/>
              <w:rPr>
                <w:rFonts w:eastAsia="SimSun"/>
                <w:sz w:val="18"/>
                <w:szCs w:val="18"/>
                <w:lang w:eastAsia="zh-CN"/>
              </w:rPr>
            </w:pPr>
            <w:r>
              <w:rPr>
                <w:rFonts w:eastAsia="SimSun"/>
                <w:sz w:val="18"/>
                <w:szCs w:val="18"/>
                <w:lang w:eastAsia="zh-CN"/>
              </w:rPr>
              <w:t>N/A</w:t>
            </w:r>
          </w:p>
          <w:p w14:paraId="5BE0C531" w14:textId="77777777" w:rsidR="009700E5" w:rsidRDefault="009700E5">
            <w:pPr>
              <w:keepNext/>
              <w:keepLines/>
              <w:spacing w:before="50" w:after="50" w:line="240" w:lineRule="exact"/>
              <w:jc w:val="center"/>
              <w:rPr>
                <w:rFonts w:eastAsia="SimSun"/>
                <w:sz w:val="18"/>
                <w:szCs w:val="18"/>
                <w:lang w:eastAsia="zh-CN"/>
              </w:rPr>
            </w:pPr>
          </w:p>
          <w:p w14:paraId="58F9C496" w14:textId="77777777" w:rsidR="009700E5" w:rsidRDefault="002C033C">
            <w:pPr>
              <w:keepNext/>
              <w:keepLines/>
              <w:spacing w:before="50" w:after="50" w:line="240" w:lineRule="exact"/>
              <w:jc w:val="center"/>
              <w:rPr>
                <w:rFonts w:eastAsia="SimSun"/>
                <w:sz w:val="18"/>
                <w:szCs w:val="18"/>
                <w:lang w:eastAsia="zh-CN"/>
              </w:rPr>
            </w:pPr>
            <w:r>
              <w:rPr>
                <w:rFonts w:eastAsia="SimSun"/>
                <w:sz w:val="18"/>
                <w:szCs w:val="18"/>
                <w:lang w:eastAsia="zh-CN"/>
              </w:rPr>
              <w:t>N/A</w:t>
            </w:r>
          </w:p>
          <w:p w14:paraId="00F79BE4" w14:textId="77777777" w:rsidR="009700E5" w:rsidRDefault="009700E5">
            <w:pPr>
              <w:keepNext/>
              <w:keepLines/>
              <w:spacing w:before="50" w:after="50" w:line="240" w:lineRule="exact"/>
              <w:jc w:val="center"/>
              <w:rPr>
                <w:rFonts w:eastAsia="SimSun"/>
                <w:sz w:val="18"/>
                <w:szCs w:val="18"/>
                <w:lang w:eastAsia="zh-CN"/>
              </w:rPr>
            </w:pPr>
          </w:p>
          <w:p w14:paraId="362434CC" w14:textId="77777777" w:rsidR="009700E5" w:rsidRDefault="009700E5">
            <w:pPr>
              <w:keepNext/>
              <w:keepLines/>
              <w:spacing w:before="50" w:after="50" w:line="240" w:lineRule="exact"/>
              <w:jc w:val="center"/>
              <w:rPr>
                <w:rFonts w:eastAsia="SimSun"/>
                <w:sz w:val="18"/>
                <w:szCs w:val="18"/>
                <w:lang w:eastAsia="zh-CN"/>
              </w:rPr>
            </w:pPr>
          </w:p>
          <w:p w14:paraId="260A4E14" w14:textId="77777777" w:rsidR="009700E5" w:rsidRDefault="002C033C">
            <w:pPr>
              <w:keepNext/>
              <w:keepLines/>
              <w:spacing w:before="50" w:after="50" w:line="240" w:lineRule="exact"/>
              <w:jc w:val="center"/>
              <w:rPr>
                <w:rFonts w:eastAsia="SimSun"/>
                <w:sz w:val="18"/>
                <w:szCs w:val="18"/>
                <w:lang w:eastAsia="zh-CN"/>
              </w:rPr>
            </w:pPr>
            <w:r>
              <w:rPr>
                <w:rFonts w:eastAsia="SimSun"/>
                <w:sz w:val="18"/>
                <w:szCs w:val="18"/>
                <w:lang w:eastAsia="zh-CN"/>
              </w:rPr>
              <w:t>N/A</w:t>
            </w:r>
          </w:p>
          <w:p w14:paraId="74621DA5" w14:textId="77777777" w:rsidR="009700E5" w:rsidRDefault="009700E5">
            <w:pPr>
              <w:keepNext/>
              <w:keepLines/>
              <w:spacing w:before="50" w:after="50" w:line="240" w:lineRule="exact"/>
              <w:rPr>
                <w:rFonts w:eastAsia="SimSun"/>
                <w:sz w:val="18"/>
                <w:szCs w:val="18"/>
                <w:lang w:eastAsia="zh-CN"/>
              </w:rPr>
            </w:pPr>
          </w:p>
          <w:p w14:paraId="73182E9C" w14:textId="77777777" w:rsidR="009700E5" w:rsidRDefault="009700E5">
            <w:pPr>
              <w:keepNext/>
              <w:keepLines/>
              <w:spacing w:before="50" w:after="50" w:line="240" w:lineRule="exact"/>
              <w:jc w:val="center"/>
              <w:rPr>
                <w:rFonts w:eastAsia="SimSun"/>
                <w:sz w:val="18"/>
                <w:szCs w:val="18"/>
                <w:lang w:eastAsia="zh-CN"/>
              </w:rPr>
            </w:pPr>
          </w:p>
          <w:p w14:paraId="01C117A1" w14:textId="77777777" w:rsidR="009700E5" w:rsidRDefault="002C033C">
            <w:pPr>
              <w:keepNext/>
              <w:keepLines/>
              <w:spacing w:before="50" w:after="50" w:line="240" w:lineRule="exact"/>
              <w:jc w:val="center"/>
              <w:rPr>
                <w:rFonts w:eastAsia="SimSun"/>
                <w:sz w:val="18"/>
                <w:szCs w:val="18"/>
                <w:lang w:eastAsia="zh-CN"/>
              </w:rPr>
            </w:pPr>
            <w:r>
              <w:rPr>
                <w:rFonts w:eastAsia="SimSun"/>
                <w:sz w:val="18"/>
                <w:szCs w:val="18"/>
                <w:lang w:eastAsia="zh-CN"/>
              </w:rPr>
              <w:t>N/A</w:t>
            </w:r>
          </w:p>
          <w:p w14:paraId="67B41FD4" w14:textId="77777777" w:rsidR="009700E5" w:rsidRDefault="009700E5">
            <w:pPr>
              <w:keepNext/>
              <w:keepLines/>
              <w:spacing w:before="50" w:after="50" w:line="240" w:lineRule="exact"/>
              <w:jc w:val="center"/>
              <w:rPr>
                <w:rFonts w:eastAsia="SimSun"/>
                <w:sz w:val="18"/>
                <w:szCs w:val="18"/>
                <w:lang w:eastAsia="zh-CN"/>
              </w:rPr>
            </w:pPr>
          </w:p>
          <w:p w14:paraId="0435E588" w14:textId="77777777" w:rsidR="009700E5" w:rsidRDefault="009700E5">
            <w:pPr>
              <w:keepNext/>
              <w:keepLines/>
              <w:spacing w:before="50" w:after="50" w:line="240" w:lineRule="exact"/>
              <w:jc w:val="center"/>
              <w:rPr>
                <w:rFonts w:eastAsia="SimSun"/>
                <w:sz w:val="18"/>
                <w:szCs w:val="18"/>
                <w:lang w:eastAsia="zh-CN"/>
              </w:rPr>
            </w:pPr>
          </w:p>
          <w:p w14:paraId="22B350E6" w14:textId="77777777" w:rsidR="009700E5" w:rsidRDefault="002C033C">
            <w:pPr>
              <w:keepNext/>
              <w:keepLines/>
              <w:spacing w:before="50" w:after="50" w:line="240" w:lineRule="exact"/>
              <w:jc w:val="center"/>
              <w:rPr>
                <w:rFonts w:eastAsia="SimSun"/>
                <w:sz w:val="18"/>
                <w:szCs w:val="18"/>
                <w:lang w:eastAsia="zh-CN"/>
              </w:rPr>
            </w:pPr>
            <w:r>
              <w:rPr>
                <w:rFonts w:eastAsia="SimSun"/>
                <w:sz w:val="18"/>
                <w:szCs w:val="18"/>
                <w:lang w:eastAsia="zh-CN"/>
              </w:rPr>
              <w:t>N/A</w:t>
            </w:r>
          </w:p>
          <w:p w14:paraId="54334DC3" w14:textId="77777777" w:rsidR="009700E5" w:rsidRDefault="009700E5">
            <w:pPr>
              <w:keepNext/>
              <w:keepLines/>
              <w:spacing w:before="50" w:after="50" w:line="240" w:lineRule="exact"/>
              <w:rPr>
                <w:rFonts w:eastAsia="SimSun"/>
                <w:sz w:val="18"/>
                <w:szCs w:val="18"/>
                <w:lang w:eastAsia="zh-CN"/>
              </w:rPr>
            </w:pPr>
          </w:p>
          <w:p w14:paraId="4F3B133F" w14:textId="77777777" w:rsidR="009700E5" w:rsidRDefault="009700E5">
            <w:pPr>
              <w:keepNext/>
              <w:keepLines/>
              <w:spacing w:before="50" w:after="50" w:line="240" w:lineRule="exact"/>
              <w:jc w:val="center"/>
              <w:rPr>
                <w:rFonts w:eastAsia="SimSun"/>
                <w:sz w:val="18"/>
                <w:szCs w:val="18"/>
                <w:lang w:eastAsia="zh-CN"/>
              </w:rPr>
            </w:pPr>
          </w:p>
          <w:p w14:paraId="285E36D3" w14:textId="77777777" w:rsidR="009700E5" w:rsidRDefault="002C033C">
            <w:pPr>
              <w:keepNext/>
              <w:keepLines/>
              <w:spacing w:before="50" w:after="50" w:line="240" w:lineRule="exact"/>
              <w:rPr>
                <w:rFonts w:eastAsia="SimSun"/>
                <w:sz w:val="18"/>
                <w:szCs w:val="18"/>
                <w:lang w:eastAsia="zh-CN"/>
              </w:rPr>
            </w:pPr>
            <w:r>
              <w:rPr>
                <w:rFonts w:eastAsia="SimSun"/>
                <w:sz w:val="18"/>
                <w:szCs w:val="18"/>
                <w:lang w:eastAsia="zh-CN"/>
              </w:rPr>
              <w:t xml:space="preserve">           N/A</w:t>
            </w:r>
          </w:p>
        </w:tc>
        <w:tc>
          <w:tcPr>
            <w:tcW w:w="1842" w:type="dxa"/>
            <w:tcBorders>
              <w:top w:val="single" w:sz="4" w:space="0" w:color="auto"/>
              <w:right w:val="nil"/>
            </w:tcBorders>
          </w:tcPr>
          <w:p w14:paraId="4169F573" w14:textId="77777777" w:rsidR="009700E5" w:rsidRDefault="002C033C">
            <w:pPr>
              <w:keepNext/>
              <w:keepLines/>
              <w:spacing w:before="50" w:after="50" w:line="240" w:lineRule="exact"/>
              <w:jc w:val="center"/>
              <w:rPr>
                <w:rFonts w:eastAsia="SimSun"/>
                <w:sz w:val="18"/>
                <w:szCs w:val="18"/>
                <w:lang w:eastAsia="zh-CN"/>
              </w:rPr>
            </w:pPr>
            <w:r>
              <w:rPr>
                <w:rFonts w:eastAsia="SimSun"/>
                <w:sz w:val="18"/>
                <w:szCs w:val="18"/>
                <w:lang w:eastAsia="zh-CN"/>
              </w:rPr>
              <w:t>0,23*</w:t>
            </w:r>
          </w:p>
          <w:p w14:paraId="18FA0A7B" w14:textId="77777777" w:rsidR="009700E5" w:rsidRDefault="002C033C">
            <w:pPr>
              <w:keepNext/>
              <w:keepLines/>
              <w:spacing w:before="50" w:after="50" w:line="240" w:lineRule="exact"/>
              <w:jc w:val="center"/>
              <w:rPr>
                <w:rFonts w:eastAsia="SimSun"/>
                <w:sz w:val="18"/>
                <w:szCs w:val="18"/>
                <w:lang w:eastAsia="zh-CN"/>
              </w:rPr>
            </w:pPr>
            <w:r>
              <w:rPr>
                <w:rFonts w:eastAsia="SimSun"/>
                <w:sz w:val="18"/>
                <w:szCs w:val="18"/>
                <w:lang w:eastAsia="zh-CN"/>
              </w:rPr>
              <w:t>(0,11 ; 0,46)</w:t>
            </w:r>
          </w:p>
          <w:p w14:paraId="4B70D205" w14:textId="77777777" w:rsidR="009700E5" w:rsidRDefault="002C033C">
            <w:pPr>
              <w:keepNext/>
              <w:keepLines/>
              <w:spacing w:before="50" w:after="50" w:line="240" w:lineRule="exact"/>
              <w:jc w:val="center"/>
              <w:rPr>
                <w:rFonts w:eastAsia="SimSun"/>
                <w:sz w:val="18"/>
                <w:szCs w:val="18"/>
                <w:lang w:eastAsia="zh-CN"/>
              </w:rPr>
            </w:pPr>
            <w:r>
              <w:rPr>
                <w:rFonts w:eastAsia="SimSun"/>
                <w:sz w:val="18"/>
                <w:szCs w:val="18"/>
                <w:lang w:eastAsia="zh-CN"/>
              </w:rPr>
              <w:t>0,39**</w:t>
            </w:r>
          </w:p>
          <w:p w14:paraId="4235F2A4" w14:textId="77777777" w:rsidR="009700E5" w:rsidRDefault="002C033C">
            <w:pPr>
              <w:keepNext/>
              <w:keepLines/>
              <w:spacing w:before="50" w:after="50" w:line="240" w:lineRule="exact"/>
              <w:jc w:val="center"/>
              <w:rPr>
                <w:rFonts w:eastAsia="SimSun"/>
                <w:sz w:val="18"/>
                <w:szCs w:val="18"/>
                <w:lang w:eastAsia="zh-CN"/>
              </w:rPr>
            </w:pPr>
            <w:r>
              <w:rPr>
                <w:rFonts w:eastAsia="SimSun"/>
                <w:sz w:val="18"/>
                <w:szCs w:val="18"/>
                <w:lang w:eastAsia="zh-CN"/>
              </w:rPr>
              <w:t xml:space="preserve">(0,18 ; 0,82) </w:t>
            </w:r>
          </w:p>
          <w:p w14:paraId="2AAA5BD7" w14:textId="77777777" w:rsidR="009700E5" w:rsidRDefault="009700E5">
            <w:pPr>
              <w:keepNext/>
              <w:keepLines/>
              <w:spacing w:before="50" w:after="50" w:line="240" w:lineRule="exact"/>
              <w:jc w:val="center"/>
              <w:rPr>
                <w:rFonts w:eastAsia="SimSun"/>
                <w:sz w:val="18"/>
                <w:szCs w:val="18"/>
                <w:lang w:eastAsia="zh-CN"/>
              </w:rPr>
            </w:pPr>
          </w:p>
          <w:p w14:paraId="64920DE9" w14:textId="77777777" w:rsidR="009700E5" w:rsidRDefault="002C033C">
            <w:pPr>
              <w:keepNext/>
              <w:keepLines/>
              <w:spacing w:line="240" w:lineRule="exact"/>
              <w:jc w:val="center"/>
              <w:rPr>
                <w:rFonts w:eastAsia="SimSun"/>
                <w:sz w:val="18"/>
                <w:szCs w:val="18"/>
                <w:lang w:eastAsia="zh-CN"/>
              </w:rPr>
            </w:pPr>
            <w:r>
              <w:rPr>
                <w:rFonts w:eastAsia="SimSun"/>
                <w:sz w:val="18"/>
                <w:szCs w:val="18"/>
                <w:lang w:eastAsia="zh-CN"/>
              </w:rPr>
              <w:t>0,23***</w:t>
            </w:r>
          </w:p>
          <w:p w14:paraId="522C966F" w14:textId="77777777" w:rsidR="009700E5" w:rsidRDefault="002C033C">
            <w:pPr>
              <w:keepNext/>
              <w:keepLines/>
              <w:spacing w:line="240" w:lineRule="exact"/>
              <w:jc w:val="center"/>
              <w:rPr>
                <w:rFonts w:eastAsia="SimSun"/>
                <w:sz w:val="18"/>
                <w:szCs w:val="18"/>
                <w:lang w:eastAsia="zh-CN"/>
              </w:rPr>
            </w:pPr>
            <w:r>
              <w:rPr>
                <w:rFonts w:eastAsia="SimSun"/>
                <w:sz w:val="18"/>
                <w:szCs w:val="18"/>
                <w:lang w:eastAsia="zh-CN"/>
              </w:rPr>
              <w:t>(0,09 ; 0,61)</w:t>
            </w:r>
          </w:p>
          <w:p w14:paraId="139404A8" w14:textId="77777777" w:rsidR="009700E5" w:rsidRDefault="002C033C">
            <w:pPr>
              <w:keepNext/>
              <w:keepLines/>
              <w:spacing w:line="240" w:lineRule="exact"/>
              <w:jc w:val="center"/>
              <w:rPr>
                <w:rFonts w:eastAsia="SimSun"/>
                <w:sz w:val="18"/>
                <w:szCs w:val="18"/>
                <w:lang w:eastAsia="zh-CN"/>
              </w:rPr>
            </w:pPr>
            <w:r>
              <w:rPr>
                <w:rFonts w:eastAsia="SimSun"/>
                <w:sz w:val="18"/>
                <w:szCs w:val="18"/>
                <w:lang w:eastAsia="zh-CN"/>
              </w:rPr>
              <w:t>0,36</w:t>
            </w:r>
          </w:p>
          <w:p w14:paraId="30835CD3" w14:textId="77777777" w:rsidR="009700E5" w:rsidRDefault="009700E5">
            <w:pPr>
              <w:keepNext/>
              <w:keepLines/>
              <w:spacing w:line="240" w:lineRule="exact"/>
              <w:jc w:val="center"/>
              <w:rPr>
                <w:rFonts w:eastAsia="SimSun"/>
                <w:sz w:val="18"/>
                <w:szCs w:val="18"/>
                <w:lang w:eastAsia="zh-CN"/>
              </w:rPr>
            </w:pPr>
          </w:p>
          <w:p w14:paraId="3A8CE28B" w14:textId="77777777" w:rsidR="009700E5" w:rsidRDefault="002C033C">
            <w:pPr>
              <w:keepNext/>
              <w:keepLines/>
              <w:spacing w:line="240" w:lineRule="exact"/>
              <w:jc w:val="center"/>
              <w:rPr>
                <w:rFonts w:eastAsia="SimSun"/>
                <w:sz w:val="18"/>
                <w:szCs w:val="18"/>
                <w:lang w:eastAsia="zh-CN"/>
              </w:rPr>
            </w:pPr>
            <w:r>
              <w:rPr>
                <w:rFonts w:eastAsia="SimSun"/>
                <w:sz w:val="18"/>
                <w:szCs w:val="18"/>
                <w:lang w:eastAsia="zh-CN"/>
              </w:rPr>
              <w:t>(0,13 ; 1,00)</w:t>
            </w:r>
          </w:p>
          <w:p w14:paraId="49DBCACF" w14:textId="77777777" w:rsidR="009700E5" w:rsidRDefault="002C033C">
            <w:pPr>
              <w:keepNext/>
              <w:keepLines/>
              <w:spacing w:line="240" w:lineRule="exact"/>
              <w:jc w:val="center"/>
              <w:rPr>
                <w:rFonts w:eastAsia="SimSun"/>
                <w:sz w:val="18"/>
                <w:szCs w:val="18"/>
                <w:lang w:eastAsia="zh-CN"/>
              </w:rPr>
            </w:pPr>
            <w:r>
              <w:rPr>
                <w:rFonts w:eastAsia="SimSun"/>
                <w:sz w:val="18"/>
                <w:szCs w:val="18"/>
                <w:lang w:eastAsia="zh-CN"/>
              </w:rPr>
              <w:t>0,25***</w:t>
            </w:r>
          </w:p>
          <w:p w14:paraId="100038A6" w14:textId="77777777" w:rsidR="009700E5" w:rsidRDefault="009700E5">
            <w:pPr>
              <w:keepNext/>
              <w:keepLines/>
              <w:spacing w:line="240" w:lineRule="exact"/>
              <w:jc w:val="center"/>
              <w:rPr>
                <w:rFonts w:eastAsia="SimSun"/>
                <w:sz w:val="18"/>
                <w:szCs w:val="18"/>
                <w:lang w:eastAsia="zh-CN"/>
              </w:rPr>
            </w:pPr>
          </w:p>
          <w:p w14:paraId="7389FCC9" w14:textId="77777777" w:rsidR="009700E5" w:rsidRDefault="002C033C">
            <w:pPr>
              <w:keepNext/>
              <w:keepLines/>
              <w:spacing w:line="240" w:lineRule="exact"/>
              <w:jc w:val="center"/>
              <w:rPr>
                <w:rFonts w:eastAsia="SimSun"/>
                <w:sz w:val="18"/>
                <w:szCs w:val="18"/>
                <w:lang w:eastAsia="zh-CN"/>
              </w:rPr>
            </w:pPr>
            <w:r>
              <w:rPr>
                <w:rFonts w:eastAsia="SimSun"/>
                <w:sz w:val="18"/>
                <w:szCs w:val="18"/>
                <w:lang w:eastAsia="zh-CN"/>
              </w:rPr>
              <w:t>(0,09 ; 0,70)</w:t>
            </w:r>
          </w:p>
          <w:p w14:paraId="0FB3ABF9" w14:textId="77777777" w:rsidR="009700E5" w:rsidRDefault="002C033C">
            <w:pPr>
              <w:keepNext/>
              <w:keepLines/>
              <w:spacing w:line="240" w:lineRule="exact"/>
              <w:jc w:val="center"/>
              <w:rPr>
                <w:rFonts w:eastAsia="SimSun"/>
                <w:sz w:val="18"/>
                <w:szCs w:val="18"/>
                <w:lang w:eastAsia="zh-CN"/>
              </w:rPr>
            </w:pPr>
            <w:r>
              <w:rPr>
                <w:rFonts w:eastAsia="SimSun"/>
                <w:sz w:val="18"/>
                <w:szCs w:val="18"/>
                <w:lang w:eastAsia="zh-CN"/>
              </w:rPr>
              <w:t>0,44</w:t>
            </w:r>
          </w:p>
          <w:p w14:paraId="7AD93A28" w14:textId="77777777" w:rsidR="009700E5" w:rsidRDefault="002C033C">
            <w:pPr>
              <w:keepNext/>
              <w:keepLines/>
              <w:spacing w:line="240" w:lineRule="exact"/>
              <w:jc w:val="center"/>
              <w:rPr>
                <w:rFonts w:eastAsia="SimSun"/>
                <w:sz w:val="18"/>
                <w:szCs w:val="18"/>
                <w:lang w:eastAsia="zh-CN"/>
              </w:rPr>
            </w:pPr>
            <w:r>
              <w:rPr>
                <w:rFonts w:eastAsia="SimSun"/>
                <w:sz w:val="18"/>
                <w:szCs w:val="18"/>
                <w:lang w:eastAsia="zh-CN"/>
              </w:rPr>
              <w:t xml:space="preserve"> </w:t>
            </w:r>
          </w:p>
          <w:p w14:paraId="7A991467" w14:textId="77777777" w:rsidR="009700E5" w:rsidRDefault="009700E5">
            <w:pPr>
              <w:keepNext/>
              <w:keepLines/>
              <w:spacing w:line="240" w:lineRule="exact"/>
              <w:jc w:val="center"/>
              <w:rPr>
                <w:rFonts w:eastAsia="SimSun"/>
                <w:sz w:val="18"/>
                <w:szCs w:val="18"/>
                <w:lang w:eastAsia="zh-CN"/>
              </w:rPr>
            </w:pPr>
          </w:p>
          <w:p w14:paraId="5DB0A7A1" w14:textId="77777777" w:rsidR="009700E5" w:rsidRDefault="002C033C">
            <w:pPr>
              <w:keepNext/>
              <w:keepLines/>
              <w:spacing w:line="240" w:lineRule="exact"/>
              <w:jc w:val="center"/>
              <w:rPr>
                <w:rFonts w:eastAsia="SimSun"/>
                <w:sz w:val="18"/>
                <w:szCs w:val="18"/>
                <w:lang w:eastAsia="zh-CN"/>
              </w:rPr>
            </w:pPr>
            <w:r>
              <w:rPr>
                <w:rFonts w:eastAsia="SimSun"/>
                <w:sz w:val="18"/>
                <w:szCs w:val="18"/>
                <w:lang w:eastAsia="zh-CN"/>
              </w:rPr>
              <w:t>(0,14 ; 1,32)</w:t>
            </w:r>
          </w:p>
          <w:p w14:paraId="5D1BC133" w14:textId="77777777" w:rsidR="009700E5" w:rsidRDefault="009700E5">
            <w:pPr>
              <w:keepNext/>
              <w:keepLines/>
              <w:spacing w:line="240" w:lineRule="exact"/>
              <w:jc w:val="center"/>
              <w:rPr>
                <w:rFonts w:eastAsia="SimSun"/>
                <w:sz w:val="18"/>
                <w:szCs w:val="18"/>
                <w:lang w:eastAsia="zh-CN"/>
              </w:rPr>
            </w:pPr>
          </w:p>
          <w:p w14:paraId="0CCFA915" w14:textId="77777777" w:rsidR="009700E5" w:rsidRDefault="009700E5">
            <w:pPr>
              <w:keepNext/>
              <w:keepLines/>
              <w:spacing w:line="240" w:lineRule="exact"/>
              <w:jc w:val="center"/>
              <w:rPr>
                <w:rFonts w:eastAsia="SimSun"/>
                <w:sz w:val="18"/>
                <w:szCs w:val="18"/>
                <w:lang w:eastAsia="zh-CN"/>
              </w:rPr>
            </w:pPr>
          </w:p>
        </w:tc>
        <w:tc>
          <w:tcPr>
            <w:tcW w:w="1276" w:type="dxa"/>
            <w:tcBorders>
              <w:top w:val="single" w:sz="4" w:space="0" w:color="auto"/>
              <w:left w:val="nil"/>
              <w:right w:val="single" w:sz="4" w:space="0" w:color="auto"/>
            </w:tcBorders>
            <w:tcMar>
              <w:top w:w="0" w:type="dxa"/>
              <w:left w:w="57" w:type="dxa"/>
              <w:bottom w:w="0" w:type="dxa"/>
              <w:right w:w="57" w:type="dxa"/>
            </w:tcMar>
          </w:tcPr>
          <w:p w14:paraId="15963F28" w14:textId="77777777" w:rsidR="009700E5" w:rsidRDefault="002C033C">
            <w:pPr>
              <w:keepNext/>
              <w:keepLines/>
              <w:spacing w:before="50" w:after="50" w:line="240" w:lineRule="exact"/>
              <w:jc w:val="center"/>
              <w:rPr>
                <w:rFonts w:eastAsia="SimSun"/>
                <w:sz w:val="18"/>
                <w:szCs w:val="18"/>
                <w:lang w:eastAsia="zh-CN"/>
              </w:rPr>
            </w:pPr>
            <w:r>
              <w:rPr>
                <w:rFonts w:eastAsia="SimSun"/>
                <w:sz w:val="18"/>
                <w:szCs w:val="18"/>
                <w:lang w:eastAsia="zh-CN"/>
              </w:rPr>
              <w:t>0,28**</w:t>
            </w:r>
          </w:p>
          <w:p w14:paraId="4001A1AC" w14:textId="77777777" w:rsidR="009700E5" w:rsidRDefault="002C033C">
            <w:pPr>
              <w:keepNext/>
              <w:keepLines/>
              <w:spacing w:before="50" w:after="50" w:line="240" w:lineRule="exact"/>
              <w:jc w:val="center"/>
              <w:rPr>
                <w:rFonts w:eastAsia="SimSun"/>
                <w:sz w:val="18"/>
                <w:szCs w:val="18"/>
                <w:lang w:eastAsia="zh-CN"/>
              </w:rPr>
            </w:pPr>
            <w:r>
              <w:rPr>
                <w:rFonts w:eastAsia="SimSun"/>
                <w:sz w:val="18"/>
                <w:szCs w:val="18"/>
                <w:lang w:eastAsia="zh-CN"/>
              </w:rPr>
              <w:t>(0,12 ; 0,66)</w:t>
            </w:r>
          </w:p>
          <w:p w14:paraId="19A4098C" w14:textId="77777777" w:rsidR="009700E5" w:rsidRDefault="002C033C">
            <w:pPr>
              <w:keepNext/>
              <w:keepLines/>
              <w:spacing w:before="50" w:after="50" w:line="240" w:lineRule="exact"/>
              <w:jc w:val="center"/>
              <w:rPr>
                <w:rFonts w:eastAsia="SimSun"/>
                <w:sz w:val="18"/>
                <w:szCs w:val="18"/>
                <w:lang w:eastAsia="zh-CN"/>
              </w:rPr>
            </w:pPr>
            <w:r>
              <w:rPr>
                <w:rFonts w:eastAsia="SimSun"/>
                <w:sz w:val="18"/>
                <w:szCs w:val="18"/>
                <w:lang w:eastAsia="zh-CN"/>
              </w:rPr>
              <w:t>0,48</w:t>
            </w:r>
          </w:p>
          <w:p w14:paraId="450EECF7" w14:textId="77777777" w:rsidR="009700E5" w:rsidRDefault="002C033C">
            <w:pPr>
              <w:keepNext/>
              <w:keepLines/>
              <w:spacing w:before="50" w:after="50" w:line="240" w:lineRule="exact"/>
              <w:jc w:val="center"/>
              <w:rPr>
                <w:rFonts w:eastAsia="SimSun"/>
                <w:sz w:val="18"/>
                <w:szCs w:val="18"/>
                <w:lang w:eastAsia="zh-CN"/>
              </w:rPr>
            </w:pPr>
            <w:r>
              <w:rPr>
                <w:rFonts w:eastAsia="SimSun"/>
                <w:sz w:val="18"/>
                <w:szCs w:val="18"/>
                <w:lang w:eastAsia="zh-CN"/>
              </w:rPr>
              <w:t xml:space="preserve">(0,20 ; 1,16) </w:t>
            </w:r>
          </w:p>
          <w:p w14:paraId="68A5A6E8" w14:textId="77777777" w:rsidR="009700E5" w:rsidRDefault="009700E5">
            <w:pPr>
              <w:keepNext/>
              <w:keepLines/>
              <w:spacing w:before="50" w:after="50" w:line="240" w:lineRule="exact"/>
              <w:jc w:val="center"/>
              <w:rPr>
                <w:rFonts w:eastAsia="SimSun"/>
                <w:sz w:val="18"/>
                <w:szCs w:val="18"/>
                <w:lang w:eastAsia="zh-CN"/>
              </w:rPr>
            </w:pPr>
          </w:p>
          <w:p w14:paraId="3600F0B1" w14:textId="77777777" w:rsidR="009700E5" w:rsidRDefault="002C033C">
            <w:pPr>
              <w:keepNext/>
              <w:keepLines/>
              <w:spacing w:line="240" w:lineRule="exact"/>
              <w:jc w:val="center"/>
              <w:rPr>
                <w:rFonts w:eastAsia="SimSun"/>
                <w:sz w:val="18"/>
                <w:szCs w:val="18"/>
                <w:lang w:eastAsia="zh-CN"/>
              </w:rPr>
            </w:pPr>
            <w:r>
              <w:rPr>
                <w:rFonts w:eastAsia="SimSun"/>
                <w:sz w:val="18"/>
                <w:szCs w:val="18"/>
                <w:lang w:eastAsia="zh-CN"/>
              </w:rPr>
              <w:t>0,42</w:t>
            </w:r>
          </w:p>
          <w:p w14:paraId="5D1E8B0B" w14:textId="77777777" w:rsidR="009700E5" w:rsidRDefault="002C033C">
            <w:pPr>
              <w:keepNext/>
              <w:keepLines/>
              <w:spacing w:line="240" w:lineRule="exact"/>
              <w:jc w:val="center"/>
              <w:rPr>
                <w:rFonts w:eastAsia="SimSun"/>
                <w:sz w:val="18"/>
                <w:szCs w:val="18"/>
                <w:lang w:eastAsia="zh-CN"/>
              </w:rPr>
            </w:pPr>
            <w:r>
              <w:rPr>
                <w:rFonts w:eastAsia="SimSun"/>
                <w:sz w:val="18"/>
                <w:szCs w:val="18"/>
                <w:lang w:eastAsia="zh-CN"/>
              </w:rPr>
              <w:t>(0,14 ; 1,28)</w:t>
            </w:r>
          </w:p>
          <w:p w14:paraId="77C90F8B" w14:textId="77777777" w:rsidR="009700E5" w:rsidRDefault="002C033C">
            <w:pPr>
              <w:keepNext/>
              <w:keepLines/>
              <w:spacing w:line="240" w:lineRule="exact"/>
              <w:jc w:val="center"/>
              <w:rPr>
                <w:rFonts w:eastAsia="SimSun"/>
                <w:sz w:val="18"/>
                <w:szCs w:val="18"/>
                <w:lang w:eastAsia="zh-CN"/>
              </w:rPr>
            </w:pPr>
            <w:r>
              <w:rPr>
                <w:rFonts w:eastAsia="SimSun"/>
                <w:sz w:val="18"/>
                <w:szCs w:val="18"/>
                <w:lang w:eastAsia="zh-CN"/>
              </w:rPr>
              <w:t>0,67</w:t>
            </w:r>
          </w:p>
          <w:p w14:paraId="77662C92" w14:textId="77777777" w:rsidR="009700E5" w:rsidRDefault="009700E5">
            <w:pPr>
              <w:keepNext/>
              <w:keepLines/>
              <w:spacing w:line="240" w:lineRule="exact"/>
              <w:jc w:val="center"/>
              <w:rPr>
                <w:rFonts w:eastAsia="SimSun"/>
                <w:sz w:val="18"/>
                <w:szCs w:val="18"/>
                <w:lang w:eastAsia="zh-CN"/>
              </w:rPr>
            </w:pPr>
          </w:p>
          <w:p w14:paraId="25C8DE98" w14:textId="77777777" w:rsidR="009700E5" w:rsidRDefault="002C033C">
            <w:pPr>
              <w:keepNext/>
              <w:keepLines/>
              <w:spacing w:line="240" w:lineRule="exact"/>
              <w:jc w:val="center"/>
              <w:rPr>
                <w:rFonts w:eastAsia="SimSun"/>
                <w:sz w:val="18"/>
                <w:szCs w:val="18"/>
                <w:lang w:eastAsia="zh-CN"/>
              </w:rPr>
            </w:pPr>
            <w:r>
              <w:rPr>
                <w:rFonts w:eastAsia="SimSun"/>
                <w:sz w:val="18"/>
                <w:szCs w:val="18"/>
                <w:lang w:eastAsia="zh-CN"/>
              </w:rPr>
              <w:t>(0,21 ; 2,10)</w:t>
            </w:r>
          </w:p>
          <w:p w14:paraId="261022F2" w14:textId="77777777" w:rsidR="009700E5" w:rsidRDefault="002C033C">
            <w:pPr>
              <w:keepNext/>
              <w:keepLines/>
              <w:spacing w:line="240" w:lineRule="exact"/>
              <w:jc w:val="center"/>
              <w:rPr>
                <w:rFonts w:eastAsia="SimSun"/>
                <w:sz w:val="18"/>
                <w:szCs w:val="18"/>
                <w:lang w:eastAsia="zh-CN"/>
              </w:rPr>
            </w:pPr>
            <w:r>
              <w:rPr>
                <w:rFonts w:eastAsia="SimSun"/>
                <w:sz w:val="18"/>
                <w:szCs w:val="18"/>
                <w:lang w:eastAsia="zh-CN"/>
              </w:rPr>
              <w:t>0,20***</w:t>
            </w:r>
          </w:p>
          <w:p w14:paraId="54195A75" w14:textId="77777777" w:rsidR="009700E5" w:rsidRDefault="009700E5">
            <w:pPr>
              <w:keepNext/>
              <w:keepLines/>
              <w:spacing w:line="240" w:lineRule="exact"/>
              <w:jc w:val="center"/>
              <w:rPr>
                <w:rFonts w:eastAsia="SimSun"/>
                <w:sz w:val="18"/>
                <w:szCs w:val="18"/>
                <w:lang w:eastAsia="zh-CN"/>
              </w:rPr>
            </w:pPr>
          </w:p>
          <w:p w14:paraId="6BB00B59" w14:textId="77777777" w:rsidR="009700E5" w:rsidRDefault="002C033C">
            <w:pPr>
              <w:keepNext/>
              <w:keepLines/>
              <w:spacing w:line="240" w:lineRule="exact"/>
              <w:jc w:val="center"/>
              <w:rPr>
                <w:rFonts w:eastAsia="SimSun"/>
                <w:sz w:val="18"/>
                <w:szCs w:val="18"/>
                <w:lang w:eastAsia="zh-CN"/>
              </w:rPr>
            </w:pPr>
            <w:r>
              <w:rPr>
                <w:rFonts w:eastAsia="SimSun"/>
                <w:sz w:val="18"/>
                <w:szCs w:val="18"/>
                <w:lang w:eastAsia="zh-CN"/>
              </w:rPr>
              <w:t>(0,05 ; 0,76)</w:t>
            </w:r>
          </w:p>
          <w:p w14:paraId="5BB05529" w14:textId="77777777" w:rsidR="009700E5" w:rsidRDefault="002C033C">
            <w:pPr>
              <w:keepNext/>
              <w:keepLines/>
              <w:spacing w:line="240" w:lineRule="exact"/>
              <w:jc w:val="center"/>
              <w:rPr>
                <w:rFonts w:eastAsia="SimSun"/>
                <w:sz w:val="18"/>
                <w:szCs w:val="18"/>
                <w:lang w:eastAsia="zh-CN"/>
              </w:rPr>
            </w:pPr>
            <w:r>
              <w:rPr>
                <w:rFonts w:eastAsia="SimSun"/>
                <w:sz w:val="18"/>
                <w:szCs w:val="18"/>
                <w:lang w:eastAsia="zh-CN"/>
              </w:rPr>
              <w:t>0,35</w:t>
            </w:r>
          </w:p>
          <w:p w14:paraId="16BFDB3E" w14:textId="77777777" w:rsidR="009700E5" w:rsidRDefault="009700E5">
            <w:pPr>
              <w:keepNext/>
              <w:keepLines/>
              <w:spacing w:line="240" w:lineRule="exact"/>
              <w:jc w:val="center"/>
              <w:rPr>
                <w:rFonts w:eastAsia="SimSun"/>
                <w:sz w:val="18"/>
                <w:szCs w:val="18"/>
                <w:lang w:eastAsia="zh-CN"/>
              </w:rPr>
            </w:pPr>
          </w:p>
          <w:p w14:paraId="594A88BA" w14:textId="77777777" w:rsidR="009700E5" w:rsidRDefault="009700E5">
            <w:pPr>
              <w:keepNext/>
              <w:keepLines/>
              <w:spacing w:line="240" w:lineRule="exact"/>
              <w:jc w:val="center"/>
              <w:rPr>
                <w:rFonts w:eastAsia="SimSun"/>
                <w:sz w:val="18"/>
                <w:szCs w:val="18"/>
                <w:lang w:eastAsia="zh-CN"/>
              </w:rPr>
            </w:pPr>
          </w:p>
          <w:p w14:paraId="1B6C320C" w14:textId="77777777" w:rsidR="009700E5" w:rsidRDefault="002C033C">
            <w:pPr>
              <w:keepNext/>
              <w:keepLines/>
              <w:spacing w:line="240" w:lineRule="exact"/>
              <w:jc w:val="center"/>
              <w:rPr>
                <w:rFonts w:eastAsia="SimSun"/>
                <w:sz w:val="18"/>
                <w:szCs w:val="18"/>
                <w:lang w:eastAsia="zh-CN"/>
              </w:rPr>
            </w:pPr>
            <w:r>
              <w:rPr>
                <w:rFonts w:eastAsia="SimSun"/>
                <w:sz w:val="18"/>
                <w:szCs w:val="18"/>
                <w:lang w:eastAsia="zh-CN"/>
              </w:rPr>
              <w:t>(0,09 ; 1,42)</w:t>
            </w:r>
          </w:p>
          <w:p w14:paraId="20C8AE1C" w14:textId="77777777" w:rsidR="009700E5" w:rsidRDefault="009700E5">
            <w:pPr>
              <w:keepNext/>
              <w:keepLines/>
              <w:spacing w:line="240" w:lineRule="exact"/>
              <w:rPr>
                <w:rFonts w:eastAsia="SimSun"/>
                <w:sz w:val="18"/>
                <w:szCs w:val="18"/>
                <w:lang w:eastAsia="zh-CN"/>
              </w:rPr>
            </w:pPr>
          </w:p>
          <w:p w14:paraId="4DCC210B" w14:textId="77777777" w:rsidR="009700E5" w:rsidRDefault="009700E5">
            <w:pPr>
              <w:keepNext/>
              <w:keepLines/>
              <w:spacing w:line="240" w:lineRule="exact"/>
              <w:jc w:val="center"/>
              <w:rPr>
                <w:rFonts w:eastAsia="SimSun"/>
                <w:sz w:val="18"/>
                <w:szCs w:val="18"/>
                <w:lang w:eastAsia="zh-CN"/>
              </w:rPr>
            </w:pPr>
          </w:p>
        </w:tc>
      </w:tr>
      <w:tr w:rsidR="009700E5" w14:paraId="0A9694E7" w14:textId="77777777">
        <w:trPr>
          <w:cantSplit/>
        </w:trPr>
        <w:tc>
          <w:tcPr>
            <w:tcW w:w="3969" w:type="dxa"/>
            <w:gridSpan w:val="4"/>
            <w:tcBorders>
              <w:left w:val="single" w:sz="4" w:space="0" w:color="auto"/>
              <w:bottom w:val="single" w:sz="4" w:space="0" w:color="auto"/>
            </w:tcBorders>
            <w:tcMar>
              <w:top w:w="0" w:type="dxa"/>
              <w:left w:w="57" w:type="dxa"/>
              <w:bottom w:w="0" w:type="dxa"/>
              <w:right w:w="57" w:type="dxa"/>
            </w:tcMar>
          </w:tcPr>
          <w:p w14:paraId="7E279856" w14:textId="77777777" w:rsidR="009700E5" w:rsidRDefault="002C033C">
            <w:pPr>
              <w:spacing w:before="50" w:after="50" w:line="240" w:lineRule="exact"/>
              <w:rPr>
                <w:rFonts w:eastAsia="SimSun"/>
                <w:sz w:val="18"/>
                <w:szCs w:val="18"/>
                <w:lang w:eastAsia="zh-CN"/>
              </w:rPr>
            </w:pPr>
            <w:r>
              <w:rPr>
                <w:rFonts w:eastAsia="SimSun"/>
                <w:sz w:val="18"/>
                <w:szCs w:val="18"/>
                <w:lang w:eastAsia="zh-CN"/>
              </w:rPr>
              <w:t>Kumulatívna dávka glukokortikoidov (mg)</w:t>
            </w:r>
          </w:p>
          <w:p w14:paraId="500C0471" w14:textId="77777777" w:rsidR="009700E5" w:rsidRDefault="002C033C">
            <w:pPr>
              <w:spacing w:before="50" w:after="50" w:line="240" w:lineRule="exact"/>
              <w:rPr>
                <w:rFonts w:eastAsia="SimSun"/>
                <w:sz w:val="18"/>
                <w:szCs w:val="18"/>
                <w:lang w:eastAsia="zh-CN"/>
              </w:rPr>
            </w:pPr>
            <w:r>
              <w:rPr>
                <w:rFonts w:eastAsia="SimSun"/>
                <w:sz w:val="18"/>
                <w:szCs w:val="18"/>
                <w:lang w:eastAsia="zh-CN"/>
              </w:rPr>
              <w:t>medián v 52. týždni (skupiny s tocilizumabom vs placebo+26</w:t>
            </w:r>
            <w:r>
              <w:rPr>
                <w:rFonts w:eastAsia="SimSun"/>
                <w:sz w:val="18"/>
                <w:szCs w:val="18"/>
                <w:vertAlign w:val="superscript"/>
                <w:lang w:eastAsia="zh-CN"/>
              </w:rPr>
              <w:t>2</w:t>
            </w:r>
            <w:r>
              <w:rPr>
                <w:rFonts w:eastAsia="SimSun"/>
                <w:sz w:val="18"/>
                <w:szCs w:val="18"/>
                <w:lang w:eastAsia="zh-CN"/>
              </w:rPr>
              <w:t xml:space="preserve">)                          </w:t>
            </w:r>
          </w:p>
          <w:p w14:paraId="78133DC9" w14:textId="77777777" w:rsidR="009700E5" w:rsidRDefault="002C033C">
            <w:pPr>
              <w:spacing w:before="50" w:after="50" w:line="240" w:lineRule="exact"/>
              <w:rPr>
                <w:rFonts w:eastAsia="SimSun"/>
                <w:sz w:val="18"/>
                <w:szCs w:val="18"/>
                <w:lang w:eastAsia="zh-CN"/>
              </w:rPr>
            </w:pPr>
            <w:r>
              <w:rPr>
                <w:rFonts w:eastAsia="SimSun"/>
                <w:sz w:val="18"/>
                <w:szCs w:val="18"/>
                <w:lang w:eastAsia="zh-CN"/>
              </w:rPr>
              <w:t>medián v 52. týždni (skupiny s tocilizumabom vs placebo +52</w:t>
            </w:r>
            <w:r>
              <w:rPr>
                <w:rFonts w:eastAsia="SimSun"/>
                <w:sz w:val="18"/>
                <w:szCs w:val="18"/>
                <w:vertAlign w:val="superscript"/>
                <w:lang w:eastAsia="zh-CN"/>
              </w:rPr>
              <w:t>2</w:t>
            </w:r>
            <w:r>
              <w:rPr>
                <w:rFonts w:eastAsia="SimSun"/>
                <w:sz w:val="18"/>
                <w:szCs w:val="18"/>
                <w:lang w:eastAsia="zh-CN"/>
              </w:rPr>
              <w:t xml:space="preserve">)                         </w:t>
            </w:r>
          </w:p>
        </w:tc>
        <w:tc>
          <w:tcPr>
            <w:tcW w:w="709" w:type="dxa"/>
            <w:tcBorders>
              <w:bottom w:val="single" w:sz="4" w:space="0" w:color="auto"/>
            </w:tcBorders>
            <w:tcMar>
              <w:top w:w="0" w:type="dxa"/>
              <w:left w:w="57" w:type="dxa"/>
              <w:bottom w:w="0" w:type="dxa"/>
              <w:right w:w="57" w:type="dxa"/>
            </w:tcMar>
          </w:tcPr>
          <w:p w14:paraId="153646F3" w14:textId="77777777" w:rsidR="009700E5" w:rsidRDefault="009700E5">
            <w:pPr>
              <w:spacing w:before="50" w:after="50" w:line="240" w:lineRule="exact"/>
              <w:jc w:val="center"/>
              <w:rPr>
                <w:rFonts w:eastAsia="SimSun"/>
                <w:sz w:val="18"/>
                <w:szCs w:val="18"/>
                <w:lang w:eastAsia="zh-CN"/>
              </w:rPr>
            </w:pPr>
          </w:p>
          <w:p w14:paraId="5E4CA6BA"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3</w:t>
            </w:r>
            <w:ins w:id="2409" w:author="Author" w:date="2025-07-21T10:49:00Z">
              <w:r>
                <w:rPr>
                  <w:rFonts w:eastAsia="SimSun"/>
                  <w:sz w:val="18"/>
                  <w:szCs w:val="18"/>
                  <w:lang w:eastAsia="zh-CN"/>
                </w:rPr>
                <w:t> </w:t>
              </w:r>
            </w:ins>
            <w:r>
              <w:rPr>
                <w:rFonts w:eastAsia="SimSun"/>
                <w:sz w:val="18"/>
                <w:szCs w:val="18"/>
                <w:lang w:eastAsia="zh-CN"/>
              </w:rPr>
              <w:t>296,00</w:t>
            </w:r>
          </w:p>
          <w:p w14:paraId="3DA50E3A" w14:textId="77777777" w:rsidR="009700E5" w:rsidRDefault="009700E5">
            <w:pPr>
              <w:spacing w:before="50" w:after="50" w:line="240" w:lineRule="exact"/>
              <w:jc w:val="center"/>
              <w:rPr>
                <w:rFonts w:eastAsia="SimSun"/>
                <w:sz w:val="18"/>
                <w:szCs w:val="18"/>
                <w:lang w:eastAsia="zh-CN"/>
              </w:rPr>
            </w:pPr>
          </w:p>
          <w:p w14:paraId="001FAD0D"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N/A</w:t>
            </w:r>
          </w:p>
        </w:tc>
        <w:tc>
          <w:tcPr>
            <w:tcW w:w="1418" w:type="dxa"/>
            <w:tcBorders>
              <w:bottom w:val="single" w:sz="4" w:space="0" w:color="auto"/>
            </w:tcBorders>
            <w:tcMar>
              <w:top w:w="0" w:type="dxa"/>
              <w:left w:w="57" w:type="dxa"/>
              <w:bottom w:w="0" w:type="dxa"/>
              <w:right w:w="57" w:type="dxa"/>
            </w:tcMar>
          </w:tcPr>
          <w:p w14:paraId="5A3E875D" w14:textId="77777777" w:rsidR="009700E5" w:rsidRDefault="009700E5">
            <w:pPr>
              <w:spacing w:before="50" w:after="50" w:line="240" w:lineRule="exact"/>
              <w:jc w:val="center"/>
              <w:rPr>
                <w:rFonts w:eastAsia="SimSun"/>
                <w:sz w:val="18"/>
                <w:szCs w:val="18"/>
                <w:lang w:eastAsia="zh-CN"/>
              </w:rPr>
            </w:pPr>
          </w:p>
          <w:p w14:paraId="2BDBEB1B"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N/A</w:t>
            </w:r>
          </w:p>
          <w:p w14:paraId="2ED73763" w14:textId="77777777" w:rsidR="009700E5" w:rsidRDefault="009700E5">
            <w:pPr>
              <w:spacing w:before="50" w:after="50" w:line="240" w:lineRule="exact"/>
              <w:jc w:val="center"/>
              <w:rPr>
                <w:rFonts w:eastAsia="SimSun"/>
                <w:sz w:val="18"/>
                <w:szCs w:val="18"/>
                <w:lang w:eastAsia="zh-CN"/>
              </w:rPr>
            </w:pPr>
          </w:p>
          <w:p w14:paraId="11749CDF"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3</w:t>
            </w:r>
            <w:ins w:id="2410" w:author="Author" w:date="2025-07-21T10:49:00Z">
              <w:r>
                <w:rPr>
                  <w:rFonts w:eastAsia="SimSun"/>
                  <w:sz w:val="18"/>
                  <w:szCs w:val="18"/>
                  <w:lang w:eastAsia="zh-CN"/>
                </w:rPr>
                <w:t> </w:t>
              </w:r>
            </w:ins>
            <w:r>
              <w:rPr>
                <w:rFonts w:eastAsia="SimSun"/>
                <w:sz w:val="18"/>
                <w:szCs w:val="18"/>
                <w:lang w:eastAsia="zh-CN"/>
              </w:rPr>
              <w:t>817,50</w:t>
            </w:r>
          </w:p>
        </w:tc>
        <w:tc>
          <w:tcPr>
            <w:tcW w:w="1842" w:type="dxa"/>
            <w:tcBorders>
              <w:bottom w:val="single" w:sz="4" w:space="0" w:color="auto"/>
              <w:right w:val="nil"/>
            </w:tcBorders>
          </w:tcPr>
          <w:p w14:paraId="41B2CA90" w14:textId="77777777" w:rsidR="009700E5" w:rsidRDefault="009700E5">
            <w:pPr>
              <w:spacing w:before="50" w:after="50" w:line="240" w:lineRule="exact"/>
              <w:jc w:val="center"/>
              <w:rPr>
                <w:rFonts w:eastAsia="SimSun"/>
                <w:sz w:val="18"/>
                <w:szCs w:val="18"/>
                <w:lang w:eastAsia="zh-CN"/>
              </w:rPr>
            </w:pPr>
          </w:p>
          <w:p w14:paraId="0311CEF5"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1</w:t>
            </w:r>
            <w:ins w:id="2411" w:author="Author" w:date="2025-07-21T10:49:00Z">
              <w:r>
                <w:rPr>
                  <w:rFonts w:eastAsia="SimSun"/>
                  <w:sz w:val="18"/>
                  <w:szCs w:val="18"/>
                  <w:lang w:eastAsia="zh-CN"/>
                </w:rPr>
                <w:t> </w:t>
              </w:r>
            </w:ins>
            <w:r>
              <w:rPr>
                <w:rFonts w:eastAsia="SimSun"/>
                <w:sz w:val="18"/>
                <w:szCs w:val="18"/>
                <w:lang w:eastAsia="zh-CN"/>
              </w:rPr>
              <w:t>862,00*</w:t>
            </w:r>
          </w:p>
          <w:p w14:paraId="5D3D3BE8" w14:textId="77777777" w:rsidR="009700E5" w:rsidRDefault="009700E5">
            <w:pPr>
              <w:spacing w:before="50" w:after="50" w:line="240" w:lineRule="exact"/>
              <w:jc w:val="center"/>
              <w:rPr>
                <w:rFonts w:eastAsia="SimSun"/>
                <w:sz w:val="18"/>
                <w:szCs w:val="18"/>
                <w:lang w:eastAsia="zh-CN"/>
              </w:rPr>
            </w:pPr>
          </w:p>
          <w:p w14:paraId="11302840"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1</w:t>
            </w:r>
            <w:ins w:id="2412" w:author="Author" w:date="2025-07-21T10:49:00Z">
              <w:r>
                <w:rPr>
                  <w:rFonts w:eastAsia="SimSun"/>
                  <w:sz w:val="18"/>
                  <w:szCs w:val="18"/>
                  <w:lang w:eastAsia="zh-CN"/>
                </w:rPr>
                <w:t> </w:t>
              </w:r>
            </w:ins>
            <w:r>
              <w:rPr>
                <w:rFonts w:eastAsia="SimSun"/>
                <w:sz w:val="18"/>
                <w:szCs w:val="18"/>
                <w:lang w:eastAsia="zh-CN"/>
              </w:rPr>
              <w:t>862,00*</w:t>
            </w:r>
          </w:p>
        </w:tc>
        <w:tc>
          <w:tcPr>
            <w:tcW w:w="1276" w:type="dxa"/>
            <w:tcBorders>
              <w:left w:val="nil"/>
              <w:bottom w:val="single" w:sz="4" w:space="0" w:color="auto"/>
              <w:right w:val="single" w:sz="4" w:space="0" w:color="auto"/>
            </w:tcBorders>
            <w:tcMar>
              <w:top w:w="0" w:type="dxa"/>
              <w:left w:w="57" w:type="dxa"/>
              <w:bottom w:w="0" w:type="dxa"/>
              <w:right w:w="57" w:type="dxa"/>
            </w:tcMar>
          </w:tcPr>
          <w:p w14:paraId="7F84D81E" w14:textId="77777777" w:rsidR="009700E5" w:rsidRDefault="009700E5">
            <w:pPr>
              <w:spacing w:before="50" w:after="50" w:line="240" w:lineRule="exact"/>
              <w:jc w:val="center"/>
              <w:rPr>
                <w:rFonts w:eastAsia="SimSun"/>
                <w:sz w:val="18"/>
                <w:szCs w:val="18"/>
                <w:lang w:eastAsia="zh-CN"/>
              </w:rPr>
            </w:pPr>
          </w:p>
          <w:p w14:paraId="2663F1EF"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1</w:t>
            </w:r>
            <w:ins w:id="2413" w:author="Author" w:date="2025-07-21T10:49:00Z">
              <w:r>
                <w:rPr>
                  <w:rFonts w:eastAsia="SimSun"/>
                  <w:sz w:val="18"/>
                  <w:szCs w:val="18"/>
                  <w:lang w:eastAsia="zh-CN"/>
                </w:rPr>
                <w:t> </w:t>
              </w:r>
            </w:ins>
            <w:r>
              <w:rPr>
                <w:rFonts w:eastAsia="SimSun"/>
                <w:sz w:val="18"/>
                <w:szCs w:val="18"/>
                <w:lang w:eastAsia="zh-CN"/>
              </w:rPr>
              <w:t>862,00*</w:t>
            </w:r>
          </w:p>
          <w:p w14:paraId="63451B30" w14:textId="77777777" w:rsidR="009700E5" w:rsidRDefault="009700E5">
            <w:pPr>
              <w:spacing w:before="50" w:after="50" w:line="240" w:lineRule="exact"/>
              <w:jc w:val="center"/>
              <w:rPr>
                <w:rFonts w:eastAsia="SimSun"/>
                <w:sz w:val="18"/>
                <w:szCs w:val="18"/>
                <w:lang w:eastAsia="zh-CN"/>
              </w:rPr>
            </w:pPr>
          </w:p>
          <w:p w14:paraId="6D30F792"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1</w:t>
            </w:r>
            <w:ins w:id="2414" w:author="Author" w:date="2025-07-21T10:49:00Z">
              <w:r>
                <w:rPr>
                  <w:rFonts w:eastAsia="SimSun"/>
                  <w:sz w:val="18"/>
                  <w:szCs w:val="18"/>
                  <w:lang w:eastAsia="zh-CN"/>
                </w:rPr>
                <w:t> </w:t>
              </w:r>
            </w:ins>
            <w:r>
              <w:rPr>
                <w:rFonts w:eastAsia="SimSun"/>
                <w:sz w:val="18"/>
                <w:szCs w:val="18"/>
                <w:lang w:eastAsia="zh-CN"/>
              </w:rPr>
              <w:t>862,00*</w:t>
            </w:r>
          </w:p>
        </w:tc>
      </w:tr>
      <w:tr w:rsidR="009700E5" w14:paraId="68BF5623" w14:textId="77777777">
        <w:trPr>
          <w:cantSplit/>
        </w:trPr>
        <w:tc>
          <w:tcPr>
            <w:tcW w:w="9214" w:type="dxa"/>
            <w:gridSpan w:val="8"/>
            <w:tcBorders>
              <w:top w:val="single" w:sz="4" w:space="0" w:color="auto"/>
              <w:left w:val="single" w:sz="4" w:space="0" w:color="auto"/>
              <w:bottom w:val="single" w:sz="4" w:space="0" w:color="auto"/>
              <w:right w:val="single" w:sz="8" w:space="0" w:color="auto"/>
            </w:tcBorders>
          </w:tcPr>
          <w:p w14:paraId="4DDB14F2" w14:textId="77777777" w:rsidR="009700E5" w:rsidRDefault="002C033C">
            <w:pPr>
              <w:keepNext/>
              <w:keepLines/>
              <w:spacing w:before="50" w:after="50" w:line="240" w:lineRule="exact"/>
              <w:rPr>
                <w:rFonts w:eastAsia="SimSun"/>
                <w:b/>
                <w:sz w:val="18"/>
                <w:szCs w:val="18"/>
                <w:lang w:eastAsia="zh-CN"/>
              </w:rPr>
            </w:pPr>
            <w:r>
              <w:rPr>
                <w:rFonts w:eastAsia="SimSun"/>
                <w:b/>
                <w:sz w:val="18"/>
                <w:szCs w:val="18"/>
                <w:lang w:eastAsia="zh-CN"/>
              </w:rPr>
              <w:t xml:space="preserve"> Exploratívne cieľové ukazovatele </w:t>
            </w:r>
          </w:p>
        </w:tc>
      </w:tr>
      <w:tr w:rsidR="009700E5" w14:paraId="4C68735A" w14:textId="77777777">
        <w:trPr>
          <w:cantSplit/>
        </w:trPr>
        <w:tc>
          <w:tcPr>
            <w:tcW w:w="3261" w:type="dxa"/>
            <w:gridSpan w:val="2"/>
            <w:tcBorders>
              <w:top w:val="single" w:sz="4" w:space="0" w:color="auto"/>
              <w:left w:val="single" w:sz="4" w:space="0" w:color="auto"/>
              <w:bottom w:val="single" w:sz="4" w:space="0" w:color="auto"/>
            </w:tcBorders>
            <w:tcMar>
              <w:top w:w="0" w:type="dxa"/>
              <w:left w:w="57" w:type="dxa"/>
              <w:bottom w:w="0" w:type="dxa"/>
              <w:right w:w="57" w:type="dxa"/>
            </w:tcMar>
          </w:tcPr>
          <w:p w14:paraId="0F586ED5" w14:textId="77777777" w:rsidR="009700E5" w:rsidRDefault="002C033C">
            <w:pPr>
              <w:spacing w:before="50" w:after="50" w:line="240" w:lineRule="exact"/>
              <w:rPr>
                <w:rFonts w:eastAsia="SimSun"/>
                <w:sz w:val="18"/>
                <w:szCs w:val="18"/>
                <w:lang w:eastAsia="zh-CN"/>
              </w:rPr>
            </w:pPr>
            <w:r>
              <w:rPr>
                <w:rFonts w:eastAsia="SimSun"/>
                <w:sz w:val="18"/>
                <w:szCs w:val="18"/>
                <w:lang w:eastAsia="zh-CN"/>
              </w:rPr>
              <w:t>Ročná miera relapsu ochorenia, 52. týždeň</w:t>
            </w:r>
            <w:r>
              <w:rPr>
                <w:rFonts w:eastAsia="SimSun"/>
                <w:sz w:val="18"/>
                <w:szCs w:val="18"/>
                <w:vertAlign w:val="superscript"/>
                <w:lang w:eastAsia="zh-CN"/>
              </w:rPr>
              <w:t>§</w:t>
            </w:r>
          </w:p>
          <w:p w14:paraId="4EA0AD5B" w14:textId="77777777" w:rsidR="009700E5" w:rsidRDefault="002C033C">
            <w:pPr>
              <w:spacing w:before="50" w:after="50" w:line="240" w:lineRule="exact"/>
              <w:rPr>
                <w:rFonts w:eastAsia="SimSun"/>
                <w:sz w:val="18"/>
                <w:szCs w:val="18"/>
                <w:lang w:eastAsia="zh-CN"/>
              </w:rPr>
            </w:pPr>
            <w:r>
              <w:rPr>
                <w:rFonts w:eastAsia="SimSun"/>
                <w:sz w:val="18"/>
                <w:szCs w:val="18"/>
                <w:lang w:eastAsia="zh-CN"/>
              </w:rPr>
              <w:t xml:space="preserve">               </w:t>
            </w:r>
          </w:p>
          <w:p w14:paraId="05275CF2" w14:textId="77777777" w:rsidR="009700E5" w:rsidRDefault="002C033C">
            <w:pPr>
              <w:spacing w:before="50" w:after="50" w:line="240" w:lineRule="exact"/>
              <w:rPr>
                <w:rFonts w:eastAsia="SimSun"/>
                <w:sz w:val="18"/>
                <w:szCs w:val="18"/>
                <w:lang w:eastAsia="zh-CN"/>
              </w:rPr>
            </w:pPr>
            <w:r>
              <w:rPr>
                <w:rFonts w:eastAsia="SimSun"/>
                <w:sz w:val="18"/>
                <w:szCs w:val="18"/>
                <w:lang w:eastAsia="zh-CN"/>
              </w:rPr>
              <w:t xml:space="preserve">  Priemer (SD)</w:t>
            </w:r>
          </w:p>
        </w:tc>
        <w:tc>
          <w:tcPr>
            <w:tcW w:w="1417" w:type="dxa"/>
            <w:gridSpan w:val="3"/>
            <w:tcBorders>
              <w:top w:val="single" w:sz="4" w:space="0" w:color="auto"/>
              <w:bottom w:val="single" w:sz="4" w:space="0" w:color="auto"/>
            </w:tcBorders>
            <w:tcMar>
              <w:top w:w="0" w:type="dxa"/>
              <w:left w:w="57" w:type="dxa"/>
              <w:bottom w:w="0" w:type="dxa"/>
              <w:right w:w="57" w:type="dxa"/>
            </w:tcMar>
            <w:vAlign w:val="center"/>
          </w:tcPr>
          <w:p w14:paraId="52255E12" w14:textId="77777777" w:rsidR="009700E5" w:rsidRDefault="009700E5">
            <w:pPr>
              <w:spacing w:before="50" w:after="50" w:line="240" w:lineRule="exact"/>
              <w:jc w:val="center"/>
              <w:rPr>
                <w:rFonts w:eastAsia="SimSun"/>
                <w:sz w:val="18"/>
                <w:szCs w:val="18"/>
                <w:lang w:eastAsia="zh-CN"/>
              </w:rPr>
            </w:pPr>
          </w:p>
          <w:p w14:paraId="7E96AE2E"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1,74</w:t>
            </w:r>
          </w:p>
          <w:p w14:paraId="75A50C26"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(2,18)</w:t>
            </w:r>
          </w:p>
        </w:tc>
        <w:tc>
          <w:tcPr>
            <w:tcW w:w="1418" w:type="dxa"/>
            <w:tcBorders>
              <w:top w:val="single" w:sz="4" w:space="0" w:color="auto"/>
              <w:bottom w:val="single" w:sz="4" w:space="0" w:color="auto"/>
            </w:tcBorders>
            <w:tcMar>
              <w:top w:w="0" w:type="dxa"/>
              <w:left w:w="57" w:type="dxa"/>
              <w:bottom w:w="0" w:type="dxa"/>
              <w:right w:w="57" w:type="dxa"/>
            </w:tcMar>
            <w:vAlign w:val="center"/>
          </w:tcPr>
          <w:p w14:paraId="57D00E4E" w14:textId="77777777" w:rsidR="009700E5" w:rsidRDefault="009700E5">
            <w:pPr>
              <w:spacing w:before="50" w:after="50" w:line="240" w:lineRule="exact"/>
              <w:jc w:val="center"/>
              <w:rPr>
                <w:rFonts w:eastAsia="SimSun"/>
                <w:sz w:val="18"/>
                <w:szCs w:val="18"/>
                <w:lang w:eastAsia="zh-CN"/>
              </w:rPr>
            </w:pPr>
          </w:p>
          <w:p w14:paraId="63C1B3F4"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1,30</w:t>
            </w:r>
          </w:p>
          <w:p w14:paraId="19218DE1"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(1,84)</w:t>
            </w:r>
          </w:p>
        </w:tc>
        <w:tc>
          <w:tcPr>
            <w:tcW w:w="1842" w:type="dxa"/>
            <w:tcBorders>
              <w:top w:val="single" w:sz="4" w:space="0" w:color="auto"/>
              <w:bottom w:val="single" w:sz="4" w:space="0" w:color="auto"/>
              <w:right w:val="nil"/>
            </w:tcBorders>
            <w:vAlign w:val="center"/>
          </w:tcPr>
          <w:p w14:paraId="374CBC57" w14:textId="77777777" w:rsidR="009700E5" w:rsidRDefault="009700E5">
            <w:pPr>
              <w:spacing w:before="50" w:after="50" w:line="240" w:lineRule="exact"/>
              <w:jc w:val="center"/>
              <w:rPr>
                <w:rFonts w:eastAsia="SimSun"/>
                <w:sz w:val="18"/>
                <w:szCs w:val="18"/>
                <w:lang w:eastAsia="zh-CN"/>
              </w:rPr>
            </w:pPr>
          </w:p>
          <w:p w14:paraId="15E23A03"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0,41</w:t>
            </w:r>
          </w:p>
          <w:p w14:paraId="22D847DA"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 xml:space="preserve"> (0,78)</w:t>
            </w:r>
          </w:p>
        </w:tc>
        <w:tc>
          <w:tcPr>
            <w:tcW w:w="1276" w:type="dxa"/>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
          <w:p w14:paraId="5E4949F7" w14:textId="77777777" w:rsidR="009700E5" w:rsidRDefault="009700E5">
            <w:pPr>
              <w:spacing w:before="50" w:after="50" w:line="240" w:lineRule="exact"/>
              <w:jc w:val="center"/>
              <w:rPr>
                <w:rFonts w:eastAsia="SimSun"/>
                <w:sz w:val="18"/>
                <w:szCs w:val="18"/>
                <w:lang w:eastAsia="zh-CN"/>
              </w:rPr>
            </w:pPr>
          </w:p>
          <w:p w14:paraId="3CA7656B"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0,67</w:t>
            </w:r>
          </w:p>
          <w:p w14:paraId="7CEA87CB" w14:textId="77777777" w:rsidR="009700E5" w:rsidRDefault="002C033C">
            <w:pPr>
              <w:spacing w:before="50" w:after="50" w:line="240" w:lineRule="exact"/>
              <w:jc w:val="center"/>
              <w:rPr>
                <w:rFonts w:eastAsia="SimSun"/>
                <w:sz w:val="18"/>
                <w:szCs w:val="18"/>
                <w:lang w:eastAsia="zh-CN"/>
              </w:rPr>
            </w:pPr>
            <w:r>
              <w:rPr>
                <w:rFonts w:eastAsia="SimSun"/>
                <w:sz w:val="18"/>
                <w:szCs w:val="18"/>
                <w:lang w:eastAsia="zh-CN"/>
              </w:rPr>
              <w:t xml:space="preserve"> (1,10)</w:t>
            </w:r>
          </w:p>
        </w:tc>
      </w:tr>
    </w:tbl>
    <w:p w14:paraId="5E1E203B" w14:textId="77777777" w:rsidR="009700E5" w:rsidRDefault="002C033C">
      <w:pPr>
        <w:keepNext/>
        <w:keepLines/>
        <w:jc w:val="both"/>
        <w:rPr>
          <w:sz w:val="18"/>
          <w:szCs w:val="18"/>
          <w:lang w:eastAsia="en-US"/>
        </w:rPr>
      </w:pPr>
      <w:r>
        <w:rPr>
          <w:sz w:val="18"/>
          <w:szCs w:val="18"/>
          <w:lang w:eastAsia="en-US"/>
        </w:rPr>
        <w:t>* p &lt; 0,0001</w:t>
      </w:r>
    </w:p>
    <w:p w14:paraId="44C75DC9" w14:textId="77777777" w:rsidR="009700E5" w:rsidRDefault="002C033C">
      <w:pPr>
        <w:keepNext/>
        <w:keepLines/>
        <w:jc w:val="both"/>
        <w:rPr>
          <w:sz w:val="18"/>
          <w:szCs w:val="18"/>
          <w:lang w:eastAsia="en-US"/>
        </w:rPr>
      </w:pPr>
      <w:r>
        <w:rPr>
          <w:sz w:val="18"/>
          <w:szCs w:val="18"/>
          <w:lang w:eastAsia="en-US"/>
        </w:rPr>
        <w:t>** p &lt; 0,005 (prah významnosti primárnych a kľúčových sekundárnych testov superiority)</w:t>
      </w:r>
    </w:p>
    <w:p w14:paraId="2F65C681" w14:textId="77777777" w:rsidR="009700E5" w:rsidRDefault="002C033C">
      <w:pPr>
        <w:keepNext/>
        <w:keepLines/>
        <w:jc w:val="both"/>
        <w:rPr>
          <w:sz w:val="18"/>
          <w:szCs w:val="18"/>
          <w:u w:val="single"/>
          <w:lang w:eastAsia="en-US"/>
        </w:rPr>
      </w:pPr>
      <w:r>
        <w:rPr>
          <w:sz w:val="18"/>
          <w:szCs w:val="18"/>
          <w:lang w:eastAsia="en-US"/>
        </w:rPr>
        <w:t>*** popisná p hodnota </w:t>
      </w:r>
      <w:r>
        <w:rPr>
          <w:sz w:val="18"/>
          <w:szCs w:val="18"/>
          <w:u w:val="single"/>
          <w:lang w:eastAsia="en-US"/>
        </w:rPr>
        <w:t>&lt; 0,005</w:t>
      </w:r>
    </w:p>
    <w:p w14:paraId="6E7D1E93" w14:textId="77777777" w:rsidR="009700E5" w:rsidRDefault="002C033C">
      <w:pPr>
        <w:jc w:val="both"/>
        <w:rPr>
          <w:bCs/>
          <w:iCs/>
          <w:color w:val="706F6F"/>
          <w:sz w:val="18"/>
          <w:szCs w:val="18"/>
          <w:shd w:val="clear" w:color="auto" w:fill="FFFFFF"/>
          <w:lang w:eastAsia="zh-TW"/>
        </w:rPr>
      </w:pPr>
      <w:r>
        <w:rPr>
          <w:sz w:val="18"/>
          <w:szCs w:val="18"/>
          <w:lang w:eastAsia="en-US"/>
        </w:rPr>
        <w:t xml:space="preserve">**** vzplanutie: recidíva prejavov alebo príznakov OBA a/alebo ESR </w:t>
      </w:r>
      <w:r>
        <w:rPr>
          <w:iCs/>
          <w:sz w:val="18"/>
          <w:szCs w:val="18"/>
          <w:shd w:val="clear" w:color="auto" w:fill="FFFFFF"/>
          <w:lang w:eastAsia="zh-TW"/>
        </w:rPr>
        <w:t>≥ 30 mm/h – </w:t>
      </w:r>
      <w:r>
        <w:rPr>
          <w:bCs/>
          <w:iCs/>
          <w:sz w:val="18"/>
          <w:szCs w:val="18"/>
          <w:shd w:val="clear" w:color="auto" w:fill="FFFFFF"/>
          <w:lang w:eastAsia="zh-TW"/>
        </w:rPr>
        <w:t>potrebné zvýšenie dávky prednizónu</w:t>
      </w:r>
    </w:p>
    <w:p w14:paraId="510AD3D4" w14:textId="77777777" w:rsidR="009700E5" w:rsidRDefault="002C033C">
      <w:pPr>
        <w:rPr>
          <w:iCs/>
          <w:sz w:val="18"/>
          <w:szCs w:val="18"/>
          <w:shd w:val="clear" w:color="auto" w:fill="FFFFFF"/>
          <w:lang w:eastAsia="zh-TW"/>
        </w:rPr>
      </w:pPr>
      <w:r>
        <w:rPr>
          <w:iCs/>
          <w:sz w:val="18"/>
          <w:szCs w:val="18"/>
          <w:shd w:val="clear" w:color="auto" w:fill="FFFFFF"/>
          <w:lang w:eastAsia="zh-TW"/>
        </w:rPr>
        <w:t>Remisia: absencia vzplanutia a návrat CRP do normalizovaných hodnôt</w:t>
      </w:r>
    </w:p>
    <w:p w14:paraId="276D518C" w14:textId="77777777" w:rsidR="009700E5" w:rsidRDefault="002C033C">
      <w:pPr>
        <w:rPr>
          <w:iCs/>
          <w:sz w:val="18"/>
          <w:szCs w:val="18"/>
          <w:shd w:val="clear" w:color="auto" w:fill="FFFFFF"/>
          <w:lang w:eastAsia="zh-TW"/>
        </w:rPr>
      </w:pPr>
      <w:r>
        <w:rPr>
          <w:iCs/>
          <w:sz w:val="18"/>
          <w:szCs w:val="18"/>
          <w:shd w:val="clear" w:color="auto" w:fill="FFFFFF"/>
          <w:lang w:eastAsia="zh-TW"/>
        </w:rPr>
        <w:t>Pretrvávajúca remisia: remisia od 12. </w:t>
      </w:r>
      <w:r>
        <w:rPr>
          <w:iCs/>
          <w:sz w:val="18"/>
          <w:szCs w:val="18"/>
          <w:shd w:val="clear" w:color="auto" w:fill="FFFFFF"/>
          <w:lang w:eastAsia="zh-TW"/>
        </w:rPr>
        <w:noBreakHyphen/>
        <w:t> 52. týždňa - pacienti musia dodržiavať protokolom stanovené postupné znižovanie dávky prednizónu</w:t>
      </w:r>
    </w:p>
    <w:p w14:paraId="27DE200F" w14:textId="77777777" w:rsidR="009700E5" w:rsidRDefault="002C033C">
      <w:pPr>
        <w:jc w:val="both"/>
        <w:rPr>
          <w:sz w:val="18"/>
          <w:szCs w:val="18"/>
          <w:lang w:eastAsia="en-US"/>
        </w:rPr>
      </w:pPr>
      <w:r>
        <w:rPr>
          <w:sz w:val="18"/>
          <w:szCs w:val="18"/>
          <w:lang w:eastAsia="en-US"/>
        </w:rPr>
        <w:t>¹ analýzy času (v dňoch) medzi klinickou remisiou a prvým vzplanutím ochorenia</w:t>
      </w:r>
    </w:p>
    <w:p w14:paraId="0F809BC5" w14:textId="77777777" w:rsidR="009700E5" w:rsidRDefault="002C033C">
      <w:pPr>
        <w:jc w:val="both"/>
        <w:rPr>
          <w:sz w:val="18"/>
          <w:szCs w:val="18"/>
          <w:lang w:eastAsia="en-US"/>
        </w:rPr>
      </w:pPr>
      <w:r>
        <w:rPr>
          <w:rFonts w:eastAsia="SimSun"/>
          <w:sz w:val="18"/>
          <w:szCs w:val="18"/>
          <w:vertAlign w:val="superscript"/>
          <w:lang w:eastAsia="zh-CN"/>
        </w:rPr>
        <w:t>2</w:t>
      </w:r>
      <w:r>
        <w:rPr>
          <w:sz w:val="18"/>
          <w:szCs w:val="18"/>
          <w:lang w:eastAsia="en-US"/>
        </w:rPr>
        <w:t xml:space="preserve"> p hodnoty sú stanovené na základe Van Elterenovej analýzy neparametrických údajov</w:t>
      </w:r>
    </w:p>
    <w:p w14:paraId="53E49082" w14:textId="77777777" w:rsidR="009700E5" w:rsidRDefault="002C033C">
      <w:pPr>
        <w:jc w:val="both"/>
        <w:rPr>
          <w:sz w:val="18"/>
          <w:szCs w:val="18"/>
          <w:lang w:eastAsia="en-US"/>
        </w:rPr>
      </w:pPr>
      <w:r>
        <w:rPr>
          <w:sz w:val="18"/>
          <w:szCs w:val="18"/>
          <w:vertAlign w:val="superscript"/>
          <w:lang w:eastAsia="en-US"/>
        </w:rPr>
        <w:t>§</w:t>
      </w:r>
      <w:r>
        <w:rPr>
          <w:sz w:val="18"/>
          <w:szCs w:val="18"/>
          <w:lang w:eastAsia="en-US"/>
        </w:rPr>
        <w:t xml:space="preserve"> štatistická analýza sa neuskutočnila</w:t>
      </w:r>
    </w:p>
    <w:p w14:paraId="0288B10F" w14:textId="77777777" w:rsidR="009700E5" w:rsidRDefault="002C033C">
      <w:pPr>
        <w:jc w:val="both"/>
        <w:rPr>
          <w:sz w:val="18"/>
          <w:szCs w:val="18"/>
          <w:lang w:eastAsia="en-US"/>
        </w:rPr>
      </w:pPr>
      <w:r>
        <w:rPr>
          <w:sz w:val="18"/>
          <w:szCs w:val="18"/>
          <w:lang w:eastAsia="en-US"/>
        </w:rPr>
        <w:t>N/A= nehodí sa</w:t>
      </w:r>
    </w:p>
    <w:p w14:paraId="50FD3A28" w14:textId="77777777" w:rsidR="009700E5" w:rsidRDefault="002C033C">
      <w:pPr>
        <w:jc w:val="both"/>
        <w:rPr>
          <w:sz w:val="18"/>
          <w:szCs w:val="18"/>
          <w:lang w:eastAsia="en-US"/>
        </w:rPr>
      </w:pPr>
      <w:r>
        <w:rPr>
          <w:sz w:val="18"/>
          <w:szCs w:val="18"/>
          <w:lang w:eastAsia="en-US"/>
        </w:rPr>
        <w:t>HR = pomer rizika</w:t>
      </w:r>
    </w:p>
    <w:p w14:paraId="1DACE2BB" w14:textId="77777777" w:rsidR="009700E5" w:rsidRDefault="002C033C">
      <w:pPr>
        <w:rPr>
          <w:sz w:val="18"/>
          <w:szCs w:val="18"/>
          <w:lang w:eastAsia="en-US"/>
        </w:rPr>
      </w:pPr>
      <w:r>
        <w:rPr>
          <w:sz w:val="18"/>
          <w:szCs w:val="18"/>
          <w:lang w:eastAsia="en-US"/>
        </w:rPr>
        <w:t>IS = interval spoľahlivosti</w:t>
      </w:r>
    </w:p>
    <w:p w14:paraId="0C82F462" w14:textId="77777777" w:rsidR="009700E5" w:rsidRDefault="002C033C">
      <w:pPr>
        <w:rPr>
          <w:sz w:val="18"/>
          <w:szCs w:val="18"/>
          <w:lang w:eastAsia="en-US"/>
        </w:rPr>
      </w:pPr>
      <w:r>
        <w:rPr>
          <w:sz w:val="18"/>
          <w:szCs w:val="18"/>
          <w:lang w:eastAsia="en-US"/>
        </w:rPr>
        <w:t>s.c. = subkutánne</w:t>
      </w:r>
    </w:p>
    <w:p w14:paraId="16E5FBEA" w14:textId="77777777" w:rsidR="009700E5" w:rsidRDefault="009700E5">
      <w:pPr>
        <w:rPr>
          <w:sz w:val="18"/>
          <w:szCs w:val="18"/>
          <w:lang w:eastAsia="en-US"/>
        </w:rPr>
      </w:pPr>
    </w:p>
    <w:p w14:paraId="0FFE0F36" w14:textId="77777777" w:rsidR="009700E5" w:rsidRDefault="002C033C">
      <w:pPr>
        <w:spacing w:line="280" w:lineRule="atLeast"/>
        <w:jc w:val="both"/>
        <w:rPr>
          <w:i/>
          <w:szCs w:val="22"/>
          <w:u w:val="single"/>
          <w:lang w:eastAsia="de-DE"/>
        </w:rPr>
      </w:pPr>
      <w:r>
        <w:rPr>
          <w:i/>
          <w:szCs w:val="22"/>
          <w:u w:val="single"/>
          <w:lang w:eastAsia="de-DE"/>
        </w:rPr>
        <w:t>Výsledky týkajúce sa kvality života</w:t>
      </w:r>
    </w:p>
    <w:p w14:paraId="209A3DDF" w14:textId="77777777" w:rsidR="009700E5" w:rsidRDefault="002C033C">
      <w:pPr>
        <w:rPr>
          <w:lang w:eastAsia="de-DE"/>
        </w:rPr>
      </w:pPr>
      <w:r>
        <w:rPr>
          <w:lang w:eastAsia="de-DE"/>
        </w:rPr>
        <w:t>V</w:t>
      </w:r>
      <w:del w:id="2415" w:author="Author" w:date="2025-07-20T00:14:00Z">
        <w:r>
          <w:rPr>
            <w:lang w:eastAsia="de-DE"/>
          </w:rPr>
          <w:delText xml:space="preserve"> </w:delText>
        </w:r>
      </w:del>
      <w:ins w:id="2416" w:author="Author" w:date="2025-07-20T00:14:00Z">
        <w:r>
          <w:rPr>
            <w:lang w:eastAsia="de-DE"/>
          </w:rPr>
          <w:t> </w:t>
        </w:r>
      </w:ins>
      <w:r>
        <w:rPr>
          <w:lang w:eastAsia="de-DE"/>
        </w:rPr>
        <w:t>klinick</w:t>
      </w:r>
      <w:del w:id="2417" w:author="Author" w:date="2025-07-20T00:14:00Z">
        <w:r>
          <w:rPr>
            <w:lang w:eastAsia="de-DE"/>
          </w:rPr>
          <w:delText>e</w:delText>
        </w:r>
      </w:del>
      <w:ins w:id="2418" w:author="Author" w:date="2025-07-20T00:14:00Z">
        <w:r>
          <w:rPr>
            <w:lang w:eastAsia="de-DE"/>
          </w:rPr>
          <w:t>om skúšaní</w:t>
        </w:r>
      </w:ins>
      <w:del w:id="2419" w:author="Author" w:date="2025-07-20T00:14:00Z">
        <w:r>
          <w:rPr>
            <w:lang w:eastAsia="de-DE"/>
          </w:rPr>
          <w:delText>j štúdii</w:delText>
        </w:r>
      </w:del>
      <w:r>
        <w:rPr>
          <w:lang w:eastAsia="de-DE"/>
        </w:rPr>
        <w:t xml:space="preserve"> WA28119 boli výsledky skóre SF</w:t>
      </w:r>
      <w:r>
        <w:rPr>
          <w:lang w:eastAsia="de-DE"/>
        </w:rPr>
        <w:noBreakHyphen/>
        <w:t xml:space="preserve">36 (skrátený formulár) rozdelené na fyzické (PCS) a mentálne (MCS) komponenty. Stredná zmena vo fyzických komponentoch </w:t>
      </w:r>
      <w:r>
        <w:rPr>
          <w:lang w:eastAsia="de-DE"/>
        </w:rPr>
        <w:lastRenderedPageBreak/>
        <w:t>východiskového stavu do 52. týždňa bola vyššia (preukázalo sa výraznejšie zlepšenie) v skupinách s tocilizumabom podávaným raz za týždeň [4,10] a každý druhý týždeň [2,76], ako v oboch skupinách s placebom [placebo + 26 týždňov; -0,28, placebo + 52 týždňov; -1,49], hoci štatisticky významný rozdiel (p=0,0024) sa pozoroval len v porovnaní skupiny s tocilizumabom podávaným raz za týždeň plus 26 týždňov postupného znižovania prednizónu a skupiny s placebom plus 52 týždňov postupného znižovania prednizónu (5,59; 99 % IS: 8,6; 10,32). V prípade mentálnych komponentov bola stredná zmena z východiskového stavu do 52. týždňa vyššia v skupinách s tocilizumabom podávaným raz za týždeň [7,28] a každé dva týždne [6,12], ako v skupine s placebom plus 52 týždňov postupného znižovania dávky prednizónu [2,84] (hoci rozdiely neboli štatisticky významné [týždenná hodnota p = 0,0252 pri podávaní raz za týždeň, p = 0,1468 pri podávaní každý druhý týždeň]) a podobná ako v skupine s placebom plus 26 týždňov postupného znižovania dávky prednizónu [6,67].</w:t>
      </w:r>
    </w:p>
    <w:p w14:paraId="584450C7" w14:textId="77777777" w:rsidR="009700E5" w:rsidRDefault="009700E5">
      <w:pPr>
        <w:rPr>
          <w:i/>
          <w:lang w:eastAsia="de-DE"/>
        </w:rPr>
      </w:pPr>
    </w:p>
    <w:p w14:paraId="4FDBC80C" w14:textId="77777777" w:rsidR="009700E5" w:rsidRDefault="002C033C">
      <w:pPr>
        <w:rPr>
          <w:lang w:eastAsia="de-DE"/>
        </w:rPr>
      </w:pPr>
      <w:r>
        <w:rPr>
          <w:lang w:eastAsia="de-DE"/>
        </w:rPr>
        <w:t>Celkové hodnotenie aktivity ochorenia pacientom sa posudzovalo na vizuálnej analógovej škále (VAS, visual analogue scale) 0 </w:t>
      </w:r>
      <w:r>
        <w:rPr>
          <w:lang w:eastAsia="de-DE"/>
        </w:rPr>
        <w:noBreakHyphen/>
        <w:t> 100 mm. Stredná zmena v celkovej VAS pacienta bola z východiskového stavu do 52. týždňa nižšia (preukázalo sa výraznejšie zlepšenie) v oboch skupinách s tocilizumabom, podávaným raz za týždeň [-19,0] a každé dva týždne. [-25,3], ako v oboch skupinách s placebom [placebo + 26 týždňov -3,4, placebo + 52 týždňov -7,2], hoci len v skupine s tocilizumabom podávaným každé dva týždne plus 26 týždňov postupného znižovania dávky prednizónu sa preukázal štatisticky významný rozdiel oproti skupine s placebom [placebo + 26 týždňov p = 0,0059, a placebo + 52 týždňov p = 0,0081].</w:t>
      </w:r>
    </w:p>
    <w:p w14:paraId="3D964176" w14:textId="77777777" w:rsidR="009700E5" w:rsidRDefault="009700E5">
      <w:pPr>
        <w:rPr>
          <w:lang w:eastAsia="de-DE"/>
        </w:rPr>
      </w:pPr>
    </w:p>
    <w:p w14:paraId="485A222F" w14:textId="77777777" w:rsidR="009700E5" w:rsidRDefault="002C033C">
      <w:pPr>
        <w:rPr>
          <w:lang w:eastAsia="de-DE"/>
        </w:rPr>
      </w:pPr>
      <w:r>
        <w:rPr>
          <w:lang w:eastAsia="de-DE"/>
        </w:rPr>
        <w:t>Skóre zmeny v stave únavy z východiskového stavu do 52. týždňa </w:t>
      </w:r>
      <w:r>
        <w:rPr>
          <w:lang w:eastAsia="de-DE"/>
        </w:rPr>
        <w:noBreakHyphen/>
        <w:t> FACIT (Funkčné hodnotenie liečby chronického ochorenia) sa vypočítalo pre všetky skupiny. Skóre strednej zmeny [SD] bolo nasledovné: tocilizumab podávaný raz za týždeň + 26 týždňov 5,61 [10,115], tocilizumab podávaný každý druhý týždeň + 26 týždňov 1,81 [8,836], placebo + 26 týždňov 0,26 [10,702], a placebo + 52 týždňov -1,63 [6,753].</w:t>
      </w:r>
    </w:p>
    <w:p w14:paraId="44DE4881" w14:textId="77777777" w:rsidR="009700E5" w:rsidRDefault="009700E5">
      <w:pPr>
        <w:rPr>
          <w:lang w:eastAsia="de-DE"/>
        </w:rPr>
      </w:pPr>
    </w:p>
    <w:p w14:paraId="1E905821" w14:textId="77777777" w:rsidR="009700E5" w:rsidRDefault="002C033C">
      <w:pPr>
        <w:rPr>
          <w:lang w:eastAsia="de-DE"/>
        </w:rPr>
      </w:pPr>
      <w:r>
        <w:rPr>
          <w:lang w:eastAsia="de-DE"/>
        </w:rPr>
        <w:t>Zmeny v skóre EQ5D z východiskového stavu do 52. týždňa boli nasledovné: tocilizumab podávaný raz za týždeň + 26 týždňov 0,10 [0,198], tocilizumab podávaný každý druhý týždeň + 26 týždňov 0,05 [0,215], placebo + 26 týždňov 0,07 [0,293], a placebo + 52 týždňov -0,02 [0,159].</w:t>
      </w:r>
    </w:p>
    <w:p w14:paraId="2291A69B" w14:textId="77777777" w:rsidR="009700E5" w:rsidRDefault="009700E5">
      <w:pPr>
        <w:rPr>
          <w:lang w:eastAsia="de-DE"/>
        </w:rPr>
      </w:pPr>
    </w:p>
    <w:p w14:paraId="48B16020" w14:textId="77777777" w:rsidR="009700E5" w:rsidRDefault="002C033C">
      <w:r>
        <w:rPr>
          <w:lang w:eastAsia="de-DE"/>
        </w:rPr>
        <w:t>Vyššie skóre signalizuje zlepšenie v oboch hodnoteniach, FACIT</w:t>
      </w:r>
      <w:r>
        <w:rPr>
          <w:lang w:eastAsia="de-DE"/>
        </w:rPr>
        <w:noBreakHyphen/>
        <w:t>únava aj EQ5D.</w:t>
      </w:r>
    </w:p>
    <w:p w14:paraId="57C180F8" w14:textId="77777777" w:rsidR="009700E5" w:rsidRDefault="009700E5">
      <w:pPr>
        <w:numPr>
          <w:ilvl w:val="12"/>
          <w:numId w:val="0"/>
        </w:numPr>
        <w:ind w:right="-2"/>
      </w:pPr>
    </w:p>
    <w:p w14:paraId="357D7FAA" w14:textId="77777777" w:rsidR="009700E5" w:rsidRDefault="002C033C">
      <w:pPr>
        <w:keepNext/>
        <w:keepLines/>
        <w:numPr>
          <w:ilvl w:val="12"/>
          <w:numId w:val="0"/>
        </w:numPr>
        <w:rPr>
          <w:iCs/>
          <w:u w:val="single"/>
        </w:rPr>
      </w:pPr>
      <w:r>
        <w:rPr>
          <w:iCs/>
          <w:u w:val="single"/>
        </w:rPr>
        <w:t>Intravenózne použitie</w:t>
      </w:r>
    </w:p>
    <w:p w14:paraId="2A9760DF" w14:textId="77777777" w:rsidR="009700E5" w:rsidRDefault="002C033C">
      <w:pPr>
        <w:numPr>
          <w:ilvl w:val="12"/>
          <w:numId w:val="0"/>
        </w:numPr>
        <w:ind w:right="-2"/>
        <w:rPr>
          <w:bCs/>
          <w:i/>
          <w:iCs/>
        </w:rPr>
      </w:pPr>
      <w:r>
        <w:rPr>
          <w:bCs/>
          <w:i/>
          <w:iCs/>
        </w:rPr>
        <w:t>Pacienti s RA</w:t>
      </w:r>
    </w:p>
    <w:p w14:paraId="0C6C02C3" w14:textId="77777777" w:rsidR="009700E5" w:rsidRDefault="009700E5">
      <w:pPr>
        <w:keepNext/>
        <w:keepLines/>
        <w:numPr>
          <w:ilvl w:val="12"/>
          <w:numId w:val="0"/>
        </w:numPr>
        <w:rPr>
          <w:ins w:id="2420" w:author="Author" w:date="2025-07-22T18:08:00Z"/>
          <w:iCs/>
          <w:u w:val="single"/>
        </w:rPr>
      </w:pPr>
    </w:p>
    <w:p w14:paraId="26B2ABB6" w14:textId="77777777" w:rsidR="009700E5" w:rsidRDefault="002C033C">
      <w:pPr>
        <w:keepNext/>
        <w:keepLines/>
        <w:numPr>
          <w:ilvl w:val="12"/>
          <w:numId w:val="0"/>
        </w:numPr>
        <w:rPr>
          <w:iCs/>
          <w:u w:val="single"/>
        </w:rPr>
      </w:pPr>
      <w:r>
        <w:rPr>
          <w:iCs/>
          <w:u w:val="single"/>
        </w:rPr>
        <w:t>Klinická účinnosť</w:t>
      </w:r>
    </w:p>
    <w:p w14:paraId="2F7239CA" w14:textId="77777777" w:rsidR="009700E5" w:rsidRDefault="002C033C">
      <w:pPr>
        <w:numPr>
          <w:ilvl w:val="12"/>
          <w:numId w:val="0"/>
        </w:numPr>
      </w:pPr>
      <w:r>
        <w:t xml:space="preserve">Účinnosť </w:t>
      </w:r>
      <w:r>
        <w:rPr>
          <w:lang w:eastAsia="de-DE"/>
        </w:rPr>
        <w:t>tocilizumabu</w:t>
      </w:r>
      <w:r>
        <w:t xml:space="preserve"> v zmierňovaní prejavov a príznakov RA sa hodnotila v piatich randomizovaných, dvojito zaslepených, multicentrických </w:t>
      </w:r>
      <w:del w:id="2421" w:author="Author" w:date="2025-07-20T00:14:00Z">
        <w:r>
          <w:delText>štúdiách</w:delText>
        </w:r>
      </w:del>
      <w:ins w:id="2422" w:author="Author" w:date="2025-07-21T10:49:00Z">
        <w:r>
          <w:t xml:space="preserve">klinických </w:t>
        </w:r>
      </w:ins>
      <w:ins w:id="2423" w:author="Author" w:date="2025-07-20T00:14:00Z">
        <w:r>
          <w:t>skúš</w:t>
        </w:r>
      </w:ins>
      <w:ins w:id="2424" w:author="Author" w:date="2025-07-20T00:15:00Z">
        <w:r>
          <w:t>aniach</w:t>
        </w:r>
      </w:ins>
      <w:r>
        <w:t xml:space="preserve">. Do </w:t>
      </w:r>
      <w:del w:id="2425" w:author="Author" w:date="2025-07-20T00:15:00Z">
        <w:r>
          <w:delText xml:space="preserve">štúdií </w:delText>
        </w:r>
      </w:del>
      <w:ins w:id="2426" w:author="Author" w:date="2025-07-21T10:50:00Z">
        <w:r>
          <w:t xml:space="preserve">klinických </w:t>
        </w:r>
      </w:ins>
      <w:ins w:id="2427" w:author="Author" w:date="2025-07-20T00:15:00Z">
        <w:r>
          <w:t xml:space="preserve">skúšaní </w:t>
        </w:r>
      </w:ins>
      <w:r>
        <w:t>I </w:t>
      </w:r>
      <w:r>
        <w:noBreakHyphen/>
        <w:t xml:space="preserve"> V boli zaradení pacienti vo veku </w:t>
      </w:r>
      <w:r>
        <w:rPr>
          <w:szCs w:val="22"/>
        </w:rPr>
        <w:t>≥</w:t>
      </w:r>
      <w:r>
        <w:t> 18 rokov s aktívnou RA diagnostikovanou podľa kritérií American College of Rheumatology (ACR), ktorí mali pred začiatkom liečby minimálne osem bolestivých a šesť opuchnutých kĺbov.</w:t>
      </w:r>
    </w:p>
    <w:p w14:paraId="4C1FB799" w14:textId="77777777" w:rsidR="009700E5" w:rsidRDefault="009700E5">
      <w:pPr>
        <w:numPr>
          <w:ilvl w:val="12"/>
          <w:numId w:val="0"/>
        </w:numPr>
        <w:ind w:right="-2"/>
      </w:pPr>
    </w:p>
    <w:p w14:paraId="77D351C7" w14:textId="77777777" w:rsidR="009700E5" w:rsidRDefault="002C033C">
      <w:pPr>
        <w:numPr>
          <w:ilvl w:val="12"/>
          <w:numId w:val="0"/>
        </w:numPr>
        <w:ind w:right="-2"/>
      </w:pPr>
      <w:r>
        <w:t>V </w:t>
      </w:r>
      <w:del w:id="2428" w:author="Author" w:date="2025-07-20T00:15:00Z">
        <w:r>
          <w:delText>štúdii </w:delText>
        </w:r>
      </w:del>
      <w:ins w:id="2429" w:author="Author" w:date="2025-07-21T10:50:00Z">
        <w:r>
          <w:t xml:space="preserve">klinickom </w:t>
        </w:r>
      </w:ins>
      <w:ins w:id="2430" w:author="Author" w:date="2025-07-20T00:15:00Z">
        <w:r>
          <w:t>skúšaní </w:t>
        </w:r>
      </w:ins>
      <w:r>
        <w:t xml:space="preserve">I sa </w:t>
      </w:r>
      <w:r>
        <w:rPr>
          <w:lang w:eastAsia="de-DE"/>
        </w:rPr>
        <w:t>tocilizumab</w:t>
      </w:r>
      <w:r>
        <w:t xml:space="preserve"> podával intravenózne raz za štyri týždne v monoterapii. V </w:t>
      </w:r>
      <w:del w:id="2431" w:author="Author" w:date="2025-07-20T00:15:00Z">
        <w:r>
          <w:delText>štúdiách </w:delText>
        </w:r>
      </w:del>
      <w:ins w:id="2432" w:author="Author" w:date="2025-07-21T10:50:00Z">
        <w:r>
          <w:t xml:space="preserve">klinických </w:t>
        </w:r>
      </w:ins>
      <w:ins w:id="2433" w:author="Author" w:date="2025-07-20T00:15:00Z">
        <w:r>
          <w:t>skúšaniach </w:t>
        </w:r>
      </w:ins>
      <w:r>
        <w:t xml:space="preserve">II, III a V sa </w:t>
      </w:r>
      <w:r>
        <w:rPr>
          <w:lang w:eastAsia="de-DE"/>
        </w:rPr>
        <w:t>tocilizumab</w:t>
      </w:r>
      <w:r>
        <w:t xml:space="preserve"> podával intravenózne raz za štyri týždne v kombinácii s MTX, kontrolnú skupinu tvorilo placebo v kombinácii s MTX. V </w:t>
      </w:r>
      <w:del w:id="2434" w:author="Author" w:date="2025-07-20T00:15:00Z">
        <w:r>
          <w:delText>štúdii </w:delText>
        </w:r>
      </w:del>
      <w:ins w:id="2435" w:author="Author" w:date="2025-07-21T10:50:00Z">
        <w:r>
          <w:t xml:space="preserve">klinickom </w:t>
        </w:r>
      </w:ins>
      <w:ins w:id="2436" w:author="Author" w:date="2025-07-20T00:15:00Z">
        <w:r>
          <w:t>skúšaní </w:t>
        </w:r>
      </w:ins>
      <w:r>
        <w:t xml:space="preserve">IV sa </w:t>
      </w:r>
      <w:r>
        <w:rPr>
          <w:lang w:eastAsia="de-DE"/>
        </w:rPr>
        <w:t>tocilizumab</w:t>
      </w:r>
      <w:r>
        <w:t xml:space="preserve"> podával intravenózne raz za 4 týždne v kombinácii s inými DMARD, kontrolnú skupinu tvorilo placebo v kombinácii s inými DMARD. Primárny cieľový ukazovateľ pre </w:t>
      </w:r>
      <w:del w:id="2437" w:author="Author" w:date="2025-07-20T00:15:00Z">
        <w:r>
          <w:delText xml:space="preserve">každú </w:delText>
        </w:r>
      </w:del>
      <w:ins w:id="2438" w:author="Author" w:date="2025-07-20T00:15:00Z">
        <w:r>
          <w:t xml:space="preserve">každé </w:t>
        </w:r>
      </w:ins>
      <w:r>
        <w:t xml:space="preserve">z piatich </w:t>
      </w:r>
      <w:del w:id="2439" w:author="Author" w:date="2025-07-20T00:15:00Z">
        <w:r>
          <w:delText xml:space="preserve">štúdií </w:delText>
        </w:r>
      </w:del>
      <w:ins w:id="2440" w:author="Author" w:date="2025-07-21T10:50:00Z">
        <w:r>
          <w:t xml:space="preserve">klinických </w:t>
        </w:r>
      </w:ins>
      <w:ins w:id="2441" w:author="Author" w:date="2025-07-20T00:15:00Z">
        <w:r>
          <w:t xml:space="preserve">skúšaní </w:t>
        </w:r>
      </w:ins>
      <w:r>
        <w:t>bol podiel pacientov, ktorí dosiahli odpoveď ACR 20 v 24. týždni.</w:t>
      </w:r>
    </w:p>
    <w:p w14:paraId="00F54066" w14:textId="77777777" w:rsidR="009700E5" w:rsidRDefault="009700E5">
      <w:pPr>
        <w:numPr>
          <w:ilvl w:val="12"/>
          <w:numId w:val="0"/>
        </w:numPr>
        <w:ind w:right="-2"/>
      </w:pPr>
    </w:p>
    <w:p w14:paraId="5BB43B55" w14:textId="77777777" w:rsidR="009700E5" w:rsidRDefault="002C033C">
      <w:pPr>
        <w:keepNext/>
        <w:keepLines/>
        <w:numPr>
          <w:ilvl w:val="12"/>
          <w:numId w:val="0"/>
        </w:numPr>
      </w:pPr>
      <w:del w:id="2442" w:author="Author" w:date="2025-07-20T00:15:00Z">
        <w:r>
          <w:lastRenderedPageBreak/>
          <w:delText>Štúdia </w:delText>
        </w:r>
      </w:del>
      <w:ins w:id="2443" w:author="Author" w:date="2025-07-21T10:51:00Z">
        <w:r>
          <w:t>Klinické s</w:t>
        </w:r>
      </w:ins>
      <w:ins w:id="2444" w:author="Author" w:date="2025-07-20T00:15:00Z">
        <w:del w:id="2445" w:author="Author" w:date="2025-07-21T10:51:00Z">
          <w:r>
            <w:delText>S</w:delText>
          </w:r>
        </w:del>
        <w:r>
          <w:t>kúšanie </w:t>
        </w:r>
      </w:ins>
      <w:r>
        <w:t>I </w:t>
      </w:r>
      <w:del w:id="2446" w:author="Author" w:date="2025-07-20T00:15:00Z">
        <w:r>
          <w:delText xml:space="preserve">hodnotila </w:delText>
        </w:r>
      </w:del>
      <w:ins w:id="2447" w:author="Author" w:date="2025-07-20T00:15:00Z">
        <w:r>
          <w:t xml:space="preserve">hodnotilo </w:t>
        </w:r>
      </w:ins>
      <w:r>
        <w:t xml:space="preserve">673 pacientov, ktorí sa v priebehu šiestich mesiacov pred randomizáciou neliečili MTX a ktorí neprerušili predchádzajúcu liečbu MTX kvôli klinicky významným toxickým účinkom alebo nedostatočnej odpovedi na liečbu. Väčšina (67 %) pacientov sa MTX predtým neliečila. Dávky 8 mg/kg </w:t>
      </w:r>
      <w:r>
        <w:rPr>
          <w:lang w:eastAsia="de-DE"/>
        </w:rPr>
        <w:t>tocilizumabu</w:t>
      </w:r>
      <w:r>
        <w:t xml:space="preserve"> sa podávali raz za štyri týždne v monoterapii. Porovnávacia skupina dostávala MTX raz týždenne (dávka titrovaná od 7,5 mg na maximálne 20 mg týždenne počas osemtýždňového obdobia).</w:t>
      </w:r>
    </w:p>
    <w:p w14:paraId="2C550126" w14:textId="77777777" w:rsidR="009700E5" w:rsidRDefault="009700E5">
      <w:pPr>
        <w:numPr>
          <w:ilvl w:val="12"/>
          <w:numId w:val="0"/>
        </w:numPr>
        <w:ind w:right="-2"/>
      </w:pPr>
    </w:p>
    <w:p w14:paraId="5419E8DE" w14:textId="77777777" w:rsidR="009700E5" w:rsidRDefault="002C033C">
      <w:pPr>
        <w:keepNext/>
        <w:keepLines/>
        <w:numPr>
          <w:ilvl w:val="12"/>
          <w:numId w:val="0"/>
        </w:numPr>
      </w:pPr>
      <w:del w:id="2448" w:author="Author" w:date="2025-07-20T00:15:00Z">
        <w:r>
          <w:delText>Štúdia </w:delText>
        </w:r>
      </w:del>
      <w:ins w:id="2449" w:author="Author" w:date="2025-07-21T10:51:00Z">
        <w:r>
          <w:t>Klinické s</w:t>
        </w:r>
      </w:ins>
      <w:ins w:id="2450" w:author="Author" w:date="2025-07-20T00:15:00Z">
        <w:del w:id="2451" w:author="Author" w:date="2025-07-21T10:51:00Z">
          <w:r>
            <w:delText>S</w:delText>
          </w:r>
        </w:del>
        <w:r>
          <w:t>kúšanie </w:t>
        </w:r>
      </w:ins>
      <w:r>
        <w:t>II, dvojročn</w:t>
      </w:r>
      <w:del w:id="2452" w:author="Author" w:date="2025-07-20T00:16:00Z">
        <w:r>
          <w:delText>á štúdia</w:delText>
        </w:r>
      </w:del>
      <w:ins w:id="2453" w:author="Author" w:date="2025-07-20T00:16:00Z">
        <w:r>
          <w:t xml:space="preserve">é </w:t>
        </w:r>
        <w:del w:id="2454" w:author="Author" w:date="2025-07-21T10:51:00Z">
          <w:r>
            <w:delText>k</w:delText>
          </w:r>
        </w:del>
        <w:r>
          <w:t>s</w:t>
        </w:r>
      </w:ins>
      <w:ins w:id="2455" w:author="Author" w:date="2025-07-21T10:51:00Z">
        <w:r>
          <w:t>k</w:t>
        </w:r>
      </w:ins>
      <w:ins w:id="2456" w:author="Author" w:date="2025-07-20T00:16:00Z">
        <w:r>
          <w:t>úšanie</w:t>
        </w:r>
      </w:ins>
      <w:r>
        <w:t xml:space="preserve"> s plánovanou analýzou v týždni 24., 52. a v týždni 104, </w:t>
      </w:r>
      <w:del w:id="2457" w:author="Author" w:date="2025-07-20T00:16:00Z">
        <w:r>
          <w:delText xml:space="preserve">hodnotila </w:delText>
        </w:r>
      </w:del>
      <w:ins w:id="2458" w:author="Author" w:date="2025-07-20T00:16:00Z">
        <w:r>
          <w:t xml:space="preserve">hodnotilo </w:t>
        </w:r>
      </w:ins>
      <w:r>
        <w:t xml:space="preserve">1 196 pacientov, ktorí nedosiahli dostatočnú klinickú odpoveď na MTX. Dávky 4 alebo 8 mg/kg </w:t>
      </w:r>
      <w:r>
        <w:rPr>
          <w:lang w:eastAsia="de-DE"/>
        </w:rPr>
        <w:t>tocilizumabu</w:t>
      </w:r>
      <w:r>
        <w:t xml:space="preserve"> alebo placeba sa podávali raz za štyri týždne v zaslepenej fáze liečby trvajúcej 52 týždňov v kombinácii so stabilnou dávkou MTX (10 mg až 25 mg týždenne). Po týždni 52 mohli všetci pacienti pokračovať v otvorenej fáze liečby tocilizumabom v dávke 8 mg/kg. Z pacientov, ktorí dokončili </w:t>
      </w:r>
      <w:del w:id="2459" w:author="Author" w:date="2025-07-20T00:16:00Z">
        <w:r>
          <w:delText xml:space="preserve">štúdiu </w:delText>
        </w:r>
      </w:del>
      <w:ins w:id="2460" w:author="Author" w:date="2025-07-21T10:52:00Z">
        <w:r>
          <w:t xml:space="preserve">klinické </w:t>
        </w:r>
      </w:ins>
      <w:ins w:id="2461" w:author="Author" w:date="2025-07-20T00:16:00Z">
        <w:r>
          <w:t xml:space="preserve">skúšanie </w:t>
        </w:r>
      </w:ins>
      <w:r>
        <w:t>a ktorí boli pôvodne randomizovaní do skupiny s placebom + MTX, v 2. roku 86 % pacientov pokračovalo v otvorenej fáze liečby tocilizumabom v dávke 8 mg/kg. Primárny cieľový ukazovateľ v 24. týždni bol podiel pacientov, ktorí dosiahli odpoveď ACR 20. V 52. a 104. týždni boli prevencia poškodenia kĺbu a zlepšenie fyzických funkcií pridružené ako primárne cieľové ukazovatele.</w:t>
      </w:r>
    </w:p>
    <w:p w14:paraId="0107733B" w14:textId="77777777" w:rsidR="009700E5" w:rsidRDefault="009700E5">
      <w:pPr>
        <w:numPr>
          <w:ilvl w:val="12"/>
          <w:numId w:val="0"/>
        </w:numPr>
        <w:ind w:right="-2"/>
      </w:pPr>
    </w:p>
    <w:p w14:paraId="15DC4519" w14:textId="77777777" w:rsidR="009700E5" w:rsidRDefault="002C033C">
      <w:pPr>
        <w:numPr>
          <w:ilvl w:val="12"/>
          <w:numId w:val="0"/>
        </w:numPr>
        <w:ind w:right="-2"/>
      </w:pPr>
      <w:del w:id="2462" w:author="Author" w:date="2025-07-20T00:16:00Z">
        <w:r>
          <w:delText>Štúdia </w:delText>
        </w:r>
      </w:del>
      <w:ins w:id="2463" w:author="Author" w:date="2025-07-21T10:52:00Z">
        <w:r>
          <w:t>Klinické s</w:t>
        </w:r>
      </w:ins>
      <w:ins w:id="2464" w:author="Author" w:date="2025-07-20T00:16:00Z">
        <w:del w:id="2465" w:author="Author" w:date="2025-07-21T10:52:00Z">
          <w:r>
            <w:delText>S</w:delText>
          </w:r>
        </w:del>
        <w:r>
          <w:t>kúšanie </w:t>
        </w:r>
      </w:ins>
      <w:r>
        <w:t xml:space="preserve">III </w:t>
      </w:r>
      <w:del w:id="2466" w:author="Author" w:date="2025-07-20T00:16:00Z">
        <w:r>
          <w:delText xml:space="preserve">hodnotila </w:delText>
        </w:r>
      </w:del>
      <w:ins w:id="2467" w:author="Author" w:date="2025-07-20T00:16:00Z">
        <w:r>
          <w:t xml:space="preserve">hodnotilo </w:t>
        </w:r>
      </w:ins>
      <w:r>
        <w:t xml:space="preserve">623 pacientov, ktorí nedosiahli dostatočnú klinickú odpoveď na MTX. Dávky 4 alebo 8 mg/kg </w:t>
      </w:r>
      <w:r>
        <w:rPr>
          <w:lang w:eastAsia="de-DE"/>
        </w:rPr>
        <w:t>tocilizumabu</w:t>
      </w:r>
      <w:r>
        <w:t xml:space="preserve"> alebo placeba sa podávali raz za štyri týždne v kombinácii so stabilnou dávkou MTX (10 mg až 25 mg týždenne).</w:t>
      </w:r>
    </w:p>
    <w:p w14:paraId="3E539F6F" w14:textId="77777777" w:rsidR="009700E5" w:rsidRDefault="009700E5">
      <w:pPr>
        <w:numPr>
          <w:ilvl w:val="12"/>
          <w:numId w:val="0"/>
        </w:numPr>
        <w:ind w:right="-2"/>
      </w:pPr>
    </w:p>
    <w:p w14:paraId="29183204" w14:textId="77777777" w:rsidR="009700E5" w:rsidRDefault="002C033C">
      <w:pPr>
        <w:numPr>
          <w:ilvl w:val="12"/>
          <w:numId w:val="0"/>
        </w:numPr>
        <w:ind w:right="-2"/>
      </w:pPr>
      <w:del w:id="2468" w:author="Author" w:date="2025-07-20T00:16:00Z">
        <w:r>
          <w:delText>Štúdia </w:delText>
        </w:r>
      </w:del>
      <w:ins w:id="2469" w:author="Author" w:date="2025-07-21T10:52:00Z">
        <w:r>
          <w:t>Klinické s</w:t>
        </w:r>
      </w:ins>
      <w:ins w:id="2470" w:author="Author" w:date="2025-07-20T00:16:00Z">
        <w:del w:id="2471" w:author="Author" w:date="2025-07-21T10:52:00Z">
          <w:r>
            <w:delText>S</w:delText>
          </w:r>
        </w:del>
        <w:r>
          <w:t>kúšanie </w:t>
        </w:r>
      </w:ins>
      <w:r>
        <w:t xml:space="preserve">IV </w:t>
      </w:r>
      <w:del w:id="2472" w:author="Author" w:date="2025-07-20T00:16:00Z">
        <w:r>
          <w:delText xml:space="preserve">hodnotila </w:delText>
        </w:r>
      </w:del>
      <w:ins w:id="2473" w:author="Author" w:date="2025-07-20T00:16:00Z">
        <w:r>
          <w:t xml:space="preserve">hodnotilo </w:t>
        </w:r>
      </w:ins>
      <w:r>
        <w:t xml:space="preserve">1 220 pacientov, ktorí nedosiahli dostatočnú odpoveď na existujúcu reumatologickú liečbu zahŕňajúcu jedno alebo viaceré DMARD. Dávky 8 mg/kg </w:t>
      </w:r>
      <w:r>
        <w:rPr>
          <w:lang w:eastAsia="de-DE"/>
        </w:rPr>
        <w:t>tocilizumabu</w:t>
      </w:r>
      <w:r>
        <w:t xml:space="preserve"> alebo placeba sa podávali raz za štyri týždne v kombinácii so stabilnou dávkou DMARD.</w:t>
      </w:r>
    </w:p>
    <w:p w14:paraId="20438697" w14:textId="77777777" w:rsidR="009700E5" w:rsidRDefault="009700E5">
      <w:pPr>
        <w:numPr>
          <w:ilvl w:val="12"/>
          <w:numId w:val="0"/>
        </w:numPr>
        <w:ind w:right="-2"/>
      </w:pPr>
    </w:p>
    <w:p w14:paraId="598F1F1A" w14:textId="77777777" w:rsidR="009700E5" w:rsidRDefault="002C033C">
      <w:pPr>
        <w:numPr>
          <w:ilvl w:val="12"/>
          <w:numId w:val="0"/>
        </w:numPr>
        <w:ind w:right="-2"/>
      </w:pPr>
      <w:del w:id="2474" w:author="Author" w:date="2025-07-20T00:17:00Z">
        <w:r>
          <w:delText>Štúdia </w:delText>
        </w:r>
      </w:del>
      <w:ins w:id="2475" w:author="Author" w:date="2025-07-21T10:52:00Z">
        <w:r>
          <w:t>Klinické s</w:t>
        </w:r>
      </w:ins>
      <w:ins w:id="2476" w:author="Author" w:date="2025-07-20T00:17:00Z">
        <w:del w:id="2477" w:author="Author" w:date="2025-07-21T10:52:00Z">
          <w:r>
            <w:delText>S</w:delText>
          </w:r>
        </w:del>
        <w:r>
          <w:t>kúšanie </w:t>
        </w:r>
      </w:ins>
      <w:r>
        <w:t>V </w:t>
      </w:r>
      <w:del w:id="2478" w:author="Author" w:date="2025-07-20T00:17:00Z">
        <w:r>
          <w:delText xml:space="preserve">hodnotila </w:delText>
        </w:r>
      </w:del>
      <w:ins w:id="2479" w:author="Author" w:date="2025-07-20T00:17:00Z">
        <w:r>
          <w:t xml:space="preserve">hodnotilo </w:t>
        </w:r>
      </w:ins>
      <w:r>
        <w:t xml:space="preserve">499 pacientov, ktorí nedosiahli dostatočnú klinickú odpoveď na liečbu jedným alebo viacerými inhibítormi TNF, alebo ktorí takúto liečbu netolerovali. Liečba inhibítorom TNF sa pred randomizáciou ukončila. Dávky 4 alebo 8 mg/kg </w:t>
      </w:r>
      <w:r>
        <w:rPr>
          <w:lang w:eastAsia="de-DE"/>
        </w:rPr>
        <w:t>tocilizumabu</w:t>
      </w:r>
      <w:r>
        <w:t xml:space="preserve"> alebo placeba sa podávali raz za štyri týždne v kombinácii so stabilnou dávkou MTX (10 mg až 25 mg týždenne).</w:t>
      </w:r>
    </w:p>
    <w:p w14:paraId="62A916E3" w14:textId="77777777" w:rsidR="009700E5" w:rsidRDefault="009700E5">
      <w:pPr>
        <w:numPr>
          <w:ilvl w:val="12"/>
          <w:numId w:val="0"/>
        </w:numPr>
        <w:ind w:right="-2"/>
      </w:pPr>
    </w:p>
    <w:p w14:paraId="0BDFF8A1" w14:textId="77777777" w:rsidR="009700E5" w:rsidRDefault="002C033C">
      <w:pPr>
        <w:keepNext/>
        <w:keepLines/>
        <w:numPr>
          <w:ilvl w:val="12"/>
          <w:numId w:val="0"/>
        </w:numPr>
        <w:rPr>
          <w:i/>
          <w:iCs/>
          <w:u w:val="single"/>
        </w:rPr>
      </w:pPr>
      <w:r>
        <w:rPr>
          <w:i/>
          <w:iCs/>
          <w:u w:val="single"/>
        </w:rPr>
        <w:t>Klinická odpoveď</w:t>
      </w:r>
    </w:p>
    <w:p w14:paraId="2A51FD20" w14:textId="77777777" w:rsidR="009700E5" w:rsidRDefault="002C033C">
      <w:pPr>
        <w:numPr>
          <w:ilvl w:val="12"/>
          <w:numId w:val="0"/>
        </w:numPr>
        <w:ind w:right="-2"/>
      </w:pPr>
      <w:r>
        <w:t xml:space="preserve">Vo všetkých </w:t>
      </w:r>
      <w:del w:id="2480" w:author="Author" w:date="2025-07-20T00:17:00Z">
        <w:r>
          <w:delText xml:space="preserve">štúdiách </w:delText>
        </w:r>
      </w:del>
      <w:ins w:id="2481" w:author="Author" w:date="2025-07-21T10:53:00Z">
        <w:r>
          <w:t>klinických s</w:t>
        </w:r>
      </w:ins>
      <w:ins w:id="2482" w:author="Author" w:date="2025-07-20T00:17:00Z">
        <w:del w:id="2483" w:author="Author" w:date="2025-07-21T10:53:00Z">
          <w:r>
            <w:delText>s</w:delText>
          </w:r>
        </w:del>
        <w:r>
          <w:t xml:space="preserve">kúšaniach </w:t>
        </w:r>
      </w:ins>
      <w:r>
        <w:t xml:space="preserve">mali pacienti liečení </w:t>
      </w:r>
      <w:r>
        <w:rPr>
          <w:lang w:eastAsia="de-DE"/>
        </w:rPr>
        <w:t>tocilizumabom</w:t>
      </w:r>
      <w:r>
        <w:t xml:space="preserve"> 8 mg/kg štatisticky významne vyššiu mieru odpovede ACR 20, 50, 70 po šiestich mesiacoch oproti kontrolnej skupine (tabuľka 5). V </w:t>
      </w:r>
      <w:del w:id="2484" w:author="Author" w:date="2025-07-20T00:17:00Z">
        <w:r>
          <w:delText>štúdii </w:delText>
        </w:r>
      </w:del>
      <w:ins w:id="2485" w:author="Author" w:date="2025-07-21T10:53:00Z">
        <w:r>
          <w:t xml:space="preserve">klinickom </w:t>
        </w:r>
      </w:ins>
      <w:ins w:id="2486" w:author="Author" w:date="2025-07-20T00:17:00Z">
        <w:r>
          <w:t>skúšaní </w:t>
        </w:r>
      </w:ins>
      <w:r>
        <w:t xml:space="preserve">I sa preukázala vyššia účinnosť </w:t>
      </w:r>
      <w:r>
        <w:rPr>
          <w:lang w:eastAsia="de-DE"/>
        </w:rPr>
        <w:t>tocilizumabu</w:t>
      </w:r>
      <w:r>
        <w:t xml:space="preserve"> 8 mg/kg oproti aktívnej porovnávacej látke </w:t>
      </w:r>
      <w:r>
        <w:noBreakHyphen/>
        <w:t> MTX.</w:t>
      </w:r>
    </w:p>
    <w:p w14:paraId="266876CA" w14:textId="77777777" w:rsidR="009700E5" w:rsidRDefault="009700E5">
      <w:pPr>
        <w:numPr>
          <w:ilvl w:val="12"/>
          <w:numId w:val="0"/>
        </w:numPr>
        <w:ind w:right="-2"/>
      </w:pPr>
    </w:p>
    <w:p w14:paraId="10A1E5C6" w14:textId="77777777" w:rsidR="009700E5" w:rsidRDefault="002C033C">
      <w:pPr>
        <w:numPr>
          <w:ilvl w:val="12"/>
          <w:numId w:val="0"/>
        </w:numPr>
        <w:ind w:right="-2"/>
      </w:pPr>
      <w:r>
        <w:t>Účinok liečby bol u pacientov podobný nezávisle od prítomnosti reumatoidného faktora, veku, pohlavia, rasy, počtu predchádzajúcich terapií a stavu ochorenia. Účinok nastúpil rýchlo (už v 2. týždni) a stupeň odpovede sa počas liečby neustále zlepšoval. V</w:t>
      </w:r>
      <w:del w:id="2487" w:author="Author" w:date="2025-07-20T00:18:00Z">
        <w:r>
          <w:delText> prebiehajúcich</w:delText>
        </w:r>
      </w:del>
      <w:r>
        <w:t xml:space="preserve"> predĺžených otvorených </w:t>
      </w:r>
      <w:del w:id="2488" w:author="Author" w:date="2025-07-20T00:18:00Z">
        <w:r>
          <w:delText xml:space="preserve">štúdiách </w:delText>
        </w:r>
      </w:del>
      <w:ins w:id="2489" w:author="Author" w:date="2025-07-21T10:53:00Z">
        <w:r>
          <w:t xml:space="preserve">klinických </w:t>
        </w:r>
      </w:ins>
      <w:ins w:id="2490" w:author="Author" w:date="2025-07-20T00:18:00Z">
        <w:r>
          <w:t xml:space="preserve">skúšaniach </w:t>
        </w:r>
      </w:ins>
      <w:r>
        <w:t>I </w:t>
      </w:r>
      <w:r>
        <w:noBreakHyphen/>
        <w:t> V sa počas viac ako 3 rokov pozorovali neustále pretrvávajúce odpovede.</w:t>
      </w:r>
    </w:p>
    <w:p w14:paraId="2DF88DDC" w14:textId="77777777" w:rsidR="009700E5" w:rsidRDefault="009700E5">
      <w:pPr>
        <w:numPr>
          <w:ilvl w:val="12"/>
          <w:numId w:val="0"/>
        </w:numPr>
        <w:ind w:right="-2"/>
      </w:pPr>
    </w:p>
    <w:p w14:paraId="3366FBDA" w14:textId="77777777" w:rsidR="009700E5" w:rsidRDefault="002C033C">
      <w:pPr>
        <w:numPr>
          <w:ilvl w:val="12"/>
          <w:numId w:val="0"/>
        </w:numPr>
        <w:ind w:right="-2"/>
      </w:pPr>
      <w:r>
        <w:t xml:space="preserve">Vo všetkých </w:t>
      </w:r>
      <w:del w:id="2491" w:author="Author" w:date="2025-07-20T00:18:00Z">
        <w:r>
          <w:delText xml:space="preserve">štúdiách </w:delText>
        </w:r>
      </w:del>
      <w:ins w:id="2492" w:author="Author" w:date="2025-07-21T10:54:00Z">
        <w:r>
          <w:t xml:space="preserve">klinických </w:t>
        </w:r>
      </w:ins>
      <w:ins w:id="2493" w:author="Author" w:date="2025-07-20T00:18:00Z">
        <w:r>
          <w:t xml:space="preserve">skúšaniach </w:t>
        </w:r>
      </w:ins>
      <w:r>
        <w:t xml:space="preserve">sa u pacientov liečených </w:t>
      </w:r>
      <w:r>
        <w:rPr>
          <w:lang w:eastAsia="de-DE"/>
        </w:rPr>
        <w:t>tocilizumabom</w:t>
      </w:r>
      <w:r>
        <w:t xml:space="preserve"> 8 mg/kg oproti pacientom s placebom a MTX alebo inými DMARD zaznamenalo významné zlepšenie vo všetkých jednotlivých zložkách odpovede ACR zahŕňajúcich: počet bolestivých a opuchnutých kĺbov; celkové hodnotenie pacientmi a lekárom; skóre indexu funkčnej neschopnosti; hodnotenie bolesti a CRP.</w:t>
      </w:r>
    </w:p>
    <w:p w14:paraId="10D8A640" w14:textId="77777777" w:rsidR="009700E5" w:rsidRDefault="009700E5">
      <w:pPr>
        <w:numPr>
          <w:ilvl w:val="12"/>
          <w:numId w:val="0"/>
        </w:numPr>
        <w:ind w:right="-2"/>
      </w:pPr>
    </w:p>
    <w:p w14:paraId="626EA6BC" w14:textId="77777777" w:rsidR="009700E5" w:rsidRDefault="002C033C">
      <w:pPr>
        <w:numPr>
          <w:ilvl w:val="12"/>
          <w:numId w:val="0"/>
        </w:numPr>
      </w:pPr>
      <w:r>
        <w:t xml:space="preserve">Pacienti v </w:t>
      </w:r>
      <w:del w:id="2494" w:author="Author" w:date="2025-07-20T00:18:00Z">
        <w:r>
          <w:delText xml:space="preserve">štúdiách </w:delText>
        </w:r>
      </w:del>
      <w:ins w:id="2495" w:author="Author" w:date="2025-07-21T10:54:00Z">
        <w:r>
          <w:t xml:space="preserve">klinických </w:t>
        </w:r>
      </w:ins>
      <w:ins w:id="2496" w:author="Author" w:date="2025-07-20T00:18:00Z">
        <w:r>
          <w:t xml:space="preserve">skúšaniach </w:t>
        </w:r>
      </w:ins>
      <w:r>
        <w:t>I </w:t>
      </w:r>
      <w:r>
        <w:noBreakHyphen/>
        <w:t> V mali pred začiatkom liečby priemerné skóre aktivity ochorenia (DAS28) 6,5 </w:t>
      </w:r>
      <w:r>
        <w:noBreakHyphen/>
        <w:t> 6,8. U pacientov liečených</w:t>
      </w:r>
      <w:r>
        <w:rPr>
          <w:bCs/>
        </w:rPr>
        <w:t xml:space="preserve"> </w:t>
      </w:r>
      <w:r>
        <w:rPr>
          <w:lang w:eastAsia="de-DE"/>
        </w:rPr>
        <w:t>tocilizumabom</w:t>
      </w:r>
      <w:r>
        <w:t xml:space="preserve"> sa v porovnaní s pacientmi v kontrolnej skupine (1,3 </w:t>
      </w:r>
      <w:r>
        <w:noBreakHyphen/>
        <w:t> 2,1) pozorovalo významné zníženie DAS28 oproti východiskovej hodnote (priemerné zlepšenie) o 3,1 </w:t>
      </w:r>
      <w:r>
        <w:noBreakHyphen/>
        <w:t> 3,4. Podiel pacientov, ktorí v 24. týždni dosiahli klinickú remisiu ochorenia podľa DAS28 (DAS28 </w:t>
      </w:r>
      <w:r>
        <w:rPr>
          <w:rFonts w:eastAsia="MS Mincho"/>
          <w:szCs w:val="22"/>
        </w:rPr>
        <w:sym w:font="Symbol" w:char="F03C"/>
      </w:r>
      <w:r>
        <w:t xml:space="preserve"> 2,6), bol významne vyšší u pacientov liečených </w:t>
      </w:r>
      <w:r>
        <w:rPr>
          <w:lang w:eastAsia="de-DE"/>
        </w:rPr>
        <w:t>tocilizumabom</w:t>
      </w:r>
      <w:r>
        <w:t xml:space="preserve"> (28 </w:t>
      </w:r>
      <w:r>
        <w:noBreakHyphen/>
        <w:t> 34 %) v porovnaní s 1 </w:t>
      </w:r>
      <w:r>
        <w:noBreakHyphen/>
        <w:t> 12 % pacientov v kontrolnej skupine. V </w:t>
      </w:r>
      <w:del w:id="2497" w:author="Author" w:date="2025-07-20T00:18:00Z">
        <w:r>
          <w:delText>štúdii </w:delText>
        </w:r>
      </w:del>
      <w:ins w:id="2498" w:author="Author" w:date="2025-07-21T10:54:00Z">
        <w:r>
          <w:t xml:space="preserve">klinickom </w:t>
        </w:r>
      </w:ins>
      <w:ins w:id="2499" w:author="Author" w:date="2025-07-20T00:18:00Z">
        <w:r>
          <w:t>skú</w:t>
        </w:r>
      </w:ins>
      <w:ins w:id="2500" w:author="Author" w:date="2025-07-20T00:19:00Z">
        <w:r>
          <w:t>šaní</w:t>
        </w:r>
      </w:ins>
      <w:ins w:id="2501" w:author="Author" w:date="2025-07-20T00:18:00Z">
        <w:r>
          <w:t> </w:t>
        </w:r>
      </w:ins>
      <w:r>
        <w:t xml:space="preserve">II </w:t>
      </w:r>
      <w:r>
        <w:lastRenderedPageBreak/>
        <w:t>dosiahlo 65 % pacientov DAS28 </w:t>
      </w:r>
      <w:r>
        <w:rPr>
          <w:rFonts w:eastAsia="MS Mincho"/>
          <w:szCs w:val="22"/>
        </w:rPr>
        <w:sym w:font="Symbol" w:char="F03C"/>
      </w:r>
      <w:r>
        <w:t> 2,6 v 104. týždni, v porovnaní so 48 % pacientov v 52. týždni a s 33 % pacientov v 24. týždni.</w:t>
      </w:r>
    </w:p>
    <w:p w14:paraId="49FF710F" w14:textId="77777777" w:rsidR="009700E5" w:rsidRDefault="009700E5">
      <w:pPr>
        <w:numPr>
          <w:ilvl w:val="12"/>
          <w:numId w:val="0"/>
        </w:numPr>
        <w:ind w:right="-2"/>
      </w:pPr>
    </w:p>
    <w:p w14:paraId="67A12277" w14:textId="77777777" w:rsidR="009700E5" w:rsidRDefault="002C033C">
      <w:pPr>
        <w:keepNext/>
        <w:keepLines/>
        <w:numPr>
          <w:ilvl w:val="12"/>
          <w:numId w:val="0"/>
        </w:numPr>
      </w:pPr>
      <w:r>
        <w:t xml:space="preserve">V súhrnnej analýze </w:t>
      </w:r>
      <w:del w:id="2502" w:author="Author" w:date="2025-07-20T00:19:00Z">
        <w:r>
          <w:delText>štúdií </w:delText>
        </w:r>
      </w:del>
      <w:ins w:id="2503" w:author="Author" w:date="2025-07-21T10:54:00Z">
        <w:r>
          <w:t xml:space="preserve">klinických </w:t>
        </w:r>
      </w:ins>
      <w:ins w:id="2504" w:author="Author" w:date="2025-07-20T00:19:00Z">
        <w:r>
          <w:t>skúšaní </w:t>
        </w:r>
      </w:ins>
      <w:r>
        <w:t xml:space="preserve">II, III a IV bol podiel pacientov, ktorí dosiahli odpoveď ACR 20, 50 a 70 významne vyšší (59 % oproti 50 %, 37 % oproti 27 %, 18 % oproti 11 % v uvedenom poradí) v skupine liečenej </w:t>
      </w:r>
      <w:r>
        <w:rPr>
          <w:lang w:eastAsia="de-DE"/>
        </w:rPr>
        <w:t>tocilizumabom</w:t>
      </w:r>
      <w:r>
        <w:t xml:space="preserve"> 8 mg/kg v kombinácii s DMARD oproti skupine liečenej </w:t>
      </w:r>
      <w:r>
        <w:rPr>
          <w:lang w:eastAsia="de-DE"/>
        </w:rPr>
        <w:t>tocilizumabom</w:t>
      </w:r>
      <w:r>
        <w:t xml:space="preserve"> 4 mg/kg v kombinácii s DMARD (p </w:t>
      </w:r>
      <w:r>
        <w:rPr>
          <w:rFonts w:eastAsia="MS Mincho"/>
          <w:szCs w:val="22"/>
        </w:rPr>
        <w:sym w:font="Symbol" w:char="F03C"/>
      </w:r>
      <w:r>
        <w:t> 0,03). Podobne bol aj podiel pacientov, ktorí dosiahli remisiu ochorenia podľa DAS28 (DAS28 </w:t>
      </w:r>
      <w:r>
        <w:rPr>
          <w:rFonts w:eastAsia="MS Mincho"/>
          <w:szCs w:val="22"/>
        </w:rPr>
        <w:sym w:font="Symbol" w:char="F03C"/>
      </w:r>
      <w:r>
        <w:t xml:space="preserve"> 2,6), významne vyšší (31 % oproti 16 %) u pacientov liečených </w:t>
      </w:r>
      <w:r>
        <w:rPr>
          <w:lang w:eastAsia="de-DE"/>
        </w:rPr>
        <w:t>tocilizumabom</w:t>
      </w:r>
      <w:r>
        <w:t xml:space="preserve"> 8 mg/kg v kombinácii s DMARD než u pacientov liečených tocilizumabom 4 mg/kg v kombinácii s DMARD (p </w:t>
      </w:r>
      <w:r>
        <w:rPr>
          <w:rFonts w:eastAsia="MS Mincho"/>
          <w:szCs w:val="22"/>
        </w:rPr>
        <w:sym w:font="Symbol" w:char="F03C"/>
      </w:r>
      <w:r>
        <w:t> 0,0001).</w:t>
      </w:r>
    </w:p>
    <w:p w14:paraId="2BB41D27" w14:textId="77777777" w:rsidR="009700E5" w:rsidRDefault="009700E5">
      <w:pPr>
        <w:numPr>
          <w:ilvl w:val="12"/>
          <w:numId w:val="0"/>
        </w:numPr>
        <w:ind w:right="-2"/>
      </w:pPr>
    </w:p>
    <w:p w14:paraId="37CF268D" w14:textId="77777777" w:rsidR="009700E5" w:rsidRDefault="002C033C">
      <w:pPr>
        <w:keepNext/>
        <w:keepLines/>
        <w:numPr>
          <w:ilvl w:val="12"/>
          <w:numId w:val="0"/>
        </w:numPr>
        <w:ind w:left="1411" w:hanging="1411"/>
        <w:rPr>
          <w:bCs/>
          <w:i/>
        </w:rPr>
      </w:pPr>
      <w:r>
        <w:rPr>
          <w:bCs/>
          <w:i/>
        </w:rPr>
        <w:t xml:space="preserve">Tabuľka 5.Odpovede ACR v placebom/MTX/DMARD kontrolovaných </w:t>
      </w:r>
      <w:del w:id="2505" w:author="Author" w:date="2025-07-20T00:19:00Z">
        <w:r>
          <w:rPr>
            <w:bCs/>
            <w:i/>
          </w:rPr>
          <w:delText xml:space="preserve">štúdiách </w:delText>
        </w:r>
      </w:del>
      <w:ins w:id="2506" w:author="Author" w:date="2025-07-21T10:54:00Z">
        <w:r>
          <w:rPr>
            <w:bCs/>
            <w:i/>
          </w:rPr>
          <w:t xml:space="preserve">klinických </w:t>
        </w:r>
      </w:ins>
      <w:ins w:id="2507" w:author="Author" w:date="2025-07-20T00:19:00Z">
        <w:r>
          <w:rPr>
            <w:bCs/>
            <w:i/>
          </w:rPr>
          <w:t xml:space="preserve">skúšaniach </w:t>
        </w:r>
      </w:ins>
      <w:r>
        <w:rPr>
          <w:bCs/>
          <w:i/>
        </w:rPr>
        <w:t>(% pacientov)</w:t>
      </w:r>
    </w:p>
    <w:p w14:paraId="2106D0B5" w14:textId="77777777" w:rsidR="009700E5" w:rsidRDefault="009700E5">
      <w:pPr>
        <w:keepNext/>
        <w:keepLines/>
        <w:numPr>
          <w:ilvl w:val="12"/>
          <w:numId w:val="0"/>
        </w:numPr>
        <w:ind w:left="1411" w:hanging="1411"/>
        <w:rPr>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861"/>
        <w:gridCol w:w="684"/>
        <w:gridCol w:w="918"/>
        <w:gridCol w:w="793"/>
        <w:gridCol w:w="879"/>
        <w:gridCol w:w="794"/>
        <w:gridCol w:w="906"/>
        <w:gridCol w:w="957"/>
        <w:gridCol w:w="920"/>
        <w:gridCol w:w="792"/>
      </w:tblGrid>
      <w:tr w:rsidR="009700E5" w14:paraId="6662ECC1" w14:textId="77777777">
        <w:trPr>
          <w:cantSplit/>
          <w:trHeight w:val="463"/>
          <w:tblHeader/>
        </w:trPr>
        <w:tc>
          <w:tcPr>
            <w:tcW w:w="314" w:type="pct"/>
          </w:tcPr>
          <w:p w14:paraId="1D816F4C" w14:textId="77777777" w:rsidR="009700E5" w:rsidRDefault="009700E5">
            <w:pPr>
              <w:numPr>
                <w:ilvl w:val="12"/>
                <w:numId w:val="0"/>
              </w:numPr>
              <w:ind w:right="-2"/>
              <w:jc w:val="center"/>
              <w:rPr>
                <w:sz w:val="18"/>
                <w:szCs w:val="18"/>
              </w:rPr>
            </w:pPr>
          </w:p>
        </w:tc>
        <w:tc>
          <w:tcPr>
            <w:tcW w:w="815" w:type="pct"/>
            <w:gridSpan w:val="2"/>
            <w:tcBorders>
              <w:bottom w:val="single" w:sz="4" w:space="0" w:color="auto"/>
            </w:tcBorders>
          </w:tcPr>
          <w:p w14:paraId="09976B4A" w14:textId="77777777" w:rsidR="009700E5" w:rsidRDefault="002C033C">
            <w:pPr>
              <w:numPr>
                <w:ilvl w:val="12"/>
                <w:numId w:val="0"/>
              </w:numPr>
              <w:ind w:right="-2"/>
              <w:jc w:val="center"/>
              <w:rPr>
                <w:b/>
                <w:bCs/>
                <w:sz w:val="18"/>
                <w:szCs w:val="18"/>
              </w:rPr>
            </w:pPr>
            <w:del w:id="2508" w:author="Author" w:date="2025-07-20T00:20:00Z">
              <w:r>
                <w:rPr>
                  <w:b/>
                  <w:bCs/>
                  <w:sz w:val="18"/>
                  <w:szCs w:val="18"/>
                </w:rPr>
                <w:delText xml:space="preserve">Štúdia </w:delText>
              </w:r>
            </w:del>
            <w:ins w:id="2509" w:author="Author" w:date="2025-07-21T10:54:00Z">
              <w:r>
                <w:rPr>
                  <w:b/>
                  <w:bCs/>
                  <w:sz w:val="18"/>
                  <w:szCs w:val="18"/>
                </w:rPr>
                <w:t>Klinické s</w:t>
              </w:r>
            </w:ins>
            <w:ins w:id="2510" w:author="Author" w:date="2025-07-20T00:20:00Z">
              <w:del w:id="2511" w:author="Author" w:date="2025-07-21T10:54:00Z">
                <w:r>
                  <w:rPr>
                    <w:b/>
                    <w:bCs/>
                    <w:sz w:val="18"/>
                    <w:szCs w:val="18"/>
                  </w:rPr>
                  <w:delText>S</w:delText>
                </w:r>
              </w:del>
              <w:r>
                <w:rPr>
                  <w:b/>
                  <w:bCs/>
                  <w:sz w:val="18"/>
                  <w:szCs w:val="18"/>
                </w:rPr>
                <w:t xml:space="preserve">kúšanie </w:t>
              </w:r>
            </w:ins>
            <w:r>
              <w:rPr>
                <w:b/>
                <w:bCs/>
                <w:sz w:val="18"/>
                <w:szCs w:val="18"/>
              </w:rPr>
              <w:t>I</w:t>
            </w:r>
          </w:p>
          <w:p w14:paraId="10FB9D99" w14:textId="77777777" w:rsidR="009700E5" w:rsidRDefault="002C033C">
            <w:pPr>
              <w:numPr>
                <w:ilvl w:val="12"/>
                <w:numId w:val="0"/>
              </w:numPr>
              <w:ind w:right="-2"/>
              <w:jc w:val="center"/>
              <w:rPr>
                <w:b/>
                <w:bCs/>
                <w:sz w:val="18"/>
                <w:szCs w:val="18"/>
              </w:rPr>
            </w:pPr>
            <w:r>
              <w:rPr>
                <w:b/>
                <w:bCs/>
                <w:sz w:val="18"/>
                <w:szCs w:val="18"/>
              </w:rPr>
              <w:t>AMBITION</w:t>
            </w:r>
          </w:p>
        </w:tc>
        <w:tc>
          <w:tcPr>
            <w:tcW w:w="957" w:type="pct"/>
            <w:gridSpan w:val="2"/>
            <w:tcBorders>
              <w:bottom w:val="single" w:sz="4" w:space="0" w:color="auto"/>
            </w:tcBorders>
          </w:tcPr>
          <w:p w14:paraId="1FD9B466" w14:textId="77777777" w:rsidR="009700E5" w:rsidRDefault="002C033C">
            <w:pPr>
              <w:numPr>
                <w:ilvl w:val="12"/>
                <w:numId w:val="0"/>
              </w:numPr>
              <w:ind w:right="-2"/>
              <w:jc w:val="center"/>
              <w:rPr>
                <w:b/>
                <w:bCs/>
                <w:sz w:val="18"/>
                <w:szCs w:val="18"/>
              </w:rPr>
            </w:pPr>
            <w:ins w:id="2512" w:author="Author" w:date="2025-07-21T10:54:00Z">
              <w:r>
                <w:rPr>
                  <w:b/>
                  <w:bCs/>
                  <w:sz w:val="18"/>
                  <w:szCs w:val="18"/>
                </w:rPr>
                <w:t>Klinické s</w:t>
              </w:r>
            </w:ins>
            <w:ins w:id="2513" w:author="Author" w:date="2025-07-20T00:20:00Z">
              <w:del w:id="2514" w:author="Author" w:date="2025-07-21T10:54:00Z">
                <w:r>
                  <w:rPr>
                    <w:b/>
                    <w:bCs/>
                    <w:sz w:val="18"/>
                    <w:szCs w:val="18"/>
                  </w:rPr>
                  <w:delText>S</w:delText>
                </w:r>
              </w:del>
              <w:r>
                <w:rPr>
                  <w:b/>
                  <w:bCs/>
                  <w:sz w:val="18"/>
                  <w:szCs w:val="18"/>
                </w:rPr>
                <w:t>kúšanie</w:t>
              </w:r>
            </w:ins>
            <w:del w:id="2515" w:author="Author" w:date="2025-07-20T00:20:00Z">
              <w:r>
                <w:rPr>
                  <w:b/>
                  <w:bCs/>
                  <w:sz w:val="18"/>
                  <w:szCs w:val="18"/>
                </w:rPr>
                <w:delText>Štúdia</w:delText>
              </w:r>
            </w:del>
            <w:r>
              <w:rPr>
                <w:b/>
                <w:bCs/>
                <w:sz w:val="18"/>
                <w:szCs w:val="18"/>
              </w:rPr>
              <w:t xml:space="preserve"> II</w:t>
            </w:r>
          </w:p>
          <w:p w14:paraId="7DEA8145" w14:textId="77777777" w:rsidR="009700E5" w:rsidRDefault="002C033C">
            <w:pPr>
              <w:numPr>
                <w:ilvl w:val="12"/>
                <w:numId w:val="0"/>
              </w:numPr>
              <w:ind w:right="-2"/>
              <w:jc w:val="center"/>
              <w:rPr>
                <w:sz w:val="18"/>
                <w:szCs w:val="18"/>
              </w:rPr>
            </w:pPr>
            <w:r>
              <w:rPr>
                <w:b/>
                <w:bCs/>
                <w:sz w:val="18"/>
                <w:szCs w:val="18"/>
              </w:rPr>
              <w:t>LITHE</w:t>
            </w:r>
          </w:p>
        </w:tc>
        <w:tc>
          <w:tcPr>
            <w:tcW w:w="934" w:type="pct"/>
            <w:gridSpan w:val="2"/>
            <w:tcBorders>
              <w:bottom w:val="single" w:sz="4" w:space="0" w:color="auto"/>
            </w:tcBorders>
          </w:tcPr>
          <w:p w14:paraId="286E3A91" w14:textId="77777777" w:rsidR="009700E5" w:rsidRDefault="002C033C">
            <w:pPr>
              <w:numPr>
                <w:ilvl w:val="12"/>
                <w:numId w:val="0"/>
              </w:numPr>
              <w:ind w:right="-2"/>
              <w:jc w:val="center"/>
              <w:rPr>
                <w:b/>
                <w:bCs/>
                <w:sz w:val="18"/>
                <w:szCs w:val="18"/>
              </w:rPr>
            </w:pPr>
            <w:ins w:id="2516" w:author="Author" w:date="2025-07-21T10:54:00Z">
              <w:r>
                <w:rPr>
                  <w:b/>
                  <w:bCs/>
                  <w:sz w:val="18"/>
                  <w:szCs w:val="18"/>
                </w:rPr>
                <w:t>Klinické s</w:t>
              </w:r>
            </w:ins>
            <w:ins w:id="2517" w:author="Author" w:date="2025-07-20T00:20:00Z">
              <w:del w:id="2518" w:author="Author" w:date="2025-07-21T10:54:00Z">
                <w:r>
                  <w:rPr>
                    <w:b/>
                    <w:bCs/>
                    <w:sz w:val="18"/>
                    <w:szCs w:val="18"/>
                  </w:rPr>
                  <w:delText>S</w:delText>
                </w:r>
              </w:del>
              <w:r>
                <w:rPr>
                  <w:b/>
                  <w:bCs/>
                  <w:sz w:val="18"/>
                  <w:szCs w:val="18"/>
                </w:rPr>
                <w:t>kúšanie</w:t>
              </w:r>
            </w:ins>
            <w:del w:id="2519" w:author="Author" w:date="2025-07-20T00:20:00Z">
              <w:r>
                <w:rPr>
                  <w:b/>
                  <w:bCs/>
                  <w:sz w:val="18"/>
                  <w:szCs w:val="18"/>
                </w:rPr>
                <w:delText>Štúdia</w:delText>
              </w:r>
            </w:del>
            <w:r>
              <w:rPr>
                <w:b/>
                <w:bCs/>
                <w:sz w:val="18"/>
                <w:szCs w:val="18"/>
              </w:rPr>
              <w:t xml:space="preserve"> III</w:t>
            </w:r>
          </w:p>
          <w:p w14:paraId="27C981F4" w14:textId="77777777" w:rsidR="009700E5" w:rsidRDefault="002C033C">
            <w:pPr>
              <w:numPr>
                <w:ilvl w:val="12"/>
                <w:numId w:val="0"/>
              </w:numPr>
              <w:ind w:right="-2"/>
              <w:jc w:val="center"/>
              <w:rPr>
                <w:sz w:val="18"/>
                <w:szCs w:val="18"/>
              </w:rPr>
            </w:pPr>
            <w:r>
              <w:rPr>
                <w:b/>
                <w:bCs/>
                <w:sz w:val="18"/>
                <w:szCs w:val="18"/>
              </w:rPr>
              <w:t>OPTION</w:t>
            </w:r>
          </w:p>
        </w:tc>
        <w:tc>
          <w:tcPr>
            <w:tcW w:w="1022" w:type="pct"/>
            <w:gridSpan w:val="2"/>
            <w:tcBorders>
              <w:bottom w:val="single" w:sz="4" w:space="0" w:color="auto"/>
            </w:tcBorders>
          </w:tcPr>
          <w:p w14:paraId="788B26BC" w14:textId="77777777" w:rsidR="009700E5" w:rsidRDefault="002C033C">
            <w:pPr>
              <w:numPr>
                <w:ilvl w:val="12"/>
                <w:numId w:val="0"/>
              </w:numPr>
              <w:ind w:right="-2"/>
              <w:jc w:val="center"/>
              <w:rPr>
                <w:b/>
                <w:bCs/>
                <w:sz w:val="18"/>
                <w:szCs w:val="18"/>
              </w:rPr>
            </w:pPr>
            <w:ins w:id="2520" w:author="Author" w:date="2025-07-21T10:54:00Z">
              <w:r>
                <w:rPr>
                  <w:b/>
                  <w:bCs/>
                  <w:sz w:val="18"/>
                  <w:szCs w:val="18"/>
                </w:rPr>
                <w:t>Klinické s</w:t>
              </w:r>
            </w:ins>
            <w:ins w:id="2521" w:author="Author" w:date="2025-07-20T00:20:00Z">
              <w:del w:id="2522" w:author="Author" w:date="2025-07-21T10:54:00Z">
                <w:r>
                  <w:rPr>
                    <w:b/>
                    <w:bCs/>
                    <w:sz w:val="18"/>
                    <w:szCs w:val="18"/>
                  </w:rPr>
                  <w:delText>S</w:delText>
                </w:r>
              </w:del>
              <w:r>
                <w:rPr>
                  <w:b/>
                  <w:bCs/>
                  <w:sz w:val="18"/>
                  <w:szCs w:val="18"/>
                </w:rPr>
                <w:t>kúšanie</w:t>
              </w:r>
            </w:ins>
            <w:del w:id="2523" w:author="Author" w:date="2025-07-20T00:20:00Z">
              <w:r>
                <w:rPr>
                  <w:b/>
                  <w:bCs/>
                  <w:sz w:val="18"/>
                  <w:szCs w:val="18"/>
                </w:rPr>
                <w:delText>Štúdia</w:delText>
              </w:r>
            </w:del>
            <w:r>
              <w:rPr>
                <w:b/>
                <w:bCs/>
                <w:sz w:val="18"/>
                <w:szCs w:val="18"/>
              </w:rPr>
              <w:t xml:space="preserve"> IV</w:t>
            </w:r>
          </w:p>
          <w:p w14:paraId="0D59E3E0" w14:textId="77777777" w:rsidR="009700E5" w:rsidRDefault="002C033C">
            <w:pPr>
              <w:numPr>
                <w:ilvl w:val="12"/>
                <w:numId w:val="0"/>
              </w:numPr>
              <w:ind w:right="-2"/>
              <w:jc w:val="center"/>
              <w:rPr>
                <w:b/>
                <w:bCs/>
                <w:sz w:val="18"/>
                <w:szCs w:val="18"/>
              </w:rPr>
            </w:pPr>
            <w:r>
              <w:rPr>
                <w:b/>
                <w:bCs/>
                <w:sz w:val="18"/>
                <w:szCs w:val="18"/>
              </w:rPr>
              <w:t>TOWARD</w:t>
            </w:r>
          </w:p>
        </w:tc>
        <w:tc>
          <w:tcPr>
            <w:tcW w:w="957" w:type="pct"/>
            <w:gridSpan w:val="2"/>
            <w:tcBorders>
              <w:bottom w:val="single" w:sz="4" w:space="0" w:color="auto"/>
            </w:tcBorders>
          </w:tcPr>
          <w:p w14:paraId="4C87B94E" w14:textId="77777777" w:rsidR="009700E5" w:rsidRDefault="002C033C">
            <w:pPr>
              <w:numPr>
                <w:ilvl w:val="12"/>
                <w:numId w:val="0"/>
              </w:numPr>
              <w:ind w:right="-2"/>
              <w:jc w:val="center"/>
              <w:rPr>
                <w:b/>
                <w:bCs/>
                <w:sz w:val="18"/>
                <w:szCs w:val="18"/>
              </w:rPr>
            </w:pPr>
            <w:ins w:id="2524" w:author="Author" w:date="2025-07-21T10:54:00Z">
              <w:r>
                <w:rPr>
                  <w:b/>
                  <w:bCs/>
                  <w:sz w:val="18"/>
                  <w:szCs w:val="18"/>
                </w:rPr>
                <w:t>Klinické s</w:t>
              </w:r>
            </w:ins>
            <w:ins w:id="2525" w:author="Author" w:date="2025-07-20T00:20:00Z">
              <w:del w:id="2526" w:author="Author" w:date="2025-07-21T10:54:00Z">
                <w:r>
                  <w:rPr>
                    <w:b/>
                    <w:bCs/>
                    <w:sz w:val="18"/>
                    <w:szCs w:val="18"/>
                  </w:rPr>
                  <w:delText>S</w:delText>
                </w:r>
              </w:del>
              <w:r>
                <w:rPr>
                  <w:b/>
                  <w:bCs/>
                  <w:sz w:val="18"/>
                  <w:szCs w:val="18"/>
                </w:rPr>
                <w:t>kúšanie</w:t>
              </w:r>
            </w:ins>
            <w:del w:id="2527" w:author="Author" w:date="2025-07-20T00:20:00Z">
              <w:r>
                <w:rPr>
                  <w:b/>
                  <w:bCs/>
                  <w:sz w:val="18"/>
                  <w:szCs w:val="18"/>
                </w:rPr>
                <w:delText>Štúdia</w:delText>
              </w:r>
            </w:del>
            <w:r>
              <w:rPr>
                <w:b/>
                <w:bCs/>
                <w:sz w:val="18"/>
                <w:szCs w:val="18"/>
              </w:rPr>
              <w:t xml:space="preserve"> V</w:t>
            </w:r>
          </w:p>
          <w:p w14:paraId="0DDCB045" w14:textId="77777777" w:rsidR="009700E5" w:rsidRDefault="002C033C">
            <w:pPr>
              <w:numPr>
                <w:ilvl w:val="12"/>
                <w:numId w:val="0"/>
              </w:numPr>
              <w:ind w:right="-2"/>
              <w:jc w:val="center"/>
              <w:rPr>
                <w:b/>
                <w:bCs/>
                <w:sz w:val="18"/>
                <w:szCs w:val="18"/>
              </w:rPr>
            </w:pPr>
            <w:r>
              <w:rPr>
                <w:b/>
                <w:bCs/>
                <w:sz w:val="18"/>
                <w:szCs w:val="18"/>
              </w:rPr>
              <w:t>RADIATE</w:t>
            </w:r>
          </w:p>
        </w:tc>
      </w:tr>
      <w:tr w:rsidR="009700E5" w14:paraId="3097B105" w14:textId="77777777">
        <w:trPr>
          <w:cantSplit/>
          <w:trHeight w:val="737"/>
          <w:tblHeader/>
        </w:trPr>
        <w:tc>
          <w:tcPr>
            <w:tcW w:w="314" w:type="pct"/>
          </w:tcPr>
          <w:p w14:paraId="7C218FF6" w14:textId="77777777" w:rsidR="009700E5" w:rsidRDefault="002C033C">
            <w:pPr>
              <w:numPr>
                <w:ilvl w:val="12"/>
                <w:numId w:val="0"/>
              </w:numPr>
              <w:ind w:right="-2"/>
              <w:jc w:val="center"/>
              <w:rPr>
                <w:sz w:val="18"/>
                <w:szCs w:val="18"/>
              </w:rPr>
            </w:pPr>
            <w:r>
              <w:rPr>
                <w:sz w:val="18"/>
                <w:szCs w:val="18"/>
              </w:rPr>
              <w:t>týž-deň</w:t>
            </w:r>
          </w:p>
        </w:tc>
        <w:tc>
          <w:tcPr>
            <w:tcW w:w="460" w:type="pct"/>
            <w:tcBorders>
              <w:right w:val="single" w:sz="4" w:space="0" w:color="auto"/>
            </w:tcBorders>
          </w:tcPr>
          <w:p w14:paraId="2E9CC721" w14:textId="77777777" w:rsidR="009700E5" w:rsidRDefault="002C033C">
            <w:pPr>
              <w:numPr>
                <w:ilvl w:val="12"/>
                <w:numId w:val="0"/>
              </w:numPr>
              <w:ind w:right="-2"/>
              <w:jc w:val="center"/>
              <w:rPr>
                <w:b/>
                <w:bCs/>
                <w:sz w:val="18"/>
                <w:szCs w:val="18"/>
              </w:rPr>
            </w:pPr>
            <w:r>
              <w:rPr>
                <w:b/>
                <w:bCs/>
                <w:sz w:val="18"/>
                <w:szCs w:val="18"/>
              </w:rPr>
              <w:t>TCZ</w:t>
            </w:r>
          </w:p>
          <w:p w14:paraId="4F901315" w14:textId="77777777" w:rsidR="009700E5" w:rsidRDefault="002C033C">
            <w:pPr>
              <w:numPr>
                <w:ilvl w:val="12"/>
                <w:numId w:val="0"/>
              </w:numPr>
              <w:ind w:right="-2"/>
              <w:jc w:val="center"/>
              <w:rPr>
                <w:sz w:val="18"/>
                <w:szCs w:val="18"/>
              </w:rPr>
            </w:pPr>
            <w:r>
              <w:rPr>
                <w:b/>
                <w:bCs/>
                <w:sz w:val="18"/>
                <w:szCs w:val="18"/>
              </w:rPr>
              <w:t>8 mg/kg</w:t>
            </w:r>
          </w:p>
        </w:tc>
        <w:tc>
          <w:tcPr>
            <w:tcW w:w="355" w:type="pct"/>
            <w:tcBorders>
              <w:left w:val="single" w:sz="4" w:space="0" w:color="auto"/>
              <w:right w:val="single" w:sz="4" w:space="0" w:color="auto"/>
            </w:tcBorders>
          </w:tcPr>
          <w:p w14:paraId="6538DB27" w14:textId="77777777" w:rsidR="009700E5" w:rsidRDefault="002C033C">
            <w:pPr>
              <w:numPr>
                <w:ilvl w:val="12"/>
                <w:numId w:val="0"/>
              </w:numPr>
              <w:ind w:right="-2"/>
              <w:jc w:val="center"/>
              <w:rPr>
                <w:sz w:val="18"/>
                <w:szCs w:val="18"/>
              </w:rPr>
            </w:pPr>
            <w:r>
              <w:rPr>
                <w:b/>
                <w:bCs/>
                <w:sz w:val="18"/>
                <w:szCs w:val="18"/>
              </w:rPr>
              <w:t>MTX</w:t>
            </w:r>
          </w:p>
        </w:tc>
        <w:tc>
          <w:tcPr>
            <w:tcW w:w="513" w:type="pct"/>
            <w:tcBorders>
              <w:left w:val="single" w:sz="4" w:space="0" w:color="auto"/>
              <w:right w:val="single" w:sz="4" w:space="0" w:color="auto"/>
            </w:tcBorders>
          </w:tcPr>
          <w:p w14:paraId="513C4ECB" w14:textId="77777777" w:rsidR="009700E5" w:rsidRDefault="002C033C">
            <w:pPr>
              <w:numPr>
                <w:ilvl w:val="12"/>
                <w:numId w:val="0"/>
              </w:numPr>
              <w:ind w:right="-2"/>
              <w:jc w:val="center"/>
              <w:rPr>
                <w:b/>
                <w:bCs/>
                <w:sz w:val="18"/>
                <w:szCs w:val="18"/>
              </w:rPr>
            </w:pPr>
            <w:r>
              <w:rPr>
                <w:b/>
                <w:bCs/>
                <w:sz w:val="18"/>
                <w:szCs w:val="18"/>
              </w:rPr>
              <w:t>TCZ</w:t>
            </w:r>
          </w:p>
          <w:p w14:paraId="11A7A39B" w14:textId="77777777" w:rsidR="009700E5" w:rsidRDefault="002C033C">
            <w:pPr>
              <w:numPr>
                <w:ilvl w:val="12"/>
                <w:numId w:val="0"/>
              </w:numPr>
              <w:ind w:right="-2"/>
              <w:jc w:val="center"/>
              <w:rPr>
                <w:b/>
                <w:bCs/>
                <w:sz w:val="18"/>
                <w:szCs w:val="18"/>
              </w:rPr>
            </w:pPr>
            <w:r>
              <w:rPr>
                <w:b/>
                <w:bCs/>
                <w:sz w:val="18"/>
                <w:szCs w:val="18"/>
              </w:rPr>
              <w:t>8 mg/kg + MTX</w:t>
            </w:r>
          </w:p>
        </w:tc>
        <w:tc>
          <w:tcPr>
            <w:tcW w:w="444" w:type="pct"/>
            <w:tcBorders>
              <w:left w:val="single" w:sz="4" w:space="0" w:color="auto"/>
              <w:right w:val="single" w:sz="4" w:space="0" w:color="auto"/>
            </w:tcBorders>
          </w:tcPr>
          <w:p w14:paraId="673C2D53" w14:textId="77777777" w:rsidR="009700E5" w:rsidRDefault="002C033C">
            <w:pPr>
              <w:numPr>
                <w:ilvl w:val="12"/>
                <w:numId w:val="0"/>
              </w:numPr>
              <w:ind w:right="-2"/>
              <w:jc w:val="center"/>
              <w:rPr>
                <w:sz w:val="18"/>
                <w:szCs w:val="18"/>
              </w:rPr>
            </w:pPr>
            <w:r>
              <w:rPr>
                <w:b/>
                <w:bCs/>
                <w:sz w:val="18"/>
                <w:szCs w:val="18"/>
              </w:rPr>
              <w:t>PBO + MTX</w:t>
            </w:r>
          </w:p>
        </w:tc>
        <w:tc>
          <w:tcPr>
            <w:tcW w:w="491" w:type="pct"/>
            <w:tcBorders>
              <w:left w:val="single" w:sz="4" w:space="0" w:color="auto"/>
              <w:right w:val="single" w:sz="4" w:space="0" w:color="auto"/>
            </w:tcBorders>
          </w:tcPr>
          <w:p w14:paraId="0AA3B5F4" w14:textId="77777777" w:rsidR="009700E5" w:rsidRDefault="002C033C">
            <w:pPr>
              <w:numPr>
                <w:ilvl w:val="12"/>
                <w:numId w:val="0"/>
              </w:numPr>
              <w:ind w:right="-2"/>
              <w:jc w:val="center"/>
              <w:rPr>
                <w:b/>
                <w:bCs/>
                <w:sz w:val="18"/>
                <w:szCs w:val="18"/>
              </w:rPr>
            </w:pPr>
            <w:r>
              <w:rPr>
                <w:b/>
                <w:bCs/>
                <w:sz w:val="18"/>
                <w:szCs w:val="18"/>
              </w:rPr>
              <w:t>TCZ</w:t>
            </w:r>
          </w:p>
          <w:p w14:paraId="4587FB3A" w14:textId="77777777" w:rsidR="009700E5" w:rsidRDefault="002C033C">
            <w:pPr>
              <w:numPr>
                <w:ilvl w:val="12"/>
                <w:numId w:val="0"/>
              </w:numPr>
              <w:ind w:right="-2"/>
              <w:jc w:val="center"/>
              <w:rPr>
                <w:b/>
                <w:bCs/>
                <w:sz w:val="18"/>
                <w:szCs w:val="18"/>
              </w:rPr>
            </w:pPr>
            <w:r>
              <w:rPr>
                <w:b/>
                <w:bCs/>
                <w:sz w:val="18"/>
                <w:szCs w:val="18"/>
              </w:rPr>
              <w:t>8 mg/kg + MTX</w:t>
            </w:r>
          </w:p>
        </w:tc>
        <w:tc>
          <w:tcPr>
            <w:tcW w:w="444" w:type="pct"/>
            <w:tcBorders>
              <w:left w:val="single" w:sz="4" w:space="0" w:color="auto"/>
            </w:tcBorders>
          </w:tcPr>
          <w:p w14:paraId="0CBDB2A5" w14:textId="77777777" w:rsidR="009700E5" w:rsidRDefault="002C033C">
            <w:pPr>
              <w:numPr>
                <w:ilvl w:val="12"/>
                <w:numId w:val="0"/>
              </w:numPr>
              <w:ind w:right="-2"/>
              <w:jc w:val="center"/>
              <w:rPr>
                <w:b/>
                <w:bCs/>
                <w:sz w:val="18"/>
                <w:szCs w:val="18"/>
              </w:rPr>
            </w:pPr>
            <w:r>
              <w:rPr>
                <w:b/>
                <w:bCs/>
                <w:sz w:val="18"/>
                <w:szCs w:val="18"/>
              </w:rPr>
              <w:t>PBO + MTX</w:t>
            </w:r>
          </w:p>
        </w:tc>
        <w:tc>
          <w:tcPr>
            <w:tcW w:w="488" w:type="pct"/>
            <w:tcBorders>
              <w:left w:val="nil"/>
              <w:right w:val="single" w:sz="4" w:space="0" w:color="auto"/>
            </w:tcBorders>
          </w:tcPr>
          <w:p w14:paraId="647B1DDC" w14:textId="77777777" w:rsidR="009700E5" w:rsidRDefault="002C033C">
            <w:pPr>
              <w:numPr>
                <w:ilvl w:val="12"/>
                <w:numId w:val="0"/>
              </w:numPr>
              <w:ind w:right="-2"/>
              <w:jc w:val="center"/>
              <w:rPr>
                <w:b/>
                <w:bCs/>
                <w:sz w:val="18"/>
                <w:szCs w:val="18"/>
              </w:rPr>
            </w:pPr>
            <w:r>
              <w:rPr>
                <w:b/>
                <w:bCs/>
                <w:sz w:val="18"/>
                <w:szCs w:val="18"/>
              </w:rPr>
              <w:t>TCZ</w:t>
            </w:r>
          </w:p>
          <w:p w14:paraId="62356A6B" w14:textId="77777777" w:rsidR="009700E5" w:rsidRDefault="002C033C">
            <w:pPr>
              <w:numPr>
                <w:ilvl w:val="12"/>
                <w:numId w:val="0"/>
              </w:numPr>
              <w:ind w:right="-2"/>
              <w:jc w:val="center"/>
              <w:rPr>
                <w:b/>
                <w:bCs/>
                <w:sz w:val="18"/>
                <w:szCs w:val="18"/>
              </w:rPr>
            </w:pPr>
            <w:r>
              <w:rPr>
                <w:b/>
                <w:bCs/>
                <w:sz w:val="18"/>
                <w:szCs w:val="18"/>
              </w:rPr>
              <w:t>8 mg/kg + DMARD</w:t>
            </w:r>
          </w:p>
        </w:tc>
        <w:tc>
          <w:tcPr>
            <w:tcW w:w="534" w:type="pct"/>
            <w:tcBorders>
              <w:left w:val="single" w:sz="4" w:space="0" w:color="auto"/>
            </w:tcBorders>
          </w:tcPr>
          <w:p w14:paraId="3640817C" w14:textId="77777777" w:rsidR="009700E5" w:rsidRDefault="002C033C">
            <w:pPr>
              <w:numPr>
                <w:ilvl w:val="12"/>
                <w:numId w:val="0"/>
              </w:numPr>
              <w:ind w:right="-2"/>
              <w:jc w:val="center"/>
              <w:rPr>
                <w:b/>
                <w:bCs/>
                <w:sz w:val="18"/>
                <w:szCs w:val="18"/>
              </w:rPr>
            </w:pPr>
            <w:r>
              <w:rPr>
                <w:b/>
                <w:bCs/>
                <w:sz w:val="18"/>
                <w:szCs w:val="18"/>
              </w:rPr>
              <w:t>PBO + DMARD</w:t>
            </w:r>
          </w:p>
        </w:tc>
        <w:tc>
          <w:tcPr>
            <w:tcW w:w="514" w:type="pct"/>
            <w:tcBorders>
              <w:left w:val="nil"/>
              <w:right w:val="single" w:sz="4" w:space="0" w:color="auto"/>
            </w:tcBorders>
          </w:tcPr>
          <w:p w14:paraId="63B43A20" w14:textId="77777777" w:rsidR="009700E5" w:rsidRDefault="002C033C">
            <w:pPr>
              <w:numPr>
                <w:ilvl w:val="12"/>
                <w:numId w:val="0"/>
              </w:numPr>
              <w:ind w:right="-2"/>
              <w:jc w:val="center"/>
              <w:rPr>
                <w:b/>
                <w:bCs/>
                <w:sz w:val="18"/>
                <w:szCs w:val="18"/>
              </w:rPr>
            </w:pPr>
            <w:r>
              <w:rPr>
                <w:b/>
                <w:bCs/>
                <w:sz w:val="18"/>
                <w:szCs w:val="18"/>
              </w:rPr>
              <w:t>TCZ 8 mg/kg + MTX</w:t>
            </w:r>
          </w:p>
        </w:tc>
        <w:tc>
          <w:tcPr>
            <w:tcW w:w="444" w:type="pct"/>
            <w:tcBorders>
              <w:left w:val="single" w:sz="4" w:space="0" w:color="auto"/>
            </w:tcBorders>
          </w:tcPr>
          <w:p w14:paraId="1426D3CA" w14:textId="77777777" w:rsidR="009700E5" w:rsidRDefault="002C033C">
            <w:pPr>
              <w:numPr>
                <w:ilvl w:val="12"/>
                <w:numId w:val="0"/>
              </w:numPr>
              <w:ind w:right="-2"/>
              <w:jc w:val="center"/>
              <w:rPr>
                <w:b/>
                <w:bCs/>
                <w:sz w:val="18"/>
                <w:szCs w:val="18"/>
              </w:rPr>
            </w:pPr>
            <w:r>
              <w:rPr>
                <w:b/>
                <w:bCs/>
                <w:sz w:val="18"/>
                <w:szCs w:val="18"/>
              </w:rPr>
              <w:t>PBO + MTX</w:t>
            </w:r>
            <w:r>
              <w:rPr>
                <w:b/>
                <w:bCs/>
                <w:sz w:val="18"/>
                <w:szCs w:val="18"/>
              </w:rPr>
              <w:br/>
            </w:r>
          </w:p>
        </w:tc>
      </w:tr>
      <w:tr w:rsidR="009700E5" w14:paraId="5B7CCD98" w14:textId="77777777">
        <w:trPr>
          <w:cantSplit/>
          <w:trHeight w:val="521"/>
          <w:tblHeader/>
        </w:trPr>
        <w:tc>
          <w:tcPr>
            <w:tcW w:w="314" w:type="pct"/>
          </w:tcPr>
          <w:p w14:paraId="466ECEFA" w14:textId="77777777" w:rsidR="009700E5" w:rsidRDefault="009700E5">
            <w:pPr>
              <w:numPr>
                <w:ilvl w:val="12"/>
                <w:numId w:val="0"/>
              </w:numPr>
              <w:ind w:right="-2"/>
              <w:jc w:val="center"/>
              <w:rPr>
                <w:b/>
                <w:bCs/>
                <w:sz w:val="18"/>
                <w:szCs w:val="18"/>
              </w:rPr>
            </w:pPr>
          </w:p>
        </w:tc>
        <w:tc>
          <w:tcPr>
            <w:tcW w:w="460" w:type="pct"/>
            <w:tcBorders>
              <w:right w:val="single" w:sz="4" w:space="0" w:color="auto"/>
            </w:tcBorders>
          </w:tcPr>
          <w:p w14:paraId="24073592" w14:textId="77777777" w:rsidR="009700E5" w:rsidRDefault="002C033C">
            <w:pPr>
              <w:numPr>
                <w:ilvl w:val="12"/>
                <w:numId w:val="0"/>
              </w:numPr>
              <w:ind w:right="-2"/>
              <w:jc w:val="center"/>
              <w:rPr>
                <w:b/>
                <w:bCs/>
                <w:sz w:val="18"/>
                <w:szCs w:val="18"/>
              </w:rPr>
            </w:pPr>
            <w:del w:id="2528" w:author="Author" w:date="2025-07-20T00:20:00Z">
              <w:r>
                <w:rPr>
                  <w:b/>
                  <w:bCs/>
                  <w:sz w:val="18"/>
                  <w:szCs w:val="18"/>
                </w:rPr>
                <w:delText>N </w:delText>
              </w:r>
            </w:del>
            <w:ins w:id="2529" w:author="Author" w:date="2025-07-20T00:20:00Z">
              <w:r>
                <w:rPr>
                  <w:b/>
                  <w:bCs/>
                  <w:sz w:val="18"/>
                  <w:szCs w:val="18"/>
                </w:rPr>
                <w:t>n </w:t>
              </w:r>
            </w:ins>
            <w:r>
              <w:rPr>
                <w:b/>
                <w:bCs/>
                <w:sz w:val="18"/>
                <w:szCs w:val="18"/>
              </w:rPr>
              <w:t>= </w:t>
            </w:r>
          </w:p>
          <w:p w14:paraId="439EF955" w14:textId="77777777" w:rsidR="009700E5" w:rsidRDefault="002C033C">
            <w:pPr>
              <w:numPr>
                <w:ilvl w:val="12"/>
                <w:numId w:val="0"/>
              </w:numPr>
              <w:ind w:right="-2"/>
              <w:jc w:val="center"/>
              <w:rPr>
                <w:b/>
                <w:bCs/>
                <w:sz w:val="18"/>
                <w:szCs w:val="18"/>
              </w:rPr>
            </w:pPr>
            <w:r>
              <w:rPr>
                <w:b/>
                <w:bCs/>
                <w:sz w:val="18"/>
                <w:szCs w:val="18"/>
              </w:rPr>
              <w:t>286</w:t>
            </w:r>
          </w:p>
        </w:tc>
        <w:tc>
          <w:tcPr>
            <w:tcW w:w="355" w:type="pct"/>
            <w:tcBorders>
              <w:left w:val="single" w:sz="4" w:space="0" w:color="auto"/>
              <w:right w:val="single" w:sz="4" w:space="0" w:color="auto"/>
            </w:tcBorders>
          </w:tcPr>
          <w:p w14:paraId="44CFFCCF" w14:textId="77777777" w:rsidR="009700E5" w:rsidRDefault="002C033C">
            <w:pPr>
              <w:numPr>
                <w:ilvl w:val="12"/>
                <w:numId w:val="0"/>
              </w:numPr>
              <w:ind w:right="-2"/>
              <w:jc w:val="center"/>
              <w:rPr>
                <w:b/>
                <w:bCs/>
                <w:sz w:val="18"/>
                <w:szCs w:val="18"/>
              </w:rPr>
            </w:pPr>
            <w:del w:id="2530" w:author="Author" w:date="2025-07-20T00:20:00Z">
              <w:r>
                <w:rPr>
                  <w:b/>
                  <w:bCs/>
                  <w:sz w:val="18"/>
                  <w:szCs w:val="18"/>
                </w:rPr>
                <w:delText>N </w:delText>
              </w:r>
            </w:del>
            <w:ins w:id="2531" w:author="Author" w:date="2025-07-20T00:20:00Z">
              <w:r>
                <w:rPr>
                  <w:b/>
                  <w:bCs/>
                  <w:sz w:val="18"/>
                  <w:szCs w:val="18"/>
                </w:rPr>
                <w:t>n </w:t>
              </w:r>
            </w:ins>
            <w:r>
              <w:rPr>
                <w:b/>
                <w:bCs/>
                <w:sz w:val="18"/>
                <w:szCs w:val="18"/>
              </w:rPr>
              <w:t>= </w:t>
            </w:r>
          </w:p>
          <w:p w14:paraId="7A225D40" w14:textId="77777777" w:rsidR="009700E5" w:rsidRDefault="002C033C">
            <w:pPr>
              <w:numPr>
                <w:ilvl w:val="12"/>
                <w:numId w:val="0"/>
              </w:numPr>
              <w:ind w:right="-2"/>
              <w:jc w:val="center"/>
              <w:rPr>
                <w:b/>
                <w:bCs/>
                <w:sz w:val="18"/>
                <w:szCs w:val="18"/>
              </w:rPr>
            </w:pPr>
            <w:r>
              <w:rPr>
                <w:b/>
                <w:bCs/>
                <w:sz w:val="18"/>
                <w:szCs w:val="18"/>
              </w:rPr>
              <w:t>284</w:t>
            </w:r>
          </w:p>
        </w:tc>
        <w:tc>
          <w:tcPr>
            <w:tcW w:w="513" w:type="pct"/>
            <w:tcBorders>
              <w:left w:val="single" w:sz="4" w:space="0" w:color="auto"/>
              <w:right w:val="single" w:sz="4" w:space="0" w:color="auto"/>
            </w:tcBorders>
          </w:tcPr>
          <w:p w14:paraId="1360481B" w14:textId="77777777" w:rsidR="009700E5" w:rsidRDefault="002C033C">
            <w:pPr>
              <w:numPr>
                <w:ilvl w:val="12"/>
                <w:numId w:val="0"/>
              </w:numPr>
              <w:ind w:right="-2"/>
              <w:jc w:val="center"/>
              <w:rPr>
                <w:b/>
                <w:bCs/>
                <w:sz w:val="18"/>
                <w:szCs w:val="18"/>
              </w:rPr>
            </w:pPr>
            <w:del w:id="2532" w:author="Author" w:date="2025-07-20T00:20:00Z">
              <w:r>
                <w:rPr>
                  <w:b/>
                  <w:bCs/>
                  <w:sz w:val="18"/>
                  <w:szCs w:val="18"/>
                </w:rPr>
                <w:delText>N </w:delText>
              </w:r>
            </w:del>
            <w:ins w:id="2533" w:author="Author" w:date="2025-07-20T00:20:00Z">
              <w:r>
                <w:rPr>
                  <w:b/>
                  <w:bCs/>
                  <w:sz w:val="18"/>
                  <w:szCs w:val="18"/>
                </w:rPr>
                <w:t>n </w:t>
              </w:r>
            </w:ins>
            <w:r>
              <w:rPr>
                <w:b/>
                <w:bCs/>
                <w:sz w:val="18"/>
                <w:szCs w:val="18"/>
              </w:rPr>
              <w:t>= </w:t>
            </w:r>
          </w:p>
          <w:p w14:paraId="6FBADDFE" w14:textId="77777777" w:rsidR="009700E5" w:rsidRDefault="002C033C">
            <w:pPr>
              <w:numPr>
                <w:ilvl w:val="12"/>
                <w:numId w:val="0"/>
              </w:numPr>
              <w:ind w:right="-2"/>
              <w:jc w:val="center"/>
              <w:rPr>
                <w:b/>
                <w:bCs/>
                <w:sz w:val="18"/>
                <w:szCs w:val="18"/>
              </w:rPr>
            </w:pPr>
            <w:r>
              <w:rPr>
                <w:b/>
                <w:bCs/>
                <w:sz w:val="18"/>
                <w:szCs w:val="18"/>
              </w:rPr>
              <w:t>398</w:t>
            </w:r>
          </w:p>
        </w:tc>
        <w:tc>
          <w:tcPr>
            <w:tcW w:w="444" w:type="pct"/>
            <w:tcBorders>
              <w:left w:val="single" w:sz="4" w:space="0" w:color="auto"/>
              <w:right w:val="single" w:sz="4" w:space="0" w:color="auto"/>
            </w:tcBorders>
          </w:tcPr>
          <w:p w14:paraId="6EE33D3A" w14:textId="77777777" w:rsidR="009700E5" w:rsidRDefault="002C033C">
            <w:pPr>
              <w:numPr>
                <w:ilvl w:val="12"/>
                <w:numId w:val="0"/>
              </w:numPr>
              <w:ind w:right="-2"/>
              <w:jc w:val="center"/>
              <w:rPr>
                <w:b/>
                <w:bCs/>
                <w:sz w:val="18"/>
                <w:szCs w:val="18"/>
              </w:rPr>
            </w:pPr>
            <w:del w:id="2534" w:author="Author" w:date="2025-07-20T00:20:00Z">
              <w:r>
                <w:rPr>
                  <w:b/>
                  <w:bCs/>
                  <w:sz w:val="18"/>
                  <w:szCs w:val="18"/>
                </w:rPr>
                <w:delText>N </w:delText>
              </w:r>
            </w:del>
            <w:ins w:id="2535" w:author="Author" w:date="2025-07-20T00:20:00Z">
              <w:r>
                <w:rPr>
                  <w:b/>
                  <w:bCs/>
                  <w:sz w:val="18"/>
                  <w:szCs w:val="18"/>
                </w:rPr>
                <w:t>n </w:t>
              </w:r>
            </w:ins>
            <w:r>
              <w:rPr>
                <w:b/>
                <w:bCs/>
                <w:sz w:val="18"/>
                <w:szCs w:val="18"/>
              </w:rPr>
              <w:t>= </w:t>
            </w:r>
          </w:p>
          <w:p w14:paraId="1EB0BFE6" w14:textId="77777777" w:rsidR="009700E5" w:rsidRDefault="002C033C">
            <w:pPr>
              <w:numPr>
                <w:ilvl w:val="12"/>
                <w:numId w:val="0"/>
              </w:numPr>
              <w:ind w:right="-2"/>
              <w:jc w:val="center"/>
              <w:rPr>
                <w:b/>
                <w:bCs/>
                <w:sz w:val="18"/>
                <w:szCs w:val="18"/>
              </w:rPr>
            </w:pPr>
            <w:r>
              <w:rPr>
                <w:b/>
                <w:bCs/>
                <w:sz w:val="18"/>
                <w:szCs w:val="18"/>
              </w:rPr>
              <w:t>393</w:t>
            </w:r>
          </w:p>
        </w:tc>
        <w:tc>
          <w:tcPr>
            <w:tcW w:w="491" w:type="pct"/>
            <w:tcBorders>
              <w:left w:val="single" w:sz="4" w:space="0" w:color="auto"/>
              <w:right w:val="single" w:sz="4" w:space="0" w:color="auto"/>
            </w:tcBorders>
          </w:tcPr>
          <w:p w14:paraId="7DBEAEB2" w14:textId="77777777" w:rsidR="009700E5" w:rsidRDefault="002C033C">
            <w:pPr>
              <w:numPr>
                <w:ilvl w:val="12"/>
                <w:numId w:val="0"/>
              </w:numPr>
              <w:ind w:right="-2"/>
              <w:jc w:val="center"/>
              <w:rPr>
                <w:b/>
                <w:bCs/>
                <w:sz w:val="18"/>
                <w:szCs w:val="18"/>
              </w:rPr>
            </w:pPr>
            <w:del w:id="2536" w:author="Author" w:date="2025-07-20T00:20:00Z">
              <w:r>
                <w:rPr>
                  <w:b/>
                  <w:bCs/>
                  <w:sz w:val="18"/>
                  <w:szCs w:val="18"/>
                </w:rPr>
                <w:delText>N </w:delText>
              </w:r>
            </w:del>
            <w:ins w:id="2537" w:author="Author" w:date="2025-07-20T00:20:00Z">
              <w:r>
                <w:rPr>
                  <w:b/>
                  <w:bCs/>
                  <w:sz w:val="18"/>
                  <w:szCs w:val="18"/>
                </w:rPr>
                <w:t>n </w:t>
              </w:r>
            </w:ins>
            <w:r>
              <w:rPr>
                <w:b/>
                <w:bCs/>
                <w:sz w:val="18"/>
                <w:szCs w:val="18"/>
              </w:rPr>
              <w:t>= </w:t>
            </w:r>
          </w:p>
          <w:p w14:paraId="1740E232" w14:textId="77777777" w:rsidR="009700E5" w:rsidRDefault="002C033C">
            <w:pPr>
              <w:numPr>
                <w:ilvl w:val="12"/>
                <w:numId w:val="0"/>
              </w:numPr>
              <w:ind w:right="-2"/>
              <w:jc w:val="center"/>
              <w:rPr>
                <w:b/>
                <w:bCs/>
                <w:sz w:val="18"/>
                <w:szCs w:val="18"/>
              </w:rPr>
            </w:pPr>
            <w:r>
              <w:rPr>
                <w:b/>
                <w:bCs/>
                <w:sz w:val="18"/>
                <w:szCs w:val="18"/>
              </w:rPr>
              <w:t>205</w:t>
            </w:r>
          </w:p>
        </w:tc>
        <w:tc>
          <w:tcPr>
            <w:tcW w:w="444" w:type="pct"/>
            <w:tcBorders>
              <w:left w:val="single" w:sz="4" w:space="0" w:color="auto"/>
            </w:tcBorders>
          </w:tcPr>
          <w:p w14:paraId="2F3251A3" w14:textId="77777777" w:rsidR="009700E5" w:rsidRDefault="002C033C">
            <w:pPr>
              <w:numPr>
                <w:ilvl w:val="12"/>
                <w:numId w:val="0"/>
              </w:numPr>
              <w:ind w:right="-2"/>
              <w:jc w:val="center"/>
              <w:rPr>
                <w:b/>
                <w:bCs/>
                <w:sz w:val="18"/>
                <w:szCs w:val="18"/>
              </w:rPr>
            </w:pPr>
            <w:del w:id="2538" w:author="Author" w:date="2025-07-20T00:20:00Z">
              <w:r>
                <w:rPr>
                  <w:b/>
                  <w:bCs/>
                  <w:sz w:val="18"/>
                  <w:szCs w:val="18"/>
                </w:rPr>
                <w:delText>N </w:delText>
              </w:r>
            </w:del>
            <w:ins w:id="2539" w:author="Author" w:date="2025-07-20T00:20:00Z">
              <w:r>
                <w:rPr>
                  <w:b/>
                  <w:bCs/>
                  <w:sz w:val="18"/>
                  <w:szCs w:val="18"/>
                </w:rPr>
                <w:t>n </w:t>
              </w:r>
            </w:ins>
            <w:r>
              <w:rPr>
                <w:b/>
                <w:bCs/>
                <w:sz w:val="18"/>
                <w:szCs w:val="18"/>
              </w:rPr>
              <w:t>= </w:t>
            </w:r>
          </w:p>
          <w:p w14:paraId="387299E8" w14:textId="77777777" w:rsidR="009700E5" w:rsidRDefault="002C033C">
            <w:pPr>
              <w:numPr>
                <w:ilvl w:val="12"/>
                <w:numId w:val="0"/>
              </w:numPr>
              <w:ind w:right="-2"/>
              <w:jc w:val="center"/>
              <w:rPr>
                <w:b/>
                <w:bCs/>
                <w:sz w:val="18"/>
                <w:szCs w:val="18"/>
              </w:rPr>
            </w:pPr>
            <w:r>
              <w:rPr>
                <w:b/>
                <w:bCs/>
                <w:sz w:val="18"/>
                <w:szCs w:val="18"/>
              </w:rPr>
              <w:t>204</w:t>
            </w:r>
          </w:p>
        </w:tc>
        <w:tc>
          <w:tcPr>
            <w:tcW w:w="488" w:type="pct"/>
            <w:tcBorders>
              <w:left w:val="nil"/>
              <w:right w:val="single" w:sz="4" w:space="0" w:color="auto"/>
            </w:tcBorders>
          </w:tcPr>
          <w:p w14:paraId="1F871BE5" w14:textId="77777777" w:rsidR="009700E5" w:rsidRDefault="002C033C">
            <w:pPr>
              <w:numPr>
                <w:ilvl w:val="12"/>
                <w:numId w:val="0"/>
              </w:numPr>
              <w:ind w:right="-2"/>
              <w:jc w:val="center"/>
              <w:rPr>
                <w:b/>
                <w:bCs/>
                <w:sz w:val="18"/>
                <w:szCs w:val="18"/>
              </w:rPr>
            </w:pPr>
            <w:del w:id="2540" w:author="Author" w:date="2025-07-20T00:20:00Z">
              <w:r>
                <w:rPr>
                  <w:b/>
                  <w:bCs/>
                  <w:sz w:val="18"/>
                  <w:szCs w:val="18"/>
                </w:rPr>
                <w:delText>N </w:delText>
              </w:r>
            </w:del>
            <w:ins w:id="2541" w:author="Author" w:date="2025-07-20T00:20:00Z">
              <w:r>
                <w:rPr>
                  <w:b/>
                  <w:bCs/>
                  <w:sz w:val="18"/>
                  <w:szCs w:val="18"/>
                </w:rPr>
                <w:t>n </w:t>
              </w:r>
            </w:ins>
            <w:r>
              <w:rPr>
                <w:b/>
                <w:bCs/>
                <w:sz w:val="18"/>
                <w:szCs w:val="18"/>
              </w:rPr>
              <w:t>= </w:t>
            </w:r>
          </w:p>
          <w:p w14:paraId="1D45E607" w14:textId="77777777" w:rsidR="009700E5" w:rsidRDefault="002C033C">
            <w:pPr>
              <w:numPr>
                <w:ilvl w:val="12"/>
                <w:numId w:val="0"/>
              </w:numPr>
              <w:ind w:right="-2"/>
              <w:jc w:val="center"/>
              <w:rPr>
                <w:b/>
                <w:bCs/>
                <w:sz w:val="18"/>
                <w:szCs w:val="18"/>
              </w:rPr>
            </w:pPr>
            <w:r>
              <w:rPr>
                <w:b/>
                <w:bCs/>
                <w:sz w:val="18"/>
                <w:szCs w:val="18"/>
              </w:rPr>
              <w:t>803</w:t>
            </w:r>
          </w:p>
        </w:tc>
        <w:tc>
          <w:tcPr>
            <w:tcW w:w="534" w:type="pct"/>
            <w:tcBorders>
              <w:left w:val="single" w:sz="4" w:space="0" w:color="auto"/>
            </w:tcBorders>
          </w:tcPr>
          <w:p w14:paraId="1D96591C" w14:textId="77777777" w:rsidR="009700E5" w:rsidRDefault="002C033C">
            <w:pPr>
              <w:numPr>
                <w:ilvl w:val="12"/>
                <w:numId w:val="0"/>
              </w:numPr>
              <w:ind w:right="-2"/>
              <w:jc w:val="center"/>
              <w:rPr>
                <w:b/>
                <w:bCs/>
                <w:sz w:val="18"/>
                <w:szCs w:val="18"/>
              </w:rPr>
            </w:pPr>
            <w:del w:id="2542" w:author="Author" w:date="2025-07-20T00:20:00Z">
              <w:r>
                <w:rPr>
                  <w:b/>
                  <w:bCs/>
                  <w:sz w:val="18"/>
                  <w:szCs w:val="18"/>
                </w:rPr>
                <w:delText>N </w:delText>
              </w:r>
            </w:del>
            <w:ins w:id="2543" w:author="Author" w:date="2025-07-20T00:20:00Z">
              <w:r>
                <w:rPr>
                  <w:b/>
                  <w:bCs/>
                  <w:sz w:val="18"/>
                  <w:szCs w:val="18"/>
                </w:rPr>
                <w:t>n </w:t>
              </w:r>
            </w:ins>
            <w:r>
              <w:rPr>
                <w:b/>
                <w:bCs/>
                <w:sz w:val="18"/>
                <w:szCs w:val="18"/>
              </w:rPr>
              <w:t>= </w:t>
            </w:r>
          </w:p>
          <w:p w14:paraId="2BE55459" w14:textId="77777777" w:rsidR="009700E5" w:rsidRDefault="002C033C">
            <w:pPr>
              <w:numPr>
                <w:ilvl w:val="12"/>
                <w:numId w:val="0"/>
              </w:numPr>
              <w:ind w:right="-2"/>
              <w:jc w:val="center"/>
              <w:rPr>
                <w:b/>
                <w:bCs/>
                <w:sz w:val="18"/>
                <w:szCs w:val="18"/>
              </w:rPr>
            </w:pPr>
            <w:r>
              <w:rPr>
                <w:b/>
                <w:bCs/>
                <w:sz w:val="18"/>
                <w:szCs w:val="18"/>
              </w:rPr>
              <w:t>413</w:t>
            </w:r>
          </w:p>
        </w:tc>
        <w:tc>
          <w:tcPr>
            <w:tcW w:w="514" w:type="pct"/>
            <w:tcBorders>
              <w:left w:val="nil"/>
              <w:right w:val="single" w:sz="4" w:space="0" w:color="auto"/>
            </w:tcBorders>
          </w:tcPr>
          <w:p w14:paraId="17E1B79F" w14:textId="77777777" w:rsidR="009700E5" w:rsidRDefault="002C033C">
            <w:pPr>
              <w:numPr>
                <w:ilvl w:val="12"/>
                <w:numId w:val="0"/>
              </w:numPr>
              <w:ind w:right="-2"/>
              <w:jc w:val="center"/>
              <w:rPr>
                <w:b/>
                <w:bCs/>
                <w:sz w:val="18"/>
                <w:szCs w:val="18"/>
              </w:rPr>
            </w:pPr>
            <w:del w:id="2544" w:author="Author" w:date="2025-07-20T00:20:00Z">
              <w:r>
                <w:rPr>
                  <w:b/>
                  <w:bCs/>
                  <w:sz w:val="18"/>
                  <w:szCs w:val="18"/>
                </w:rPr>
                <w:delText>N </w:delText>
              </w:r>
            </w:del>
            <w:ins w:id="2545" w:author="Author" w:date="2025-07-20T00:20:00Z">
              <w:r>
                <w:rPr>
                  <w:b/>
                  <w:bCs/>
                  <w:sz w:val="18"/>
                  <w:szCs w:val="18"/>
                </w:rPr>
                <w:t>n </w:t>
              </w:r>
            </w:ins>
            <w:r>
              <w:rPr>
                <w:b/>
                <w:bCs/>
                <w:sz w:val="18"/>
                <w:szCs w:val="18"/>
              </w:rPr>
              <w:t>= </w:t>
            </w:r>
          </w:p>
          <w:p w14:paraId="494E07B5" w14:textId="77777777" w:rsidR="009700E5" w:rsidRDefault="002C033C">
            <w:pPr>
              <w:numPr>
                <w:ilvl w:val="12"/>
                <w:numId w:val="0"/>
              </w:numPr>
              <w:ind w:right="-2"/>
              <w:jc w:val="center"/>
              <w:rPr>
                <w:b/>
                <w:bCs/>
                <w:sz w:val="18"/>
                <w:szCs w:val="18"/>
              </w:rPr>
            </w:pPr>
            <w:r>
              <w:rPr>
                <w:b/>
                <w:bCs/>
                <w:sz w:val="18"/>
                <w:szCs w:val="18"/>
              </w:rPr>
              <w:t>170</w:t>
            </w:r>
          </w:p>
        </w:tc>
        <w:tc>
          <w:tcPr>
            <w:tcW w:w="444" w:type="pct"/>
            <w:tcBorders>
              <w:left w:val="single" w:sz="4" w:space="0" w:color="auto"/>
            </w:tcBorders>
          </w:tcPr>
          <w:p w14:paraId="518A8664" w14:textId="77777777" w:rsidR="009700E5" w:rsidRDefault="002C033C">
            <w:pPr>
              <w:numPr>
                <w:ilvl w:val="12"/>
                <w:numId w:val="0"/>
              </w:numPr>
              <w:ind w:right="-2"/>
              <w:jc w:val="center"/>
              <w:rPr>
                <w:b/>
                <w:bCs/>
                <w:sz w:val="18"/>
                <w:szCs w:val="18"/>
              </w:rPr>
            </w:pPr>
            <w:del w:id="2546" w:author="Author" w:date="2025-07-20T00:20:00Z">
              <w:r>
                <w:rPr>
                  <w:b/>
                  <w:bCs/>
                  <w:sz w:val="18"/>
                  <w:szCs w:val="18"/>
                </w:rPr>
                <w:delText>N </w:delText>
              </w:r>
            </w:del>
            <w:ins w:id="2547" w:author="Author" w:date="2025-07-20T00:20:00Z">
              <w:r>
                <w:rPr>
                  <w:b/>
                  <w:bCs/>
                  <w:sz w:val="18"/>
                  <w:szCs w:val="18"/>
                </w:rPr>
                <w:t>n </w:t>
              </w:r>
            </w:ins>
            <w:r>
              <w:rPr>
                <w:b/>
                <w:bCs/>
                <w:sz w:val="18"/>
                <w:szCs w:val="18"/>
              </w:rPr>
              <w:t>= </w:t>
            </w:r>
          </w:p>
          <w:p w14:paraId="4A5289C9" w14:textId="77777777" w:rsidR="009700E5" w:rsidRDefault="002C033C">
            <w:pPr>
              <w:numPr>
                <w:ilvl w:val="12"/>
                <w:numId w:val="0"/>
              </w:numPr>
              <w:ind w:right="-2"/>
              <w:jc w:val="center"/>
              <w:rPr>
                <w:b/>
                <w:bCs/>
                <w:sz w:val="18"/>
                <w:szCs w:val="18"/>
              </w:rPr>
            </w:pPr>
            <w:r>
              <w:rPr>
                <w:b/>
                <w:bCs/>
                <w:sz w:val="18"/>
                <w:szCs w:val="18"/>
              </w:rPr>
              <w:t>158</w:t>
            </w:r>
          </w:p>
        </w:tc>
      </w:tr>
      <w:tr w:rsidR="009700E5" w14:paraId="2BD7E7A6" w14:textId="77777777">
        <w:trPr>
          <w:cantSplit/>
        </w:trPr>
        <w:tc>
          <w:tcPr>
            <w:tcW w:w="5000" w:type="pct"/>
            <w:gridSpan w:val="11"/>
          </w:tcPr>
          <w:p w14:paraId="5DE8176F" w14:textId="77777777" w:rsidR="009700E5" w:rsidRDefault="002C033C">
            <w:pPr>
              <w:numPr>
                <w:ilvl w:val="12"/>
                <w:numId w:val="0"/>
              </w:numPr>
              <w:ind w:right="-2"/>
              <w:jc w:val="center"/>
              <w:rPr>
                <w:b/>
                <w:sz w:val="18"/>
                <w:szCs w:val="18"/>
              </w:rPr>
            </w:pPr>
            <w:r>
              <w:rPr>
                <w:b/>
                <w:sz w:val="18"/>
                <w:szCs w:val="18"/>
              </w:rPr>
              <w:t>ACR 20</w:t>
            </w:r>
          </w:p>
        </w:tc>
      </w:tr>
      <w:tr w:rsidR="009700E5" w14:paraId="1F01FDBD" w14:textId="77777777">
        <w:trPr>
          <w:cantSplit/>
        </w:trPr>
        <w:tc>
          <w:tcPr>
            <w:tcW w:w="314" w:type="pct"/>
            <w:tcBorders>
              <w:right w:val="single" w:sz="4" w:space="0" w:color="auto"/>
            </w:tcBorders>
          </w:tcPr>
          <w:p w14:paraId="14DE9B7B" w14:textId="77777777" w:rsidR="009700E5" w:rsidRDefault="002C033C">
            <w:pPr>
              <w:numPr>
                <w:ilvl w:val="12"/>
                <w:numId w:val="0"/>
              </w:numPr>
              <w:ind w:right="-2"/>
              <w:jc w:val="center"/>
              <w:rPr>
                <w:sz w:val="18"/>
                <w:szCs w:val="18"/>
              </w:rPr>
            </w:pPr>
            <w:r>
              <w:rPr>
                <w:sz w:val="18"/>
                <w:szCs w:val="18"/>
              </w:rPr>
              <w:t>24</w:t>
            </w:r>
          </w:p>
        </w:tc>
        <w:tc>
          <w:tcPr>
            <w:tcW w:w="460" w:type="pct"/>
            <w:tcBorders>
              <w:left w:val="single" w:sz="4" w:space="0" w:color="auto"/>
              <w:right w:val="single" w:sz="4" w:space="0" w:color="auto"/>
            </w:tcBorders>
          </w:tcPr>
          <w:p w14:paraId="3AFF7ECC" w14:textId="77777777" w:rsidR="009700E5" w:rsidRDefault="002C033C">
            <w:pPr>
              <w:numPr>
                <w:ilvl w:val="12"/>
                <w:numId w:val="0"/>
              </w:numPr>
              <w:ind w:right="-2"/>
              <w:jc w:val="center"/>
              <w:rPr>
                <w:sz w:val="18"/>
                <w:szCs w:val="18"/>
              </w:rPr>
            </w:pPr>
            <w:r>
              <w:rPr>
                <w:sz w:val="18"/>
                <w:szCs w:val="18"/>
              </w:rPr>
              <w:t>70 %***</w:t>
            </w:r>
          </w:p>
        </w:tc>
        <w:tc>
          <w:tcPr>
            <w:tcW w:w="355" w:type="pct"/>
            <w:tcBorders>
              <w:left w:val="single" w:sz="4" w:space="0" w:color="auto"/>
              <w:right w:val="single" w:sz="4" w:space="0" w:color="auto"/>
            </w:tcBorders>
          </w:tcPr>
          <w:p w14:paraId="76B02C07" w14:textId="77777777" w:rsidR="009700E5" w:rsidRDefault="002C033C">
            <w:pPr>
              <w:numPr>
                <w:ilvl w:val="12"/>
                <w:numId w:val="0"/>
              </w:numPr>
              <w:ind w:right="-2"/>
              <w:jc w:val="center"/>
              <w:rPr>
                <w:sz w:val="18"/>
                <w:szCs w:val="18"/>
              </w:rPr>
            </w:pPr>
            <w:r>
              <w:rPr>
                <w:sz w:val="18"/>
                <w:szCs w:val="18"/>
              </w:rPr>
              <w:t>52 %</w:t>
            </w:r>
          </w:p>
        </w:tc>
        <w:tc>
          <w:tcPr>
            <w:tcW w:w="513" w:type="pct"/>
            <w:tcBorders>
              <w:left w:val="single" w:sz="4" w:space="0" w:color="auto"/>
              <w:right w:val="single" w:sz="4" w:space="0" w:color="auto"/>
            </w:tcBorders>
          </w:tcPr>
          <w:p w14:paraId="5F95F32A" w14:textId="77777777" w:rsidR="009700E5" w:rsidRDefault="002C033C">
            <w:pPr>
              <w:numPr>
                <w:ilvl w:val="12"/>
                <w:numId w:val="0"/>
              </w:numPr>
              <w:ind w:right="-2"/>
              <w:jc w:val="center"/>
              <w:rPr>
                <w:sz w:val="18"/>
                <w:szCs w:val="18"/>
              </w:rPr>
            </w:pPr>
            <w:r>
              <w:rPr>
                <w:sz w:val="18"/>
                <w:szCs w:val="18"/>
              </w:rPr>
              <w:t>56 %***</w:t>
            </w:r>
          </w:p>
        </w:tc>
        <w:tc>
          <w:tcPr>
            <w:tcW w:w="444" w:type="pct"/>
            <w:tcBorders>
              <w:left w:val="single" w:sz="4" w:space="0" w:color="auto"/>
              <w:right w:val="single" w:sz="4" w:space="0" w:color="auto"/>
            </w:tcBorders>
          </w:tcPr>
          <w:p w14:paraId="169E7E62" w14:textId="77777777" w:rsidR="009700E5" w:rsidRDefault="002C033C">
            <w:pPr>
              <w:numPr>
                <w:ilvl w:val="12"/>
                <w:numId w:val="0"/>
              </w:numPr>
              <w:ind w:right="-2"/>
              <w:jc w:val="center"/>
              <w:rPr>
                <w:sz w:val="18"/>
                <w:szCs w:val="18"/>
              </w:rPr>
            </w:pPr>
            <w:r>
              <w:rPr>
                <w:sz w:val="18"/>
                <w:szCs w:val="18"/>
              </w:rPr>
              <w:t>27 %</w:t>
            </w:r>
          </w:p>
        </w:tc>
        <w:tc>
          <w:tcPr>
            <w:tcW w:w="491" w:type="pct"/>
            <w:tcBorders>
              <w:left w:val="single" w:sz="4" w:space="0" w:color="auto"/>
              <w:right w:val="single" w:sz="4" w:space="0" w:color="auto"/>
            </w:tcBorders>
          </w:tcPr>
          <w:p w14:paraId="59632D32" w14:textId="77777777" w:rsidR="009700E5" w:rsidRDefault="002C033C">
            <w:pPr>
              <w:numPr>
                <w:ilvl w:val="12"/>
                <w:numId w:val="0"/>
              </w:numPr>
              <w:ind w:right="-2"/>
              <w:jc w:val="center"/>
              <w:rPr>
                <w:sz w:val="18"/>
                <w:szCs w:val="18"/>
              </w:rPr>
            </w:pPr>
            <w:r>
              <w:rPr>
                <w:sz w:val="18"/>
                <w:szCs w:val="18"/>
              </w:rPr>
              <w:t>59 %***</w:t>
            </w:r>
          </w:p>
        </w:tc>
        <w:tc>
          <w:tcPr>
            <w:tcW w:w="444" w:type="pct"/>
            <w:tcBorders>
              <w:left w:val="single" w:sz="4" w:space="0" w:color="auto"/>
            </w:tcBorders>
          </w:tcPr>
          <w:p w14:paraId="4CC9CED3" w14:textId="77777777" w:rsidR="009700E5" w:rsidRDefault="002C033C">
            <w:pPr>
              <w:numPr>
                <w:ilvl w:val="12"/>
                <w:numId w:val="0"/>
              </w:numPr>
              <w:ind w:right="-2"/>
              <w:jc w:val="center"/>
              <w:rPr>
                <w:sz w:val="18"/>
                <w:szCs w:val="18"/>
              </w:rPr>
            </w:pPr>
            <w:r>
              <w:rPr>
                <w:sz w:val="18"/>
                <w:szCs w:val="18"/>
              </w:rPr>
              <w:t>26 %</w:t>
            </w:r>
          </w:p>
        </w:tc>
        <w:tc>
          <w:tcPr>
            <w:tcW w:w="488" w:type="pct"/>
            <w:tcBorders>
              <w:left w:val="nil"/>
            </w:tcBorders>
          </w:tcPr>
          <w:p w14:paraId="7510518F" w14:textId="77777777" w:rsidR="009700E5" w:rsidRDefault="002C033C">
            <w:pPr>
              <w:numPr>
                <w:ilvl w:val="12"/>
                <w:numId w:val="0"/>
              </w:numPr>
              <w:ind w:right="-2"/>
              <w:jc w:val="center"/>
              <w:rPr>
                <w:sz w:val="18"/>
                <w:szCs w:val="18"/>
              </w:rPr>
            </w:pPr>
            <w:r>
              <w:rPr>
                <w:sz w:val="18"/>
                <w:szCs w:val="18"/>
              </w:rPr>
              <w:t>61 %***</w:t>
            </w:r>
          </w:p>
        </w:tc>
        <w:tc>
          <w:tcPr>
            <w:tcW w:w="534" w:type="pct"/>
            <w:tcBorders>
              <w:left w:val="nil"/>
            </w:tcBorders>
          </w:tcPr>
          <w:p w14:paraId="0E15E425" w14:textId="77777777" w:rsidR="009700E5" w:rsidRDefault="002C033C">
            <w:pPr>
              <w:numPr>
                <w:ilvl w:val="12"/>
                <w:numId w:val="0"/>
              </w:numPr>
              <w:ind w:right="-2"/>
              <w:jc w:val="center"/>
              <w:rPr>
                <w:sz w:val="18"/>
                <w:szCs w:val="18"/>
              </w:rPr>
            </w:pPr>
            <w:r>
              <w:rPr>
                <w:sz w:val="18"/>
                <w:szCs w:val="18"/>
              </w:rPr>
              <w:t>24 %</w:t>
            </w:r>
          </w:p>
        </w:tc>
        <w:tc>
          <w:tcPr>
            <w:tcW w:w="514" w:type="pct"/>
            <w:tcBorders>
              <w:left w:val="nil"/>
            </w:tcBorders>
          </w:tcPr>
          <w:p w14:paraId="78DE2964" w14:textId="77777777" w:rsidR="009700E5" w:rsidRDefault="002C033C">
            <w:pPr>
              <w:numPr>
                <w:ilvl w:val="12"/>
                <w:numId w:val="0"/>
              </w:numPr>
              <w:ind w:right="-2"/>
              <w:jc w:val="center"/>
              <w:rPr>
                <w:sz w:val="18"/>
                <w:szCs w:val="18"/>
              </w:rPr>
            </w:pPr>
            <w:r>
              <w:rPr>
                <w:sz w:val="18"/>
                <w:szCs w:val="18"/>
              </w:rPr>
              <w:t>50 %***</w:t>
            </w:r>
          </w:p>
        </w:tc>
        <w:tc>
          <w:tcPr>
            <w:tcW w:w="444" w:type="pct"/>
            <w:tcBorders>
              <w:left w:val="nil"/>
            </w:tcBorders>
          </w:tcPr>
          <w:p w14:paraId="7DE6EC3E" w14:textId="77777777" w:rsidR="009700E5" w:rsidRDefault="002C033C">
            <w:pPr>
              <w:numPr>
                <w:ilvl w:val="12"/>
                <w:numId w:val="0"/>
              </w:numPr>
              <w:ind w:right="-2"/>
              <w:jc w:val="center"/>
              <w:rPr>
                <w:sz w:val="18"/>
                <w:szCs w:val="18"/>
              </w:rPr>
            </w:pPr>
            <w:r>
              <w:rPr>
                <w:sz w:val="18"/>
                <w:szCs w:val="18"/>
              </w:rPr>
              <w:t>10 %</w:t>
            </w:r>
          </w:p>
        </w:tc>
      </w:tr>
      <w:tr w:rsidR="009700E5" w14:paraId="4DC06D19" w14:textId="77777777">
        <w:trPr>
          <w:cantSplit/>
        </w:trPr>
        <w:tc>
          <w:tcPr>
            <w:tcW w:w="314" w:type="pct"/>
            <w:tcBorders>
              <w:right w:val="single" w:sz="4" w:space="0" w:color="auto"/>
            </w:tcBorders>
          </w:tcPr>
          <w:p w14:paraId="2A6FEED6" w14:textId="77777777" w:rsidR="009700E5" w:rsidRDefault="002C033C">
            <w:pPr>
              <w:numPr>
                <w:ilvl w:val="12"/>
                <w:numId w:val="0"/>
              </w:numPr>
              <w:ind w:right="-2"/>
              <w:jc w:val="center"/>
              <w:rPr>
                <w:sz w:val="18"/>
                <w:szCs w:val="18"/>
              </w:rPr>
            </w:pPr>
            <w:r>
              <w:rPr>
                <w:sz w:val="18"/>
                <w:szCs w:val="18"/>
              </w:rPr>
              <w:t>52</w:t>
            </w:r>
          </w:p>
        </w:tc>
        <w:tc>
          <w:tcPr>
            <w:tcW w:w="460" w:type="pct"/>
            <w:tcBorders>
              <w:left w:val="single" w:sz="4" w:space="0" w:color="auto"/>
              <w:right w:val="single" w:sz="4" w:space="0" w:color="auto"/>
            </w:tcBorders>
          </w:tcPr>
          <w:p w14:paraId="232A63E8" w14:textId="77777777" w:rsidR="009700E5" w:rsidRDefault="009700E5">
            <w:pPr>
              <w:numPr>
                <w:ilvl w:val="12"/>
                <w:numId w:val="0"/>
              </w:numPr>
              <w:ind w:right="-2"/>
              <w:jc w:val="center"/>
              <w:rPr>
                <w:sz w:val="18"/>
                <w:szCs w:val="18"/>
              </w:rPr>
            </w:pPr>
          </w:p>
        </w:tc>
        <w:tc>
          <w:tcPr>
            <w:tcW w:w="355" w:type="pct"/>
            <w:tcBorders>
              <w:left w:val="single" w:sz="4" w:space="0" w:color="auto"/>
              <w:right w:val="single" w:sz="4" w:space="0" w:color="auto"/>
            </w:tcBorders>
          </w:tcPr>
          <w:p w14:paraId="2C477ECB" w14:textId="77777777" w:rsidR="009700E5" w:rsidRDefault="009700E5">
            <w:pPr>
              <w:numPr>
                <w:ilvl w:val="12"/>
                <w:numId w:val="0"/>
              </w:numPr>
              <w:ind w:right="-2"/>
              <w:jc w:val="center"/>
              <w:rPr>
                <w:sz w:val="18"/>
                <w:szCs w:val="18"/>
              </w:rPr>
            </w:pPr>
          </w:p>
        </w:tc>
        <w:tc>
          <w:tcPr>
            <w:tcW w:w="513" w:type="pct"/>
            <w:tcBorders>
              <w:left w:val="single" w:sz="4" w:space="0" w:color="auto"/>
              <w:right w:val="single" w:sz="4" w:space="0" w:color="auto"/>
            </w:tcBorders>
          </w:tcPr>
          <w:p w14:paraId="4DD7FE79" w14:textId="77777777" w:rsidR="009700E5" w:rsidRDefault="002C033C">
            <w:pPr>
              <w:numPr>
                <w:ilvl w:val="12"/>
                <w:numId w:val="0"/>
              </w:numPr>
              <w:ind w:right="-2"/>
              <w:jc w:val="center"/>
              <w:rPr>
                <w:sz w:val="18"/>
                <w:szCs w:val="18"/>
              </w:rPr>
            </w:pPr>
            <w:r>
              <w:rPr>
                <w:sz w:val="18"/>
                <w:szCs w:val="18"/>
              </w:rPr>
              <w:t>56 %***</w:t>
            </w:r>
          </w:p>
        </w:tc>
        <w:tc>
          <w:tcPr>
            <w:tcW w:w="444" w:type="pct"/>
            <w:tcBorders>
              <w:left w:val="single" w:sz="4" w:space="0" w:color="auto"/>
              <w:right w:val="single" w:sz="4" w:space="0" w:color="auto"/>
            </w:tcBorders>
          </w:tcPr>
          <w:p w14:paraId="724A41CB" w14:textId="77777777" w:rsidR="009700E5" w:rsidRDefault="002C033C">
            <w:pPr>
              <w:numPr>
                <w:ilvl w:val="12"/>
                <w:numId w:val="0"/>
              </w:numPr>
              <w:ind w:right="-2"/>
              <w:jc w:val="center"/>
              <w:rPr>
                <w:sz w:val="18"/>
                <w:szCs w:val="18"/>
              </w:rPr>
            </w:pPr>
            <w:r>
              <w:rPr>
                <w:sz w:val="18"/>
                <w:szCs w:val="18"/>
              </w:rPr>
              <w:t>25 %</w:t>
            </w:r>
          </w:p>
        </w:tc>
        <w:tc>
          <w:tcPr>
            <w:tcW w:w="491" w:type="pct"/>
            <w:tcBorders>
              <w:left w:val="single" w:sz="4" w:space="0" w:color="auto"/>
              <w:right w:val="single" w:sz="4" w:space="0" w:color="auto"/>
            </w:tcBorders>
          </w:tcPr>
          <w:p w14:paraId="25CB00C8" w14:textId="77777777" w:rsidR="009700E5" w:rsidRDefault="009700E5">
            <w:pPr>
              <w:numPr>
                <w:ilvl w:val="12"/>
                <w:numId w:val="0"/>
              </w:numPr>
              <w:ind w:right="-2"/>
              <w:jc w:val="center"/>
              <w:rPr>
                <w:sz w:val="18"/>
                <w:szCs w:val="18"/>
              </w:rPr>
            </w:pPr>
          </w:p>
        </w:tc>
        <w:tc>
          <w:tcPr>
            <w:tcW w:w="444" w:type="pct"/>
            <w:tcBorders>
              <w:left w:val="single" w:sz="4" w:space="0" w:color="auto"/>
            </w:tcBorders>
          </w:tcPr>
          <w:p w14:paraId="77E9D231" w14:textId="77777777" w:rsidR="009700E5" w:rsidRDefault="009700E5">
            <w:pPr>
              <w:numPr>
                <w:ilvl w:val="12"/>
                <w:numId w:val="0"/>
              </w:numPr>
              <w:ind w:right="-2"/>
              <w:jc w:val="center"/>
              <w:rPr>
                <w:sz w:val="18"/>
                <w:szCs w:val="18"/>
              </w:rPr>
            </w:pPr>
          </w:p>
        </w:tc>
        <w:tc>
          <w:tcPr>
            <w:tcW w:w="488" w:type="pct"/>
            <w:tcBorders>
              <w:left w:val="nil"/>
            </w:tcBorders>
          </w:tcPr>
          <w:p w14:paraId="6031A453" w14:textId="77777777" w:rsidR="009700E5" w:rsidRDefault="009700E5">
            <w:pPr>
              <w:numPr>
                <w:ilvl w:val="12"/>
                <w:numId w:val="0"/>
              </w:numPr>
              <w:ind w:right="-2"/>
              <w:jc w:val="center"/>
              <w:rPr>
                <w:sz w:val="18"/>
                <w:szCs w:val="18"/>
              </w:rPr>
            </w:pPr>
          </w:p>
        </w:tc>
        <w:tc>
          <w:tcPr>
            <w:tcW w:w="534" w:type="pct"/>
            <w:tcBorders>
              <w:left w:val="nil"/>
            </w:tcBorders>
          </w:tcPr>
          <w:p w14:paraId="6B79EE2C" w14:textId="77777777" w:rsidR="009700E5" w:rsidRDefault="009700E5">
            <w:pPr>
              <w:numPr>
                <w:ilvl w:val="12"/>
                <w:numId w:val="0"/>
              </w:numPr>
              <w:ind w:right="-2"/>
              <w:jc w:val="center"/>
              <w:rPr>
                <w:sz w:val="18"/>
                <w:szCs w:val="18"/>
              </w:rPr>
            </w:pPr>
          </w:p>
        </w:tc>
        <w:tc>
          <w:tcPr>
            <w:tcW w:w="514" w:type="pct"/>
            <w:tcBorders>
              <w:left w:val="nil"/>
            </w:tcBorders>
          </w:tcPr>
          <w:p w14:paraId="3FB30F03" w14:textId="77777777" w:rsidR="009700E5" w:rsidRDefault="009700E5">
            <w:pPr>
              <w:numPr>
                <w:ilvl w:val="12"/>
                <w:numId w:val="0"/>
              </w:numPr>
              <w:ind w:right="-2"/>
              <w:jc w:val="center"/>
              <w:rPr>
                <w:sz w:val="18"/>
                <w:szCs w:val="18"/>
              </w:rPr>
            </w:pPr>
          </w:p>
        </w:tc>
        <w:tc>
          <w:tcPr>
            <w:tcW w:w="444" w:type="pct"/>
            <w:tcBorders>
              <w:left w:val="nil"/>
            </w:tcBorders>
          </w:tcPr>
          <w:p w14:paraId="5353B7D6" w14:textId="77777777" w:rsidR="009700E5" w:rsidRDefault="009700E5">
            <w:pPr>
              <w:numPr>
                <w:ilvl w:val="12"/>
                <w:numId w:val="0"/>
              </w:numPr>
              <w:ind w:right="-2"/>
              <w:jc w:val="center"/>
              <w:rPr>
                <w:sz w:val="18"/>
                <w:szCs w:val="18"/>
              </w:rPr>
            </w:pPr>
          </w:p>
        </w:tc>
      </w:tr>
      <w:tr w:rsidR="009700E5" w14:paraId="59BA1559" w14:textId="77777777">
        <w:trPr>
          <w:cantSplit/>
        </w:trPr>
        <w:tc>
          <w:tcPr>
            <w:tcW w:w="5000" w:type="pct"/>
            <w:gridSpan w:val="11"/>
          </w:tcPr>
          <w:p w14:paraId="6A26488C" w14:textId="77777777" w:rsidR="009700E5" w:rsidRDefault="002C033C">
            <w:pPr>
              <w:numPr>
                <w:ilvl w:val="12"/>
                <w:numId w:val="0"/>
              </w:numPr>
              <w:ind w:right="-2"/>
              <w:jc w:val="center"/>
              <w:rPr>
                <w:b/>
                <w:sz w:val="18"/>
                <w:szCs w:val="18"/>
              </w:rPr>
            </w:pPr>
            <w:r>
              <w:rPr>
                <w:b/>
                <w:sz w:val="18"/>
                <w:szCs w:val="18"/>
              </w:rPr>
              <w:t>ACR 50</w:t>
            </w:r>
          </w:p>
        </w:tc>
      </w:tr>
      <w:tr w:rsidR="009700E5" w14:paraId="734543B2" w14:textId="77777777">
        <w:trPr>
          <w:cantSplit/>
        </w:trPr>
        <w:tc>
          <w:tcPr>
            <w:tcW w:w="314" w:type="pct"/>
            <w:tcBorders>
              <w:right w:val="single" w:sz="4" w:space="0" w:color="auto"/>
            </w:tcBorders>
          </w:tcPr>
          <w:p w14:paraId="52D1E626" w14:textId="77777777" w:rsidR="009700E5" w:rsidRDefault="002C033C">
            <w:pPr>
              <w:numPr>
                <w:ilvl w:val="12"/>
                <w:numId w:val="0"/>
              </w:numPr>
              <w:ind w:right="-2"/>
              <w:jc w:val="center"/>
              <w:rPr>
                <w:sz w:val="18"/>
                <w:szCs w:val="18"/>
              </w:rPr>
            </w:pPr>
            <w:r>
              <w:rPr>
                <w:sz w:val="18"/>
                <w:szCs w:val="18"/>
              </w:rPr>
              <w:t>24</w:t>
            </w:r>
          </w:p>
        </w:tc>
        <w:tc>
          <w:tcPr>
            <w:tcW w:w="460" w:type="pct"/>
            <w:tcBorders>
              <w:left w:val="single" w:sz="4" w:space="0" w:color="auto"/>
              <w:right w:val="single" w:sz="4" w:space="0" w:color="auto"/>
            </w:tcBorders>
          </w:tcPr>
          <w:p w14:paraId="59773272" w14:textId="77777777" w:rsidR="009700E5" w:rsidRDefault="002C033C">
            <w:pPr>
              <w:numPr>
                <w:ilvl w:val="12"/>
                <w:numId w:val="0"/>
              </w:numPr>
              <w:ind w:right="-2"/>
              <w:jc w:val="center"/>
              <w:rPr>
                <w:sz w:val="18"/>
                <w:szCs w:val="18"/>
              </w:rPr>
            </w:pPr>
            <w:r>
              <w:rPr>
                <w:sz w:val="18"/>
                <w:szCs w:val="18"/>
              </w:rPr>
              <w:t>44 %**</w:t>
            </w:r>
          </w:p>
        </w:tc>
        <w:tc>
          <w:tcPr>
            <w:tcW w:w="355" w:type="pct"/>
            <w:tcBorders>
              <w:left w:val="single" w:sz="4" w:space="0" w:color="auto"/>
              <w:right w:val="single" w:sz="4" w:space="0" w:color="auto"/>
            </w:tcBorders>
          </w:tcPr>
          <w:p w14:paraId="4CD715CE" w14:textId="77777777" w:rsidR="009700E5" w:rsidRDefault="002C033C">
            <w:pPr>
              <w:numPr>
                <w:ilvl w:val="12"/>
                <w:numId w:val="0"/>
              </w:numPr>
              <w:ind w:right="-2"/>
              <w:jc w:val="center"/>
              <w:rPr>
                <w:sz w:val="18"/>
                <w:szCs w:val="18"/>
              </w:rPr>
            </w:pPr>
            <w:r>
              <w:rPr>
                <w:sz w:val="18"/>
                <w:szCs w:val="18"/>
              </w:rPr>
              <w:t>33 %</w:t>
            </w:r>
          </w:p>
        </w:tc>
        <w:tc>
          <w:tcPr>
            <w:tcW w:w="513" w:type="pct"/>
            <w:tcBorders>
              <w:left w:val="single" w:sz="4" w:space="0" w:color="auto"/>
              <w:right w:val="single" w:sz="4" w:space="0" w:color="auto"/>
            </w:tcBorders>
          </w:tcPr>
          <w:p w14:paraId="726C6A3B" w14:textId="77777777" w:rsidR="009700E5" w:rsidRDefault="002C033C">
            <w:pPr>
              <w:numPr>
                <w:ilvl w:val="12"/>
                <w:numId w:val="0"/>
              </w:numPr>
              <w:ind w:right="-2"/>
              <w:jc w:val="center"/>
              <w:rPr>
                <w:sz w:val="18"/>
                <w:szCs w:val="18"/>
              </w:rPr>
            </w:pPr>
            <w:r>
              <w:rPr>
                <w:sz w:val="18"/>
                <w:szCs w:val="18"/>
              </w:rPr>
              <w:t>32 %***</w:t>
            </w:r>
          </w:p>
        </w:tc>
        <w:tc>
          <w:tcPr>
            <w:tcW w:w="444" w:type="pct"/>
            <w:tcBorders>
              <w:left w:val="single" w:sz="4" w:space="0" w:color="auto"/>
              <w:right w:val="single" w:sz="4" w:space="0" w:color="auto"/>
            </w:tcBorders>
          </w:tcPr>
          <w:p w14:paraId="443456F0" w14:textId="77777777" w:rsidR="009700E5" w:rsidRDefault="002C033C">
            <w:pPr>
              <w:numPr>
                <w:ilvl w:val="12"/>
                <w:numId w:val="0"/>
              </w:numPr>
              <w:ind w:right="-2"/>
              <w:jc w:val="center"/>
              <w:rPr>
                <w:sz w:val="18"/>
                <w:szCs w:val="18"/>
              </w:rPr>
            </w:pPr>
            <w:r>
              <w:rPr>
                <w:sz w:val="18"/>
                <w:szCs w:val="18"/>
              </w:rPr>
              <w:t>10 %</w:t>
            </w:r>
          </w:p>
        </w:tc>
        <w:tc>
          <w:tcPr>
            <w:tcW w:w="491" w:type="pct"/>
            <w:tcBorders>
              <w:left w:val="single" w:sz="4" w:space="0" w:color="auto"/>
              <w:right w:val="single" w:sz="4" w:space="0" w:color="auto"/>
            </w:tcBorders>
          </w:tcPr>
          <w:p w14:paraId="26F8189F" w14:textId="77777777" w:rsidR="009700E5" w:rsidRDefault="002C033C">
            <w:pPr>
              <w:numPr>
                <w:ilvl w:val="12"/>
                <w:numId w:val="0"/>
              </w:numPr>
              <w:ind w:right="-2"/>
              <w:jc w:val="center"/>
              <w:rPr>
                <w:sz w:val="18"/>
                <w:szCs w:val="18"/>
              </w:rPr>
            </w:pPr>
            <w:r>
              <w:rPr>
                <w:sz w:val="18"/>
                <w:szCs w:val="18"/>
              </w:rPr>
              <w:t>44 %***</w:t>
            </w:r>
          </w:p>
        </w:tc>
        <w:tc>
          <w:tcPr>
            <w:tcW w:w="444" w:type="pct"/>
            <w:tcBorders>
              <w:left w:val="single" w:sz="4" w:space="0" w:color="auto"/>
            </w:tcBorders>
          </w:tcPr>
          <w:p w14:paraId="16D540AA" w14:textId="77777777" w:rsidR="009700E5" w:rsidRDefault="002C033C">
            <w:pPr>
              <w:numPr>
                <w:ilvl w:val="12"/>
                <w:numId w:val="0"/>
              </w:numPr>
              <w:ind w:right="-2"/>
              <w:jc w:val="center"/>
              <w:rPr>
                <w:sz w:val="18"/>
                <w:szCs w:val="18"/>
              </w:rPr>
            </w:pPr>
            <w:r>
              <w:rPr>
                <w:sz w:val="18"/>
                <w:szCs w:val="18"/>
              </w:rPr>
              <w:t>11 %</w:t>
            </w:r>
          </w:p>
        </w:tc>
        <w:tc>
          <w:tcPr>
            <w:tcW w:w="488" w:type="pct"/>
            <w:tcBorders>
              <w:left w:val="nil"/>
            </w:tcBorders>
          </w:tcPr>
          <w:p w14:paraId="0E1E7661" w14:textId="77777777" w:rsidR="009700E5" w:rsidRDefault="002C033C">
            <w:pPr>
              <w:numPr>
                <w:ilvl w:val="12"/>
                <w:numId w:val="0"/>
              </w:numPr>
              <w:ind w:right="-2"/>
              <w:jc w:val="center"/>
              <w:rPr>
                <w:sz w:val="18"/>
                <w:szCs w:val="18"/>
              </w:rPr>
            </w:pPr>
            <w:r>
              <w:rPr>
                <w:sz w:val="18"/>
                <w:szCs w:val="18"/>
              </w:rPr>
              <w:t>38 %***</w:t>
            </w:r>
          </w:p>
        </w:tc>
        <w:tc>
          <w:tcPr>
            <w:tcW w:w="534" w:type="pct"/>
            <w:tcBorders>
              <w:left w:val="nil"/>
            </w:tcBorders>
          </w:tcPr>
          <w:p w14:paraId="41B018B1" w14:textId="77777777" w:rsidR="009700E5" w:rsidRDefault="002C033C">
            <w:pPr>
              <w:numPr>
                <w:ilvl w:val="12"/>
                <w:numId w:val="0"/>
              </w:numPr>
              <w:ind w:right="-2"/>
              <w:jc w:val="center"/>
              <w:rPr>
                <w:sz w:val="18"/>
                <w:szCs w:val="18"/>
              </w:rPr>
            </w:pPr>
            <w:r>
              <w:rPr>
                <w:sz w:val="18"/>
                <w:szCs w:val="18"/>
              </w:rPr>
              <w:t>9 %</w:t>
            </w:r>
          </w:p>
        </w:tc>
        <w:tc>
          <w:tcPr>
            <w:tcW w:w="514" w:type="pct"/>
            <w:tcBorders>
              <w:left w:val="nil"/>
            </w:tcBorders>
          </w:tcPr>
          <w:p w14:paraId="1BB013A6" w14:textId="77777777" w:rsidR="009700E5" w:rsidRDefault="002C033C">
            <w:pPr>
              <w:numPr>
                <w:ilvl w:val="12"/>
                <w:numId w:val="0"/>
              </w:numPr>
              <w:ind w:right="-2"/>
              <w:jc w:val="center"/>
              <w:rPr>
                <w:sz w:val="18"/>
                <w:szCs w:val="18"/>
              </w:rPr>
            </w:pPr>
            <w:r>
              <w:rPr>
                <w:sz w:val="18"/>
                <w:szCs w:val="18"/>
              </w:rPr>
              <w:t>29 %***</w:t>
            </w:r>
          </w:p>
        </w:tc>
        <w:tc>
          <w:tcPr>
            <w:tcW w:w="444" w:type="pct"/>
            <w:tcBorders>
              <w:left w:val="nil"/>
            </w:tcBorders>
          </w:tcPr>
          <w:p w14:paraId="4CEE7682" w14:textId="77777777" w:rsidR="009700E5" w:rsidRDefault="002C033C">
            <w:pPr>
              <w:numPr>
                <w:ilvl w:val="12"/>
                <w:numId w:val="0"/>
              </w:numPr>
              <w:ind w:right="-2"/>
              <w:jc w:val="center"/>
              <w:rPr>
                <w:sz w:val="18"/>
                <w:szCs w:val="18"/>
              </w:rPr>
            </w:pPr>
            <w:r>
              <w:rPr>
                <w:sz w:val="18"/>
                <w:szCs w:val="18"/>
              </w:rPr>
              <w:t>4 %</w:t>
            </w:r>
          </w:p>
        </w:tc>
      </w:tr>
      <w:tr w:rsidR="009700E5" w14:paraId="03A402FE" w14:textId="77777777">
        <w:trPr>
          <w:cantSplit/>
        </w:trPr>
        <w:tc>
          <w:tcPr>
            <w:tcW w:w="314" w:type="pct"/>
            <w:tcBorders>
              <w:right w:val="single" w:sz="4" w:space="0" w:color="auto"/>
            </w:tcBorders>
          </w:tcPr>
          <w:p w14:paraId="43430823" w14:textId="77777777" w:rsidR="009700E5" w:rsidRDefault="002C033C">
            <w:pPr>
              <w:numPr>
                <w:ilvl w:val="12"/>
                <w:numId w:val="0"/>
              </w:numPr>
              <w:ind w:right="-2"/>
              <w:jc w:val="center"/>
              <w:rPr>
                <w:sz w:val="18"/>
                <w:szCs w:val="18"/>
              </w:rPr>
            </w:pPr>
            <w:r>
              <w:rPr>
                <w:sz w:val="18"/>
                <w:szCs w:val="18"/>
              </w:rPr>
              <w:t>52</w:t>
            </w:r>
          </w:p>
        </w:tc>
        <w:tc>
          <w:tcPr>
            <w:tcW w:w="460" w:type="pct"/>
            <w:tcBorders>
              <w:left w:val="single" w:sz="4" w:space="0" w:color="auto"/>
              <w:right w:val="single" w:sz="4" w:space="0" w:color="auto"/>
            </w:tcBorders>
          </w:tcPr>
          <w:p w14:paraId="7D9C05F2" w14:textId="77777777" w:rsidR="009700E5" w:rsidRDefault="009700E5">
            <w:pPr>
              <w:numPr>
                <w:ilvl w:val="12"/>
                <w:numId w:val="0"/>
              </w:numPr>
              <w:ind w:right="-2"/>
              <w:jc w:val="center"/>
              <w:rPr>
                <w:sz w:val="18"/>
                <w:szCs w:val="18"/>
              </w:rPr>
            </w:pPr>
          </w:p>
        </w:tc>
        <w:tc>
          <w:tcPr>
            <w:tcW w:w="355" w:type="pct"/>
            <w:tcBorders>
              <w:left w:val="single" w:sz="4" w:space="0" w:color="auto"/>
              <w:right w:val="single" w:sz="4" w:space="0" w:color="auto"/>
            </w:tcBorders>
          </w:tcPr>
          <w:p w14:paraId="659D0FF2" w14:textId="77777777" w:rsidR="009700E5" w:rsidRDefault="009700E5">
            <w:pPr>
              <w:numPr>
                <w:ilvl w:val="12"/>
                <w:numId w:val="0"/>
              </w:numPr>
              <w:ind w:right="-2"/>
              <w:jc w:val="center"/>
              <w:rPr>
                <w:sz w:val="18"/>
                <w:szCs w:val="18"/>
              </w:rPr>
            </w:pPr>
          </w:p>
        </w:tc>
        <w:tc>
          <w:tcPr>
            <w:tcW w:w="513" w:type="pct"/>
            <w:tcBorders>
              <w:left w:val="single" w:sz="4" w:space="0" w:color="auto"/>
              <w:right w:val="single" w:sz="4" w:space="0" w:color="auto"/>
            </w:tcBorders>
          </w:tcPr>
          <w:p w14:paraId="55799AA5" w14:textId="77777777" w:rsidR="009700E5" w:rsidRDefault="002C033C">
            <w:pPr>
              <w:numPr>
                <w:ilvl w:val="12"/>
                <w:numId w:val="0"/>
              </w:numPr>
              <w:ind w:right="-2"/>
              <w:jc w:val="center"/>
              <w:rPr>
                <w:sz w:val="18"/>
                <w:szCs w:val="18"/>
              </w:rPr>
            </w:pPr>
            <w:r>
              <w:rPr>
                <w:sz w:val="18"/>
                <w:szCs w:val="18"/>
              </w:rPr>
              <w:t>36 %***</w:t>
            </w:r>
          </w:p>
        </w:tc>
        <w:tc>
          <w:tcPr>
            <w:tcW w:w="444" w:type="pct"/>
            <w:tcBorders>
              <w:left w:val="single" w:sz="4" w:space="0" w:color="auto"/>
              <w:right w:val="single" w:sz="4" w:space="0" w:color="auto"/>
            </w:tcBorders>
          </w:tcPr>
          <w:p w14:paraId="352E7CB7" w14:textId="77777777" w:rsidR="009700E5" w:rsidRDefault="002C033C">
            <w:pPr>
              <w:numPr>
                <w:ilvl w:val="12"/>
                <w:numId w:val="0"/>
              </w:numPr>
              <w:ind w:right="-2"/>
              <w:jc w:val="center"/>
              <w:rPr>
                <w:sz w:val="18"/>
                <w:szCs w:val="18"/>
              </w:rPr>
            </w:pPr>
            <w:r>
              <w:rPr>
                <w:sz w:val="18"/>
                <w:szCs w:val="18"/>
              </w:rPr>
              <w:t>10 %</w:t>
            </w:r>
          </w:p>
        </w:tc>
        <w:tc>
          <w:tcPr>
            <w:tcW w:w="491" w:type="pct"/>
            <w:tcBorders>
              <w:left w:val="single" w:sz="4" w:space="0" w:color="auto"/>
              <w:right w:val="single" w:sz="4" w:space="0" w:color="auto"/>
            </w:tcBorders>
          </w:tcPr>
          <w:p w14:paraId="53734AFA" w14:textId="77777777" w:rsidR="009700E5" w:rsidRDefault="009700E5">
            <w:pPr>
              <w:numPr>
                <w:ilvl w:val="12"/>
                <w:numId w:val="0"/>
              </w:numPr>
              <w:ind w:right="-2"/>
              <w:jc w:val="center"/>
              <w:rPr>
                <w:sz w:val="18"/>
                <w:szCs w:val="18"/>
              </w:rPr>
            </w:pPr>
          </w:p>
        </w:tc>
        <w:tc>
          <w:tcPr>
            <w:tcW w:w="444" w:type="pct"/>
            <w:tcBorders>
              <w:left w:val="single" w:sz="4" w:space="0" w:color="auto"/>
            </w:tcBorders>
          </w:tcPr>
          <w:p w14:paraId="09103223" w14:textId="77777777" w:rsidR="009700E5" w:rsidRDefault="009700E5">
            <w:pPr>
              <w:numPr>
                <w:ilvl w:val="12"/>
                <w:numId w:val="0"/>
              </w:numPr>
              <w:ind w:right="-2"/>
              <w:jc w:val="center"/>
              <w:rPr>
                <w:sz w:val="18"/>
                <w:szCs w:val="18"/>
              </w:rPr>
            </w:pPr>
          </w:p>
        </w:tc>
        <w:tc>
          <w:tcPr>
            <w:tcW w:w="488" w:type="pct"/>
            <w:tcBorders>
              <w:left w:val="nil"/>
            </w:tcBorders>
          </w:tcPr>
          <w:p w14:paraId="4D602FF9" w14:textId="77777777" w:rsidR="009700E5" w:rsidRDefault="009700E5">
            <w:pPr>
              <w:numPr>
                <w:ilvl w:val="12"/>
                <w:numId w:val="0"/>
              </w:numPr>
              <w:ind w:right="-2"/>
              <w:jc w:val="center"/>
              <w:rPr>
                <w:sz w:val="18"/>
                <w:szCs w:val="18"/>
              </w:rPr>
            </w:pPr>
          </w:p>
        </w:tc>
        <w:tc>
          <w:tcPr>
            <w:tcW w:w="534" w:type="pct"/>
            <w:tcBorders>
              <w:left w:val="nil"/>
            </w:tcBorders>
          </w:tcPr>
          <w:p w14:paraId="7E1D3354" w14:textId="77777777" w:rsidR="009700E5" w:rsidRDefault="009700E5">
            <w:pPr>
              <w:numPr>
                <w:ilvl w:val="12"/>
                <w:numId w:val="0"/>
              </w:numPr>
              <w:ind w:right="-2"/>
              <w:jc w:val="center"/>
              <w:rPr>
                <w:sz w:val="18"/>
                <w:szCs w:val="18"/>
              </w:rPr>
            </w:pPr>
          </w:p>
        </w:tc>
        <w:tc>
          <w:tcPr>
            <w:tcW w:w="514" w:type="pct"/>
            <w:tcBorders>
              <w:left w:val="nil"/>
            </w:tcBorders>
          </w:tcPr>
          <w:p w14:paraId="41470F7B" w14:textId="77777777" w:rsidR="009700E5" w:rsidRDefault="009700E5">
            <w:pPr>
              <w:numPr>
                <w:ilvl w:val="12"/>
                <w:numId w:val="0"/>
              </w:numPr>
              <w:ind w:right="-2"/>
              <w:jc w:val="center"/>
              <w:rPr>
                <w:sz w:val="18"/>
                <w:szCs w:val="18"/>
              </w:rPr>
            </w:pPr>
          </w:p>
        </w:tc>
        <w:tc>
          <w:tcPr>
            <w:tcW w:w="444" w:type="pct"/>
            <w:tcBorders>
              <w:left w:val="nil"/>
            </w:tcBorders>
          </w:tcPr>
          <w:p w14:paraId="5E29C629" w14:textId="77777777" w:rsidR="009700E5" w:rsidRDefault="009700E5">
            <w:pPr>
              <w:numPr>
                <w:ilvl w:val="12"/>
                <w:numId w:val="0"/>
              </w:numPr>
              <w:ind w:right="-2"/>
              <w:jc w:val="center"/>
              <w:rPr>
                <w:sz w:val="18"/>
                <w:szCs w:val="18"/>
              </w:rPr>
            </w:pPr>
          </w:p>
        </w:tc>
      </w:tr>
      <w:tr w:rsidR="009700E5" w14:paraId="73451202" w14:textId="77777777">
        <w:trPr>
          <w:cantSplit/>
        </w:trPr>
        <w:tc>
          <w:tcPr>
            <w:tcW w:w="5000" w:type="pct"/>
            <w:gridSpan w:val="11"/>
          </w:tcPr>
          <w:p w14:paraId="4613738F" w14:textId="77777777" w:rsidR="009700E5" w:rsidRDefault="002C033C">
            <w:pPr>
              <w:numPr>
                <w:ilvl w:val="12"/>
                <w:numId w:val="0"/>
              </w:numPr>
              <w:ind w:right="-2"/>
              <w:jc w:val="center"/>
              <w:rPr>
                <w:b/>
                <w:sz w:val="18"/>
                <w:szCs w:val="18"/>
              </w:rPr>
            </w:pPr>
            <w:r>
              <w:rPr>
                <w:b/>
                <w:sz w:val="18"/>
                <w:szCs w:val="18"/>
              </w:rPr>
              <w:t>ACR 70</w:t>
            </w:r>
          </w:p>
        </w:tc>
      </w:tr>
      <w:tr w:rsidR="009700E5" w14:paraId="4995F745" w14:textId="77777777">
        <w:trPr>
          <w:cantSplit/>
        </w:trPr>
        <w:tc>
          <w:tcPr>
            <w:tcW w:w="314" w:type="pct"/>
            <w:tcBorders>
              <w:right w:val="single" w:sz="4" w:space="0" w:color="auto"/>
            </w:tcBorders>
          </w:tcPr>
          <w:p w14:paraId="3BD0C77F" w14:textId="77777777" w:rsidR="009700E5" w:rsidRDefault="002C033C">
            <w:pPr>
              <w:numPr>
                <w:ilvl w:val="12"/>
                <w:numId w:val="0"/>
              </w:numPr>
              <w:ind w:right="-2"/>
              <w:jc w:val="center"/>
              <w:rPr>
                <w:sz w:val="18"/>
                <w:szCs w:val="18"/>
              </w:rPr>
            </w:pPr>
            <w:r>
              <w:rPr>
                <w:sz w:val="18"/>
                <w:szCs w:val="18"/>
              </w:rPr>
              <w:t>24</w:t>
            </w:r>
          </w:p>
        </w:tc>
        <w:tc>
          <w:tcPr>
            <w:tcW w:w="460" w:type="pct"/>
            <w:tcBorders>
              <w:left w:val="single" w:sz="4" w:space="0" w:color="auto"/>
              <w:right w:val="single" w:sz="4" w:space="0" w:color="auto"/>
            </w:tcBorders>
          </w:tcPr>
          <w:p w14:paraId="538214D9" w14:textId="77777777" w:rsidR="009700E5" w:rsidRDefault="002C033C">
            <w:pPr>
              <w:numPr>
                <w:ilvl w:val="12"/>
                <w:numId w:val="0"/>
              </w:numPr>
              <w:ind w:right="-2"/>
              <w:jc w:val="center"/>
              <w:rPr>
                <w:sz w:val="18"/>
                <w:szCs w:val="18"/>
              </w:rPr>
            </w:pPr>
            <w:r>
              <w:rPr>
                <w:sz w:val="18"/>
                <w:szCs w:val="18"/>
              </w:rPr>
              <w:t>28 %**</w:t>
            </w:r>
          </w:p>
        </w:tc>
        <w:tc>
          <w:tcPr>
            <w:tcW w:w="355" w:type="pct"/>
            <w:tcBorders>
              <w:left w:val="single" w:sz="4" w:space="0" w:color="auto"/>
              <w:right w:val="single" w:sz="4" w:space="0" w:color="auto"/>
            </w:tcBorders>
          </w:tcPr>
          <w:p w14:paraId="4066AE23" w14:textId="77777777" w:rsidR="009700E5" w:rsidRDefault="002C033C">
            <w:pPr>
              <w:numPr>
                <w:ilvl w:val="12"/>
                <w:numId w:val="0"/>
              </w:numPr>
              <w:ind w:right="-2"/>
              <w:jc w:val="center"/>
              <w:rPr>
                <w:sz w:val="18"/>
                <w:szCs w:val="18"/>
              </w:rPr>
            </w:pPr>
            <w:r>
              <w:rPr>
                <w:sz w:val="18"/>
                <w:szCs w:val="18"/>
              </w:rPr>
              <w:t>15 %</w:t>
            </w:r>
          </w:p>
        </w:tc>
        <w:tc>
          <w:tcPr>
            <w:tcW w:w="513" w:type="pct"/>
            <w:tcBorders>
              <w:left w:val="single" w:sz="4" w:space="0" w:color="auto"/>
              <w:right w:val="single" w:sz="4" w:space="0" w:color="auto"/>
            </w:tcBorders>
          </w:tcPr>
          <w:p w14:paraId="3E333E5F" w14:textId="77777777" w:rsidR="009700E5" w:rsidRDefault="002C033C">
            <w:pPr>
              <w:numPr>
                <w:ilvl w:val="12"/>
                <w:numId w:val="0"/>
              </w:numPr>
              <w:ind w:right="-2"/>
              <w:jc w:val="center"/>
              <w:rPr>
                <w:sz w:val="18"/>
                <w:szCs w:val="18"/>
              </w:rPr>
            </w:pPr>
            <w:r>
              <w:rPr>
                <w:sz w:val="18"/>
                <w:szCs w:val="18"/>
              </w:rPr>
              <w:t>13 %***</w:t>
            </w:r>
          </w:p>
        </w:tc>
        <w:tc>
          <w:tcPr>
            <w:tcW w:w="444" w:type="pct"/>
            <w:tcBorders>
              <w:left w:val="single" w:sz="4" w:space="0" w:color="auto"/>
              <w:right w:val="single" w:sz="4" w:space="0" w:color="auto"/>
            </w:tcBorders>
          </w:tcPr>
          <w:p w14:paraId="4EEC8B31" w14:textId="77777777" w:rsidR="009700E5" w:rsidRDefault="002C033C">
            <w:pPr>
              <w:numPr>
                <w:ilvl w:val="12"/>
                <w:numId w:val="0"/>
              </w:numPr>
              <w:ind w:right="-2"/>
              <w:jc w:val="center"/>
              <w:rPr>
                <w:sz w:val="18"/>
                <w:szCs w:val="18"/>
              </w:rPr>
            </w:pPr>
            <w:r>
              <w:rPr>
                <w:sz w:val="18"/>
                <w:szCs w:val="18"/>
              </w:rPr>
              <w:t>2 %</w:t>
            </w:r>
          </w:p>
        </w:tc>
        <w:tc>
          <w:tcPr>
            <w:tcW w:w="491" w:type="pct"/>
            <w:tcBorders>
              <w:left w:val="single" w:sz="4" w:space="0" w:color="auto"/>
              <w:right w:val="single" w:sz="4" w:space="0" w:color="auto"/>
            </w:tcBorders>
          </w:tcPr>
          <w:p w14:paraId="63A4B7FB" w14:textId="77777777" w:rsidR="009700E5" w:rsidRDefault="002C033C">
            <w:pPr>
              <w:numPr>
                <w:ilvl w:val="12"/>
                <w:numId w:val="0"/>
              </w:numPr>
              <w:ind w:right="-2"/>
              <w:jc w:val="center"/>
              <w:rPr>
                <w:sz w:val="18"/>
                <w:szCs w:val="18"/>
              </w:rPr>
            </w:pPr>
            <w:r>
              <w:rPr>
                <w:sz w:val="18"/>
                <w:szCs w:val="18"/>
              </w:rPr>
              <w:t>22 %***</w:t>
            </w:r>
          </w:p>
        </w:tc>
        <w:tc>
          <w:tcPr>
            <w:tcW w:w="444" w:type="pct"/>
            <w:tcBorders>
              <w:left w:val="single" w:sz="4" w:space="0" w:color="auto"/>
            </w:tcBorders>
          </w:tcPr>
          <w:p w14:paraId="41330894" w14:textId="77777777" w:rsidR="009700E5" w:rsidRDefault="002C033C">
            <w:pPr>
              <w:numPr>
                <w:ilvl w:val="12"/>
                <w:numId w:val="0"/>
              </w:numPr>
              <w:ind w:right="-2"/>
              <w:jc w:val="center"/>
              <w:rPr>
                <w:sz w:val="18"/>
                <w:szCs w:val="18"/>
              </w:rPr>
            </w:pPr>
            <w:r>
              <w:rPr>
                <w:sz w:val="18"/>
                <w:szCs w:val="18"/>
              </w:rPr>
              <w:t>2 %</w:t>
            </w:r>
          </w:p>
        </w:tc>
        <w:tc>
          <w:tcPr>
            <w:tcW w:w="488" w:type="pct"/>
            <w:tcBorders>
              <w:left w:val="nil"/>
            </w:tcBorders>
          </w:tcPr>
          <w:p w14:paraId="5DDCDAEC" w14:textId="77777777" w:rsidR="009700E5" w:rsidRDefault="002C033C">
            <w:pPr>
              <w:numPr>
                <w:ilvl w:val="12"/>
                <w:numId w:val="0"/>
              </w:numPr>
              <w:ind w:right="-2"/>
              <w:jc w:val="center"/>
              <w:rPr>
                <w:sz w:val="18"/>
                <w:szCs w:val="18"/>
              </w:rPr>
            </w:pPr>
            <w:r>
              <w:rPr>
                <w:sz w:val="18"/>
                <w:szCs w:val="18"/>
              </w:rPr>
              <w:t>21 %***</w:t>
            </w:r>
          </w:p>
        </w:tc>
        <w:tc>
          <w:tcPr>
            <w:tcW w:w="534" w:type="pct"/>
            <w:tcBorders>
              <w:left w:val="nil"/>
            </w:tcBorders>
          </w:tcPr>
          <w:p w14:paraId="7CC782AC" w14:textId="77777777" w:rsidR="009700E5" w:rsidRDefault="002C033C">
            <w:pPr>
              <w:numPr>
                <w:ilvl w:val="12"/>
                <w:numId w:val="0"/>
              </w:numPr>
              <w:ind w:right="-2"/>
              <w:jc w:val="center"/>
              <w:rPr>
                <w:sz w:val="18"/>
                <w:szCs w:val="18"/>
              </w:rPr>
            </w:pPr>
            <w:r>
              <w:rPr>
                <w:sz w:val="18"/>
                <w:szCs w:val="18"/>
              </w:rPr>
              <w:t>3 %</w:t>
            </w:r>
          </w:p>
        </w:tc>
        <w:tc>
          <w:tcPr>
            <w:tcW w:w="514" w:type="pct"/>
            <w:tcBorders>
              <w:left w:val="nil"/>
            </w:tcBorders>
          </w:tcPr>
          <w:p w14:paraId="0CECF2C1" w14:textId="77777777" w:rsidR="009700E5" w:rsidRDefault="002C033C">
            <w:pPr>
              <w:numPr>
                <w:ilvl w:val="12"/>
                <w:numId w:val="0"/>
              </w:numPr>
              <w:ind w:right="-2"/>
              <w:jc w:val="center"/>
              <w:rPr>
                <w:sz w:val="18"/>
                <w:szCs w:val="18"/>
              </w:rPr>
            </w:pPr>
            <w:r>
              <w:rPr>
                <w:sz w:val="18"/>
                <w:szCs w:val="18"/>
              </w:rPr>
              <w:t>12 %**</w:t>
            </w:r>
          </w:p>
        </w:tc>
        <w:tc>
          <w:tcPr>
            <w:tcW w:w="444" w:type="pct"/>
            <w:tcBorders>
              <w:left w:val="nil"/>
            </w:tcBorders>
          </w:tcPr>
          <w:p w14:paraId="792989BC" w14:textId="77777777" w:rsidR="009700E5" w:rsidRDefault="002C033C">
            <w:pPr>
              <w:numPr>
                <w:ilvl w:val="12"/>
                <w:numId w:val="0"/>
              </w:numPr>
              <w:ind w:right="-2"/>
              <w:jc w:val="center"/>
              <w:rPr>
                <w:sz w:val="18"/>
                <w:szCs w:val="18"/>
              </w:rPr>
            </w:pPr>
            <w:r>
              <w:rPr>
                <w:sz w:val="18"/>
                <w:szCs w:val="18"/>
              </w:rPr>
              <w:t>1 %</w:t>
            </w:r>
          </w:p>
        </w:tc>
      </w:tr>
      <w:tr w:rsidR="009700E5" w14:paraId="287C2533" w14:textId="77777777">
        <w:trPr>
          <w:cantSplit/>
        </w:trPr>
        <w:tc>
          <w:tcPr>
            <w:tcW w:w="314" w:type="pct"/>
          </w:tcPr>
          <w:p w14:paraId="193BE337" w14:textId="77777777" w:rsidR="009700E5" w:rsidRDefault="002C033C">
            <w:pPr>
              <w:numPr>
                <w:ilvl w:val="12"/>
                <w:numId w:val="0"/>
              </w:numPr>
              <w:ind w:right="-2"/>
              <w:jc w:val="center"/>
              <w:rPr>
                <w:sz w:val="18"/>
                <w:szCs w:val="18"/>
              </w:rPr>
            </w:pPr>
            <w:r>
              <w:rPr>
                <w:sz w:val="18"/>
                <w:szCs w:val="18"/>
              </w:rPr>
              <w:t>52</w:t>
            </w:r>
          </w:p>
        </w:tc>
        <w:tc>
          <w:tcPr>
            <w:tcW w:w="460" w:type="pct"/>
            <w:tcBorders>
              <w:right w:val="single" w:sz="4" w:space="0" w:color="auto"/>
            </w:tcBorders>
          </w:tcPr>
          <w:p w14:paraId="298883F5" w14:textId="77777777" w:rsidR="009700E5" w:rsidRDefault="009700E5">
            <w:pPr>
              <w:numPr>
                <w:ilvl w:val="12"/>
                <w:numId w:val="0"/>
              </w:numPr>
              <w:ind w:right="-2"/>
              <w:jc w:val="center"/>
              <w:rPr>
                <w:sz w:val="18"/>
                <w:szCs w:val="18"/>
              </w:rPr>
            </w:pPr>
          </w:p>
        </w:tc>
        <w:tc>
          <w:tcPr>
            <w:tcW w:w="355" w:type="pct"/>
            <w:tcBorders>
              <w:left w:val="single" w:sz="4" w:space="0" w:color="auto"/>
            </w:tcBorders>
          </w:tcPr>
          <w:p w14:paraId="753B12B6" w14:textId="77777777" w:rsidR="009700E5" w:rsidRDefault="009700E5">
            <w:pPr>
              <w:numPr>
                <w:ilvl w:val="12"/>
                <w:numId w:val="0"/>
              </w:numPr>
              <w:ind w:right="-2"/>
              <w:jc w:val="center"/>
              <w:rPr>
                <w:sz w:val="18"/>
                <w:szCs w:val="18"/>
              </w:rPr>
            </w:pPr>
          </w:p>
        </w:tc>
        <w:tc>
          <w:tcPr>
            <w:tcW w:w="513" w:type="pct"/>
            <w:tcBorders>
              <w:right w:val="single" w:sz="4" w:space="0" w:color="auto"/>
            </w:tcBorders>
          </w:tcPr>
          <w:p w14:paraId="7649BF9C" w14:textId="77777777" w:rsidR="009700E5" w:rsidRDefault="002C033C">
            <w:pPr>
              <w:numPr>
                <w:ilvl w:val="12"/>
                <w:numId w:val="0"/>
              </w:numPr>
              <w:ind w:right="-2"/>
              <w:jc w:val="center"/>
              <w:rPr>
                <w:sz w:val="18"/>
                <w:szCs w:val="18"/>
              </w:rPr>
            </w:pPr>
            <w:r>
              <w:rPr>
                <w:sz w:val="18"/>
                <w:szCs w:val="18"/>
              </w:rPr>
              <w:t>20 %***</w:t>
            </w:r>
          </w:p>
        </w:tc>
        <w:tc>
          <w:tcPr>
            <w:tcW w:w="444" w:type="pct"/>
            <w:tcBorders>
              <w:left w:val="single" w:sz="4" w:space="0" w:color="auto"/>
            </w:tcBorders>
          </w:tcPr>
          <w:p w14:paraId="0648A84E" w14:textId="77777777" w:rsidR="009700E5" w:rsidRDefault="002C033C">
            <w:pPr>
              <w:numPr>
                <w:ilvl w:val="12"/>
                <w:numId w:val="0"/>
              </w:numPr>
              <w:ind w:right="-2"/>
              <w:jc w:val="center"/>
              <w:rPr>
                <w:sz w:val="18"/>
                <w:szCs w:val="18"/>
              </w:rPr>
            </w:pPr>
            <w:r>
              <w:rPr>
                <w:sz w:val="18"/>
                <w:szCs w:val="18"/>
              </w:rPr>
              <w:t>4 %</w:t>
            </w:r>
          </w:p>
        </w:tc>
        <w:tc>
          <w:tcPr>
            <w:tcW w:w="491" w:type="pct"/>
            <w:tcBorders>
              <w:right w:val="single" w:sz="4" w:space="0" w:color="auto"/>
            </w:tcBorders>
          </w:tcPr>
          <w:p w14:paraId="2C6D69B7" w14:textId="77777777" w:rsidR="009700E5" w:rsidRDefault="009700E5">
            <w:pPr>
              <w:numPr>
                <w:ilvl w:val="12"/>
                <w:numId w:val="0"/>
              </w:numPr>
              <w:ind w:right="-2"/>
              <w:jc w:val="center"/>
              <w:rPr>
                <w:sz w:val="18"/>
                <w:szCs w:val="18"/>
              </w:rPr>
            </w:pPr>
          </w:p>
        </w:tc>
        <w:tc>
          <w:tcPr>
            <w:tcW w:w="444" w:type="pct"/>
            <w:tcBorders>
              <w:left w:val="single" w:sz="4" w:space="0" w:color="auto"/>
            </w:tcBorders>
          </w:tcPr>
          <w:p w14:paraId="7C7D5FDA" w14:textId="77777777" w:rsidR="009700E5" w:rsidRDefault="009700E5">
            <w:pPr>
              <w:numPr>
                <w:ilvl w:val="12"/>
                <w:numId w:val="0"/>
              </w:numPr>
              <w:ind w:right="-2"/>
              <w:jc w:val="center"/>
              <w:rPr>
                <w:sz w:val="18"/>
                <w:szCs w:val="18"/>
              </w:rPr>
            </w:pPr>
          </w:p>
        </w:tc>
        <w:tc>
          <w:tcPr>
            <w:tcW w:w="488" w:type="pct"/>
            <w:tcBorders>
              <w:left w:val="nil"/>
            </w:tcBorders>
          </w:tcPr>
          <w:p w14:paraId="70D32E3F" w14:textId="77777777" w:rsidR="009700E5" w:rsidRDefault="009700E5">
            <w:pPr>
              <w:numPr>
                <w:ilvl w:val="12"/>
                <w:numId w:val="0"/>
              </w:numPr>
              <w:ind w:right="-2"/>
              <w:jc w:val="center"/>
              <w:rPr>
                <w:sz w:val="18"/>
                <w:szCs w:val="18"/>
              </w:rPr>
            </w:pPr>
          </w:p>
        </w:tc>
        <w:tc>
          <w:tcPr>
            <w:tcW w:w="534" w:type="pct"/>
            <w:tcBorders>
              <w:left w:val="nil"/>
            </w:tcBorders>
          </w:tcPr>
          <w:p w14:paraId="70A2110F" w14:textId="77777777" w:rsidR="009700E5" w:rsidRDefault="009700E5">
            <w:pPr>
              <w:numPr>
                <w:ilvl w:val="12"/>
                <w:numId w:val="0"/>
              </w:numPr>
              <w:ind w:right="-2"/>
              <w:jc w:val="center"/>
              <w:rPr>
                <w:sz w:val="18"/>
                <w:szCs w:val="18"/>
              </w:rPr>
            </w:pPr>
          </w:p>
        </w:tc>
        <w:tc>
          <w:tcPr>
            <w:tcW w:w="514" w:type="pct"/>
            <w:tcBorders>
              <w:left w:val="nil"/>
            </w:tcBorders>
          </w:tcPr>
          <w:p w14:paraId="14755521" w14:textId="77777777" w:rsidR="009700E5" w:rsidRDefault="009700E5">
            <w:pPr>
              <w:numPr>
                <w:ilvl w:val="12"/>
                <w:numId w:val="0"/>
              </w:numPr>
              <w:ind w:right="-2"/>
              <w:jc w:val="center"/>
              <w:rPr>
                <w:sz w:val="18"/>
                <w:szCs w:val="18"/>
              </w:rPr>
            </w:pPr>
          </w:p>
        </w:tc>
        <w:tc>
          <w:tcPr>
            <w:tcW w:w="444" w:type="pct"/>
            <w:tcBorders>
              <w:left w:val="nil"/>
            </w:tcBorders>
          </w:tcPr>
          <w:p w14:paraId="744F7D05" w14:textId="77777777" w:rsidR="009700E5" w:rsidRDefault="009700E5">
            <w:pPr>
              <w:numPr>
                <w:ilvl w:val="12"/>
                <w:numId w:val="0"/>
              </w:numPr>
              <w:ind w:right="-2"/>
              <w:jc w:val="center"/>
              <w:rPr>
                <w:sz w:val="18"/>
                <w:szCs w:val="18"/>
              </w:rPr>
            </w:pPr>
          </w:p>
        </w:tc>
      </w:tr>
    </w:tbl>
    <w:p w14:paraId="3DABDD16" w14:textId="77777777" w:rsidR="009700E5" w:rsidRDefault="002C033C">
      <w:pPr>
        <w:numPr>
          <w:ilvl w:val="12"/>
          <w:numId w:val="0"/>
        </w:numPr>
        <w:ind w:right="-2"/>
        <w:rPr>
          <w:sz w:val="18"/>
          <w:szCs w:val="18"/>
        </w:rPr>
      </w:pPr>
      <w:r>
        <w:rPr>
          <w:sz w:val="18"/>
          <w:szCs w:val="18"/>
        </w:rPr>
        <w:t xml:space="preserve">TCZ </w:t>
      </w:r>
      <w:r>
        <w:rPr>
          <w:sz w:val="18"/>
          <w:szCs w:val="18"/>
        </w:rPr>
        <w:tab/>
      </w:r>
      <w:r>
        <w:rPr>
          <w:sz w:val="18"/>
          <w:szCs w:val="18"/>
        </w:rPr>
        <w:tab/>
        <w:t>- Tocilizumab</w:t>
      </w:r>
    </w:p>
    <w:p w14:paraId="054D5A61" w14:textId="77777777" w:rsidR="009700E5" w:rsidRDefault="002C033C">
      <w:pPr>
        <w:numPr>
          <w:ilvl w:val="12"/>
          <w:numId w:val="0"/>
        </w:numPr>
        <w:ind w:right="-2"/>
        <w:rPr>
          <w:sz w:val="18"/>
          <w:szCs w:val="18"/>
        </w:rPr>
      </w:pPr>
      <w:r>
        <w:rPr>
          <w:sz w:val="18"/>
          <w:szCs w:val="18"/>
        </w:rPr>
        <w:t>MTX</w:t>
      </w:r>
      <w:r>
        <w:rPr>
          <w:sz w:val="18"/>
          <w:szCs w:val="18"/>
        </w:rPr>
        <w:tab/>
      </w:r>
      <w:r>
        <w:rPr>
          <w:sz w:val="18"/>
          <w:szCs w:val="18"/>
        </w:rPr>
        <w:tab/>
        <w:t>- Metotrexát</w:t>
      </w:r>
    </w:p>
    <w:p w14:paraId="0390F65C" w14:textId="77777777" w:rsidR="009700E5" w:rsidRDefault="002C033C">
      <w:pPr>
        <w:numPr>
          <w:ilvl w:val="12"/>
          <w:numId w:val="0"/>
        </w:numPr>
        <w:ind w:right="-2"/>
        <w:rPr>
          <w:sz w:val="18"/>
          <w:szCs w:val="18"/>
        </w:rPr>
      </w:pPr>
      <w:r>
        <w:rPr>
          <w:sz w:val="18"/>
          <w:szCs w:val="18"/>
        </w:rPr>
        <w:t>PBO</w:t>
      </w:r>
      <w:r>
        <w:rPr>
          <w:sz w:val="18"/>
          <w:szCs w:val="18"/>
        </w:rPr>
        <w:tab/>
      </w:r>
      <w:r>
        <w:rPr>
          <w:sz w:val="18"/>
          <w:szCs w:val="18"/>
        </w:rPr>
        <w:tab/>
        <w:t>- Placebo</w:t>
      </w:r>
    </w:p>
    <w:p w14:paraId="6B47E6F5" w14:textId="77777777" w:rsidR="009700E5" w:rsidRDefault="002C033C">
      <w:pPr>
        <w:numPr>
          <w:ilvl w:val="12"/>
          <w:numId w:val="0"/>
        </w:numPr>
        <w:ind w:right="-2"/>
        <w:rPr>
          <w:sz w:val="18"/>
          <w:szCs w:val="18"/>
        </w:rPr>
      </w:pPr>
      <w:r>
        <w:rPr>
          <w:sz w:val="18"/>
          <w:szCs w:val="18"/>
        </w:rPr>
        <w:t xml:space="preserve">DMARD </w:t>
      </w:r>
      <w:r>
        <w:rPr>
          <w:sz w:val="18"/>
          <w:szCs w:val="18"/>
        </w:rPr>
        <w:tab/>
        <w:t>- Antireumatikum modifikujúce priebeh choroby</w:t>
      </w:r>
    </w:p>
    <w:p w14:paraId="40744668" w14:textId="77777777" w:rsidR="009700E5" w:rsidRDefault="002C033C">
      <w:pPr>
        <w:numPr>
          <w:ilvl w:val="12"/>
          <w:numId w:val="0"/>
        </w:numPr>
        <w:ind w:right="-2"/>
        <w:rPr>
          <w:sz w:val="18"/>
          <w:szCs w:val="18"/>
        </w:rPr>
      </w:pPr>
      <w:r>
        <w:rPr>
          <w:sz w:val="18"/>
          <w:szCs w:val="18"/>
        </w:rPr>
        <w:t xml:space="preserve">** </w:t>
      </w:r>
      <w:r>
        <w:rPr>
          <w:sz w:val="18"/>
          <w:szCs w:val="18"/>
        </w:rPr>
        <w:tab/>
      </w:r>
      <w:r>
        <w:rPr>
          <w:sz w:val="18"/>
          <w:szCs w:val="18"/>
        </w:rPr>
        <w:tab/>
        <w:t>- p &lt; 0,01, TCZ oproti PBO + MTX/DMARD</w:t>
      </w:r>
    </w:p>
    <w:p w14:paraId="47BDD1EE" w14:textId="77777777" w:rsidR="009700E5" w:rsidRDefault="002C033C">
      <w:pPr>
        <w:numPr>
          <w:ilvl w:val="12"/>
          <w:numId w:val="0"/>
        </w:numPr>
        <w:ind w:right="-2"/>
        <w:rPr>
          <w:sz w:val="18"/>
          <w:szCs w:val="18"/>
        </w:rPr>
      </w:pPr>
      <w:r>
        <w:rPr>
          <w:sz w:val="18"/>
          <w:szCs w:val="18"/>
        </w:rPr>
        <w:t xml:space="preserve">*** </w:t>
      </w:r>
      <w:r>
        <w:rPr>
          <w:sz w:val="18"/>
          <w:szCs w:val="18"/>
        </w:rPr>
        <w:tab/>
      </w:r>
      <w:r>
        <w:rPr>
          <w:sz w:val="18"/>
          <w:szCs w:val="18"/>
        </w:rPr>
        <w:tab/>
        <w:t>- p &lt; 0,0001, TCZ oproti PBO + MTX/DMARD</w:t>
      </w:r>
    </w:p>
    <w:p w14:paraId="582B829B" w14:textId="77777777" w:rsidR="009700E5" w:rsidRDefault="009700E5">
      <w:pPr>
        <w:numPr>
          <w:ilvl w:val="12"/>
          <w:numId w:val="0"/>
        </w:numPr>
        <w:ind w:right="-2"/>
      </w:pPr>
    </w:p>
    <w:p w14:paraId="183E6AC6" w14:textId="77777777" w:rsidR="009700E5" w:rsidRDefault="002C033C">
      <w:pPr>
        <w:keepNext/>
        <w:keepLines/>
        <w:rPr>
          <w:i/>
          <w:u w:val="single"/>
        </w:rPr>
      </w:pPr>
      <w:r>
        <w:rPr>
          <w:i/>
          <w:u w:val="single"/>
        </w:rPr>
        <w:t>Významná klinická odpoveď</w:t>
      </w:r>
    </w:p>
    <w:p w14:paraId="2D92E813" w14:textId="77777777" w:rsidR="009700E5" w:rsidRDefault="002C033C">
      <w:pPr>
        <w:rPr>
          <w:iCs/>
        </w:rPr>
      </w:pPr>
      <w:r>
        <w:rPr>
          <w:iCs/>
        </w:rPr>
        <w:t xml:space="preserve">Po 2 rokoch liečby </w:t>
      </w:r>
      <w:r>
        <w:rPr>
          <w:lang w:eastAsia="de-DE"/>
        </w:rPr>
        <w:t>tocilizumabom</w:t>
      </w:r>
      <w:r>
        <w:rPr>
          <w:iCs/>
        </w:rPr>
        <w:t xml:space="preserve"> s MTX dosiahlo 14 % pacientov významnú klinickú odpoveď (udržanie ACR 70 odpovede počas 24 týždňov alebo dlhšie).</w:t>
      </w:r>
    </w:p>
    <w:p w14:paraId="77DDF8F1" w14:textId="77777777" w:rsidR="009700E5" w:rsidRDefault="009700E5">
      <w:pPr>
        <w:rPr>
          <w:i/>
        </w:rPr>
      </w:pPr>
    </w:p>
    <w:p w14:paraId="19A41FCD" w14:textId="77777777" w:rsidR="009700E5" w:rsidRDefault="002C033C">
      <w:pPr>
        <w:rPr>
          <w:i/>
          <w:u w:val="single"/>
        </w:rPr>
      </w:pPr>
      <w:r>
        <w:rPr>
          <w:i/>
          <w:u w:val="single"/>
        </w:rPr>
        <w:t>Rádiografická odpoveď</w:t>
      </w:r>
    </w:p>
    <w:p w14:paraId="4864C4D4" w14:textId="77777777" w:rsidR="009700E5" w:rsidRDefault="002C033C">
      <w:r>
        <w:t>V </w:t>
      </w:r>
      <w:del w:id="2548" w:author="Author" w:date="2025-07-20T00:21:00Z">
        <w:r>
          <w:delText>štúdii </w:delText>
        </w:r>
      </w:del>
      <w:ins w:id="2549" w:author="Author" w:date="2025-07-21T10:55:00Z">
        <w:r>
          <w:t xml:space="preserve">klinickom </w:t>
        </w:r>
      </w:ins>
      <w:ins w:id="2550" w:author="Author" w:date="2025-07-20T00:21:00Z">
        <w:r>
          <w:t>skúšaní </w:t>
        </w:r>
      </w:ins>
      <w:r>
        <w:t>II sa u pacientov s nedostatočnou odpoveďou na MTX hodnotila inhibícia štrukturálneho poškodenia kĺbov rádiograficky a vyjadrila sa ako zmena v modifikovanom Sharpovom skóre a jeho zložkách </w:t>
      </w:r>
      <w:r>
        <w:noBreakHyphen/>
        <w:t xml:space="preserve"> skóre erózie a skóre zúženia kĺbovej štrbiny. U pacientov liečených </w:t>
      </w:r>
      <w:r>
        <w:rPr>
          <w:lang w:eastAsia="de-DE"/>
        </w:rPr>
        <w:t>tocilizumabom</w:t>
      </w:r>
      <w:r>
        <w:t xml:space="preserve"> sa oproti kontrolnej skupine preukázala inhibícia štrukturálneho poškodenia kĺbov s významne nižšou rádiografickou progresiou ochorenia (tabuľka 6).</w:t>
      </w:r>
    </w:p>
    <w:p w14:paraId="5CDFCC2F" w14:textId="77777777" w:rsidR="009700E5" w:rsidRDefault="009700E5">
      <w:pPr>
        <w:outlineLvl w:val="0"/>
      </w:pPr>
    </w:p>
    <w:p w14:paraId="10A918BE" w14:textId="77777777" w:rsidR="009700E5" w:rsidRDefault="002C033C">
      <w:pPr>
        <w:outlineLvl w:val="0"/>
      </w:pPr>
      <w:r>
        <w:t xml:space="preserve">V otvorenej predĺženej fáze </w:t>
      </w:r>
      <w:del w:id="2551" w:author="Author" w:date="2025-07-20T00:21:00Z">
        <w:r>
          <w:delText>štúdie </w:delText>
        </w:r>
      </w:del>
      <w:ins w:id="2552" w:author="Author" w:date="2025-07-21T10:55:00Z">
        <w:r>
          <w:t xml:space="preserve">klinického </w:t>
        </w:r>
      </w:ins>
      <w:ins w:id="2553" w:author="Author" w:date="2025-07-20T00:21:00Z">
        <w:r>
          <w:t>skúšania </w:t>
        </w:r>
      </w:ins>
      <w:r>
        <w:t>II bola inhibícia progresie štrukturálneho poškodenie kĺbu v skupine s </w:t>
      </w:r>
      <w:r>
        <w:rPr>
          <w:lang w:eastAsia="de-DE"/>
        </w:rPr>
        <w:t>tocilizumabom</w:t>
      </w:r>
      <w:r>
        <w:t xml:space="preserve"> a MTX udržiavaná i v druhom roku liečby. Stredná zmena od východiskových hodnôt bola v 104. týždni v celkovom Sharpovom</w:t>
      </w:r>
      <w:r>
        <w:noBreakHyphen/>
        <w:t>Genantovom skóre významne nižšia u pacientov randomizovaných do skupiny s </w:t>
      </w:r>
      <w:r>
        <w:rPr>
          <w:lang w:eastAsia="de-DE"/>
        </w:rPr>
        <w:t>tocilizumabom</w:t>
      </w:r>
      <w:r>
        <w:t xml:space="preserve"> v dávke 8 mg/kg a MTX (p </w:t>
      </w:r>
      <w:r>
        <w:rPr>
          <w:rFonts w:eastAsia="MS Mincho"/>
          <w:szCs w:val="22"/>
        </w:rPr>
        <w:sym w:font="Symbol" w:char="F03C"/>
      </w:r>
      <w:r>
        <w:t> 0,0001) v porovnaní s pacientami, ktorí boli randomizovaní do skupiny s placebom a MTX.</w:t>
      </w:r>
    </w:p>
    <w:p w14:paraId="4226F98E" w14:textId="77777777" w:rsidR="009700E5" w:rsidRDefault="009700E5"/>
    <w:p w14:paraId="6C408FD4" w14:textId="77777777" w:rsidR="009700E5" w:rsidRDefault="002C033C">
      <w:pPr>
        <w:keepNext/>
        <w:keepLines/>
        <w:ind w:left="1418" w:hanging="1418"/>
        <w:rPr>
          <w:bCs/>
          <w:i/>
        </w:rPr>
      </w:pPr>
      <w:r>
        <w:rPr>
          <w:bCs/>
          <w:i/>
        </w:rPr>
        <w:lastRenderedPageBreak/>
        <w:t>Tabuľka 6. Rádiografické priemerné zmeny počas 52 týždňov v </w:t>
      </w:r>
      <w:del w:id="2554" w:author="Author" w:date="2025-07-20T00:21:00Z">
        <w:r>
          <w:rPr>
            <w:bCs/>
            <w:i/>
          </w:rPr>
          <w:delText>štúdii </w:delText>
        </w:r>
      </w:del>
      <w:ins w:id="2555" w:author="Author" w:date="2025-07-21T10:57:00Z">
        <w:r>
          <w:rPr>
            <w:bCs/>
            <w:i/>
          </w:rPr>
          <w:t xml:space="preserve">klinickom </w:t>
        </w:r>
      </w:ins>
      <w:ins w:id="2556" w:author="Author" w:date="2025-07-20T00:21:00Z">
        <w:r>
          <w:rPr>
            <w:bCs/>
            <w:i/>
          </w:rPr>
          <w:t>skúšaní </w:t>
        </w:r>
      </w:ins>
      <w:r>
        <w:rPr>
          <w:bCs/>
          <w:i/>
        </w:rPr>
        <w:t>II</w:t>
      </w:r>
    </w:p>
    <w:p w14:paraId="03DAB0A7" w14:textId="77777777" w:rsidR="009700E5" w:rsidRDefault="009700E5">
      <w:pPr>
        <w:keepNext/>
        <w:keepLines/>
        <w:ind w:left="1418" w:hanging="1418"/>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2557" w:author="Author" w:date="2025-07-22T18:08: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3539"/>
        <w:gridCol w:w="2410"/>
        <w:gridCol w:w="2126"/>
        <w:tblGridChange w:id="2558">
          <w:tblGrid>
            <w:gridCol w:w="2358"/>
            <w:gridCol w:w="2790"/>
            <w:gridCol w:w="2610"/>
          </w:tblGrid>
        </w:tblGridChange>
      </w:tblGrid>
      <w:tr w:rsidR="009700E5" w14:paraId="1F29DC56" w14:textId="77777777" w:rsidTr="009700E5">
        <w:trPr>
          <w:cantSplit/>
          <w:tblHeader/>
          <w:trPrChange w:id="2559" w:author="Author" w:date="2025-07-22T18:08:00Z">
            <w:trPr>
              <w:cantSplit/>
              <w:tblHeader/>
            </w:trPr>
          </w:trPrChange>
        </w:trPr>
        <w:tc>
          <w:tcPr>
            <w:tcW w:w="3539" w:type="dxa"/>
            <w:tcPrChange w:id="2560" w:author="Author" w:date="2025-07-22T18:08:00Z">
              <w:tcPr>
                <w:tcW w:w="2358" w:type="dxa"/>
              </w:tcPr>
            </w:tcPrChange>
          </w:tcPr>
          <w:p w14:paraId="77B7BB39" w14:textId="77777777" w:rsidR="009700E5" w:rsidRDefault="009700E5">
            <w:pPr>
              <w:keepNext/>
              <w:keepLines/>
            </w:pPr>
          </w:p>
        </w:tc>
        <w:tc>
          <w:tcPr>
            <w:tcW w:w="2410" w:type="dxa"/>
            <w:tcPrChange w:id="2561" w:author="Author" w:date="2025-07-22T18:08:00Z">
              <w:tcPr>
                <w:tcW w:w="2790" w:type="dxa"/>
              </w:tcPr>
            </w:tcPrChange>
          </w:tcPr>
          <w:p w14:paraId="5E9681A0" w14:textId="77777777" w:rsidR="009700E5" w:rsidRDefault="002C033C">
            <w:pPr>
              <w:keepNext/>
              <w:keepLines/>
              <w:numPr>
                <w:ilvl w:val="12"/>
                <w:numId w:val="0"/>
              </w:numPr>
              <w:ind w:right="-2"/>
              <w:jc w:val="center"/>
              <w:rPr>
                <w:b/>
                <w:bCs/>
                <w:szCs w:val="22"/>
              </w:rPr>
            </w:pPr>
            <w:r>
              <w:rPr>
                <w:b/>
                <w:bCs/>
                <w:szCs w:val="22"/>
              </w:rPr>
              <w:t>PBO + MTX</w:t>
            </w:r>
          </w:p>
          <w:p w14:paraId="4EF7C425" w14:textId="77777777" w:rsidR="009700E5" w:rsidRDefault="002C033C">
            <w:pPr>
              <w:keepNext/>
              <w:keepLines/>
              <w:numPr>
                <w:ilvl w:val="12"/>
                <w:numId w:val="0"/>
              </w:numPr>
              <w:ind w:right="-2"/>
              <w:jc w:val="center"/>
              <w:rPr>
                <w:b/>
                <w:bCs/>
                <w:szCs w:val="22"/>
              </w:rPr>
            </w:pPr>
            <w:r>
              <w:rPr>
                <w:b/>
                <w:bCs/>
                <w:szCs w:val="22"/>
              </w:rPr>
              <w:t>(+TCZ od 24. týždňa)</w:t>
            </w:r>
          </w:p>
          <w:p w14:paraId="122CA44C" w14:textId="77777777" w:rsidR="009700E5" w:rsidRDefault="002C033C">
            <w:pPr>
              <w:keepNext/>
              <w:keepLines/>
              <w:jc w:val="center"/>
              <w:rPr>
                <w:szCs w:val="22"/>
              </w:rPr>
            </w:pPr>
            <w:del w:id="2562" w:author="Author" w:date="2025-07-20T00:21:00Z">
              <w:r>
                <w:rPr>
                  <w:b/>
                  <w:bCs/>
                  <w:szCs w:val="22"/>
                </w:rPr>
                <w:delText>N </w:delText>
              </w:r>
            </w:del>
            <w:ins w:id="2563" w:author="Author" w:date="2025-07-20T00:21:00Z">
              <w:r>
                <w:rPr>
                  <w:b/>
                  <w:bCs/>
                  <w:szCs w:val="22"/>
                </w:rPr>
                <w:t>n </w:t>
              </w:r>
            </w:ins>
            <w:r>
              <w:rPr>
                <w:b/>
                <w:bCs/>
                <w:szCs w:val="22"/>
              </w:rPr>
              <w:t>= 393</w:t>
            </w:r>
          </w:p>
        </w:tc>
        <w:tc>
          <w:tcPr>
            <w:tcW w:w="2126" w:type="dxa"/>
            <w:tcPrChange w:id="2564" w:author="Author" w:date="2025-07-22T18:08:00Z">
              <w:tcPr>
                <w:tcW w:w="2610" w:type="dxa"/>
              </w:tcPr>
            </w:tcPrChange>
          </w:tcPr>
          <w:p w14:paraId="55A7BDD1" w14:textId="77777777" w:rsidR="009700E5" w:rsidRDefault="002C033C">
            <w:pPr>
              <w:keepNext/>
              <w:keepLines/>
              <w:jc w:val="center"/>
              <w:rPr>
                <w:szCs w:val="22"/>
              </w:rPr>
            </w:pPr>
            <w:r>
              <w:rPr>
                <w:b/>
                <w:bCs/>
                <w:szCs w:val="22"/>
              </w:rPr>
              <w:t>TCZ 8 mg/kg + MTX</w:t>
            </w:r>
            <w:r>
              <w:rPr>
                <w:b/>
                <w:bCs/>
                <w:szCs w:val="22"/>
              </w:rPr>
              <w:br/>
            </w:r>
            <w:del w:id="2565" w:author="Author" w:date="2025-07-20T00:21:00Z">
              <w:r>
                <w:rPr>
                  <w:b/>
                  <w:bCs/>
                  <w:szCs w:val="22"/>
                </w:rPr>
                <w:delText>N </w:delText>
              </w:r>
            </w:del>
            <w:ins w:id="2566" w:author="Author" w:date="2025-07-20T00:21:00Z">
              <w:r>
                <w:rPr>
                  <w:b/>
                  <w:bCs/>
                  <w:szCs w:val="22"/>
                </w:rPr>
                <w:t>n </w:t>
              </w:r>
            </w:ins>
            <w:r>
              <w:rPr>
                <w:b/>
                <w:bCs/>
                <w:szCs w:val="22"/>
              </w:rPr>
              <w:t>= 398</w:t>
            </w:r>
          </w:p>
        </w:tc>
      </w:tr>
      <w:tr w:rsidR="009700E5" w14:paraId="5E0AD6FB" w14:textId="77777777" w:rsidTr="009700E5">
        <w:trPr>
          <w:cantSplit/>
          <w:trPrChange w:id="2567" w:author="Author" w:date="2025-07-22T18:08:00Z">
            <w:trPr>
              <w:cantSplit/>
            </w:trPr>
          </w:trPrChange>
        </w:trPr>
        <w:tc>
          <w:tcPr>
            <w:tcW w:w="3539" w:type="dxa"/>
            <w:tcPrChange w:id="2568" w:author="Author" w:date="2025-07-22T18:08:00Z">
              <w:tcPr>
                <w:tcW w:w="2358" w:type="dxa"/>
              </w:tcPr>
            </w:tcPrChange>
          </w:tcPr>
          <w:p w14:paraId="23F687D1" w14:textId="77777777" w:rsidR="009700E5" w:rsidRDefault="002C033C">
            <w:pPr>
              <w:keepNext/>
              <w:keepLines/>
            </w:pPr>
            <w:r>
              <w:t>Celkové Sharpovo</w:t>
            </w:r>
            <w:r>
              <w:noBreakHyphen/>
              <w:t>Genantovo skóre</w:t>
            </w:r>
          </w:p>
        </w:tc>
        <w:tc>
          <w:tcPr>
            <w:tcW w:w="2410" w:type="dxa"/>
            <w:tcPrChange w:id="2569" w:author="Author" w:date="2025-07-22T18:08:00Z">
              <w:tcPr>
                <w:tcW w:w="2790" w:type="dxa"/>
              </w:tcPr>
            </w:tcPrChange>
          </w:tcPr>
          <w:p w14:paraId="43C515B9" w14:textId="77777777" w:rsidR="009700E5" w:rsidRDefault="002C033C">
            <w:pPr>
              <w:keepNext/>
              <w:keepLines/>
              <w:jc w:val="center"/>
            </w:pPr>
            <w:r>
              <w:t>1,13</w:t>
            </w:r>
          </w:p>
        </w:tc>
        <w:tc>
          <w:tcPr>
            <w:tcW w:w="2126" w:type="dxa"/>
            <w:tcPrChange w:id="2570" w:author="Author" w:date="2025-07-22T18:08:00Z">
              <w:tcPr>
                <w:tcW w:w="2610" w:type="dxa"/>
              </w:tcPr>
            </w:tcPrChange>
          </w:tcPr>
          <w:p w14:paraId="7ADF27E8" w14:textId="77777777" w:rsidR="009700E5" w:rsidRDefault="002C033C">
            <w:pPr>
              <w:keepNext/>
              <w:keepLines/>
              <w:jc w:val="center"/>
            </w:pPr>
            <w:r>
              <w:t>0,29*</w:t>
            </w:r>
          </w:p>
        </w:tc>
      </w:tr>
      <w:tr w:rsidR="009700E5" w14:paraId="23A99D59" w14:textId="77777777" w:rsidTr="009700E5">
        <w:trPr>
          <w:cantSplit/>
          <w:trPrChange w:id="2571" w:author="Author" w:date="2025-07-22T18:08:00Z">
            <w:trPr>
              <w:cantSplit/>
            </w:trPr>
          </w:trPrChange>
        </w:trPr>
        <w:tc>
          <w:tcPr>
            <w:tcW w:w="3539" w:type="dxa"/>
            <w:tcPrChange w:id="2572" w:author="Author" w:date="2025-07-22T18:08:00Z">
              <w:tcPr>
                <w:tcW w:w="2358" w:type="dxa"/>
              </w:tcPr>
            </w:tcPrChange>
          </w:tcPr>
          <w:p w14:paraId="60E64402" w14:textId="77777777" w:rsidR="009700E5" w:rsidRDefault="002C033C">
            <w:pPr>
              <w:keepNext/>
              <w:keepLines/>
            </w:pPr>
            <w:r>
              <w:t>Skóre erózie</w:t>
            </w:r>
          </w:p>
        </w:tc>
        <w:tc>
          <w:tcPr>
            <w:tcW w:w="2410" w:type="dxa"/>
            <w:tcPrChange w:id="2573" w:author="Author" w:date="2025-07-22T18:08:00Z">
              <w:tcPr>
                <w:tcW w:w="2790" w:type="dxa"/>
              </w:tcPr>
            </w:tcPrChange>
          </w:tcPr>
          <w:p w14:paraId="7CCBDEFC" w14:textId="77777777" w:rsidR="009700E5" w:rsidRDefault="002C033C">
            <w:pPr>
              <w:keepNext/>
              <w:keepLines/>
              <w:jc w:val="center"/>
            </w:pPr>
            <w:r>
              <w:t>0,71</w:t>
            </w:r>
          </w:p>
        </w:tc>
        <w:tc>
          <w:tcPr>
            <w:tcW w:w="2126" w:type="dxa"/>
            <w:tcPrChange w:id="2574" w:author="Author" w:date="2025-07-22T18:08:00Z">
              <w:tcPr>
                <w:tcW w:w="2610" w:type="dxa"/>
              </w:tcPr>
            </w:tcPrChange>
          </w:tcPr>
          <w:p w14:paraId="343656B8" w14:textId="77777777" w:rsidR="009700E5" w:rsidRDefault="002C033C">
            <w:pPr>
              <w:keepNext/>
              <w:keepLines/>
              <w:jc w:val="center"/>
            </w:pPr>
            <w:r>
              <w:t>0,17*</w:t>
            </w:r>
          </w:p>
        </w:tc>
      </w:tr>
      <w:tr w:rsidR="009700E5" w14:paraId="7B0F50E2" w14:textId="77777777" w:rsidTr="009700E5">
        <w:trPr>
          <w:cantSplit/>
          <w:trPrChange w:id="2575" w:author="Author" w:date="2025-07-22T18:08:00Z">
            <w:trPr>
              <w:cantSplit/>
            </w:trPr>
          </w:trPrChange>
        </w:trPr>
        <w:tc>
          <w:tcPr>
            <w:tcW w:w="3539" w:type="dxa"/>
            <w:tcPrChange w:id="2576" w:author="Author" w:date="2025-07-22T18:08:00Z">
              <w:tcPr>
                <w:tcW w:w="2358" w:type="dxa"/>
              </w:tcPr>
            </w:tcPrChange>
          </w:tcPr>
          <w:p w14:paraId="3D062444" w14:textId="77777777" w:rsidR="009700E5" w:rsidRDefault="002C033C">
            <w:pPr>
              <w:keepNext/>
              <w:keepLines/>
            </w:pPr>
            <w:r>
              <w:t>Skóre JSN</w:t>
            </w:r>
          </w:p>
        </w:tc>
        <w:tc>
          <w:tcPr>
            <w:tcW w:w="2410" w:type="dxa"/>
            <w:tcPrChange w:id="2577" w:author="Author" w:date="2025-07-22T18:08:00Z">
              <w:tcPr>
                <w:tcW w:w="2790" w:type="dxa"/>
              </w:tcPr>
            </w:tcPrChange>
          </w:tcPr>
          <w:p w14:paraId="2FAA22BD" w14:textId="77777777" w:rsidR="009700E5" w:rsidRDefault="002C033C">
            <w:pPr>
              <w:keepNext/>
              <w:keepLines/>
              <w:jc w:val="center"/>
            </w:pPr>
            <w:r>
              <w:t>0,42</w:t>
            </w:r>
          </w:p>
        </w:tc>
        <w:tc>
          <w:tcPr>
            <w:tcW w:w="2126" w:type="dxa"/>
            <w:tcPrChange w:id="2578" w:author="Author" w:date="2025-07-22T18:08:00Z">
              <w:tcPr>
                <w:tcW w:w="2610" w:type="dxa"/>
              </w:tcPr>
            </w:tcPrChange>
          </w:tcPr>
          <w:p w14:paraId="2D0384ED" w14:textId="77777777" w:rsidR="009700E5" w:rsidRDefault="002C033C">
            <w:pPr>
              <w:keepNext/>
              <w:keepLines/>
              <w:jc w:val="center"/>
            </w:pPr>
            <w:r>
              <w:t>0,12**</w:t>
            </w:r>
          </w:p>
        </w:tc>
      </w:tr>
    </w:tbl>
    <w:p w14:paraId="159EF7AC" w14:textId="77777777" w:rsidR="009700E5" w:rsidRDefault="002C033C">
      <w:pPr>
        <w:keepNext/>
        <w:keepLines/>
        <w:rPr>
          <w:iCs/>
          <w:sz w:val="18"/>
          <w:szCs w:val="18"/>
        </w:rPr>
      </w:pPr>
      <w:r>
        <w:rPr>
          <w:iCs/>
          <w:sz w:val="18"/>
          <w:szCs w:val="18"/>
        </w:rPr>
        <w:t>PBO</w:t>
      </w:r>
      <w:r>
        <w:rPr>
          <w:iCs/>
          <w:sz w:val="18"/>
          <w:szCs w:val="18"/>
        </w:rPr>
        <w:tab/>
      </w:r>
      <w:r>
        <w:rPr>
          <w:iCs/>
          <w:sz w:val="18"/>
          <w:szCs w:val="18"/>
        </w:rPr>
        <w:tab/>
        <w:t>- Placebo</w:t>
      </w:r>
    </w:p>
    <w:p w14:paraId="0E9047D8" w14:textId="77777777" w:rsidR="009700E5" w:rsidRDefault="002C033C">
      <w:pPr>
        <w:keepNext/>
        <w:keepLines/>
        <w:rPr>
          <w:iCs/>
          <w:sz w:val="18"/>
          <w:szCs w:val="18"/>
        </w:rPr>
      </w:pPr>
      <w:r>
        <w:rPr>
          <w:iCs/>
          <w:sz w:val="18"/>
          <w:szCs w:val="18"/>
        </w:rPr>
        <w:t>MTX</w:t>
      </w:r>
      <w:r>
        <w:rPr>
          <w:iCs/>
          <w:sz w:val="18"/>
          <w:szCs w:val="18"/>
        </w:rPr>
        <w:tab/>
      </w:r>
      <w:r>
        <w:rPr>
          <w:iCs/>
          <w:sz w:val="18"/>
          <w:szCs w:val="18"/>
        </w:rPr>
        <w:tab/>
        <w:t>- Metotrexát</w:t>
      </w:r>
    </w:p>
    <w:p w14:paraId="5020F273" w14:textId="77777777" w:rsidR="009700E5" w:rsidRDefault="002C033C">
      <w:pPr>
        <w:keepNext/>
        <w:keepLines/>
        <w:rPr>
          <w:iCs/>
          <w:sz w:val="18"/>
          <w:szCs w:val="18"/>
        </w:rPr>
      </w:pPr>
      <w:r>
        <w:rPr>
          <w:iCs/>
          <w:sz w:val="18"/>
          <w:szCs w:val="18"/>
        </w:rPr>
        <w:t>TCZ</w:t>
      </w:r>
      <w:r>
        <w:rPr>
          <w:iCs/>
          <w:sz w:val="18"/>
          <w:szCs w:val="18"/>
        </w:rPr>
        <w:tab/>
      </w:r>
      <w:r>
        <w:rPr>
          <w:iCs/>
          <w:sz w:val="18"/>
          <w:szCs w:val="18"/>
        </w:rPr>
        <w:tab/>
        <w:t>- Tocilizumab</w:t>
      </w:r>
    </w:p>
    <w:p w14:paraId="1B01FC79" w14:textId="77777777" w:rsidR="009700E5" w:rsidRDefault="002C033C">
      <w:pPr>
        <w:keepNext/>
        <w:keepLines/>
        <w:rPr>
          <w:iCs/>
          <w:sz w:val="18"/>
          <w:szCs w:val="18"/>
        </w:rPr>
      </w:pPr>
      <w:r>
        <w:rPr>
          <w:iCs/>
          <w:sz w:val="18"/>
          <w:szCs w:val="18"/>
        </w:rPr>
        <w:t>JSN</w:t>
      </w:r>
      <w:r>
        <w:rPr>
          <w:iCs/>
          <w:sz w:val="18"/>
          <w:szCs w:val="18"/>
        </w:rPr>
        <w:tab/>
      </w:r>
      <w:r>
        <w:rPr>
          <w:iCs/>
          <w:sz w:val="18"/>
          <w:szCs w:val="18"/>
        </w:rPr>
        <w:tab/>
        <w:t>- Zúženie kĺbovej štrbiny</w:t>
      </w:r>
    </w:p>
    <w:p w14:paraId="363F6781" w14:textId="77777777" w:rsidR="009700E5" w:rsidRDefault="002C033C">
      <w:pPr>
        <w:keepNext/>
        <w:keepLines/>
        <w:numPr>
          <w:ilvl w:val="12"/>
          <w:numId w:val="0"/>
        </w:numPr>
        <w:ind w:right="-2"/>
        <w:rPr>
          <w:iCs/>
          <w:sz w:val="18"/>
          <w:szCs w:val="18"/>
        </w:rPr>
      </w:pPr>
      <w:r>
        <w:rPr>
          <w:iCs/>
          <w:sz w:val="18"/>
          <w:szCs w:val="18"/>
        </w:rPr>
        <w:t>*</w:t>
      </w:r>
      <w:r>
        <w:rPr>
          <w:iCs/>
          <w:sz w:val="18"/>
          <w:szCs w:val="18"/>
        </w:rPr>
        <w:tab/>
      </w:r>
      <w:r>
        <w:rPr>
          <w:iCs/>
          <w:sz w:val="18"/>
          <w:szCs w:val="18"/>
        </w:rPr>
        <w:tab/>
        <w:t>- p ≤ 0,0001, TCZ oproti PBO + MTX</w:t>
      </w:r>
    </w:p>
    <w:p w14:paraId="39728685" w14:textId="77777777" w:rsidR="009700E5" w:rsidRDefault="002C033C">
      <w:pPr>
        <w:numPr>
          <w:ilvl w:val="12"/>
          <w:numId w:val="0"/>
        </w:numPr>
        <w:ind w:right="-2"/>
        <w:rPr>
          <w:iCs/>
          <w:sz w:val="18"/>
          <w:szCs w:val="18"/>
        </w:rPr>
      </w:pPr>
      <w:r>
        <w:rPr>
          <w:iCs/>
          <w:sz w:val="18"/>
          <w:szCs w:val="18"/>
        </w:rPr>
        <w:t>**</w:t>
      </w:r>
      <w:r>
        <w:rPr>
          <w:iCs/>
          <w:sz w:val="18"/>
          <w:szCs w:val="18"/>
        </w:rPr>
        <w:tab/>
      </w:r>
      <w:r>
        <w:rPr>
          <w:iCs/>
          <w:sz w:val="18"/>
          <w:szCs w:val="18"/>
        </w:rPr>
        <w:tab/>
        <w:t>- p &lt; 0,005, TCZ oproti PBO + MTX</w:t>
      </w:r>
    </w:p>
    <w:p w14:paraId="799F812B" w14:textId="77777777" w:rsidR="009700E5" w:rsidRDefault="009700E5"/>
    <w:p w14:paraId="772B3B30" w14:textId="77777777" w:rsidR="009700E5" w:rsidRDefault="002C033C">
      <w:pPr>
        <w:keepNext/>
        <w:keepLines/>
        <w:outlineLvl w:val="0"/>
      </w:pPr>
      <w:r>
        <w:t xml:space="preserve">Po 1 roku liečby </w:t>
      </w:r>
      <w:r>
        <w:rPr>
          <w:rFonts w:eastAsia="MS Mincho"/>
          <w:szCs w:val="22"/>
        </w:rPr>
        <w:t>tocilizumabom</w:t>
      </w:r>
      <w:r>
        <w:t xml:space="preserve"> a MTX 85 % pacientov (n = 348) nevykazovalo žiadnu progresiu štrukturálneho poškodenia kĺbov ako je definované v celkovom Sharpovom skóre 0 alebo menej, v porovnaní so 67 % pacientov v skupine s placebom a MTX (n = 290) (p ≤ 0,001). Tieto výsledky pretrvávali i po 2 rokoch liečby (83 %, n = 353). Deväťdesiat tri percent (93 %; n = 271) pacientov nevykazovalo žiadnu progresiu medzi 52. a 104. týždňom.</w:t>
      </w:r>
    </w:p>
    <w:p w14:paraId="508AA848" w14:textId="77777777" w:rsidR="009700E5" w:rsidRDefault="009700E5">
      <w:pPr>
        <w:rPr>
          <w:iCs/>
        </w:rPr>
      </w:pPr>
    </w:p>
    <w:p w14:paraId="7266B822" w14:textId="77777777" w:rsidR="009700E5" w:rsidRDefault="002C033C">
      <w:pPr>
        <w:rPr>
          <w:i/>
          <w:u w:val="single"/>
        </w:rPr>
      </w:pPr>
      <w:r>
        <w:rPr>
          <w:i/>
          <w:u w:val="single"/>
        </w:rPr>
        <w:t>Zdravotné výsledky a výsledky týkajúce sa kvality života</w:t>
      </w:r>
    </w:p>
    <w:p w14:paraId="69B2D25B" w14:textId="77777777" w:rsidR="009700E5" w:rsidRDefault="002C033C">
      <w:pPr>
        <w:numPr>
          <w:ilvl w:val="12"/>
          <w:numId w:val="0"/>
        </w:numPr>
        <w:ind w:right="-2"/>
      </w:pPr>
      <w:r>
        <w:t xml:space="preserve">Pacienti liečení </w:t>
      </w:r>
      <w:r>
        <w:rPr>
          <w:rFonts w:eastAsia="MS Mincho"/>
          <w:szCs w:val="22"/>
        </w:rPr>
        <w:t>tocilizumabom</w:t>
      </w:r>
      <w:r>
        <w:t xml:space="preserve"> hlásili zlepšenie vo všetkých výsledkoch hlásených pacientmi (dotazník hodnotiaci zdravie a index funkčnej neschopnosti </w:t>
      </w:r>
      <w:r>
        <w:noBreakHyphen/>
        <w:t> HAQ</w:t>
      </w:r>
      <w:r>
        <w:noBreakHyphen/>
        <w:t xml:space="preserve">DI), skrátený formulár 36 a dotazník funkčného hodnotenia liečby chronického ochorenia. U pacientov liečených </w:t>
      </w:r>
      <w:r>
        <w:rPr>
          <w:rFonts w:eastAsia="MS Mincho"/>
          <w:szCs w:val="22"/>
        </w:rPr>
        <w:t>tocilizumabom</w:t>
      </w:r>
      <w:r>
        <w:t xml:space="preserve"> sa oproti pacientom liečeným DMARD pozorovalo štatisticky významné zlepšenie skóre HAQ</w:t>
      </w:r>
      <w:r>
        <w:noBreakHyphen/>
        <w:t xml:space="preserve">DI. V priebehu otvorenej fázy </w:t>
      </w:r>
      <w:del w:id="2579" w:author="Author" w:date="2025-07-20T00:21:00Z">
        <w:r>
          <w:delText>štúdie </w:delText>
        </w:r>
      </w:del>
      <w:ins w:id="2580" w:author="Author" w:date="2025-07-21T10:57:00Z">
        <w:r>
          <w:t xml:space="preserve">klinického </w:t>
        </w:r>
      </w:ins>
      <w:ins w:id="2581" w:author="Author" w:date="2025-07-20T00:21:00Z">
        <w:r>
          <w:t>skúšania </w:t>
        </w:r>
      </w:ins>
      <w:r>
        <w:t>II bolo udržanie zlepšenia fyzických funkcií až počas 2 rokov. V 52. týždni bola stredná zmena v HAQ</w:t>
      </w:r>
      <w:r>
        <w:noBreakHyphen/>
        <w:t xml:space="preserve">DI </w:t>
      </w:r>
      <w:r>
        <w:noBreakHyphen/>
        <w:t>0,58 v skupine s </w:t>
      </w:r>
      <w:r>
        <w:rPr>
          <w:rFonts w:eastAsia="MS Mincho"/>
          <w:szCs w:val="22"/>
        </w:rPr>
        <w:t>tocilizumabom</w:t>
      </w:r>
      <w:r>
        <w:t xml:space="preserve"> 8 mg/kg a MTX v porovnaní s </w:t>
      </w:r>
      <w:r>
        <w:noBreakHyphen/>
        <w:t>0,39 v skupine s placebom a MTX. Stredná zmena HAQ</w:t>
      </w:r>
      <w:r>
        <w:noBreakHyphen/>
        <w:t>DI bola v skupine s </w:t>
      </w:r>
      <w:r>
        <w:rPr>
          <w:rFonts w:eastAsia="MS Mincho"/>
          <w:szCs w:val="22"/>
        </w:rPr>
        <w:t>tocilizumabom</w:t>
      </w:r>
      <w:r>
        <w:t xml:space="preserve"> 8 mg/kg a MTX udržovaná aj v 104. týždni (</w:t>
      </w:r>
      <w:r>
        <w:noBreakHyphen/>
        <w:t>0,61).</w:t>
      </w:r>
    </w:p>
    <w:p w14:paraId="0C3CDD61" w14:textId="77777777" w:rsidR="009700E5" w:rsidRDefault="009700E5">
      <w:pPr>
        <w:outlineLvl w:val="0"/>
        <w:rPr>
          <w:i/>
          <w:sz w:val="18"/>
          <w:szCs w:val="18"/>
        </w:rPr>
      </w:pPr>
    </w:p>
    <w:p w14:paraId="1605906F" w14:textId="77777777" w:rsidR="009700E5" w:rsidRDefault="002C033C">
      <w:pPr>
        <w:numPr>
          <w:ilvl w:val="12"/>
          <w:numId w:val="0"/>
        </w:numPr>
        <w:ind w:right="-2"/>
        <w:rPr>
          <w:i/>
          <w:u w:val="single"/>
        </w:rPr>
      </w:pPr>
      <w:r>
        <w:rPr>
          <w:i/>
          <w:u w:val="single"/>
        </w:rPr>
        <w:t>Hladiny hemoglobínu</w:t>
      </w:r>
    </w:p>
    <w:p w14:paraId="6E829CA8" w14:textId="77777777" w:rsidR="009700E5" w:rsidRDefault="002C033C">
      <w:pPr>
        <w:numPr>
          <w:ilvl w:val="12"/>
          <w:numId w:val="0"/>
        </w:numPr>
        <w:ind w:right="-2"/>
      </w:pPr>
      <w:r>
        <w:t xml:space="preserve">Pri liečbe </w:t>
      </w:r>
      <w:r>
        <w:rPr>
          <w:rFonts w:eastAsia="MS Mincho"/>
          <w:szCs w:val="22"/>
        </w:rPr>
        <w:t>tocilizumabom</w:t>
      </w:r>
      <w:r>
        <w:t xml:space="preserve"> sa oproti liečbe DMARD v 24. týždni pozorovalo štatisticky významné zlepšenie hladín hemoglobínu (p </w:t>
      </w:r>
      <w:r>
        <w:rPr>
          <w:rFonts w:eastAsia="MS Mincho"/>
          <w:szCs w:val="22"/>
        </w:rPr>
        <w:sym w:font="Symbol" w:char="F03C"/>
      </w:r>
      <w:r>
        <w:t> 0,0001). Priemerné hodnoty hladín hemoglobínu sa zvýšili do 2. týždňa a udržali sa v referenčnom rozpätí až do 24. týždňa.</w:t>
      </w:r>
    </w:p>
    <w:p w14:paraId="23C0CAED" w14:textId="77777777" w:rsidR="009700E5" w:rsidRDefault="009700E5">
      <w:pPr>
        <w:numPr>
          <w:ilvl w:val="12"/>
          <w:numId w:val="0"/>
        </w:numPr>
        <w:ind w:right="-2"/>
      </w:pPr>
    </w:p>
    <w:p w14:paraId="36359D2C" w14:textId="77777777" w:rsidR="009700E5" w:rsidRDefault="002C033C">
      <w:pPr>
        <w:keepNext/>
        <w:keepLines/>
        <w:numPr>
          <w:ilvl w:val="12"/>
          <w:numId w:val="0"/>
        </w:numPr>
        <w:rPr>
          <w:i/>
          <w:u w:val="single"/>
        </w:rPr>
      </w:pPr>
      <w:r>
        <w:rPr>
          <w:i/>
          <w:u w:val="single"/>
        </w:rPr>
        <w:t>Tocilizumab verzus adalimumab v monoterapii</w:t>
      </w:r>
    </w:p>
    <w:p w14:paraId="41DB67DE" w14:textId="77777777" w:rsidR="009700E5" w:rsidRDefault="002C033C">
      <w:pPr>
        <w:keepNext/>
        <w:keepLines/>
        <w:numPr>
          <w:ilvl w:val="12"/>
          <w:numId w:val="0"/>
        </w:numPr>
      </w:pPr>
      <w:del w:id="2582" w:author="Author" w:date="2025-07-20T00:21:00Z">
        <w:r>
          <w:delText xml:space="preserve">Štúdia </w:delText>
        </w:r>
      </w:del>
      <w:ins w:id="2583" w:author="Author" w:date="2025-07-21T10:57:00Z">
        <w:r>
          <w:t>Klinické s</w:t>
        </w:r>
      </w:ins>
      <w:ins w:id="2584" w:author="Author" w:date="2025-07-20T00:21:00Z">
        <w:del w:id="2585" w:author="Author" w:date="2025-07-21T10:57:00Z">
          <w:r>
            <w:delText>S</w:delText>
          </w:r>
        </w:del>
        <w:r>
          <w:t xml:space="preserve">kúšanie </w:t>
        </w:r>
      </w:ins>
      <w:r>
        <w:t>VI (WA19924), 24</w:t>
      </w:r>
      <w:r>
        <w:noBreakHyphen/>
      </w:r>
      <w:del w:id="2586" w:author="Author" w:date="2025-07-20T00:21:00Z">
        <w:r>
          <w:delText xml:space="preserve">týždňová </w:delText>
        </w:r>
      </w:del>
      <w:ins w:id="2587" w:author="Author" w:date="2025-07-20T00:21:00Z">
        <w:r>
          <w:t xml:space="preserve">týždňové </w:t>
        </w:r>
      </w:ins>
      <w:r>
        <w:t>dvojito zaslepen</w:t>
      </w:r>
      <w:del w:id="2588" w:author="Author" w:date="2025-07-20T00:22:00Z">
        <w:r>
          <w:delText>á štúdia</w:delText>
        </w:r>
      </w:del>
      <w:ins w:id="2589" w:author="Author" w:date="2025-07-20T00:22:00Z">
        <w:r>
          <w:t>é klinické skúšanie</w:t>
        </w:r>
      </w:ins>
      <w:r>
        <w:t xml:space="preserve">, </w:t>
      </w:r>
      <w:del w:id="2590" w:author="Author" w:date="2025-07-20T00:22:00Z">
        <w:r>
          <w:delText xml:space="preserve">ktorá </w:delText>
        </w:r>
      </w:del>
      <w:ins w:id="2591" w:author="Author" w:date="2025-07-20T00:22:00Z">
        <w:r>
          <w:t xml:space="preserve">ktoré </w:t>
        </w:r>
      </w:ins>
      <w:del w:id="2592" w:author="Author" w:date="2025-07-20T00:22:00Z">
        <w:r>
          <w:delText xml:space="preserve">porovnávala </w:delText>
        </w:r>
      </w:del>
      <w:ins w:id="2593" w:author="Author" w:date="2025-07-20T00:22:00Z">
        <w:r>
          <w:t xml:space="preserve">porovnávalo </w:t>
        </w:r>
      </w:ins>
      <w:r>
        <w:t xml:space="preserve">monoterapiu </w:t>
      </w:r>
      <w:r>
        <w:rPr>
          <w:rFonts w:eastAsia="MS Mincho"/>
          <w:szCs w:val="22"/>
        </w:rPr>
        <w:t>tocilizumabom</w:t>
      </w:r>
      <w:r>
        <w:t xml:space="preserve"> s monoterapiou adalimumabom, </w:t>
      </w:r>
      <w:del w:id="2594" w:author="Author" w:date="2025-07-20T00:22:00Z">
        <w:r>
          <w:delText xml:space="preserve">hodnotila </w:delText>
        </w:r>
      </w:del>
      <w:ins w:id="2595" w:author="Author" w:date="2025-07-20T00:22:00Z">
        <w:r>
          <w:t xml:space="preserve">hodnotilo </w:t>
        </w:r>
      </w:ins>
      <w:r>
        <w:t>326 pacientov s RA, ktorí netolerovali MTX alebo kde pokračovanie v liečbe MTX sa považovalo za nevhodné (vrátane nedostatočných respondérov na MTX). Pacienti v skupine s </w:t>
      </w:r>
      <w:r>
        <w:rPr>
          <w:rFonts w:eastAsia="MS Mincho"/>
          <w:szCs w:val="22"/>
        </w:rPr>
        <w:t>tocilizumabom</w:t>
      </w:r>
      <w:r>
        <w:t xml:space="preserve"> dostávali intravenóznu infúziu </w:t>
      </w:r>
      <w:r>
        <w:rPr>
          <w:rFonts w:eastAsia="MS Mincho"/>
          <w:szCs w:val="22"/>
        </w:rPr>
        <w:t>tocilizumabu</w:t>
      </w:r>
      <w:r>
        <w:t xml:space="preserve"> (8 mg/kg) každé 4 týždne a subkutánne injekciu s placebom každé 2 týždne. Pacienti v skupine s adalimumabom dostávali subkutánnu injekciu adalimumabu (40 mg) každé 2 týždne plus intravenóznu infúziu s placebom každé 4 týždne.</w:t>
      </w:r>
    </w:p>
    <w:p w14:paraId="192C830C" w14:textId="77777777" w:rsidR="009700E5" w:rsidRDefault="009700E5">
      <w:pPr>
        <w:numPr>
          <w:ilvl w:val="12"/>
          <w:numId w:val="0"/>
        </w:numPr>
        <w:ind w:right="-2"/>
        <w:rPr>
          <w:del w:id="2596" w:author="Author" w:date="2025-07-21T10:57:00Z"/>
        </w:rPr>
      </w:pPr>
    </w:p>
    <w:p w14:paraId="5BAC1D34" w14:textId="77777777" w:rsidR="009700E5" w:rsidRDefault="002C033C">
      <w:pPr>
        <w:numPr>
          <w:ilvl w:val="12"/>
          <w:numId w:val="0"/>
        </w:numPr>
        <w:ind w:right="-2"/>
      </w:pPr>
      <w:r>
        <w:t xml:space="preserve">Pozoroval sa štatistický významný superiórny účinok liečby v prospech </w:t>
      </w:r>
      <w:r>
        <w:rPr>
          <w:rFonts w:eastAsia="MS Mincho"/>
          <w:szCs w:val="22"/>
        </w:rPr>
        <w:t>tocilizumabu</w:t>
      </w:r>
      <w:r>
        <w:t xml:space="preserve"> v porovnaní s adalimumabom pri kontrole aktivity ochorenia od východiskovej hodnoty po 24. týždeň pre primárny cieľový ukazovateľ zmenu DAS28 a pre všetky sekundárne cieľové ukazovatele (tabuľka 7).</w:t>
      </w:r>
    </w:p>
    <w:p w14:paraId="74E9366B" w14:textId="77777777" w:rsidR="009700E5" w:rsidRDefault="009700E5">
      <w:pPr>
        <w:numPr>
          <w:ilvl w:val="12"/>
          <w:numId w:val="0"/>
        </w:numPr>
        <w:ind w:right="-2"/>
      </w:pPr>
    </w:p>
    <w:p w14:paraId="31D9A19B" w14:textId="77777777" w:rsidR="009700E5" w:rsidRDefault="002C033C">
      <w:pPr>
        <w:keepNext/>
        <w:keepLines/>
        <w:rPr>
          <w:bCs/>
          <w:i/>
        </w:rPr>
      </w:pPr>
      <w:r>
        <w:rPr>
          <w:bCs/>
          <w:i/>
        </w:rPr>
        <w:lastRenderedPageBreak/>
        <w:t xml:space="preserve">Tabuľka 7. Výsledky účinnosti pre </w:t>
      </w:r>
      <w:del w:id="2597" w:author="Author" w:date="2025-07-20T00:22:00Z">
        <w:r>
          <w:rPr>
            <w:bCs/>
            <w:i/>
          </w:rPr>
          <w:delText xml:space="preserve">štúdiu </w:delText>
        </w:r>
      </w:del>
      <w:ins w:id="2598" w:author="Author" w:date="2025-07-21T10:57:00Z">
        <w:r>
          <w:rPr>
            <w:bCs/>
            <w:i/>
          </w:rPr>
          <w:t xml:space="preserve">klinické </w:t>
        </w:r>
      </w:ins>
      <w:ins w:id="2599" w:author="Author" w:date="2025-07-20T00:22:00Z">
        <w:r>
          <w:rPr>
            <w:bCs/>
            <w:i/>
          </w:rPr>
          <w:t xml:space="preserve">skúšanie </w:t>
        </w:r>
      </w:ins>
      <w:r>
        <w:rPr>
          <w:bCs/>
          <w:i/>
        </w:rPr>
        <w:t>VI (WA19924)</w:t>
      </w:r>
    </w:p>
    <w:p w14:paraId="05197F2B" w14:textId="77777777" w:rsidR="009700E5" w:rsidRDefault="009700E5">
      <w:pPr>
        <w:keepNext/>
        <w:keepLines/>
      </w:pPr>
    </w:p>
    <w:tbl>
      <w:tblPr>
        <w:tblW w:w="8584" w:type="dxa"/>
        <w:tblInd w:w="58" w:type="dxa"/>
        <w:tblLayout w:type="fixed"/>
        <w:tblCellMar>
          <w:left w:w="0" w:type="dxa"/>
          <w:right w:w="0" w:type="dxa"/>
        </w:tblCellMar>
        <w:tblLook w:val="04A0" w:firstRow="1" w:lastRow="0" w:firstColumn="1" w:lastColumn="0" w:noHBand="0" w:noVBand="1"/>
        <w:tblPrChange w:id="2600" w:author="Author" w:date="2025-07-22T18:12:00Z">
          <w:tblPr>
            <w:tblW w:w="7950" w:type="dxa"/>
            <w:tblInd w:w="58" w:type="dxa"/>
            <w:tblLayout w:type="fixed"/>
            <w:tblCellMar>
              <w:left w:w="0" w:type="dxa"/>
              <w:right w:w="0" w:type="dxa"/>
            </w:tblCellMar>
            <w:tblLook w:val="04A0" w:firstRow="1" w:lastRow="0" w:firstColumn="1" w:lastColumn="0" w:noHBand="0" w:noVBand="1"/>
          </w:tblPr>
        </w:tblPrChange>
      </w:tblPr>
      <w:tblGrid>
        <w:gridCol w:w="3765"/>
        <w:gridCol w:w="1559"/>
        <w:gridCol w:w="1843"/>
        <w:gridCol w:w="1417"/>
        <w:tblGridChange w:id="2601">
          <w:tblGrid>
            <w:gridCol w:w="3350"/>
            <w:gridCol w:w="1610"/>
            <w:gridCol w:w="1701"/>
            <w:gridCol w:w="1275"/>
            <w:gridCol w:w="14"/>
          </w:tblGrid>
        </w:tblGridChange>
      </w:tblGrid>
      <w:tr w:rsidR="009700E5" w14:paraId="7321B1FA" w14:textId="77777777" w:rsidTr="009700E5">
        <w:trPr>
          <w:cantSplit/>
          <w:trHeight w:val="1003"/>
          <w:trPrChange w:id="2602" w:author="Author" w:date="2025-07-22T18:12:00Z">
            <w:trPr>
              <w:gridAfter w:val="0"/>
              <w:wAfter w:w="14" w:type="dxa"/>
              <w:cantSplit/>
              <w:trHeight w:val="1003"/>
            </w:trPr>
          </w:trPrChange>
        </w:trPr>
        <w:tc>
          <w:tcPr>
            <w:tcW w:w="3765"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Change w:id="2603" w:author="Author" w:date="2025-07-22T18:12:00Z">
              <w:tcPr>
                <w:tcW w:w="3350"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tcPrChange>
          </w:tcPr>
          <w:p w14:paraId="3E304F84" w14:textId="77777777" w:rsidR="009700E5" w:rsidRDefault="009700E5">
            <w:pPr>
              <w:keepNext/>
              <w:keepLines/>
              <w:rPr>
                <w:sz w:val="20"/>
                <w:lang w:eastAsia="zh-TW"/>
              </w:rPr>
            </w:pPr>
          </w:p>
        </w:tc>
        <w:tc>
          <w:tcPr>
            <w:tcW w:w="1559" w:type="dxa"/>
            <w:tcBorders>
              <w:top w:val="single" w:sz="8" w:space="0" w:color="auto"/>
              <w:left w:val="nil"/>
              <w:bottom w:val="single" w:sz="8" w:space="0" w:color="auto"/>
              <w:right w:val="nil"/>
            </w:tcBorders>
            <w:tcMar>
              <w:top w:w="0" w:type="dxa"/>
              <w:left w:w="57" w:type="dxa"/>
              <w:bottom w:w="0" w:type="dxa"/>
              <w:right w:w="57" w:type="dxa"/>
            </w:tcMar>
            <w:vAlign w:val="bottom"/>
            <w:tcPrChange w:id="2604" w:author="Author" w:date="2025-07-22T18:12:00Z">
              <w:tcPr>
                <w:tcW w:w="1610" w:type="dxa"/>
                <w:tcBorders>
                  <w:top w:val="single" w:sz="8" w:space="0" w:color="auto"/>
                  <w:left w:val="nil"/>
                  <w:bottom w:val="single" w:sz="8" w:space="0" w:color="auto"/>
                  <w:right w:val="nil"/>
                </w:tcBorders>
                <w:tcMar>
                  <w:top w:w="0" w:type="dxa"/>
                  <w:left w:w="57" w:type="dxa"/>
                  <w:bottom w:w="0" w:type="dxa"/>
                  <w:right w:w="57" w:type="dxa"/>
                </w:tcMar>
                <w:vAlign w:val="bottom"/>
              </w:tcPr>
            </w:tcPrChange>
          </w:tcPr>
          <w:p w14:paraId="5E674BF3" w14:textId="77777777" w:rsidR="009700E5" w:rsidRDefault="002C033C">
            <w:pPr>
              <w:keepNext/>
              <w:keepLines/>
              <w:spacing w:before="50" w:after="50" w:line="240" w:lineRule="exact"/>
              <w:jc w:val="center"/>
              <w:rPr>
                <w:rFonts w:eastAsia="SimSun"/>
                <w:b/>
                <w:sz w:val="20"/>
                <w:lang w:eastAsia="zh-CN"/>
              </w:rPr>
            </w:pPr>
            <w:r>
              <w:rPr>
                <w:rFonts w:eastAsia="SimSun"/>
                <w:b/>
                <w:sz w:val="20"/>
                <w:lang w:eastAsia="zh-CN"/>
              </w:rPr>
              <w:t>ADA + placebo (i.v.)</w:t>
            </w:r>
          </w:p>
          <w:p w14:paraId="3BD990AE" w14:textId="77777777" w:rsidR="009700E5" w:rsidRDefault="002C033C">
            <w:pPr>
              <w:keepNext/>
              <w:keepLines/>
              <w:spacing w:before="50" w:after="50" w:line="240" w:lineRule="exact"/>
              <w:jc w:val="center"/>
              <w:rPr>
                <w:rFonts w:eastAsia="SimSun"/>
                <w:b/>
                <w:sz w:val="20"/>
                <w:lang w:eastAsia="zh-CN"/>
              </w:rPr>
            </w:pPr>
            <w:del w:id="2605" w:author="Author" w:date="2025-07-20T00:22:00Z">
              <w:r>
                <w:rPr>
                  <w:rFonts w:eastAsia="SimSun"/>
                  <w:b/>
                  <w:sz w:val="20"/>
                  <w:lang w:eastAsia="zh-CN"/>
                </w:rPr>
                <w:delText xml:space="preserve">N </w:delText>
              </w:r>
            </w:del>
            <w:ins w:id="2606" w:author="Author" w:date="2025-07-20T00:22:00Z">
              <w:r>
                <w:rPr>
                  <w:rFonts w:eastAsia="SimSun"/>
                  <w:b/>
                  <w:sz w:val="20"/>
                  <w:lang w:eastAsia="zh-CN"/>
                </w:rPr>
                <w:t xml:space="preserve">n </w:t>
              </w:r>
            </w:ins>
            <w:r>
              <w:rPr>
                <w:rFonts w:eastAsia="SimSun"/>
                <w:b/>
                <w:sz w:val="20"/>
                <w:lang w:eastAsia="zh-CN"/>
              </w:rPr>
              <w:t>= 162</w:t>
            </w:r>
          </w:p>
        </w:tc>
        <w:tc>
          <w:tcPr>
            <w:tcW w:w="1843" w:type="dxa"/>
            <w:tcBorders>
              <w:top w:val="single" w:sz="8" w:space="0" w:color="auto"/>
              <w:left w:val="nil"/>
              <w:bottom w:val="single" w:sz="8" w:space="0" w:color="auto"/>
              <w:right w:val="nil"/>
            </w:tcBorders>
            <w:tcMar>
              <w:top w:w="0" w:type="dxa"/>
              <w:left w:w="57" w:type="dxa"/>
              <w:bottom w:w="0" w:type="dxa"/>
              <w:right w:w="57" w:type="dxa"/>
            </w:tcMar>
            <w:vAlign w:val="bottom"/>
            <w:tcPrChange w:id="2607" w:author="Author" w:date="2025-07-22T18:12:00Z">
              <w:tcPr>
                <w:tcW w:w="1701" w:type="dxa"/>
                <w:tcBorders>
                  <w:top w:val="single" w:sz="8" w:space="0" w:color="auto"/>
                  <w:left w:val="nil"/>
                  <w:bottom w:val="single" w:sz="8" w:space="0" w:color="auto"/>
                  <w:right w:val="nil"/>
                </w:tcBorders>
                <w:tcMar>
                  <w:top w:w="0" w:type="dxa"/>
                  <w:left w:w="57" w:type="dxa"/>
                  <w:bottom w:w="0" w:type="dxa"/>
                  <w:right w:w="57" w:type="dxa"/>
                </w:tcMar>
                <w:vAlign w:val="bottom"/>
              </w:tcPr>
            </w:tcPrChange>
          </w:tcPr>
          <w:p w14:paraId="2490302A" w14:textId="77777777" w:rsidR="009700E5" w:rsidRDefault="002C033C">
            <w:pPr>
              <w:keepNext/>
              <w:keepLines/>
              <w:spacing w:before="50" w:after="50" w:line="240" w:lineRule="exact"/>
              <w:jc w:val="center"/>
              <w:rPr>
                <w:rFonts w:eastAsia="SimSun"/>
                <w:b/>
                <w:sz w:val="20"/>
                <w:lang w:eastAsia="zh-CN"/>
              </w:rPr>
            </w:pPr>
            <w:r>
              <w:rPr>
                <w:rFonts w:eastAsia="SimSun"/>
                <w:b/>
                <w:sz w:val="20"/>
                <w:lang w:eastAsia="zh-CN"/>
              </w:rPr>
              <w:t>Tocilizumab + placebo (s.c.)</w:t>
            </w:r>
          </w:p>
          <w:p w14:paraId="4A9483A3" w14:textId="77777777" w:rsidR="009700E5" w:rsidRDefault="002C033C">
            <w:pPr>
              <w:keepNext/>
              <w:keepLines/>
              <w:spacing w:before="50" w:after="50" w:line="240" w:lineRule="exact"/>
              <w:jc w:val="center"/>
              <w:rPr>
                <w:rFonts w:eastAsia="SimSun"/>
                <w:b/>
                <w:sz w:val="20"/>
                <w:lang w:eastAsia="zh-CN"/>
              </w:rPr>
            </w:pPr>
            <w:del w:id="2608" w:author="Author" w:date="2025-07-20T00:22:00Z">
              <w:r>
                <w:rPr>
                  <w:rFonts w:eastAsia="SimSun"/>
                  <w:b/>
                  <w:sz w:val="20"/>
                  <w:lang w:eastAsia="zh-CN"/>
                </w:rPr>
                <w:delText xml:space="preserve">N </w:delText>
              </w:r>
            </w:del>
            <w:ins w:id="2609" w:author="Author" w:date="2025-07-20T00:22:00Z">
              <w:r>
                <w:rPr>
                  <w:rFonts w:eastAsia="SimSun"/>
                  <w:b/>
                  <w:sz w:val="20"/>
                  <w:lang w:eastAsia="zh-CN"/>
                </w:rPr>
                <w:t xml:space="preserve">n </w:t>
              </w:r>
            </w:ins>
            <w:r>
              <w:rPr>
                <w:rFonts w:eastAsia="SimSun"/>
                <w:b/>
                <w:sz w:val="20"/>
                <w:lang w:eastAsia="zh-CN"/>
              </w:rPr>
              <w:t>= 163</w:t>
            </w:r>
          </w:p>
        </w:tc>
        <w:tc>
          <w:tcPr>
            <w:tcW w:w="1417"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Change w:id="2610" w:author="Author" w:date="2025-07-22T18:12:00Z">
              <w:tcPr>
                <w:tcW w:w="1275"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tcPrChange>
          </w:tcPr>
          <w:p w14:paraId="3E8AEFE3" w14:textId="77777777" w:rsidR="009700E5" w:rsidRPr="009700E5" w:rsidRDefault="002C033C">
            <w:pPr>
              <w:keepNext/>
              <w:keepLines/>
              <w:spacing w:before="50" w:after="50" w:line="240" w:lineRule="exact"/>
              <w:jc w:val="center"/>
              <w:rPr>
                <w:rFonts w:eastAsia="SimSun"/>
                <w:b/>
                <w:bCs/>
                <w:sz w:val="20"/>
                <w:lang w:eastAsia="zh-CN"/>
                <w:rPrChange w:id="2611" w:author="Author" w:date="2025-08-22T15:12:00Z">
                  <w:rPr>
                    <w:rFonts w:eastAsia="SimSun"/>
                    <w:sz w:val="20"/>
                    <w:lang w:eastAsia="zh-CN"/>
                  </w:rPr>
                </w:rPrChange>
              </w:rPr>
            </w:pPr>
            <w:r>
              <w:rPr>
                <w:rFonts w:eastAsia="SimSun"/>
                <w:b/>
                <w:bCs/>
                <w:sz w:val="20"/>
                <w:lang w:eastAsia="zh-CN"/>
                <w:rPrChange w:id="2612" w:author="Author" w:date="2025-08-22T15:12:00Z">
                  <w:rPr>
                    <w:rFonts w:eastAsia="SimSun"/>
                    <w:sz w:val="20"/>
                    <w:lang w:eastAsia="zh-CN"/>
                  </w:rPr>
                </w:rPrChange>
              </w:rPr>
              <w:t>p-hodnota</w:t>
            </w:r>
            <w:r>
              <w:rPr>
                <w:rFonts w:eastAsia="SimSun"/>
                <w:b/>
                <w:bCs/>
                <w:sz w:val="20"/>
                <w:vertAlign w:val="superscript"/>
                <w:lang w:eastAsia="zh-CN"/>
              </w:rPr>
              <w:t>(a)</w:t>
            </w:r>
          </w:p>
        </w:tc>
      </w:tr>
      <w:tr w:rsidR="009700E5" w14:paraId="4ADB1235" w14:textId="77777777" w:rsidTr="009700E5">
        <w:trPr>
          <w:cantSplit/>
          <w:trPrChange w:id="2613" w:author="Author" w:date="2025-07-22T18:12:00Z">
            <w:trPr>
              <w:cantSplit/>
            </w:trPr>
          </w:trPrChange>
        </w:trPr>
        <w:tc>
          <w:tcPr>
            <w:tcW w:w="8584" w:type="dxa"/>
            <w:gridSpan w:val="4"/>
            <w:tcBorders>
              <w:top w:val="nil"/>
              <w:left w:val="single" w:sz="4" w:space="0" w:color="auto"/>
              <w:bottom w:val="nil"/>
              <w:right w:val="single" w:sz="8" w:space="0" w:color="auto"/>
            </w:tcBorders>
            <w:tcMar>
              <w:top w:w="0" w:type="dxa"/>
              <w:left w:w="57" w:type="dxa"/>
              <w:bottom w:w="0" w:type="dxa"/>
              <w:right w:w="57" w:type="dxa"/>
            </w:tcMar>
            <w:tcPrChange w:id="2614" w:author="Author" w:date="2025-07-22T18:12:00Z">
              <w:tcPr>
                <w:tcW w:w="7950" w:type="dxa"/>
                <w:gridSpan w:val="5"/>
                <w:tcBorders>
                  <w:top w:val="nil"/>
                  <w:left w:val="single" w:sz="4" w:space="0" w:color="auto"/>
                  <w:bottom w:val="nil"/>
                  <w:right w:val="single" w:sz="8" w:space="0" w:color="auto"/>
                </w:tcBorders>
                <w:tcMar>
                  <w:top w:w="0" w:type="dxa"/>
                  <w:left w:w="57" w:type="dxa"/>
                  <w:bottom w:w="0" w:type="dxa"/>
                  <w:right w:w="57" w:type="dxa"/>
                </w:tcMar>
              </w:tcPr>
            </w:tcPrChange>
          </w:tcPr>
          <w:p w14:paraId="6EB5ADD7" w14:textId="77777777" w:rsidR="009700E5" w:rsidRDefault="002C033C">
            <w:pPr>
              <w:keepNext/>
              <w:keepLines/>
              <w:spacing w:before="50" w:after="50" w:line="240" w:lineRule="exact"/>
              <w:rPr>
                <w:rFonts w:eastAsia="SimSun"/>
                <w:sz w:val="20"/>
                <w:lang w:eastAsia="zh-CN"/>
              </w:rPr>
            </w:pPr>
            <w:r>
              <w:rPr>
                <w:rFonts w:eastAsia="SimSun"/>
                <w:b/>
                <w:sz w:val="20"/>
                <w:lang w:eastAsia="zh-CN"/>
              </w:rPr>
              <w:t>Primárny cieľový ukazovateľ – Priemerná zmena od východiskovej hodnoty v 24. týždni</w:t>
            </w:r>
          </w:p>
        </w:tc>
      </w:tr>
      <w:tr w:rsidR="009700E5" w14:paraId="4901D955" w14:textId="77777777" w:rsidTr="009700E5">
        <w:trPr>
          <w:cantSplit/>
          <w:trPrChange w:id="2615" w:author="Author" w:date="2025-07-22T18:12:00Z">
            <w:trPr>
              <w:gridAfter w:val="0"/>
              <w:wAfter w:w="14" w:type="dxa"/>
              <w:cantSplit/>
            </w:trPr>
          </w:trPrChange>
        </w:trPr>
        <w:tc>
          <w:tcPr>
            <w:tcW w:w="3765" w:type="dxa"/>
            <w:tcBorders>
              <w:top w:val="single" w:sz="4" w:space="0" w:color="auto"/>
              <w:left w:val="single" w:sz="4" w:space="0" w:color="auto"/>
              <w:bottom w:val="nil"/>
              <w:right w:val="nil"/>
            </w:tcBorders>
            <w:tcMar>
              <w:top w:w="0" w:type="dxa"/>
              <w:left w:w="57" w:type="dxa"/>
              <w:bottom w:w="0" w:type="dxa"/>
              <w:right w:w="57" w:type="dxa"/>
            </w:tcMar>
            <w:tcPrChange w:id="2616" w:author="Author" w:date="2025-07-22T18:12:00Z">
              <w:tcPr>
                <w:tcW w:w="3350" w:type="dxa"/>
                <w:tcBorders>
                  <w:top w:val="single" w:sz="4" w:space="0" w:color="auto"/>
                  <w:left w:val="single" w:sz="4" w:space="0" w:color="auto"/>
                  <w:bottom w:val="nil"/>
                  <w:right w:val="nil"/>
                </w:tcBorders>
                <w:tcMar>
                  <w:top w:w="0" w:type="dxa"/>
                  <w:left w:w="57" w:type="dxa"/>
                  <w:bottom w:w="0" w:type="dxa"/>
                  <w:right w:w="57" w:type="dxa"/>
                </w:tcMar>
              </w:tcPr>
            </w:tcPrChange>
          </w:tcPr>
          <w:p w14:paraId="515653E5" w14:textId="77777777" w:rsidR="009700E5" w:rsidRDefault="002C033C">
            <w:pPr>
              <w:keepNext/>
              <w:keepLines/>
              <w:spacing w:before="50" w:after="50" w:line="240" w:lineRule="exact"/>
              <w:jc w:val="right"/>
              <w:rPr>
                <w:rFonts w:eastAsia="SimSun"/>
                <w:b/>
                <w:sz w:val="20"/>
                <w:lang w:eastAsia="zh-CN"/>
              </w:rPr>
            </w:pPr>
            <w:r>
              <w:rPr>
                <w:rFonts w:eastAsia="SimSun"/>
                <w:b/>
                <w:sz w:val="20"/>
                <w:lang w:eastAsia="zh-CN"/>
              </w:rPr>
              <w:t xml:space="preserve">DAS28 (upravený priemer) </w:t>
            </w:r>
          </w:p>
        </w:tc>
        <w:tc>
          <w:tcPr>
            <w:tcW w:w="1559" w:type="dxa"/>
            <w:tcBorders>
              <w:top w:val="single" w:sz="4" w:space="0" w:color="auto"/>
              <w:left w:val="nil"/>
              <w:bottom w:val="nil"/>
              <w:right w:val="nil"/>
            </w:tcBorders>
            <w:tcMar>
              <w:top w:w="0" w:type="dxa"/>
              <w:left w:w="57" w:type="dxa"/>
              <w:bottom w:w="0" w:type="dxa"/>
              <w:right w:w="57" w:type="dxa"/>
            </w:tcMar>
            <w:tcPrChange w:id="2617" w:author="Author" w:date="2025-07-22T18:12:00Z">
              <w:tcPr>
                <w:tcW w:w="1610" w:type="dxa"/>
                <w:tcBorders>
                  <w:top w:val="single" w:sz="4" w:space="0" w:color="auto"/>
                  <w:left w:val="nil"/>
                  <w:bottom w:val="nil"/>
                  <w:right w:val="nil"/>
                </w:tcBorders>
                <w:tcMar>
                  <w:top w:w="0" w:type="dxa"/>
                  <w:left w:w="57" w:type="dxa"/>
                  <w:bottom w:w="0" w:type="dxa"/>
                  <w:right w:w="57" w:type="dxa"/>
                </w:tcMar>
              </w:tcPr>
            </w:tcPrChange>
          </w:tcPr>
          <w:p w14:paraId="77DD4D75" w14:textId="77777777" w:rsidR="009700E5" w:rsidRDefault="002C033C">
            <w:pPr>
              <w:keepNext/>
              <w:keepLines/>
              <w:spacing w:before="50" w:after="50" w:line="240" w:lineRule="exact"/>
              <w:jc w:val="center"/>
              <w:rPr>
                <w:rFonts w:eastAsia="SimSun"/>
                <w:b/>
                <w:sz w:val="20"/>
                <w:lang w:eastAsia="zh-CN"/>
              </w:rPr>
            </w:pPr>
            <w:r>
              <w:rPr>
                <w:rFonts w:eastAsia="SimSun"/>
                <w:b/>
                <w:sz w:val="20"/>
                <w:lang w:eastAsia="zh-CN"/>
              </w:rPr>
              <w:t>-1,8</w:t>
            </w:r>
          </w:p>
        </w:tc>
        <w:tc>
          <w:tcPr>
            <w:tcW w:w="1843" w:type="dxa"/>
            <w:tcBorders>
              <w:top w:val="single" w:sz="4" w:space="0" w:color="auto"/>
              <w:left w:val="nil"/>
              <w:bottom w:val="nil"/>
              <w:right w:val="nil"/>
            </w:tcBorders>
            <w:tcMar>
              <w:top w:w="0" w:type="dxa"/>
              <w:left w:w="57" w:type="dxa"/>
              <w:bottom w:w="0" w:type="dxa"/>
              <w:right w:w="57" w:type="dxa"/>
            </w:tcMar>
            <w:tcPrChange w:id="2618" w:author="Author" w:date="2025-07-22T18:12:00Z">
              <w:tcPr>
                <w:tcW w:w="1701" w:type="dxa"/>
                <w:tcBorders>
                  <w:top w:val="single" w:sz="4" w:space="0" w:color="auto"/>
                  <w:left w:val="nil"/>
                  <w:bottom w:val="nil"/>
                  <w:right w:val="nil"/>
                </w:tcBorders>
                <w:tcMar>
                  <w:top w:w="0" w:type="dxa"/>
                  <w:left w:w="57" w:type="dxa"/>
                  <w:bottom w:w="0" w:type="dxa"/>
                  <w:right w:w="57" w:type="dxa"/>
                </w:tcMar>
              </w:tcPr>
            </w:tcPrChange>
          </w:tcPr>
          <w:p w14:paraId="7FF17677" w14:textId="77777777" w:rsidR="009700E5" w:rsidRDefault="002C033C">
            <w:pPr>
              <w:keepNext/>
              <w:keepLines/>
              <w:spacing w:before="50" w:after="50" w:line="240" w:lineRule="exact"/>
              <w:jc w:val="center"/>
              <w:rPr>
                <w:rFonts w:eastAsia="SimSun"/>
                <w:b/>
                <w:sz w:val="20"/>
                <w:lang w:eastAsia="zh-CN"/>
              </w:rPr>
            </w:pPr>
            <w:r>
              <w:rPr>
                <w:rFonts w:eastAsia="SimSun"/>
                <w:b/>
                <w:sz w:val="20"/>
                <w:lang w:eastAsia="zh-CN"/>
              </w:rPr>
              <w:t>-3,3</w:t>
            </w:r>
          </w:p>
        </w:tc>
        <w:tc>
          <w:tcPr>
            <w:tcW w:w="1417" w:type="dxa"/>
            <w:tcBorders>
              <w:top w:val="single" w:sz="4" w:space="0" w:color="auto"/>
              <w:left w:val="nil"/>
              <w:bottom w:val="nil"/>
              <w:right w:val="single" w:sz="8" w:space="0" w:color="auto"/>
            </w:tcBorders>
            <w:tcMar>
              <w:top w:w="0" w:type="dxa"/>
              <w:left w:w="57" w:type="dxa"/>
              <w:bottom w:w="0" w:type="dxa"/>
              <w:right w:w="57" w:type="dxa"/>
            </w:tcMar>
            <w:tcPrChange w:id="2619" w:author="Author" w:date="2025-07-22T18:12:00Z">
              <w:tcPr>
                <w:tcW w:w="1275" w:type="dxa"/>
                <w:tcBorders>
                  <w:top w:val="single" w:sz="4" w:space="0" w:color="auto"/>
                  <w:left w:val="nil"/>
                  <w:bottom w:val="nil"/>
                  <w:right w:val="single" w:sz="8" w:space="0" w:color="auto"/>
                </w:tcBorders>
                <w:tcMar>
                  <w:top w:w="0" w:type="dxa"/>
                  <w:left w:w="57" w:type="dxa"/>
                  <w:bottom w:w="0" w:type="dxa"/>
                  <w:right w:w="57" w:type="dxa"/>
                </w:tcMar>
              </w:tcPr>
            </w:tcPrChange>
          </w:tcPr>
          <w:p w14:paraId="6D5AA1E6" w14:textId="77777777" w:rsidR="009700E5" w:rsidRDefault="009700E5">
            <w:pPr>
              <w:keepNext/>
              <w:keepLines/>
              <w:spacing w:before="50" w:after="50" w:line="240" w:lineRule="exact"/>
              <w:jc w:val="center"/>
              <w:rPr>
                <w:rFonts w:eastAsia="SimSun"/>
                <w:b/>
                <w:sz w:val="20"/>
                <w:lang w:eastAsia="zh-CN"/>
              </w:rPr>
            </w:pPr>
          </w:p>
        </w:tc>
      </w:tr>
      <w:tr w:rsidR="009700E5" w14:paraId="36FF963B" w14:textId="77777777" w:rsidTr="009700E5">
        <w:trPr>
          <w:cantSplit/>
          <w:trPrChange w:id="2620" w:author="Author" w:date="2025-07-22T18:12:00Z">
            <w:trPr>
              <w:gridAfter w:val="0"/>
              <w:wAfter w:w="14" w:type="dxa"/>
              <w:cantSplit/>
            </w:trPr>
          </w:trPrChange>
        </w:trPr>
        <w:tc>
          <w:tcPr>
            <w:tcW w:w="3765" w:type="dxa"/>
            <w:tcBorders>
              <w:top w:val="nil"/>
              <w:left w:val="single" w:sz="4" w:space="0" w:color="auto"/>
              <w:bottom w:val="single" w:sz="4" w:space="0" w:color="auto"/>
              <w:right w:val="nil"/>
            </w:tcBorders>
            <w:tcMar>
              <w:top w:w="0" w:type="dxa"/>
              <w:left w:w="57" w:type="dxa"/>
              <w:bottom w:w="0" w:type="dxa"/>
              <w:right w:w="57" w:type="dxa"/>
            </w:tcMar>
            <w:tcPrChange w:id="2621" w:author="Author" w:date="2025-07-22T18:12:00Z">
              <w:tcPr>
                <w:tcW w:w="3350" w:type="dxa"/>
                <w:tcBorders>
                  <w:top w:val="nil"/>
                  <w:left w:val="single" w:sz="4" w:space="0" w:color="auto"/>
                  <w:bottom w:val="single" w:sz="4" w:space="0" w:color="auto"/>
                  <w:right w:val="nil"/>
                </w:tcBorders>
                <w:tcMar>
                  <w:top w:w="0" w:type="dxa"/>
                  <w:left w:w="57" w:type="dxa"/>
                  <w:bottom w:w="0" w:type="dxa"/>
                  <w:right w:w="57" w:type="dxa"/>
                </w:tcMar>
              </w:tcPr>
            </w:tcPrChange>
          </w:tcPr>
          <w:p w14:paraId="66FB778E" w14:textId="77777777" w:rsidR="009700E5" w:rsidRDefault="002C033C">
            <w:pPr>
              <w:keepNext/>
              <w:keepLines/>
              <w:spacing w:before="50" w:after="50" w:line="240" w:lineRule="exact"/>
              <w:jc w:val="right"/>
              <w:rPr>
                <w:rFonts w:eastAsia="SimSun"/>
                <w:b/>
                <w:sz w:val="20"/>
                <w:lang w:eastAsia="zh-CN"/>
              </w:rPr>
            </w:pPr>
            <w:r>
              <w:rPr>
                <w:rFonts w:eastAsia="SimSun"/>
                <w:b/>
                <w:sz w:val="20"/>
                <w:lang w:eastAsia="zh-CN"/>
              </w:rPr>
              <w:t>Rozdiel v upravenom priemere (95 % IS)</w:t>
            </w:r>
          </w:p>
        </w:tc>
        <w:tc>
          <w:tcPr>
            <w:tcW w:w="3402" w:type="dxa"/>
            <w:gridSpan w:val="2"/>
            <w:tcBorders>
              <w:top w:val="nil"/>
              <w:left w:val="nil"/>
              <w:bottom w:val="single" w:sz="4" w:space="0" w:color="auto"/>
              <w:right w:val="nil"/>
            </w:tcBorders>
            <w:tcMar>
              <w:top w:w="0" w:type="dxa"/>
              <w:left w:w="57" w:type="dxa"/>
              <w:bottom w:w="0" w:type="dxa"/>
              <w:right w:w="57" w:type="dxa"/>
            </w:tcMar>
            <w:tcPrChange w:id="2622" w:author="Author" w:date="2025-07-22T18:12:00Z">
              <w:tcPr>
                <w:tcW w:w="3311" w:type="dxa"/>
                <w:gridSpan w:val="2"/>
                <w:tcBorders>
                  <w:top w:val="nil"/>
                  <w:left w:val="nil"/>
                  <w:bottom w:val="single" w:sz="4" w:space="0" w:color="auto"/>
                  <w:right w:val="nil"/>
                </w:tcBorders>
                <w:tcMar>
                  <w:top w:w="0" w:type="dxa"/>
                  <w:left w:w="57" w:type="dxa"/>
                  <w:bottom w:w="0" w:type="dxa"/>
                  <w:right w:w="57" w:type="dxa"/>
                </w:tcMar>
              </w:tcPr>
            </w:tcPrChange>
          </w:tcPr>
          <w:p w14:paraId="58266F15" w14:textId="77777777" w:rsidR="009700E5" w:rsidRDefault="002C033C">
            <w:pPr>
              <w:keepNext/>
              <w:keepLines/>
              <w:spacing w:before="50" w:after="50" w:line="240" w:lineRule="exact"/>
              <w:jc w:val="center"/>
              <w:rPr>
                <w:rFonts w:eastAsia="SimSun"/>
                <w:b/>
                <w:sz w:val="20"/>
                <w:lang w:eastAsia="zh-CN"/>
              </w:rPr>
            </w:pPr>
            <w:r>
              <w:rPr>
                <w:rFonts w:eastAsia="SimSun"/>
                <w:b/>
                <w:sz w:val="20"/>
                <w:lang w:eastAsia="zh-CN"/>
              </w:rPr>
              <w:t>-1,5 (-1,8, -1,1)</w:t>
            </w:r>
          </w:p>
        </w:tc>
        <w:tc>
          <w:tcPr>
            <w:tcW w:w="1417" w:type="dxa"/>
            <w:tcBorders>
              <w:top w:val="nil"/>
              <w:left w:val="nil"/>
              <w:bottom w:val="single" w:sz="4" w:space="0" w:color="auto"/>
              <w:right w:val="single" w:sz="8" w:space="0" w:color="auto"/>
            </w:tcBorders>
            <w:tcMar>
              <w:top w:w="0" w:type="dxa"/>
              <w:left w:w="57" w:type="dxa"/>
              <w:bottom w:w="0" w:type="dxa"/>
              <w:right w:w="57" w:type="dxa"/>
            </w:tcMar>
            <w:tcPrChange w:id="2623" w:author="Author" w:date="2025-07-22T18:12:00Z">
              <w:tcPr>
                <w:tcW w:w="1275" w:type="dxa"/>
                <w:tcBorders>
                  <w:top w:val="nil"/>
                  <w:left w:val="nil"/>
                  <w:bottom w:val="single" w:sz="4" w:space="0" w:color="auto"/>
                  <w:right w:val="single" w:sz="8" w:space="0" w:color="auto"/>
                </w:tcBorders>
                <w:tcMar>
                  <w:top w:w="0" w:type="dxa"/>
                  <w:left w:w="57" w:type="dxa"/>
                  <w:bottom w:w="0" w:type="dxa"/>
                  <w:right w:w="57" w:type="dxa"/>
                </w:tcMar>
              </w:tcPr>
            </w:tcPrChange>
          </w:tcPr>
          <w:p w14:paraId="55805311" w14:textId="77777777" w:rsidR="009700E5" w:rsidRDefault="002C033C">
            <w:pPr>
              <w:keepNext/>
              <w:keepLines/>
              <w:spacing w:before="50" w:after="50" w:line="240" w:lineRule="exact"/>
              <w:jc w:val="center"/>
              <w:rPr>
                <w:rFonts w:eastAsia="SimSun"/>
                <w:b/>
                <w:sz w:val="20"/>
                <w:lang w:eastAsia="zh-CN"/>
              </w:rPr>
            </w:pPr>
            <w:r>
              <w:rPr>
                <w:rFonts w:eastAsia="SimSun"/>
                <w:b/>
                <w:sz w:val="20"/>
                <w:lang w:eastAsia="zh-CN"/>
              </w:rPr>
              <w:t>&lt; 0,0001</w:t>
            </w:r>
          </w:p>
        </w:tc>
      </w:tr>
      <w:tr w:rsidR="009700E5" w14:paraId="75671990" w14:textId="77777777" w:rsidTr="009700E5">
        <w:trPr>
          <w:cantSplit/>
          <w:trPrChange w:id="2624" w:author="Author" w:date="2025-07-22T18:12:00Z">
            <w:trPr>
              <w:gridAfter w:val="0"/>
              <w:wAfter w:w="14" w:type="dxa"/>
              <w:cantSplit/>
            </w:trPr>
          </w:trPrChange>
        </w:trPr>
        <w:tc>
          <w:tcPr>
            <w:tcW w:w="8584" w:type="dxa"/>
            <w:gridSpan w:val="4"/>
            <w:tcBorders>
              <w:top w:val="nil"/>
              <w:left w:val="single" w:sz="4" w:space="0" w:color="auto"/>
              <w:bottom w:val="single" w:sz="4" w:space="0" w:color="auto"/>
              <w:right w:val="single" w:sz="8" w:space="0" w:color="auto"/>
            </w:tcBorders>
            <w:tcMar>
              <w:top w:w="0" w:type="dxa"/>
              <w:left w:w="57" w:type="dxa"/>
              <w:bottom w:w="0" w:type="dxa"/>
              <w:right w:w="57" w:type="dxa"/>
            </w:tcMar>
            <w:tcPrChange w:id="2625" w:author="Author" w:date="2025-07-22T18:12:00Z">
              <w:tcPr>
                <w:tcW w:w="7936" w:type="dxa"/>
                <w:gridSpan w:val="4"/>
                <w:tcBorders>
                  <w:top w:val="nil"/>
                  <w:left w:val="single" w:sz="4" w:space="0" w:color="auto"/>
                  <w:bottom w:val="single" w:sz="4" w:space="0" w:color="auto"/>
                  <w:right w:val="single" w:sz="8" w:space="0" w:color="auto"/>
                </w:tcBorders>
                <w:tcMar>
                  <w:top w:w="0" w:type="dxa"/>
                  <w:left w:w="57" w:type="dxa"/>
                  <w:bottom w:w="0" w:type="dxa"/>
                  <w:right w:w="57" w:type="dxa"/>
                </w:tcMar>
              </w:tcPr>
            </w:tcPrChange>
          </w:tcPr>
          <w:p w14:paraId="06333439" w14:textId="77777777" w:rsidR="009700E5" w:rsidRDefault="002C033C">
            <w:pPr>
              <w:keepNext/>
              <w:keepLines/>
              <w:spacing w:before="50" w:after="50" w:line="240" w:lineRule="exact"/>
              <w:rPr>
                <w:rFonts w:eastAsia="SimSun"/>
                <w:sz w:val="20"/>
                <w:lang w:eastAsia="zh-CN"/>
              </w:rPr>
            </w:pPr>
            <w:r>
              <w:rPr>
                <w:rFonts w:eastAsia="SimSun"/>
                <w:b/>
                <w:sz w:val="20"/>
                <w:lang w:eastAsia="zh-CN"/>
              </w:rPr>
              <w:t>Sekundárne cieľové ukazovatele – Percento respondérov v 24. týždni</w:t>
            </w:r>
            <w:r>
              <w:rPr>
                <w:rFonts w:eastAsia="SimSun"/>
                <w:b/>
                <w:sz w:val="20"/>
                <w:vertAlign w:val="superscript"/>
                <w:lang w:eastAsia="zh-CN"/>
              </w:rPr>
              <w:t>(b)</w:t>
            </w:r>
          </w:p>
        </w:tc>
      </w:tr>
      <w:tr w:rsidR="009700E5" w14:paraId="733F607A" w14:textId="77777777" w:rsidTr="009700E5">
        <w:trPr>
          <w:cantSplit/>
          <w:trPrChange w:id="2626" w:author="Author" w:date="2025-07-22T18:12:00Z">
            <w:trPr>
              <w:gridAfter w:val="0"/>
              <w:wAfter w:w="14" w:type="dxa"/>
              <w:cantSplit/>
            </w:trPr>
          </w:trPrChange>
        </w:trPr>
        <w:tc>
          <w:tcPr>
            <w:tcW w:w="3765" w:type="dxa"/>
            <w:tcBorders>
              <w:top w:val="single" w:sz="4" w:space="0" w:color="auto"/>
              <w:left w:val="single" w:sz="4" w:space="0" w:color="auto"/>
              <w:bottom w:val="nil"/>
              <w:right w:val="nil"/>
            </w:tcBorders>
            <w:tcMar>
              <w:top w:w="0" w:type="dxa"/>
              <w:left w:w="57" w:type="dxa"/>
              <w:bottom w:w="0" w:type="dxa"/>
              <w:right w:w="57" w:type="dxa"/>
            </w:tcMar>
            <w:tcPrChange w:id="2627" w:author="Author" w:date="2025-07-22T18:12:00Z">
              <w:tcPr>
                <w:tcW w:w="3350" w:type="dxa"/>
                <w:tcBorders>
                  <w:top w:val="single" w:sz="4" w:space="0" w:color="auto"/>
                  <w:left w:val="single" w:sz="4" w:space="0" w:color="auto"/>
                  <w:bottom w:val="nil"/>
                  <w:right w:val="nil"/>
                </w:tcBorders>
                <w:tcMar>
                  <w:top w:w="0" w:type="dxa"/>
                  <w:left w:w="57" w:type="dxa"/>
                  <w:bottom w:w="0" w:type="dxa"/>
                  <w:right w:w="57" w:type="dxa"/>
                </w:tcMar>
              </w:tcPr>
            </w:tcPrChange>
          </w:tcPr>
          <w:p w14:paraId="0F4CA59F" w14:textId="77777777" w:rsidR="009700E5" w:rsidRDefault="002C033C">
            <w:pPr>
              <w:keepNext/>
              <w:keepLines/>
              <w:spacing w:before="50" w:after="50" w:line="240" w:lineRule="exact"/>
              <w:jc w:val="right"/>
              <w:rPr>
                <w:rFonts w:eastAsia="SimSun"/>
                <w:sz w:val="20"/>
                <w:lang w:eastAsia="zh-CN"/>
              </w:rPr>
            </w:pPr>
            <w:r>
              <w:rPr>
                <w:rFonts w:eastAsia="SimSun"/>
                <w:sz w:val="20"/>
                <w:lang w:eastAsia="zh-CN"/>
              </w:rPr>
              <w:t>DAS28 &lt; 2,6, n (%)</w:t>
            </w:r>
          </w:p>
        </w:tc>
        <w:tc>
          <w:tcPr>
            <w:tcW w:w="1559" w:type="dxa"/>
            <w:tcBorders>
              <w:top w:val="single" w:sz="4" w:space="0" w:color="auto"/>
              <w:left w:val="nil"/>
              <w:bottom w:val="nil"/>
              <w:right w:val="nil"/>
            </w:tcBorders>
            <w:tcMar>
              <w:top w:w="0" w:type="dxa"/>
              <w:left w:w="57" w:type="dxa"/>
              <w:bottom w:w="0" w:type="dxa"/>
              <w:right w:w="57" w:type="dxa"/>
            </w:tcMar>
            <w:tcPrChange w:id="2628" w:author="Author" w:date="2025-07-22T18:12:00Z">
              <w:tcPr>
                <w:tcW w:w="1610" w:type="dxa"/>
                <w:tcBorders>
                  <w:top w:val="single" w:sz="4" w:space="0" w:color="auto"/>
                  <w:left w:val="nil"/>
                  <w:bottom w:val="nil"/>
                  <w:right w:val="nil"/>
                </w:tcBorders>
                <w:tcMar>
                  <w:top w:w="0" w:type="dxa"/>
                  <w:left w:w="57" w:type="dxa"/>
                  <w:bottom w:w="0" w:type="dxa"/>
                  <w:right w:w="57" w:type="dxa"/>
                </w:tcMar>
              </w:tcPr>
            </w:tcPrChange>
          </w:tcPr>
          <w:p w14:paraId="0A7A856E"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17 (10,5)</w:t>
            </w:r>
          </w:p>
        </w:tc>
        <w:tc>
          <w:tcPr>
            <w:tcW w:w="1843" w:type="dxa"/>
            <w:tcBorders>
              <w:top w:val="single" w:sz="4" w:space="0" w:color="auto"/>
              <w:left w:val="nil"/>
              <w:bottom w:val="nil"/>
              <w:right w:val="nil"/>
            </w:tcBorders>
            <w:tcMar>
              <w:top w:w="0" w:type="dxa"/>
              <w:left w:w="57" w:type="dxa"/>
              <w:bottom w:w="0" w:type="dxa"/>
              <w:right w:w="57" w:type="dxa"/>
            </w:tcMar>
            <w:tcPrChange w:id="2629" w:author="Author" w:date="2025-07-22T18:12:00Z">
              <w:tcPr>
                <w:tcW w:w="1701" w:type="dxa"/>
                <w:tcBorders>
                  <w:top w:val="single" w:sz="4" w:space="0" w:color="auto"/>
                  <w:left w:val="nil"/>
                  <w:bottom w:val="nil"/>
                  <w:right w:val="nil"/>
                </w:tcBorders>
                <w:tcMar>
                  <w:top w:w="0" w:type="dxa"/>
                  <w:left w:w="57" w:type="dxa"/>
                  <w:bottom w:w="0" w:type="dxa"/>
                  <w:right w:w="57" w:type="dxa"/>
                </w:tcMar>
              </w:tcPr>
            </w:tcPrChange>
          </w:tcPr>
          <w:p w14:paraId="195D7713"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65 (39,9)</w:t>
            </w:r>
          </w:p>
        </w:tc>
        <w:tc>
          <w:tcPr>
            <w:tcW w:w="1417" w:type="dxa"/>
            <w:tcBorders>
              <w:top w:val="single" w:sz="4" w:space="0" w:color="auto"/>
              <w:left w:val="nil"/>
              <w:bottom w:val="nil"/>
              <w:right w:val="single" w:sz="8" w:space="0" w:color="auto"/>
            </w:tcBorders>
            <w:tcMar>
              <w:top w:w="0" w:type="dxa"/>
              <w:left w:w="57" w:type="dxa"/>
              <w:bottom w:w="0" w:type="dxa"/>
              <w:right w:w="57" w:type="dxa"/>
            </w:tcMar>
            <w:tcPrChange w:id="2630" w:author="Author" w:date="2025-07-22T18:12:00Z">
              <w:tcPr>
                <w:tcW w:w="1275" w:type="dxa"/>
                <w:tcBorders>
                  <w:top w:val="single" w:sz="4" w:space="0" w:color="auto"/>
                  <w:left w:val="nil"/>
                  <w:bottom w:val="nil"/>
                  <w:right w:val="single" w:sz="8" w:space="0" w:color="auto"/>
                </w:tcBorders>
                <w:tcMar>
                  <w:top w:w="0" w:type="dxa"/>
                  <w:left w:w="57" w:type="dxa"/>
                  <w:bottom w:w="0" w:type="dxa"/>
                  <w:right w:w="57" w:type="dxa"/>
                </w:tcMar>
              </w:tcPr>
            </w:tcPrChange>
          </w:tcPr>
          <w:p w14:paraId="31ADCA87"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&lt; 0,0001</w:t>
            </w:r>
          </w:p>
        </w:tc>
      </w:tr>
      <w:tr w:rsidR="009700E5" w14:paraId="4DE8E726" w14:textId="77777777" w:rsidTr="009700E5">
        <w:trPr>
          <w:cantSplit/>
          <w:trPrChange w:id="2631" w:author="Author" w:date="2025-07-22T18:12:00Z">
            <w:trPr>
              <w:gridAfter w:val="0"/>
              <w:wAfter w:w="14" w:type="dxa"/>
              <w:cantSplit/>
            </w:trPr>
          </w:trPrChange>
        </w:trPr>
        <w:tc>
          <w:tcPr>
            <w:tcW w:w="3765" w:type="dxa"/>
            <w:tcBorders>
              <w:top w:val="nil"/>
              <w:left w:val="single" w:sz="4" w:space="0" w:color="auto"/>
              <w:bottom w:val="nil"/>
              <w:right w:val="nil"/>
            </w:tcBorders>
            <w:tcMar>
              <w:top w:w="0" w:type="dxa"/>
              <w:left w:w="57" w:type="dxa"/>
              <w:bottom w:w="0" w:type="dxa"/>
              <w:right w:w="57" w:type="dxa"/>
            </w:tcMar>
            <w:tcPrChange w:id="2632" w:author="Author" w:date="2025-07-22T18:12:00Z">
              <w:tcPr>
                <w:tcW w:w="3350" w:type="dxa"/>
                <w:tcBorders>
                  <w:top w:val="nil"/>
                  <w:left w:val="single" w:sz="4" w:space="0" w:color="auto"/>
                  <w:bottom w:val="nil"/>
                  <w:right w:val="nil"/>
                </w:tcBorders>
                <w:tcMar>
                  <w:top w:w="0" w:type="dxa"/>
                  <w:left w:w="57" w:type="dxa"/>
                  <w:bottom w:w="0" w:type="dxa"/>
                  <w:right w:w="57" w:type="dxa"/>
                </w:tcMar>
              </w:tcPr>
            </w:tcPrChange>
          </w:tcPr>
          <w:p w14:paraId="61651471" w14:textId="77777777" w:rsidR="009700E5" w:rsidRDefault="002C033C">
            <w:pPr>
              <w:keepNext/>
              <w:keepLines/>
              <w:spacing w:before="50" w:after="50" w:line="240" w:lineRule="exact"/>
              <w:jc w:val="right"/>
              <w:rPr>
                <w:rFonts w:eastAsia="SimSun"/>
                <w:sz w:val="20"/>
                <w:lang w:eastAsia="zh-CN"/>
              </w:rPr>
            </w:pPr>
            <w:r>
              <w:rPr>
                <w:rFonts w:eastAsia="SimSun"/>
                <w:sz w:val="20"/>
                <w:lang w:eastAsia="zh-CN"/>
              </w:rPr>
              <w:t xml:space="preserve">DAS28 ≤ 3,2, n (%) </w:t>
            </w:r>
          </w:p>
        </w:tc>
        <w:tc>
          <w:tcPr>
            <w:tcW w:w="1559" w:type="dxa"/>
            <w:tcMar>
              <w:top w:w="0" w:type="dxa"/>
              <w:left w:w="57" w:type="dxa"/>
              <w:bottom w:w="0" w:type="dxa"/>
              <w:right w:w="57" w:type="dxa"/>
            </w:tcMar>
            <w:tcPrChange w:id="2633" w:author="Author" w:date="2025-07-22T18:12:00Z">
              <w:tcPr>
                <w:tcW w:w="1610" w:type="dxa"/>
                <w:tcMar>
                  <w:top w:w="0" w:type="dxa"/>
                  <w:left w:w="57" w:type="dxa"/>
                  <w:bottom w:w="0" w:type="dxa"/>
                  <w:right w:w="57" w:type="dxa"/>
                </w:tcMar>
              </w:tcPr>
            </w:tcPrChange>
          </w:tcPr>
          <w:p w14:paraId="7DCE1115"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32 (19,8)</w:t>
            </w:r>
          </w:p>
        </w:tc>
        <w:tc>
          <w:tcPr>
            <w:tcW w:w="1843" w:type="dxa"/>
            <w:tcMar>
              <w:top w:w="0" w:type="dxa"/>
              <w:left w:w="57" w:type="dxa"/>
              <w:bottom w:w="0" w:type="dxa"/>
              <w:right w:w="57" w:type="dxa"/>
            </w:tcMar>
            <w:tcPrChange w:id="2634" w:author="Author" w:date="2025-07-22T18:12:00Z">
              <w:tcPr>
                <w:tcW w:w="1701" w:type="dxa"/>
                <w:tcMar>
                  <w:top w:w="0" w:type="dxa"/>
                  <w:left w:w="57" w:type="dxa"/>
                  <w:bottom w:w="0" w:type="dxa"/>
                  <w:right w:w="57" w:type="dxa"/>
                </w:tcMar>
              </w:tcPr>
            </w:tcPrChange>
          </w:tcPr>
          <w:p w14:paraId="65725141"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84 (51,5)</w:t>
            </w:r>
          </w:p>
        </w:tc>
        <w:tc>
          <w:tcPr>
            <w:tcW w:w="1417" w:type="dxa"/>
            <w:tcBorders>
              <w:top w:val="nil"/>
              <w:left w:val="nil"/>
              <w:bottom w:val="nil"/>
              <w:right w:val="single" w:sz="8" w:space="0" w:color="auto"/>
            </w:tcBorders>
            <w:tcMar>
              <w:top w:w="0" w:type="dxa"/>
              <w:left w:w="57" w:type="dxa"/>
              <w:bottom w:w="0" w:type="dxa"/>
              <w:right w:w="57" w:type="dxa"/>
            </w:tcMar>
            <w:tcPrChange w:id="2635" w:author="Author" w:date="2025-07-22T18:12:00Z">
              <w:tcPr>
                <w:tcW w:w="1275" w:type="dxa"/>
                <w:tcBorders>
                  <w:top w:val="nil"/>
                  <w:left w:val="nil"/>
                  <w:bottom w:val="nil"/>
                  <w:right w:val="single" w:sz="8" w:space="0" w:color="auto"/>
                </w:tcBorders>
                <w:tcMar>
                  <w:top w:w="0" w:type="dxa"/>
                  <w:left w:w="57" w:type="dxa"/>
                  <w:bottom w:w="0" w:type="dxa"/>
                  <w:right w:w="57" w:type="dxa"/>
                </w:tcMar>
              </w:tcPr>
            </w:tcPrChange>
          </w:tcPr>
          <w:p w14:paraId="6DA429EA"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&lt; 0,0001</w:t>
            </w:r>
          </w:p>
        </w:tc>
      </w:tr>
      <w:tr w:rsidR="009700E5" w14:paraId="330F8753" w14:textId="77777777" w:rsidTr="009700E5">
        <w:trPr>
          <w:cantSplit/>
          <w:trPrChange w:id="2636" w:author="Author" w:date="2025-07-22T18:12:00Z">
            <w:trPr>
              <w:gridAfter w:val="0"/>
              <w:wAfter w:w="14" w:type="dxa"/>
              <w:cantSplit/>
            </w:trPr>
          </w:trPrChange>
        </w:trPr>
        <w:tc>
          <w:tcPr>
            <w:tcW w:w="3765" w:type="dxa"/>
            <w:tcBorders>
              <w:top w:val="nil"/>
              <w:left w:val="single" w:sz="4" w:space="0" w:color="auto"/>
              <w:bottom w:val="nil"/>
              <w:right w:val="nil"/>
            </w:tcBorders>
            <w:tcMar>
              <w:top w:w="0" w:type="dxa"/>
              <w:left w:w="57" w:type="dxa"/>
              <w:bottom w:w="0" w:type="dxa"/>
              <w:right w:w="57" w:type="dxa"/>
            </w:tcMar>
            <w:tcPrChange w:id="2637" w:author="Author" w:date="2025-07-22T18:12:00Z">
              <w:tcPr>
                <w:tcW w:w="3350" w:type="dxa"/>
                <w:tcBorders>
                  <w:top w:val="nil"/>
                  <w:left w:val="single" w:sz="4" w:space="0" w:color="auto"/>
                  <w:bottom w:val="nil"/>
                  <w:right w:val="nil"/>
                </w:tcBorders>
                <w:tcMar>
                  <w:top w:w="0" w:type="dxa"/>
                  <w:left w:w="57" w:type="dxa"/>
                  <w:bottom w:w="0" w:type="dxa"/>
                  <w:right w:w="57" w:type="dxa"/>
                </w:tcMar>
              </w:tcPr>
            </w:tcPrChange>
          </w:tcPr>
          <w:p w14:paraId="7AF8816E" w14:textId="77777777" w:rsidR="009700E5" w:rsidRDefault="002C033C">
            <w:pPr>
              <w:keepNext/>
              <w:keepLines/>
              <w:spacing w:before="50" w:after="50" w:line="240" w:lineRule="exact"/>
              <w:jc w:val="right"/>
              <w:rPr>
                <w:rFonts w:eastAsia="SimSun"/>
                <w:sz w:val="20"/>
                <w:lang w:eastAsia="zh-CN"/>
              </w:rPr>
            </w:pPr>
            <w:r>
              <w:rPr>
                <w:rFonts w:eastAsia="SimSun"/>
                <w:sz w:val="20"/>
                <w:lang w:eastAsia="zh-CN"/>
              </w:rPr>
              <w:t>ACR 20 odpoveď, n (%)</w:t>
            </w:r>
          </w:p>
        </w:tc>
        <w:tc>
          <w:tcPr>
            <w:tcW w:w="1559" w:type="dxa"/>
            <w:tcMar>
              <w:top w:w="0" w:type="dxa"/>
              <w:left w:w="57" w:type="dxa"/>
              <w:bottom w:w="0" w:type="dxa"/>
              <w:right w:w="57" w:type="dxa"/>
            </w:tcMar>
            <w:tcPrChange w:id="2638" w:author="Author" w:date="2025-07-22T18:12:00Z">
              <w:tcPr>
                <w:tcW w:w="1610" w:type="dxa"/>
                <w:tcMar>
                  <w:top w:w="0" w:type="dxa"/>
                  <w:left w:w="57" w:type="dxa"/>
                  <w:bottom w:w="0" w:type="dxa"/>
                  <w:right w:w="57" w:type="dxa"/>
                </w:tcMar>
              </w:tcPr>
            </w:tcPrChange>
          </w:tcPr>
          <w:p w14:paraId="2A8A56FE"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80 (49,4)</w:t>
            </w:r>
          </w:p>
        </w:tc>
        <w:tc>
          <w:tcPr>
            <w:tcW w:w="1843" w:type="dxa"/>
            <w:tcMar>
              <w:top w:w="0" w:type="dxa"/>
              <w:left w:w="57" w:type="dxa"/>
              <w:bottom w:w="0" w:type="dxa"/>
              <w:right w:w="57" w:type="dxa"/>
            </w:tcMar>
            <w:tcPrChange w:id="2639" w:author="Author" w:date="2025-07-22T18:12:00Z">
              <w:tcPr>
                <w:tcW w:w="1701" w:type="dxa"/>
                <w:tcMar>
                  <w:top w:w="0" w:type="dxa"/>
                  <w:left w:w="57" w:type="dxa"/>
                  <w:bottom w:w="0" w:type="dxa"/>
                  <w:right w:w="57" w:type="dxa"/>
                </w:tcMar>
              </w:tcPr>
            </w:tcPrChange>
          </w:tcPr>
          <w:p w14:paraId="183815D5"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106 (65,0)</w:t>
            </w:r>
          </w:p>
        </w:tc>
        <w:tc>
          <w:tcPr>
            <w:tcW w:w="1417" w:type="dxa"/>
            <w:tcBorders>
              <w:top w:val="nil"/>
              <w:left w:val="nil"/>
              <w:bottom w:val="nil"/>
              <w:right w:val="single" w:sz="8" w:space="0" w:color="auto"/>
            </w:tcBorders>
            <w:tcMar>
              <w:top w:w="0" w:type="dxa"/>
              <w:left w:w="57" w:type="dxa"/>
              <w:bottom w:w="0" w:type="dxa"/>
              <w:right w:w="57" w:type="dxa"/>
            </w:tcMar>
            <w:tcPrChange w:id="2640" w:author="Author" w:date="2025-07-22T18:12:00Z">
              <w:tcPr>
                <w:tcW w:w="1275" w:type="dxa"/>
                <w:tcBorders>
                  <w:top w:val="nil"/>
                  <w:left w:val="nil"/>
                  <w:bottom w:val="nil"/>
                  <w:right w:val="single" w:sz="8" w:space="0" w:color="auto"/>
                </w:tcBorders>
                <w:tcMar>
                  <w:top w:w="0" w:type="dxa"/>
                  <w:left w:w="57" w:type="dxa"/>
                  <w:bottom w:w="0" w:type="dxa"/>
                  <w:right w:w="57" w:type="dxa"/>
                </w:tcMar>
              </w:tcPr>
            </w:tcPrChange>
          </w:tcPr>
          <w:p w14:paraId="3AAA51C3"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0,0038</w:t>
            </w:r>
          </w:p>
        </w:tc>
      </w:tr>
      <w:tr w:rsidR="009700E5" w14:paraId="41C4E34F" w14:textId="77777777" w:rsidTr="009700E5">
        <w:trPr>
          <w:cantSplit/>
          <w:trPrChange w:id="2641" w:author="Author" w:date="2025-07-22T18:12:00Z">
            <w:trPr>
              <w:gridAfter w:val="0"/>
              <w:wAfter w:w="14" w:type="dxa"/>
              <w:cantSplit/>
            </w:trPr>
          </w:trPrChange>
        </w:trPr>
        <w:tc>
          <w:tcPr>
            <w:tcW w:w="3765" w:type="dxa"/>
            <w:tcBorders>
              <w:top w:val="nil"/>
              <w:left w:val="single" w:sz="4" w:space="0" w:color="auto"/>
              <w:bottom w:val="nil"/>
              <w:right w:val="nil"/>
            </w:tcBorders>
            <w:tcMar>
              <w:top w:w="0" w:type="dxa"/>
              <w:left w:w="57" w:type="dxa"/>
              <w:bottom w:w="0" w:type="dxa"/>
              <w:right w:w="57" w:type="dxa"/>
            </w:tcMar>
            <w:tcPrChange w:id="2642" w:author="Author" w:date="2025-07-22T18:12:00Z">
              <w:tcPr>
                <w:tcW w:w="3350" w:type="dxa"/>
                <w:tcBorders>
                  <w:top w:val="nil"/>
                  <w:left w:val="single" w:sz="4" w:space="0" w:color="auto"/>
                  <w:bottom w:val="nil"/>
                  <w:right w:val="nil"/>
                </w:tcBorders>
                <w:tcMar>
                  <w:top w:w="0" w:type="dxa"/>
                  <w:left w:w="57" w:type="dxa"/>
                  <w:bottom w:w="0" w:type="dxa"/>
                  <w:right w:w="57" w:type="dxa"/>
                </w:tcMar>
              </w:tcPr>
            </w:tcPrChange>
          </w:tcPr>
          <w:p w14:paraId="75C73AB0" w14:textId="77777777" w:rsidR="009700E5" w:rsidRDefault="002C033C">
            <w:pPr>
              <w:keepNext/>
              <w:keepLines/>
              <w:spacing w:before="50" w:after="50" w:line="240" w:lineRule="exact"/>
              <w:jc w:val="right"/>
              <w:rPr>
                <w:rFonts w:eastAsia="SimSun"/>
                <w:sz w:val="20"/>
                <w:lang w:eastAsia="zh-CN"/>
              </w:rPr>
            </w:pPr>
            <w:r>
              <w:rPr>
                <w:rFonts w:eastAsia="SimSun"/>
                <w:sz w:val="20"/>
                <w:lang w:eastAsia="zh-CN"/>
              </w:rPr>
              <w:t>ACR 50 odpoveď, n (%)</w:t>
            </w:r>
          </w:p>
        </w:tc>
        <w:tc>
          <w:tcPr>
            <w:tcW w:w="1559" w:type="dxa"/>
            <w:tcMar>
              <w:top w:w="0" w:type="dxa"/>
              <w:left w:w="57" w:type="dxa"/>
              <w:bottom w:w="0" w:type="dxa"/>
              <w:right w:w="57" w:type="dxa"/>
            </w:tcMar>
            <w:tcPrChange w:id="2643" w:author="Author" w:date="2025-07-22T18:12:00Z">
              <w:tcPr>
                <w:tcW w:w="1610" w:type="dxa"/>
                <w:tcMar>
                  <w:top w:w="0" w:type="dxa"/>
                  <w:left w:w="57" w:type="dxa"/>
                  <w:bottom w:w="0" w:type="dxa"/>
                  <w:right w:w="57" w:type="dxa"/>
                </w:tcMar>
              </w:tcPr>
            </w:tcPrChange>
          </w:tcPr>
          <w:p w14:paraId="77237356"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45 (27,8)</w:t>
            </w:r>
          </w:p>
        </w:tc>
        <w:tc>
          <w:tcPr>
            <w:tcW w:w="1843" w:type="dxa"/>
            <w:tcMar>
              <w:top w:w="0" w:type="dxa"/>
              <w:left w:w="57" w:type="dxa"/>
              <w:bottom w:w="0" w:type="dxa"/>
              <w:right w:w="57" w:type="dxa"/>
            </w:tcMar>
            <w:tcPrChange w:id="2644" w:author="Author" w:date="2025-07-22T18:12:00Z">
              <w:tcPr>
                <w:tcW w:w="1701" w:type="dxa"/>
                <w:tcMar>
                  <w:top w:w="0" w:type="dxa"/>
                  <w:left w:w="57" w:type="dxa"/>
                  <w:bottom w:w="0" w:type="dxa"/>
                  <w:right w:w="57" w:type="dxa"/>
                </w:tcMar>
              </w:tcPr>
            </w:tcPrChange>
          </w:tcPr>
          <w:p w14:paraId="260C9EC2"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77 (47,2)</w:t>
            </w:r>
          </w:p>
        </w:tc>
        <w:tc>
          <w:tcPr>
            <w:tcW w:w="1417" w:type="dxa"/>
            <w:tcBorders>
              <w:top w:val="nil"/>
              <w:left w:val="nil"/>
              <w:bottom w:val="nil"/>
              <w:right w:val="single" w:sz="8" w:space="0" w:color="auto"/>
            </w:tcBorders>
            <w:tcMar>
              <w:top w:w="0" w:type="dxa"/>
              <w:left w:w="57" w:type="dxa"/>
              <w:bottom w:w="0" w:type="dxa"/>
              <w:right w:w="57" w:type="dxa"/>
            </w:tcMar>
            <w:tcPrChange w:id="2645" w:author="Author" w:date="2025-07-22T18:12:00Z">
              <w:tcPr>
                <w:tcW w:w="1275" w:type="dxa"/>
                <w:tcBorders>
                  <w:top w:val="nil"/>
                  <w:left w:val="nil"/>
                  <w:bottom w:val="nil"/>
                  <w:right w:val="single" w:sz="8" w:space="0" w:color="auto"/>
                </w:tcBorders>
                <w:tcMar>
                  <w:top w:w="0" w:type="dxa"/>
                  <w:left w:w="57" w:type="dxa"/>
                  <w:bottom w:w="0" w:type="dxa"/>
                  <w:right w:w="57" w:type="dxa"/>
                </w:tcMar>
              </w:tcPr>
            </w:tcPrChange>
          </w:tcPr>
          <w:p w14:paraId="4D333D56"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0,0002</w:t>
            </w:r>
          </w:p>
        </w:tc>
      </w:tr>
      <w:tr w:rsidR="009700E5" w14:paraId="1A1D96C8" w14:textId="77777777" w:rsidTr="009700E5">
        <w:trPr>
          <w:cantSplit/>
          <w:trPrChange w:id="2646" w:author="Author" w:date="2025-07-22T18:12:00Z">
            <w:trPr>
              <w:gridAfter w:val="0"/>
              <w:wAfter w:w="14" w:type="dxa"/>
              <w:cantSplit/>
            </w:trPr>
          </w:trPrChange>
        </w:trPr>
        <w:tc>
          <w:tcPr>
            <w:tcW w:w="3765" w:type="dxa"/>
            <w:tcBorders>
              <w:top w:val="nil"/>
              <w:left w:val="single" w:sz="4" w:space="0" w:color="auto"/>
              <w:bottom w:val="single" w:sz="4" w:space="0" w:color="auto"/>
              <w:right w:val="nil"/>
            </w:tcBorders>
            <w:tcMar>
              <w:top w:w="0" w:type="dxa"/>
              <w:left w:w="57" w:type="dxa"/>
              <w:bottom w:w="0" w:type="dxa"/>
              <w:right w:w="57" w:type="dxa"/>
            </w:tcMar>
            <w:tcPrChange w:id="2647" w:author="Author" w:date="2025-07-22T18:12:00Z">
              <w:tcPr>
                <w:tcW w:w="3350" w:type="dxa"/>
                <w:tcBorders>
                  <w:top w:val="nil"/>
                  <w:left w:val="single" w:sz="4" w:space="0" w:color="auto"/>
                  <w:bottom w:val="single" w:sz="4" w:space="0" w:color="auto"/>
                  <w:right w:val="nil"/>
                </w:tcBorders>
                <w:tcMar>
                  <w:top w:w="0" w:type="dxa"/>
                  <w:left w:w="57" w:type="dxa"/>
                  <w:bottom w:w="0" w:type="dxa"/>
                  <w:right w:w="57" w:type="dxa"/>
                </w:tcMar>
              </w:tcPr>
            </w:tcPrChange>
          </w:tcPr>
          <w:p w14:paraId="39512A16" w14:textId="77777777" w:rsidR="009700E5" w:rsidRDefault="002C033C">
            <w:pPr>
              <w:keepNext/>
              <w:keepLines/>
              <w:spacing w:before="50" w:after="50" w:line="240" w:lineRule="exact"/>
              <w:jc w:val="right"/>
              <w:rPr>
                <w:rFonts w:eastAsia="SimSun"/>
                <w:sz w:val="20"/>
                <w:lang w:eastAsia="zh-CN"/>
              </w:rPr>
            </w:pPr>
            <w:r>
              <w:rPr>
                <w:rFonts w:eastAsia="SimSun"/>
                <w:sz w:val="20"/>
                <w:lang w:eastAsia="zh-CN"/>
              </w:rPr>
              <w:t>ACR 70 odpoveď, n (%)</w:t>
            </w:r>
          </w:p>
        </w:tc>
        <w:tc>
          <w:tcPr>
            <w:tcW w:w="1559" w:type="dxa"/>
            <w:tcBorders>
              <w:top w:val="nil"/>
              <w:left w:val="nil"/>
              <w:bottom w:val="single" w:sz="4" w:space="0" w:color="auto"/>
              <w:right w:val="nil"/>
            </w:tcBorders>
            <w:tcMar>
              <w:top w:w="0" w:type="dxa"/>
              <w:left w:w="57" w:type="dxa"/>
              <w:bottom w:w="0" w:type="dxa"/>
              <w:right w:w="57" w:type="dxa"/>
            </w:tcMar>
            <w:tcPrChange w:id="2648" w:author="Author" w:date="2025-07-22T18:12:00Z">
              <w:tcPr>
                <w:tcW w:w="1610" w:type="dxa"/>
                <w:tcBorders>
                  <w:top w:val="nil"/>
                  <w:left w:val="nil"/>
                  <w:bottom w:val="single" w:sz="4" w:space="0" w:color="auto"/>
                  <w:right w:val="nil"/>
                </w:tcBorders>
                <w:tcMar>
                  <w:top w:w="0" w:type="dxa"/>
                  <w:left w:w="57" w:type="dxa"/>
                  <w:bottom w:w="0" w:type="dxa"/>
                  <w:right w:w="57" w:type="dxa"/>
                </w:tcMar>
              </w:tcPr>
            </w:tcPrChange>
          </w:tcPr>
          <w:p w14:paraId="79C86668"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29 (17,9)</w:t>
            </w:r>
          </w:p>
        </w:tc>
        <w:tc>
          <w:tcPr>
            <w:tcW w:w="1843" w:type="dxa"/>
            <w:tcBorders>
              <w:top w:val="nil"/>
              <w:left w:val="nil"/>
              <w:bottom w:val="single" w:sz="4" w:space="0" w:color="auto"/>
              <w:right w:val="nil"/>
            </w:tcBorders>
            <w:tcMar>
              <w:top w:w="0" w:type="dxa"/>
              <w:left w:w="57" w:type="dxa"/>
              <w:bottom w:w="0" w:type="dxa"/>
              <w:right w:w="57" w:type="dxa"/>
            </w:tcMar>
            <w:tcPrChange w:id="2649" w:author="Author" w:date="2025-07-22T18:12:00Z">
              <w:tcPr>
                <w:tcW w:w="1701" w:type="dxa"/>
                <w:tcBorders>
                  <w:top w:val="nil"/>
                  <w:left w:val="nil"/>
                  <w:bottom w:val="single" w:sz="4" w:space="0" w:color="auto"/>
                  <w:right w:val="nil"/>
                </w:tcBorders>
                <w:tcMar>
                  <w:top w:w="0" w:type="dxa"/>
                  <w:left w:w="57" w:type="dxa"/>
                  <w:bottom w:w="0" w:type="dxa"/>
                  <w:right w:w="57" w:type="dxa"/>
                </w:tcMar>
              </w:tcPr>
            </w:tcPrChange>
          </w:tcPr>
          <w:p w14:paraId="180D8A83"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53 (32,5)</w:t>
            </w:r>
          </w:p>
        </w:tc>
        <w:tc>
          <w:tcPr>
            <w:tcW w:w="1417" w:type="dxa"/>
            <w:tcBorders>
              <w:top w:val="nil"/>
              <w:left w:val="nil"/>
              <w:bottom w:val="single" w:sz="4" w:space="0" w:color="auto"/>
              <w:right w:val="single" w:sz="8" w:space="0" w:color="auto"/>
            </w:tcBorders>
            <w:tcMar>
              <w:top w:w="0" w:type="dxa"/>
              <w:left w:w="57" w:type="dxa"/>
              <w:bottom w:w="0" w:type="dxa"/>
              <w:right w:w="57" w:type="dxa"/>
            </w:tcMar>
            <w:tcPrChange w:id="2650" w:author="Author" w:date="2025-07-22T18:12:00Z">
              <w:tcPr>
                <w:tcW w:w="1275" w:type="dxa"/>
                <w:tcBorders>
                  <w:top w:val="nil"/>
                  <w:left w:val="nil"/>
                  <w:bottom w:val="single" w:sz="4" w:space="0" w:color="auto"/>
                  <w:right w:val="single" w:sz="8" w:space="0" w:color="auto"/>
                </w:tcBorders>
                <w:tcMar>
                  <w:top w:w="0" w:type="dxa"/>
                  <w:left w:w="57" w:type="dxa"/>
                  <w:bottom w:w="0" w:type="dxa"/>
                  <w:right w:w="57" w:type="dxa"/>
                </w:tcMar>
              </w:tcPr>
            </w:tcPrChange>
          </w:tcPr>
          <w:p w14:paraId="5A877843" w14:textId="77777777" w:rsidR="009700E5" w:rsidRDefault="002C033C">
            <w:pPr>
              <w:keepNext/>
              <w:keepLines/>
              <w:spacing w:before="50" w:after="50" w:line="240" w:lineRule="exact"/>
              <w:jc w:val="center"/>
              <w:rPr>
                <w:rFonts w:eastAsia="SimSun"/>
                <w:sz w:val="20"/>
                <w:lang w:eastAsia="zh-CN"/>
              </w:rPr>
            </w:pPr>
            <w:r>
              <w:rPr>
                <w:rFonts w:eastAsia="SimSun"/>
                <w:sz w:val="20"/>
                <w:lang w:eastAsia="zh-CN"/>
              </w:rPr>
              <w:t>0,0023</w:t>
            </w:r>
          </w:p>
        </w:tc>
      </w:tr>
    </w:tbl>
    <w:p w14:paraId="7C2E3478" w14:textId="77777777" w:rsidR="009700E5" w:rsidRDefault="002C033C">
      <w:pPr>
        <w:rPr>
          <w:rFonts w:eastAsia="SimSun"/>
          <w:bCs/>
          <w:iCs/>
          <w:sz w:val="18"/>
          <w:szCs w:val="18"/>
          <w:lang w:eastAsia="zh-CN"/>
        </w:rPr>
      </w:pPr>
      <w:r>
        <w:rPr>
          <w:rFonts w:eastAsia="SimSun"/>
          <w:bCs/>
          <w:iCs/>
          <w:sz w:val="18"/>
          <w:szCs w:val="18"/>
          <w:vertAlign w:val="superscript"/>
          <w:lang w:eastAsia="zh-CN"/>
        </w:rPr>
        <w:t>a</w:t>
      </w:r>
      <w:r>
        <w:rPr>
          <w:rFonts w:eastAsia="SimSun"/>
          <w:bCs/>
          <w:iCs/>
          <w:sz w:val="18"/>
          <w:szCs w:val="18"/>
          <w:lang w:eastAsia="zh-CN"/>
        </w:rPr>
        <w:t>p hodnota je upravená vzhľadom na oblasť a trvanie RA pre všetky cieľové ukazovatele a tiež východisková hodnota pre všetky pokračujúce cieľové ukazovatele.</w:t>
      </w:r>
      <w:r>
        <w:rPr>
          <w:rFonts w:eastAsia="SimSun"/>
          <w:bCs/>
          <w:iCs/>
          <w:sz w:val="18"/>
          <w:szCs w:val="18"/>
          <w:lang w:eastAsia="zh-CN"/>
        </w:rPr>
        <w:br/>
      </w:r>
      <w:r>
        <w:rPr>
          <w:rFonts w:eastAsia="SimSun"/>
          <w:bCs/>
          <w:iCs/>
          <w:sz w:val="18"/>
          <w:szCs w:val="18"/>
          <w:vertAlign w:val="superscript"/>
          <w:lang w:eastAsia="zh-CN"/>
        </w:rPr>
        <w:t>b</w:t>
      </w:r>
      <w:r>
        <w:rPr>
          <w:rFonts w:eastAsia="SimSun"/>
          <w:bCs/>
          <w:iCs/>
          <w:sz w:val="18"/>
          <w:szCs w:val="18"/>
          <w:lang w:eastAsia="zh-CN"/>
        </w:rPr>
        <w:t xml:space="preserve"> Neodpovedajúci na liečbu použití pre chýbajúce údaje. Multidisciplinárna kontrola použitím Bonferroni-Holm procedúry</w:t>
      </w:r>
    </w:p>
    <w:p w14:paraId="139FDA2E" w14:textId="77777777" w:rsidR="009700E5" w:rsidRDefault="002C033C">
      <w:pPr>
        <w:rPr>
          <w:rFonts w:eastAsia="SimSun"/>
          <w:bCs/>
          <w:iCs/>
          <w:sz w:val="18"/>
          <w:szCs w:val="18"/>
          <w:lang w:eastAsia="zh-CN"/>
        </w:rPr>
      </w:pPr>
      <w:r>
        <w:rPr>
          <w:rFonts w:eastAsia="SimSun"/>
          <w:bCs/>
          <w:iCs/>
          <w:sz w:val="18"/>
          <w:szCs w:val="18"/>
          <w:lang w:eastAsia="zh-CN"/>
        </w:rPr>
        <w:t>i.v.</w:t>
      </w:r>
      <w:ins w:id="2651" w:author="Author" w:date="2025-07-21T10:58:00Z">
        <w:r>
          <w:rPr>
            <w:rFonts w:eastAsia="SimSun"/>
            <w:bCs/>
            <w:iCs/>
            <w:sz w:val="18"/>
            <w:szCs w:val="18"/>
            <w:lang w:eastAsia="zh-CN"/>
          </w:rPr>
          <w:t> </w:t>
        </w:r>
      </w:ins>
      <w:del w:id="2652" w:author="Author" w:date="2025-07-21T10:58:00Z">
        <w:r>
          <w:rPr>
            <w:rFonts w:eastAsia="SimSun"/>
            <w:bCs/>
            <w:iCs/>
            <w:sz w:val="18"/>
            <w:szCs w:val="18"/>
            <w:lang w:eastAsia="zh-CN"/>
          </w:rPr>
          <w:delText xml:space="preserve"> </w:delText>
        </w:r>
      </w:del>
      <w:r>
        <w:rPr>
          <w:rFonts w:eastAsia="SimSun"/>
          <w:bCs/>
          <w:iCs/>
          <w:sz w:val="18"/>
          <w:szCs w:val="18"/>
          <w:lang w:eastAsia="zh-CN"/>
        </w:rPr>
        <w:t>=</w:t>
      </w:r>
      <w:ins w:id="2653" w:author="Author" w:date="2025-07-21T10:58:00Z">
        <w:r>
          <w:rPr>
            <w:rFonts w:eastAsia="SimSun"/>
            <w:bCs/>
            <w:iCs/>
            <w:sz w:val="18"/>
            <w:szCs w:val="18"/>
            <w:lang w:eastAsia="zh-CN"/>
          </w:rPr>
          <w:t> </w:t>
        </w:r>
      </w:ins>
      <w:del w:id="2654" w:author="Author" w:date="2025-07-21T10:58:00Z">
        <w:r>
          <w:rPr>
            <w:rFonts w:eastAsia="SimSun"/>
            <w:bCs/>
            <w:iCs/>
            <w:sz w:val="18"/>
            <w:szCs w:val="18"/>
            <w:lang w:eastAsia="zh-CN"/>
          </w:rPr>
          <w:delText xml:space="preserve"> </w:delText>
        </w:r>
      </w:del>
      <w:r>
        <w:rPr>
          <w:rFonts w:eastAsia="SimSun"/>
          <w:bCs/>
          <w:iCs/>
          <w:sz w:val="18"/>
          <w:szCs w:val="18"/>
          <w:lang w:eastAsia="zh-CN"/>
        </w:rPr>
        <w:t>intravenózne</w:t>
      </w:r>
    </w:p>
    <w:p w14:paraId="7681D07A" w14:textId="77777777" w:rsidR="009700E5" w:rsidRDefault="002C033C">
      <w:pPr>
        <w:rPr>
          <w:rFonts w:eastAsia="SimSun"/>
          <w:bCs/>
          <w:iCs/>
          <w:sz w:val="18"/>
          <w:szCs w:val="18"/>
          <w:lang w:eastAsia="zh-CN"/>
        </w:rPr>
      </w:pPr>
      <w:r>
        <w:rPr>
          <w:rFonts w:eastAsia="SimSun"/>
          <w:bCs/>
          <w:iCs/>
          <w:sz w:val="18"/>
          <w:szCs w:val="18"/>
          <w:lang w:eastAsia="zh-CN"/>
        </w:rPr>
        <w:t>s.c.</w:t>
      </w:r>
      <w:ins w:id="2655" w:author="Author" w:date="2025-07-21T10:58:00Z">
        <w:r>
          <w:rPr>
            <w:rFonts w:eastAsia="SimSun"/>
            <w:bCs/>
            <w:iCs/>
            <w:sz w:val="18"/>
            <w:szCs w:val="18"/>
            <w:lang w:eastAsia="zh-CN"/>
          </w:rPr>
          <w:t> </w:t>
        </w:r>
      </w:ins>
      <w:del w:id="2656" w:author="Author" w:date="2025-07-21T10:58:00Z">
        <w:r>
          <w:rPr>
            <w:rFonts w:eastAsia="SimSun"/>
            <w:bCs/>
            <w:iCs/>
            <w:sz w:val="18"/>
            <w:szCs w:val="18"/>
            <w:lang w:eastAsia="zh-CN"/>
          </w:rPr>
          <w:delText xml:space="preserve"> </w:delText>
        </w:r>
      </w:del>
      <w:r>
        <w:rPr>
          <w:rFonts w:eastAsia="SimSun"/>
          <w:bCs/>
          <w:iCs/>
          <w:sz w:val="18"/>
          <w:szCs w:val="18"/>
          <w:lang w:eastAsia="zh-CN"/>
        </w:rPr>
        <w:t>=</w:t>
      </w:r>
      <w:ins w:id="2657" w:author="Author" w:date="2025-07-21T10:58:00Z">
        <w:r>
          <w:rPr>
            <w:rFonts w:eastAsia="SimSun"/>
            <w:bCs/>
            <w:iCs/>
            <w:sz w:val="18"/>
            <w:szCs w:val="18"/>
            <w:lang w:eastAsia="zh-CN"/>
          </w:rPr>
          <w:t> </w:t>
        </w:r>
      </w:ins>
      <w:del w:id="2658" w:author="Author" w:date="2025-07-21T10:58:00Z">
        <w:r>
          <w:rPr>
            <w:rFonts w:eastAsia="SimSun"/>
            <w:bCs/>
            <w:iCs/>
            <w:sz w:val="18"/>
            <w:szCs w:val="18"/>
            <w:lang w:eastAsia="zh-CN"/>
          </w:rPr>
          <w:delText xml:space="preserve"> </w:delText>
        </w:r>
      </w:del>
      <w:r>
        <w:rPr>
          <w:rFonts w:eastAsia="SimSun"/>
          <w:bCs/>
          <w:iCs/>
          <w:sz w:val="18"/>
          <w:szCs w:val="18"/>
          <w:lang w:eastAsia="zh-CN"/>
        </w:rPr>
        <w:t>subkutánne</w:t>
      </w:r>
    </w:p>
    <w:p w14:paraId="6D27DA3E" w14:textId="77777777" w:rsidR="009700E5" w:rsidRDefault="002C033C">
      <w:pPr>
        <w:rPr>
          <w:rFonts w:eastAsia="SimSun"/>
          <w:bCs/>
          <w:iCs/>
          <w:sz w:val="18"/>
          <w:szCs w:val="18"/>
          <w:lang w:eastAsia="zh-CN"/>
        </w:rPr>
      </w:pPr>
      <w:r>
        <w:rPr>
          <w:rFonts w:eastAsia="SimSun"/>
          <w:bCs/>
          <w:iCs/>
          <w:sz w:val="18"/>
          <w:szCs w:val="18"/>
          <w:lang w:eastAsia="zh-CN"/>
        </w:rPr>
        <w:t>ADA</w:t>
      </w:r>
      <w:ins w:id="2659" w:author="Author" w:date="2025-07-21T10:58:00Z">
        <w:r>
          <w:rPr>
            <w:rFonts w:eastAsia="SimSun"/>
            <w:bCs/>
            <w:iCs/>
            <w:sz w:val="18"/>
            <w:szCs w:val="18"/>
            <w:lang w:eastAsia="zh-CN"/>
          </w:rPr>
          <w:t> </w:t>
        </w:r>
      </w:ins>
      <w:del w:id="2660" w:author="Author" w:date="2025-07-21T10:58:00Z">
        <w:r>
          <w:rPr>
            <w:rFonts w:eastAsia="SimSun"/>
            <w:bCs/>
            <w:iCs/>
            <w:sz w:val="18"/>
            <w:szCs w:val="18"/>
            <w:lang w:eastAsia="zh-CN"/>
          </w:rPr>
          <w:delText xml:space="preserve"> </w:delText>
        </w:r>
      </w:del>
      <w:r>
        <w:rPr>
          <w:rFonts w:eastAsia="SimSun"/>
          <w:bCs/>
          <w:iCs/>
          <w:sz w:val="18"/>
          <w:szCs w:val="18"/>
          <w:lang w:eastAsia="zh-CN"/>
        </w:rPr>
        <w:t>=</w:t>
      </w:r>
      <w:ins w:id="2661" w:author="Author" w:date="2025-07-21T10:58:00Z">
        <w:r>
          <w:rPr>
            <w:rFonts w:eastAsia="SimSun"/>
            <w:bCs/>
            <w:iCs/>
            <w:sz w:val="18"/>
            <w:szCs w:val="18"/>
            <w:lang w:eastAsia="zh-CN"/>
          </w:rPr>
          <w:t> </w:t>
        </w:r>
      </w:ins>
      <w:del w:id="2662" w:author="Author" w:date="2025-07-21T10:58:00Z">
        <w:r>
          <w:rPr>
            <w:rFonts w:eastAsia="SimSun"/>
            <w:bCs/>
            <w:iCs/>
            <w:sz w:val="18"/>
            <w:szCs w:val="18"/>
            <w:lang w:eastAsia="zh-CN"/>
          </w:rPr>
          <w:delText xml:space="preserve"> </w:delText>
        </w:r>
      </w:del>
      <w:r>
        <w:rPr>
          <w:rFonts w:eastAsia="SimSun"/>
          <w:bCs/>
          <w:iCs/>
          <w:sz w:val="18"/>
          <w:szCs w:val="18"/>
          <w:lang w:eastAsia="zh-CN"/>
        </w:rPr>
        <w:t>adalimumab</w:t>
      </w:r>
    </w:p>
    <w:p w14:paraId="2CEC7B87" w14:textId="77777777" w:rsidR="009700E5" w:rsidRDefault="002C033C">
      <w:pPr>
        <w:rPr>
          <w:rFonts w:eastAsia="SimSun"/>
          <w:bCs/>
          <w:iCs/>
          <w:sz w:val="18"/>
          <w:szCs w:val="18"/>
          <w:lang w:eastAsia="zh-CN"/>
        </w:rPr>
      </w:pPr>
      <w:r>
        <w:rPr>
          <w:rFonts w:eastAsia="SimSun"/>
          <w:bCs/>
          <w:iCs/>
          <w:sz w:val="18"/>
          <w:szCs w:val="18"/>
          <w:lang w:eastAsia="zh-CN"/>
        </w:rPr>
        <w:t>TCZ</w:t>
      </w:r>
      <w:ins w:id="2663" w:author="Author" w:date="2025-07-21T10:58:00Z">
        <w:r>
          <w:rPr>
            <w:rFonts w:eastAsia="SimSun"/>
            <w:bCs/>
            <w:iCs/>
            <w:sz w:val="18"/>
            <w:szCs w:val="18"/>
            <w:lang w:eastAsia="zh-CN"/>
          </w:rPr>
          <w:t> </w:t>
        </w:r>
      </w:ins>
      <w:del w:id="2664" w:author="Author" w:date="2025-07-21T10:58:00Z">
        <w:r>
          <w:rPr>
            <w:rFonts w:eastAsia="SimSun"/>
            <w:bCs/>
            <w:iCs/>
            <w:sz w:val="18"/>
            <w:szCs w:val="18"/>
            <w:lang w:eastAsia="zh-CN"/>
          </w:rPr>
          <w:delText xml:space="preserve"> </w:delText>
        </w:r>
      </w:del>
      <w:r>
        <w:rPr>
          <w:rFonts w:eastAsia="SimSun"/>
          <w:bCs/>
          <w:iCs/>
          <w:sz w:val="18"/>
          <w:szCs w:val="18"/>
          <w:lang w:eastAsia="zh-CN"/>
        </w:rPr>
        <w:t>=</w:t>
      </w:r>
      <w:ins w:id="2665" w:author="Author" w:date="2025-07-21T10:58:00Z">
        <w:r>
          <w:rPr>
            <w:rFonts w:eastAsia="SimSun"/>
            <w:bCs/>
            <w:iCs/>
            <w:sz w:val="18"/>
            <w:szCs w:val="18"/>
            <w:lang w:eastAsia="zh-CN"/>
          </w:rPr>
          <w:t> </w:t>
        </w:r>
      </w:ins>
      <w:del w:id="2666" w:author="Author" w:date="2025-07-21T10:58:00Z">
        <w:r>
          <w:rPr>
            <w:rFonts w:eastAsia="SimSun"/>
            <w:bCs/>
            <w:iCs/>
            <w:sz w:val="18"/>
            <w:szCs w:val="18"/>
            <w:lang w:eastAsia="zh-CN"/>
          </w:rPr>
          <w:delText xml:space="preserve"> </w:delText>
        </w:r>
      </w:del>
      <w:r>
        <w:rPr>
          <w:rFonts w:eastAsia="SimSun"/>
          <w:bCs/>
          <w:iCs/>
          <w:sz w:val="18"/>
          <w:szCs w:val="18"/>
          <w:lang w:eastAsia="zh-CN"/>
        </w:rPr>
        <w:t>tocilizumab</w:t>
      </w:r>
    </w:p>
    <w:p w14:paraId="074BBF64" w14:textId="77777777" w:rsidR="009700E5" w:rsidRDefault="009700E5"/>
    <w:p w14:paraId="7FFA0E88" w14:textId="77777777" w:rsidR="009700E5" w:rsidRDefault="002C033C">
      <w:pPr>
        <w:numPr>
          <w:ilvl w:val="12"/>
          <w:numId w:val="0"/>
        </w:numPr>
        <w:ind w:right="-2"/>
        <w:rPr>
          <w:sz w:val="24"/>
          <w:szCs w:val="24"/>
          <w:lang w:eastAsia="zh-TW"/>
        </w:rPr>
      </w:pPr>
      <w:r>
        <w:t>Celkový klinický profil nežiaducich udalostí bol podobný pri tocilizumabe a adalimumabe. Podiel pacientov so závažnými nežiaducimi udalosťami bol medzi liečebnými skupinami vyvážený (tocilizumab 11,7 % oproti adalimumabu 9,9 %). Nežiaduce reakcie v skupine s tocilizumabom</w:t>
      </w:r>
      <w:r>
        <w:rPr>
          <w:bCs/>
        </w:rPr>
        <w:t xml:space="preserve"> </w:t>
      </w:r>
      <w:r>
        <w:t xml:space="preserve">odpovedali známemu bezpečnostnému profilu tocilizumabu a nežiaduce reakcie boli hlásené s podobnou frekvenciou v porovnaní s tabuľkou 1. Vyššia incidencia infekcií a infestácií bola hlásená v skupine s tocilizumabom (48 % oproti 42 %), a to bez rozdielu v incidencii závažných infekcií (3,1 %). Obidve </w:t>
      </w:r>
      <w:del w:id="2667" w:author="Author" w:date="2025-07-21T10:58:00Z">
        <w:r>
          <w:delText xml:space="preserve">skúmané </w:delText>
        </w:r>
      </w:del>
      <w:ins w:id="2668" w:author="Author" w:date="2025-07-21T10:58:00Z">
        <w:r>
          <w:t xml:space="preserve">skúšané </w:t>
        </w:r>
      </w:ins>
      <w:r>
        <w:t>liečby indukovali rovnaké zmeny v laboratórnych bezpečnostných parametroch (poklesy počtu neutrofilov a krvných doštičiek, zvýšenie ALT, AST a lipidov), veľkosť zmien a frekvencie výrazných abnormalít však bola vyššia pri tocilizumabe v porovnaní s adalimumabom. U štyroch (2,5 %) pacientov v skupine s tocilizumabom a dvoch (1,2 %) pacientov v skupine s adalimumabom sa vyskytli poklesy počtu neutrofilov 3. alebo 4. stupňa CTC. U jedenástich (6,8 %) pacientov v skupine s tocilizumabom a piatich (3,1 %) pacientov v skupine s adalimumabom sa vyskytlo zvýšenie ALT 2. alebo vyššieho stupňa CTC. Priemerné zvýšenie LDL od východiskovej hodnoty bolo 0,64 mmol/l (25 mg/dl) u pacientov v skupine s tocilizumabom a 0,19 mmol/l (7 mg/dl) u pacientov v skupine s adalimumabom. Bezpečnosť pozorovaná v skupine s tocilizumabom sa zhodovala so známym bezpečnostných profilom tocilizumabu a nepozorovali sa žiadne nové alebo neočakávané nežiaduce reakcie (pozri tabuľku 1).</w:t>
      </w:r>
    </w:p>
    <w:p w14:paraId="370C61E1" w14:textId="77777777" w:rsidR="009700E5" w:rsidRDefault="009700E5">
      <w:pPr>
        <w:numPr>
          <w:ilvl w:val="12"/>
          <w:numId w:val="0"/>
        </w:numPr>
        <w:ind w:right="-2"/>
      </w:pPr>
    </w:p>
    <w:p w14:paraId="7113D2EC" w14:textId="77777777" w:rsidR="009700E5" w:rsidRDefault="002C033C">
      <w:pPr>
        <w:keepNext/>
        <w:keepLines/>
        <w:outlineLvl w:val="0"/>
        <w:rPr>
          <w:b/>
        </w:rPr>
      </w:pPr>
      <w:r>
        <w:rPr>
          <w:b/>
        </w:rPr>
        <w:t>5.2</w:t>
      </w:r>
      <w:r>
        <w:rPr>
          <w:b/>
        </w:rPr>
        <w:tab/>
      </w:r>
      <w:r>
        <w:rPr>
          <w:b/>
          <w:szCs w:val="22"/>
        </w:rPr>
        <w:t>Farmakokinetické vlastnosti</w:t>
      </w:r>
    </w:p>
    <w:p w14:paraId="208F8DF0" w14:textId="77777777" w:rsidR="009700E5" w:rsidRDefault="009700E5">
      <w:pPr>
        <w:keepNext/>
        <w:keepLines/>
        <w:outlineLvl w:val="0"/>
      </w:pPr>
    </w:p>
    <w:p w14:paraId="3E4500BC" w14:textId="77777777" w:rsidR="009700E5" w:rsidRDefault="002C033C">
      <w:pPr>
        <w:keepNext/>
        <w:keepLines/>
        <w:outlineLvl w:val="0"/>
      </w:pPr>
      <w:r>
        <w:t>Farmakokinetiku tocilizumabu charakterizuje nelineárna eliminácia, ktorá je kombináciou lineárneho klírensu a Michaelisa</w:t>
      </w:r>
      <w:r>
        <w:noBreakHyphen/>
        <w:t xml:space="preserve">Mentenovej eliminácie. Nelineárna časť eliminácie vedie k zvýšenej expozícii, ktorá je </w:t>
      </w:r>
      <w:r>
        <w:rPr>
          <w:iCs/>
        </w:rPr>
        <w:t>vyššia ako dávke úmerná</w:t>
      </w:r>
      <w:r>
        <w:t>. Farmakokinetické parametre tocilizumabu sa postupom času nemenia. Nakoľko je celkový klírens závislý od koncentrácií tocilizumabu v sére, aj polčas eliminácie tocilizumabu je závislý od koncentrácií a jeho dĺžka je rôzna v závislosti od hladiny koncentrácie v sére. Populačná farmakokinetická analýza u všetkých skúmaných populácií pacientov zatiaľ nepreukázala žiaden vzťah medzi zdanlivým klírensom a prítomnosťou protilátok proti lieku.</w:t>
      </w:r>
    </w:p>
    <w:p w14:paraId="783A1040" w14:textId="77777777" w:rsidR="009700E5" w:rsidRDefault="009700E5">
      <w:pPr>
        <w:outlineLvl w:val="0"/>
      </w:pPr>
    </w:p>
    <w:p w14:paraId="668E4CED" w14:textId="77777777" w:rsidR="009700E5" w:rsidRDefault="002C033C">
      <w:pPr>
        <w:keepNext/>
        <w:keepLines/>
        <w:outlineLvl w:val="0"/>
        <w:rPr>
          <w:moveFrom w:id="2669" w:author="Author" w:date="2025-07-20T00:26:00Z"/>
          <w:u w:val="single"/>
        </w:rPr>
      </w:pPr>
      <w:moveFromRangeStart w:id="2670" w:author="Author" w:date="2025-07-20T00:26:00Z" w:name="move203863587"/>
      <w:moveFrom w:id="2671" w:author="Author" w:date="2025-07-20T00:26:00Z">
        <w:r>
          <w:rPr>
            <w:u w:val="single"/>
          </w:rPr>
          <w:lastRenderedPageBreak/>
          <w:t>Pacienti s RA</w:t>
        </w:r>
      </w:moveFrom>
    </w:p>
    <w:moveFromRangeEnd w:id="2670"/>
    <w:p w14:paraId="7C2A0CAA" w14:textId="77777777" w:rsidR="009700E5" w:rsidRPr="009700E5" w:rsidRDefault="002C033C">
      <w:pPr>
        <w:keepNext/>
        <w:keepLines/>
        <w:numPr>
          <w:ilvl w:val="12"/>
          <w:numId w:val="0"/>
        </w:numPr>
        <w:ind w:right="-2"/>
        <w:rPr>
          <w:u w:val="single"/>
          <w:rPrChange w:id="2672" w:author="Author" w:date="2025-08-22T15:12:00Z">
            <w:rPr>
              <w:i/>
              <w:iCs/>
            </w:rPr>
          </w:rPrChange>
        </w:rPr>
      </w:pPr>
      <w:r>
        <w:rPr>
          <w:u w:val="single"/>
          <w:rPrChange w:id="2673" w:author="Author" w:date="2025-08-22T15:12:00Z">
            <w:rPr>
              <w:i/>
              <w:iCs/>
            </w:rPr>
          </w:rPrChange>
        </w:rPr>
        <w:t>Intravenózne použitie</w:t>
      </w:r>
    </w:p>
    <w:p w14:paraId="7434DD86" w14:textId="77777777" w:rsidR="009700E5" w:rsidRDefault="002C033C">
      <w:pPr>
        <w:keepNext/>
        <w:keepLines/>
        <w:outlineLvl w:val="0"/>
        <w:rPr>
          <w:ins w:id="2674" w:author="Author" w:date="2025-07-21T10:58:00Z"/>
          <w:i/>
          <w:iCs/>
        </w:rPr>
      </w:pPr>
      <w:moveToRangeStart w:id="2675" w:author="Author" w:date="2025-07-20T00:26:00Z" w:name="move203863587"/>
      <w:moveTo w:id="2676" w:author="Author" w:date="2025-07-20T00:26:00Z">
        <w:r>
          <w:rPr>
            <w:i/>
            <w:iCs/>
            <w:rPrChange w:id="2677" w:author="Author" w:date="2025-08-22T15:12:00Z">
              <w:rPr>
                <w:u w:val="single"/>
              </w:rPr>
            </w:rPrChange>
          </w:rPr>
          <w:t>Pacienti s</w:t>
        </w:r>
        <w:del w:id="2678" w:author="Author" w:date="2025-07-21T10:58:00Z">
          <w:r>
            <w:rPr>
              <w:i/>
              <w:iCs/>
              <w:rPrChange w:id="2679" w:author="Author" w:date="2025-08-22T15:12:00Z">
                <w:rPr>
                  <w:u w:val="single"/>
                </w:rPr>
              </w:rPrChange>
            </w:rPr>
            <w:delText> </w:delText>
          </w:r>
        </w:del>
      </w:moveTo>
      <w:ins w:id="2680" w:author="Author" w:date="2025-07-21T10:58:00Z">
        <w:r>
          <w:rPr>
            <w:i/>
            <w:iCs/>
          </w:rPr>
          <w:t> </w:t>
        </w:r>
      </w:ins>
      <w:moveTo w:id="2681" w:author="Author" w:date="2025-07-20T00:26:00Z">
        <w:r>
          <w:rPr>
            <w:i/>
            <w:iCs/>
            <w:rPrChange w:id="2682" w:author="Author" w:date="2025-08-22T15:12:00Z">
              <w:rPr>
                <w:u w:val="single"/>
              </w:rPr>
            </w:rPrChange>
          </w:rPr>
          <w:t>RA</w:t>
        </w:r>
      </w:moveTo>
    </w:p>
    <w:p w14:paraId="2B2362FB" w14:textId="77777777" w:rsidR="009700E5" w:rsidRPr="009700E5" w:rsidRDefault="009700E5">
      <w:pPr>
        <w:keepNext/>
        <w:keepLines/>
        <w:outlineLvl w:val="0"/>
        <w:rPr>
          <w:moveTo w:id="2683" w:author="Author" w:date="2025-07-20T00:26:00Z"/>
          <w:i/>
          <w:iCs/>
          <w:rPrChange w:id="2684" w:author="Author" w:date="2025-08-22T15:12:00Z">
            <w:rPr>
              <w:moveTo w:id="2685" w:author="Author" w:date="2025-07-20T00:26:00Z"/>
              <w:u w:val="single"/>
            </w:rPr>
          </w:rPrChange>
        </w:rPr>
      </w:pPr>
    </w:p>
    <w:moveToRangeEnd w:id="2675"/>
    <w:p w14:paraId="0798F00F" w14:textId="77777777" w:rsidR="009700E5" w:rsidRDefault="002C033C">
      <w:pPr>
        <w:numPr>
          <w:ilvl w:val="12"/>
          <w:numId w:val="0"/>
        </w:numPr>
        <w:ind w:right="-2"/>
        <w:rPr>
          <w:iCs/>
        </w:rPr>
      </w:pPr>
      <w:r>
        <w:rPr>
          <w:iCs/>
        </w:rPr>
        <w:t xml:space="preserve">Farmakokinetika </w:t>
      </w:r>
      <w:r>
        <w:t>tocilizumabu</w:t>
      </w:r>
      <w:r>
        <w:rPr>
          <w:iCs/>
        </w:rPr>
        <w:t xml:space="preserve"> sa stanovila za použitia populačnej farmakokinetickej analýzy údajov z databázy zloženej z 3 552 pacientov s RA liečených dávkou 4 alebo 8 mg/kg </w:t>
      </w:r>
      <w:r>
        <w:t>tocilizumabu</w:t>
      </w:r>
      <w:r>
        <w:rPr>
          <w:iCs/>
        </w:rPr>
        <w:t xml:space="preserve"> podávanou raz za 4 týždne formou jednu hodinu trvajúcej infúzie alebo so 162 mg </w:t>
      </w:r>
      <w:r>
        <w:t>tocilizumabu</w:t>
      </w:r>
      <w:r>
        <w:rPr>
          <w:iCs/>
        </w:rPr>
        <w:t xml:space="preserve"> podávaného subkutánne buď raz týždenne, alebo každý druhý týždeň počas 24 týždňov.</w:t>
      </w:r>
    </w:p>
    <w:p w14:paraId="113E1DC2" w14:textId="77777777" w:rsidR="009700E5" w:rsidRDefault="009700E5">
      <w:pPr>
        <w:numPr>
          <w:ilvl w:val="12"/>
          <w:numId w:val="0"/>
        </w:numPr>
        <w:ind w:right="-2"/>
        <w:rPr>
          <w:iCs/>
        </w:rPr>
      </w:pPr>
    </w:p>
    <w:p w14:paraId="170858B2" w14:textId="77777777" w:rsidR="009700E5" w:rsidRDefault="002C033C">
      <w:pPr>
        <w:rPr>
          <w:iCs/>
        </w:rPr>
      </w:pPr>
      <w:r>
        <w:rPr>
          <w:iCs/>
        </w:rPr>
        <w:t>Nasledujúce parametre (predpokladaný priemer </w:t>
      </w:r>
      <w:r>
        <w:rPr>
          <w:szCs w:val="22"/>
        </w:rPr>
        <w:t>±</w:t>
      </w:r>
      <w:r>
        <w:rPr>
          <w:iCs/>
        </w:rPr>
        <w:t xml:space="preserve"> SD, štandardná odchýlka) sa odhadli pre dávku 8 mg/kg </w:t>
      </w:r>
      <w:r>
        <w:t>tocilizumabu</w:t>
      </w:r>
      <w:r>
        <w:rPr>
          <w:iCs/>
        </w:rPr>
        <w:t xml:space="preserve"> podávanú raz za 4 týždne: plocha pod krivkou pre plazmatickú koncentráciu (AUC) v rovnovážnom stave = 38 000 </w:t>
      </w:r>
      <w:r>
        <w:rPr>
          <w:szCs w:val="22"/>
        </w:rPr>
        <w:t>±</w:t>
      </w:r>
      <w:r>
        <w:rPr>
          <w:iCs/>
        </w:rPr>
        <w:t> 13 000 h</w:t>
      </w:r>
      <w:ins w:id="2686" w:author="Author" w:date="2025-07-21T10:58:00Z">
        <w:r>
          <w:t> </w:t>
        </w:r>
      </w:ins>
      <w:ins w:id="2687" w:author="Author" w:date="2025-07-20T00:27:00Z">
        <w:del w:id="2688" w:author="Author" w:date="2025-07-21T10:58:00Z">
          <w:r>
            <w:delText xml:space="preserve"> </w:delText>
          </w:r>
        </w:del>
        <w:r>
          <w:rPr>
            <w:szCs w:val="22"/>
          </w:rPr>
          <w:t>× </w:t>
        </w:r>
      </w:ins>
      <w:del w:id="2689" w:author="Author" w:date="2025-07-20T00:27:00Z">
        <w:r>
          <w:delText>•</w:delText>
        </w:r>
      </w:del>
      <w:r>
        <w:rPr>
          <w:iCs/>
        </w:rPr>
        <w:t>µg/ml, minimálna koncentrácia (C</w:t>
      </w:r>
      <w:r>
        <w:rPr>
          <w:iCs/>
          <w:vertAlign w:val="subscript"/>
        </w:rPr>
        <w:t>min</w:t>
      </w:r>
      <w:r>
        <w:rPr>
          <w:iCs/>
        </w:rPr>
        <w:t>) = 15,9 </w:t>
      </w:r>
      <w:r>
        <w:rPr>
          <w:szCs w:val="22"/>
        </w:rPr>
        <w:t>±</w:t>
      </w:r>
      <w:r>
        <w:rPr>
          <w:iCs/>
        </w:rPr>
        <w:t> 13,1 </w:t>
      </w:r>
      <w:r>
        <w:rPr>
          <w:iCs/>
        </w:rPr>
        <w:sym w:font="Symbol" w:char="F06D"/>
      </w:r>
      <w:r>
        <w:rPr>
          <w:iCs/>
        </w:rPr>
        <w:t>g/ml a maximálna koncentrácia (C</w:t>
      </w:r>
      <w:r>
        <w:rPr>
          <w:iCs/>
          <w:vertAlign w:val="subscript"/>
        </w:rPr>
        <w:t>max</w:t>
      </w:r>
      <w:r>
        <w:rPr>
          <w:iCs/>
        </w:rPr>
        <w:t>) = 182 </w:t>
      </w:r>
      <w:r>
        <w:rPr>
          <w:szCs w:val="22"/>
        </w:rPr>
        <w:t>±</w:t>
      </w:r>
      <w:r>
        <w:rPr>
          <w:iCs/>
        </w:rPr>
        <w:t> 50,4 µg/ml a pomer kumulácie v hodnote 1,32 pri AUC a 1,09 pri C</w:t>
      </w:r>
      <w:r>
        <w:rPr>
          <w:iCs/>
          <w:vertAlign w:val="subscript"/>
        </w:rPr>
        <w:t>max</w:t>
      </w:r>
      <w:r>
        <w:rPr>
          <w:iCs/>
        </w:rPr>
        <w:t xml:space="preserve"> bol nízky. Pomer kumulácie bol vyšší pri C</w:t>
      </w:r>
      <w:r>
        <w:rPr>
          <w:iCs/>
          <w:vertAlign w:val="subscript"/>
        </w:rPr>
        <w:t>min</w:t>
      </w:r>
      <w:r>
        <w:rPr>
          <w:iCs/>
        </w:rPr>
        <w:t xml:space="preserve"> (2,49), čo sa očakávalo na základe prispenia nelineárneho klírensu pri nižších koncentráciách. Rovnovážny stav sa dosiahol po podaní prvej dávky pri hodnote C</w:t>
      </w:r>
      <w:r>
        <w:rPr>
          <w:iCs/>
          <w:vertAlign w:val="subscript"/>
        </w:rPr>
        <w:t>max</w:t>
      </w:r>
      <w:r>
        <w:rPr>
          <w:iCs/>
        </w:rPr>
        <w:t>, po 8 týždňoch pri hodnote AUC a po 20 týždňoch pri hodnote C</w:t>
      </w:r>
      <w:r>
        <w:rPr>
          <w:iCs/>
          <w:vertAlign w:val="subscript"/>
        </w:rPr>
        <w:t>min</w:t>
      </w:r>
      <w:r>
        <w:rPr>
          <w:iCs/>
        </w:rPr>
        <w:t>. AUC, C</w:t>
      </w:r>
      <w:r>
        <w:rPr>
          <w:iCs/>
          <w:vertAlign w:val="subscript"/>
        </w:rPr>
        <w:t>min</w:t>
      </w:r>
      <w:r>
        <w:rPr>
          <w:iCs/>
        </w:rPr>
        <w:t xml:space="preserve"> a C</w:t>
      </w:r>
      <w:r>
        <w:rPr>
          <w:iCs/>
          <w:vertAlign w:val="subscript"/>
        </w:rPr>
        <w:t>max</w:t>
      </w:r>
      <w:r>
        <w:rPr>
          <w:iCs/>
        </w:rPr>
        <w:t xml:space="preserve"> </w:t>
      </w:r>
      <w:r>
        <w:t>tocilizumabu</w:t>
      </w:r>
      <w:r>
        <w:rPr>
          <w:iCs/>
        </w:rPr>
        <w:t xml:space="preserve"> vzrástlo so stúpajúcou telesnou hmotnosťou. Pri telesnej hmotnosti ≥ 100 kg bol predpovedaný priemer </w:t>
      </w:r>
      <w:r>
        <w:t xml:space="preserve">(± SD) AUC tocilizumabu v rovnovážnom stave </w:t>
      </w:r>
      <w:r>
        <w:rPr>
          <w:iCs/>
        </w:rPr>
        <w:t>5</w:t>
      </w:r>
      <w:r>
        <w:t>0</w:t>
      </w:r>
      <w:r>
        <w:rPr>
          <w:iCs/>
        </w:rPr>
        <w:t> </w:t>
      </w:r>
      <w:r>
        <w:t>000</w:t>
      </w:r>
      <w:r>
        <w:rPr>
          <w:iCs/>
        </w:rPr>
        <w:t> </w:t>
      </w:r>
      <w:r>
        <w:t>±</w:t>
      </w:r>
      <w:r>
        <w:rPr>
          <w:iCs/>
        </w:rPr>
        <w:t> </w:t>
      </w:r>
      <w:r>
        <w:t>16</w:t>
      </w:r>
      <w:r>
        <w:rPr>
          <w:iCs/>
        </w:rPr>
        <w:t> </w:t>
      </w:r>
      <w:r>
        <w:t>800 μg</w:t>
      </w:r>
      <w:ins w:id="2690" w:author="Author" w:date="2025-07-21T10:59:00Z">
        <w:r>
          <w:t> </w:t>
        </w:r>
      </w:ins>
      <w:ins w:id="2691" w:author="Author" w:date="2025-07-20T00:27:00Z">
        <w:del w:id="2692" w:author="Author" w:date="2025-07-21T10:59:00Z">
          <w:r>
            <w:delText xml:space="preserve"> </w:delText>
          </w:r>
        </w:del>
        <w:r>
          <w:rPr>
            <w:szCs w:val="22"/>
          </w:rPr>
          <w:t>× </w:t>
        </w:r>
      </w:ins>
      <w:del w:id="2693" w:author="Author" w:date="2025-07-20T00:27:00Z">
        <w:r>
          <w:delText>•</w:delText>
        </w:r>
      </w:del>
      <w:r>
        <w:t>h/ml, C</w:t>
      </w:r>
      <w:r>
        <w:rPr>
          <w:vertAlign w:val="subscript"/>
        </w:rPr>
        <w:t>min</w:t>
      </w:r>
      <w:r>
        <w:t xml:space="preserve"> tocilizumabu 24,4</w:t>
      </w:r>
      <w:r>
        <w:rPr>
          <w:iCs/>
        </w:rPr>
        <w:t> </w:t>
      </w:r>
      <w:r>
        <w:t>±</w:t>
      </w:r>
      <w:r>
        <w:rPr>
          <w:iCs/>
        </w:rPr>
        <w:t> </w:t>
      </w:r>
      <w:r>
        <w:t>7,5 μg/ml a C</w:t>
      </w:r>
      <w:r>
        <w:rPr>
          <w:vertAlign w:val="subscript"/>
        </w:rPr>
        <w:t>max</w:t>
      </w:r>
      <w:r>
        <w:t xml:space="preserve"> tocilizumabu</w:t>
      </w:r>
      <w:r>
        <w:rPr>
          <w:bCs/>
        </w:rPr>
        <w:t xml:space="preserve"> </w:t>
      </w:r>
      <w:r>
        <w:t>226</w:t>
      </w:r>
      <w:r>
        <w:rPr>
          <w:iCs/>
        </w:rPr>
        <w:t> </w:t>
      </w:r>
      <w:r>
        <w:t>±</w:t>
      </w:r>
      <w:r>
        <w:rPr>
          <w:iCs/>
        </w:rPr>
        <w:t> </w:t>
      </w:r>
      <w:r>
        <w:t xml:space="preserve">50,3 μg/ml, čo sú vyššie hodnoty, než hodnoty pri priemernej expozícii v súbore pacientov (t. j. celková hmotnosť všetkých pacientov) ako je uvedené vyššie. Krivka odpovede na dávku sa pri tocilizumabe pri vyšších expozíciách splošťuje, čo vedie k nižšiemu nárastu účinnosti pre každé ďalšie zvýšenie koncentrácie, takže u pacientov liečených tocilizumabom dávkou </w:t>
      </w:r>
      <w:r>
        <w:rPr>
          <w:rFonts w:eastAsia="MS Mincho"/>
          <w:szCs w:val="22"/>
        </w:rPr>
        <w:sym w:font="Symbol" w:char="F03E"/>
      </w:r>
      <w:r>
        <w:t> 800 mg nedochádza už k žiadnemu zmysluplnému zvýšeniu účinnosti. Preto sa neodporúčajú dávky, ktoré presahujú 800 mg na infúziu (pozri časť </w:t>
      </w:r>
      <w:r>
        <w:rPr>
          <w:iCs/>
        </w:rPr>
        <w:t>4.2).</w:t>
      </w:r>
    </w:p>
    <w:p w14:paraId="363F6780" w14:textId="77777777" w:rsidR="009700E5" w:rsidRDefault="009700E5">
      <w:pPr>
        <w:numPr>
          <w:ilvl w:val="12"/>
          <w:numId w:val="0"/>
        </w:numPr>
        <w:ind w:right="-2"/>
        <w:rPr>
          <w:iCs/>
        </w:rPr>
      </w:pPr>
    </w:p>
    <w:p w14:paraId="3972743D" w14:textId="77777777" w:rsidR="009700E5" w:rsidRDefault="002C033C">
      <w:pPr>
        <w:keepNext/>
        <w:keepLines/>
        <w:numPr>
          <w:ilvl w:val="12"/>
          <w:numId w:val="0"/>
        </w:numPr>
        <w:rPr>
          <w:i/>
        </w:rPr>
      </w:pPr>
      <w:r>
        <w:rPr>
          <w:i/>
          <w:u w:val="single"/>
        </w:rPr>
        <w:t>Distribúcia</w:t>
      </w:r>
    </w:p>
    <w:p w14:paraId="76E220B9" w14:textId="77777777" w:rsidR="009700E5" w:rsidRDefault="002C033C">
      <w:pPr>
        <w:keepNext/>
        <w:keepLines/>
        <w:numPr>
          <w:ilvl w:val="12"/>
          <w:numId w:val="0"/>
        </w:numPr>
        <w:rPr>
          <w:iCs/>
        </w:rPr>
      </w:pPr>
      <w:r>
        <w:rPr>
          <w:iCs/>
        </w:rPr>
        <w:t>U pacientov s RA bol distribučný objem centrálneho kompartmentu 3,72 l, distribučný objem periférneho kompartmentu bol 3,35 l, čo malo za následok distribučný objem 7,07 l v rovnovážnom stave.</w:t>
      </w:r>
    </w:p>
    <w:p w14:paraId="5C0E4DDE" w14:textId="77777777" w:rsidR="009700E5" w:rsidRDefault="009700E5">
      <w:pPr>
        <w:numPr>
          <w:ilvl w:val="12"/>
          <w:numId w:val="0"/>
        </w:numPr>
        <w:ind w:right="-2"/>
        <w:rPr>
          <w:iCs/>
        </w:rPr>
      </w:pPr>
    </w:p>
    <w:p w14:paraId="2BCE36CF" w14:textId="77777777" w:rsidR="009700E5" w:rsidRDefault="002C033C">
      <w:pPr>
        <w:keepNext/>
        <w:keepLines/>
        <w:numPr>
          <w:ilvl w:val="12"/>
          <w:numId w:val="0"/>
        </w:numPr>
        <w:rPr>
          <w:i/>
        </w:rPr>
      </w:pPr>
      <w:r>
        <w:rPr>
          <w:i/>
          <w:u w:val="single"/>
        </w:rPr>
        <w:t>Eliminácia</w:t>
      </w:r>
    </w:p>
    <w:p w14:paraId="21197207" w14:textId="77777777" w:rsidR="009700E5" w:rsidRDefault="002C033C">
      <w:pPr>
        <w:keepNext/>
        <w:keepLines/>
        <w:numPr>
          <w:ilvl w:val="12"/>
          <w:numId w:val="0"/>
        </w:numPr>
        <w:rPr>
          <w:iCs/>
        </w:rPr>
      </w:pPr>
      <w:r>
        <w:rPr>
          <w:iCs/>
        </w:rPr>
        <w:t xml:space="preserve">Po intravenóznom podaní dávky podlieha </w:t>
      </w:r>
      <w:r>
        <w:t>tocilizumab</w:t>
      </w:r>
      <w:r>
        <w:rPr>
          <w:iCs/>
        </w:rPr>
        <w:t xml:space="preserve"> dvojfázovému vylučovaniu z cirkulácie. Celkový klírens </w:t>
      </w:r>
      <w:r>
        <w:t>tocilizumabu</w:t>
      </w:r>
      <w:r>
        <w:rPr>
          <w:iCs/>
        </w:rPr>
        <w:t xml:space="preserve"> bol závislý od koncentrácie a je súčtom lineárneho a nelineárneho klírensu. Lineárny klírens bol odhadnutý ako parameter v populačnej farmakokinetickej analýze na 9,5 ml/h. Od koncentrácie závislý nelineárny klírens zohráva hlavnú úlohu pri nízkych koncentráciách </w:t>
      </w:r>
      <w:r>
        <w:t>tocilizumabu</w:t>
      </w:r>
      <w:r>
        <w:rPr>
          <w:iCs/>
        </w:rPr>
        <w:t xml:space="preserve">. Keď je cesta nelineárneho klírensu nasýtená, pri vyšších koncentráciách </w:t>
      </w:r>
      <w:r>
        <w:t>tocilizumabu</w:t>
      </w:r>
      <w:r>
        <w:rPr>
          <w:iCs/>
        </w:rPr>
        <w:t xml:space="preserve"> je klírens určovaný hlavne lineárnym klírensom.</w:t>
      </w:r>
    </w:p>
    <w:p w14:paraId="68382D50" w14:textId="77777777" w:rsidR="009700E5" w:rsidRDefault="009700E5">
      <w:pPr>
        <w:numPr>
          <w:ilvl w:val="12"/>
          <w:numId w:val="0"/>
        </w:numPr>
        <w:ind w:right="-2"/>
        <w:rPr>
          <w:iCs/>
        </w:rPr>
      </w:pPr>
    </w:p>
    <w:p w14:paraId="4E2F4DCC" w14:textId="77777777" w:rsidR="009700E5" w:rsidRDefault="002C033C">
      <w:pPr>
        <w:numPr>
          <w:ilvl w:val="12"/>
          <w:numId w:val="0"/>
        </w:numPr>
        <w:ind w:right="-2"/>
        <w:rPr>
          <w:iCs/>
        </w:rPr>
      </w:pPr>
      <w:r>
        <w:rPr>
          <w:iCs/>
        </w:rPr>
        <w:t>t</w:t>
      </w:r>
      <w:r>
        <w:rPr>
          <w:iCs/>
          <w:vertAlign w:val="subscript"/>
        </w:rPr>
        <w:t>1/2</w:t>
      </w:r>
      <w:r>
        <w:rPr>
          <w:iCs/>
        </w:rPr>
        <w:t xml:space="preserve"> </w:t>
      </w:r>
      <w:r>
        <w:t>tocilizumabu</w:t>
      </w:r>
      <w:r>
        <w:rPr>
          <w:iCs/>
        </w:rPr>
        <w:t xml:space="preserve"> bol závislý od koncentrácie. V rovnovážnom stave sa po dávke 8 mg/kg podávanej raz za 4 týždne efektívny t</w:t>
      </w:r>
      <w:r>
        <w:rPr>
          <w:iCs/>
          <w:vertAlign w:val="subscript"/>
        </w:rPr>
        <w:t>1/2</w:t>
      </w:r>
      <w:r>
        <w:rPr>
          <w:iCs/>
        </w:rPr>
        <w:t xml:space="preserve"> znižoval so znižujúcimi sa koncentráciami v rámci dávkovacieho intervalu od 18 dní do 6 dní.</w:t>
      </w:r>
    </w:p>
    <w:p w14:paraId="07C86EFE" w14:textId="77777777" w:rsidR="009700E5" w:rsidRDefault="009700E5">
      <w:pPr>
        <w:outlineLvl w:val="0"/>
      </w:pPr>
    </w:p>
    <w:p w14:paraId="2F56BE9F" w14:textId="77777777" w:rsidR="009700E5" w:rsidRDefault="002C033C">
      <w:pPr>
        <w:outlineLvl w:val="0"/>
        <w:rPr>
          <w:i/>
          <w:iCs/>
          <w:u w:val="single"/>
        </w:rPr>
      </w:pPr>
      <w:r>
        <w:rPr>
          <w:i/>
          <w:iCs/>
          <w:u w:val="single"/>
        </w:rPr>
        <w:t>Linearita</w:t>
      </w:r>
    </w:p>
    <w:p w14:paraId="2DDBA404" w14:textId="77777777" w:rsidR="009700E5" w:rsidRDefault="002C033C">
      <w:pPr>
        <w:outlineLvl w:val="0"/>
        <w:rPr>
          <w:iCs/>
        </w:rPr>
      </w:pPr>
      <w:r>
        <w:rPr>
          <w:iCs/>
        </w:rPr>
        <w:t xml:space="preserve">Farmakokinetické parametre </w:t>
      </w:r>
      <w:r>
        <w:t>tocilizumabu</w:t>
      </w:r>
      <w:r>
        <w:rPr>
          <w:iCs/>
        </w:rPr>
        <w:t xml:space="preserve"> sa postupom času nezmenili. Pri dávkach 4 a 8 mg/kg podávaných raz za 4 týždne sa pozorovalo vyššie ako dávke úmerné zvýšenie hodnoty AUC a C</w:t>
      </w:r>
      <w:r>
        <w:rPr>
          <w:iCs/>
          <w:vertAlign w:val="subscript"/>
        </w:rPr>
        <w:t>min</w:t>
      </w:r>
      <w:r>
        <w:rPr>
          <w:iCs/>
        </w:rPr>
        <w:t>. Hodnota C</w:t>
      </w:r>
      <w:r>
        <w:rPr>
          <w:iCs/>
          <w:vertAlign w:val="subscript"/>
        </w:rPr>
        <w:t>max</w:t>
      </w:r>
      <w:r>
        <w:rPr>
          <w:iCs/>
        </w:rPr>
        <w:t xml:space="preserve"> sa zvyšovala úmerne dávke. V rovnovážnom stave bola pri dávke 8 mg/kg predpokladaná hodnota AUC 3,2</w:t>
      </w:r>
      <w:r>
        <w:rPr>
          <w:iCs/>
        </w:rPr>
        <w:noBreakHyphen/>
        <w:t>násobne a hodnota C</w:t>
      </w:r>
      <w:r>
        <w:rPr>
          <w:iCs/>
          <w:vertAlign w:val="subscript"/>
        </w:rPr>
        <w:t>min</w:t>
      </w:r>
      <w:r>
        <w:rPr>
          <w:iCs/>
        </w:rPr>
        <w:t xml:space="preserve"> 30</w:t>
      </w:r>
      <w:r>
        <w:rPr>
          <w:iCs/>
        </w:rPr>
        <w:noBreakHyphen/>
        <w:t>násobne vyššia než pri dávke 4 mg/kg.</w:t>
      </w:r>
    </w:p>
    <w:p w14:paraId="5E300784" w14:textId="77777777" w:rsidR="009700E5" w:rsidRDefault="009700E5">
      <w:pPr>
        <w:outlineLvl w:val="0"/>
      </w:pPr>
    </w:p>
    <w:p w14:paraId="739D3987" w14:textId="77777777" w:rsidR="009700E5" w:rsidRDefault="002C033C">
      <w:pPr>
        <w:keepNext/>
        <w:keepLines/>
        <w:rPr>
          <w:i/>
          <w:iCs/>
          <w:szCs w:val="22"/>
          <w:u w:val="single"/>
          <w:lang w:eastAsia="de-DE"/>
        </w:rPr>
      </w:pPr>
      <w:r>
        <w:rPr>
          <w:i/>
          <w:iCs/>
          <w:szCs w:val="22"/>
          <w:u w:val="single"/>
          <w:lang w:eastAsia="de-DE"/>
        </w:rPr>
        <w:t>Subkutánne použitie</w:t>
      </w:r>
    </w:p>
    <w:p w14:paraId="71B4E36E" w14:textId="77777777" w:rsidR="009700E5" w:rsidRDefault="002C033C">
      <w:pPr>
        <w:keepNext/>
        <w:keepLines/>
        <w:rPr>
          <w:iCs/>
        </w:rPr>
      </w:pPr>
      <w:r>
        <w:rPr>
          <w:iCs/>
        </w:rPr>
        <w:t xml:space="preserve">Farmakokinetika </w:t>
      </w:r>
      <w:r>
        <w:t>tocilizumabu</w:t>
      </w:r>
      <w:r>
        <w:rPr>
          <w:iCs/>
        </w:rPr>
        <w:t xml:space="preserve"> sa stanovila za použitia populačnej farmakokinetickej analýzy údajov z databázy zloženej z 3 552 pacientov s RA liečených dávkou 162 mg podávanou subkutánne každý týždeň, dávkou 162 mg podávanou subkutánne každý druhý týždeň a dávkou 4 alebo 8 mg/kg podávanou intravenózne raz za 4 týždne počas 24 týždňov.</w:t>
      </w:r>
    </w:p>
    <w:p w14:paraId="4385E8AC" w14:textId="77777777" w:rsidR="009700E5" w:rsidRDefault="009700E5">
      <w:pPr>
        <w:rPr>
          <w:iCs/>
        </w:rPr>
      </w:pPr>
    </w:p>
    <w:p w14:paraId="033BF61D" w14:textId="77777777" w:rsidR="009700E5" w:rsidRDefault="002C033C">
      <w:r>
        <w:rPr>
          <w:iCs/>
        </w:rPr>
        <w:t xml:space="preserve">Farmakokinetické parametre </w:t>
      </w:r>
      <w:r>
        <w:t>tocilizumabu</w:t>
      </w:r>
      <w:r>
        <w:rPr>
          <w:iCs/>
        </w:rPr>
        <w:t xml:space="preserve"> sa postupom času nezmenili. Pri dávke 162 mg podávanej každý týždeň bol predpokladaný priemer </w:t>
      </w:r>
      <w:r>
        <w:t>(± SD) AUC</w:t>
      </w:r>
      <w:r>
        <w:rPr>
          <w:vertAlign w:val="subscript"/>
        </w:rPr>
        <w:t>1. týždeň</w:t>
      </w:r>
      <w:r>
        <w:t xml:space="preserve"> tocilizumabu v rovnovážnom stave </w:t>
      </w:r>
      <w:r>
        <w:lastRenderedPageBreak/>
        <w:t>7</w:t>
      </w:r>
      <w:r>
        <w:rPr>
          <w:iCs/>
        </w:rPr>
        <w:t> </w:t>
      </w:r>
      <w:r>
        <w:t>970 ± 3 432 </w:t>
      </w:r>
      <w:r>
        <w:rPr>
          <w:iCs/>
        </w:rPr>
        <w:t>µ</w:t>
      </w:r>
      <w:r>
        <w:t>g</w:t>
      </w:r>
      <w:ins w:id="2694" w:author="Author" w:date="2025-07-21T10:59:00Z">
        <w:r>
          <w:t> </w:t>
        </w:r>
      </w:ins>
      <w:ins w:id="2695" w:author="Author" w:date="2025-07-20T00:27:00Z">
        <w:del w:id="2696" w:author="Author" w:date="2025-07-21T10:59:00Z">
          <w:r>
            <w:delText xml:space="preserve"> </w:delText>
          </w:r>
        </w:del>
        <w:r>
          <w:rPr>
            <w:szCs w:val="22"/>
          </w:rPr>
          <w:t>× </w:t>
        </w:r>
      </w:ins>
      <w:del w:id="2697" w:author="Author" w:date="2025-07-20T00:27:00Z">
        <w:r>
          <w:delText>•</w:delText>
        </w:r>
      </w:del>
      <w:r>
        <w:t>h/ml, C</w:t>
      </w:r>
      <w:r>
        <w:rPr>
          <w:vertAlign w:val="subscript"/>
        </w:rPr>
        <w:t>min</w:t>
      </w:r>
      <w:r>
        <w:t xml:space="preserve"> tocilizumabu 43,0 ± 19,8 </w:t>
      </w:r>
      <w:r>
        <w:rPr>
          <w:iCs/>
        </w:rPr>
        <w:t>µ</w:t>
      </w:r>
      <w:r>
        <w:t>g/ml a C</w:t>
      </w:r>
      <w:r>
        <w:rPr>
          <w:vertAlign w:val="subscript"/>
        </w:rPr>
        <w:t xml:space="preserve">max </w:t>
      </w:r>
      <w:r>
        <w:t>tocilizumabu 49,8 ± 21,0 </w:t>
      </w:r>
      <w:r>
        <w:rPr>
          <w:iCs/>
        </w:rPr>
        <w:t>µ</w:t>
      </w:r>
      <w:r>
        <w:t>g/ml. Pomer kumulácie bol pri AUC 6,32, pri C</w:t>
      </w:r>
      <w:r>
        <w:rPr>
          <w:vertAlign w:val="subscript"/>
        </w:rPr>
        <w:t>min</w:t>
      </w:r>
      <w:r>
        <w:t xml:space="preserve"> 6,30 a pri C</w:t>
      </w:r>
      <w:r>
        <w:rPr>
          <w:vertAlign w:val="subscript"/>
        </w:rPr>
        <w:t>max</w:t>
      </w:r>
      <w:r>
        <w:t xml:space="preserve"> 5,27. Rovnovážny stav sa pri AUC, C</w:t>
      </w:r>
      <w:r>
        <w:rPr>
          <w:vertAlign w:val="subscript"/>
        </w:rPr>
        <w:t>min</w:t>
      </w:r>
      <w:r>
        <w:t xml:space="preserve"> a C</w:t>
      </w:r>
      <w:r>
        <w:rPr>
          <w:vertAlign w:val="subscript"/>
        </w:rPr>
        <w:t>max</w:t>
      </w:r>
      <w:r>
        <w:t xml:space="preserve"> dosiahol po 12 týždňoch.</w:t>
      </w:r>
    </w:p>
    <w:p w14:paraId="2E5D7208" w14:textId="77777777" w:rsidR="009700E5" w:rsidRDefault="009700E5">
      <w:pPr>
        <w:rPr>
          <w:iCs/>
        </w:rPr>
      </w:pPr>
    </w:p>
    <w:p w14:paraId="51EC58ED" w14:textId="77777777" w:rsidR="009700E5" w:rsidRDefault="002C033C">
      <w:r>
        <w:rPr>
          <w:iCs/>
        </w:rPr>
        <w:t xml:space="preserve">Pri dávke 162 mg podávanej každý druhý týždeň bol predpokladaný priemer </w:t>
      </w:r>
      <w:r>
        <w:t>(± SD) AUC</w:t>
      </w:r>
      <w:r>
        <w:rPr>
          <w:vertAlign w:val="subscript"/>
        </w:rPr>
        <w:t>2. týždeň</w:t>
      </w:r>
      <w:r>
        <w:t xml:space="preserve"> tocilizumabu v rovnovážnom stave 3 430 ± 2 660 </w:t>
      </w:r>
      <w:r>
        <w:rPr>
          <w:iCs/>
        </w:rPr>
        <w:t>µ</w:t>
      </w:r>
      <w:r>
        <w:t>g</w:t>
      </w:r>
      <w:ins w:id="2698" w:author="Author" w:date="2025-07-20T00:27:00Z">
        <w:r>
          <w:t xml:space="preserve"> </w:t>
        </w:r>
      </w:ins>
      <w:ins w:id="2699" w:author="Author" w:date="2025-07-20T00:28:00Z">
        <w:r>
          <w:rPr>
            <w:szCs w:val="22"/>
          </w:rPr>
          <w:t>× </w:t>
        </w:r>
      </w:ins>
      <w:del w:id="2700" w:author="Author" w:date="2025-07-20T00:27:00Z">
        <w:r>
          <w:delText>•</w:delText>
        </w:r>
      </w:del>
      <w:r>
        <w:t>h/ml, C</w:t>
      </w:r>
      <w:r>
        <w:rPr>
          <w:vertAlign w:val="subscript"/>
        </w:rPr>
        <w:t>min</w:t>
      </w:r>
      <w:r>
        <w:t xml:space="preserve"> tocilizumabu 5,7 ± 6,8 </w:t>
      </w:r>
      <w:r>
        <w:rPr>
          <w:iCs/>
        </w:rPr>
        <w:t>µ</w:t>
      </w:r>
      <w:r>
        <w:t>g/ml a C</w:t>
      </w:r>
      <w:r>
        <w:rPr>
          <w:vertAlign w:val="subscript"/>
        </w:rPr>
        <w:t>max</w:t>
      </w:r>
      <w:r>
        <w:t> tocilizumabu 13,2 ± 8,8 </w:t>
      </w:r>
      <w:r>
        <w:rPr>
          <w:iCs/>
        </w:rPr>
        <w:t>µ</w:t>
      </w:r>
      <w:r>
        <w:t>g/ml. Pomer kumulácie bol pri AUC 2,67, pri C</w:t>
      </w:r>
      <w:r>
        <w:rPr>
          <w:vertAlign w:val="subscript"/>
        </w:rPr>
        <w:t>min</w:t>
      </w:r>
      <w:r>
        <w:t xml:space="preserve"> 6,02 a pri C</w:t>
      </w:r>
      <w:r>
        <w:rPr>
          <w:vertAlign w:val="subscript"/>
        </w:rPr>
        <w:t>max</w:t>
      </w:r>
      <w:r>
        <w:t xml:space="preserve"> 2,12. Rovnovážny stav sa pri AUC a C</w:t>
      </w:r>
      <w:r>
        <w:rPr>
          <w:vertAlign w:val="subscript"/>
        </w:rPr>
        <w:t>min</w:t>
      </w:r>
      <w:r>
        <w:t xml:space="preserve"> dosiahol po 12 týždňoch a pri C</w:t>
      </w:r>
      <w:r>
        <w:rPr>
          <w:vertAlign w:val="subscript"/>
        </w:rPr>
        <w:t>max</w:t>
      </w:r>
      <w:r>
        <w:t xml:space="preserve"> po 10 týždňoch.</w:t>
      </w:r>
    </w:p>
    <w:p w14:paraId="731C5988" w14:textId="77777777" w:rsidR="009700E5" w:rsidRDefault="009700E5"/>
    <w:p w14:paraId="21A3A3A7" w14:textId="77777777" w:rsidR="009700E5" w:rsidRDefault="002C033C">
      <w:pPr>
        <w:keepNext/>
        <w:keepLines/>
        <w:rPr>
          <w:i/>
          <w:iCs/>
          <w:szCs w:val="22"/>
          <w:u w:val="single"/>
          <w:lang w:eastAsia="de-DE"/>
        </w:rPr>
      </w:pPr>
      <w:r>
        <w:rPr>
          <w:i/>
          <w:iCs/>
          <w:szCs w:val="22"/>
          <w:u w:val="single"/>
          <w:lang w:eastAsia="de-DE"/>
        </w:rPr>
        <w:t>Absorpcia</w:t>
      </w:r>
    </w:p>
    <w:p w14:paraId="1DCA1137" w14:textId="77777777" w:rsidR="009700E5" w:rsidRDefault="002C033C">
      <w:pPr>
        <w:keepNext/>
        <w:keepLines/>
        <w:rPr>
          <w:szCs w:val="22"/>
          <w:lang w:eastAsia="de-DE"/>
        </w:rPr>
      </w:pPr>
      <w:r>
        <w:rPr>
          <w:szCs w:val="22"/>
          <w:lang w:eastAsia="de-DE"/>
        </w:rPr>
        <w:t xml:space="preserve">Po subkutánnom podávaní pacientom s RA bol čas do dosiahnutia maximálnej sérovej koncentrácie </w:t>
      </w:r>
      <w:r>
        <w:t>tocilizumabu</w:t>
      </w:r>
      <w:r>
        <w:rPr>
          <w:szCs w:val="22"/>
          <w:lang w:eastAsia="de-DE"/>
        </w:rPr>
        <w:t xml:space="preserve"> (</w:t>
      </w:r>
      <w:r>
        <w:rPr>
          <w:iCs/>
          <w:szCs w:val="22"/>
          <w:lang w:eastAsia="de-DE"/>
        </w:rPr>
        <w:t>t</w:t>
      </w:r>
      <w:r>
        <w:rPr>
          <w:iCs/>
          <w:szCs w:val="22"/>
          <w:vertAlign w:val="subscript"/>
          <w:lang w:eastAsia="de-DE"/>
        </w:rPr>
        <w:t>max)</w:t>
      </w:r>
      <w:r>
        <w:rPr>
          <w:szCs w:val="22"/>
          <w:lang w:eastAsia="de-DE"/>
        </w:rPr>
        <w:t xml:space="preserve"> 2,8 dňa. Biologická dostupnosť subkutánnej formy bola 79 %.</w:t>
      </w:r>
    </w:p>
    <w:p w14:paraId="6C0332C2" w14:textId="77777777" w:rsidR="009700E5" w:rsidRDefault="009700E5">
      <w:pPr>
        <w:rPr>
          <w:szCs w:val="22"/>
          <w:lang w:eastAsia="de-DE"/>
        </w:rPr>
      </w:pPr>
    </w:p>
    <w:p w14:paraId="51BF3D21" w14:textId="77777777" w:rsidR="009700E5" w:rsidRDefault="002C033C">
      <w:pPr>
        <w:keepNext/>
        <w:keepLines/>
        <w:rPr>
          <w:i/>
          <w:iCs/>
          <w:szCs w:val="22"/>
          <w:u w:val="single"/>
          <w:lang w:eastAsia="de-DE"/>
        </w:rPr>
      </w:pPr>
      <w:r>
        <w:rPr>
          <w:i/>
          <w:iCs/>
          <w:szCs w:val="22"/>
          <w:u w:val="single"/>
          <w:lang w:eastAsia="de-DE"/>
        </w:rPr>
        <w:t>Eliminácia</w:t>
      </w:r>
    </w:p>
    <w:p w14:paraId="3098F02F" w14:textId="77777777" w:rsidR="009700E5" w:rsidRDefault="002C033C">
      <w:pPr>
        <w:keepNext/>
        <w:keepLines/>
        <w:rPr>
          <w:szCs w:val="22"/>
          <w:lang w:eastAsia="de-DE"/>
        </w:rPr>
      </w:pPr>
      <w:r>
        <w:rPr>
          <w:szCs w:val="22"/>
          <w:lang w:eastAsia="de-DE"/>
        </w:rPr>
        <w:t>Pri subkutánnom podávaní pacientom s RA je po dosiahnutí rovnovážneho stavu zdanlivý t</w:t>
      </w:r>
      <w:r>
        <w:rPr>
          <w:szCs w:val="22"/>
          <w:vertAlign w:val="subscript"/>
          <w:lang w:eastAsia="de-DE"/>
        </w:rPr>
        <w:t xml:space="preserve">1/2 </w:t>
      </w:r>
      <w:r>
        <w:rPr>
          <w:szCs w:val="22"/>
          <w:lang w:eastAsia="de-DE"/>
        </w:rPr>
        <w:t>závislý od koncentrácie až 1</w:t>
      </w:r>
      <w:ins w:id="2701" w:author="Author" w:date="2025-07-20T00:28:00Z">
        <w:r>
          <w:rPr>
            <w:szCs w:val="22"/>
            <w:lang w:eastAsia="de-DE"/>
          </w:rPr>
          <w:t>3</w:t>
        </w:r>
      </w:ins>
      <w:del w:id="2702" w:author="Author" w:date="2025-07-20T00:28:00Z">
        <w:r>
          <w:rPr>
            <w:szCs w:val="22"/>
            <w:lang w:eastAsia="de-DE"/>
          </w:rPr>
          <w:delText>2</w:delText>
        </w:r>
      </w:del>
      <w:r>
        <w:rPr>
          <w:szCs w:val="22"/>
          <w:lang w:eastAsia="de-DE"/>
        </w:rPr>
        <w:t> dní pri dávke 162 mg podávanej každý týždeň a 5 dní pri dávke 162 mg podávanej každý druhý týždeň.</w:t>
      </w:r>
    </w:p>
    <w:p w14:paraId="764302B4" w14:textId="77777777" w:rsidR="009700E5" w:rsidRDefault="009700E5">
      <w:pPr>
        <w:rPr>
          <w:szCs w:val="22"/>
          <w:lang w:eastAsia="de-DE"/>
        </w:rPr>
      </w:pPr>
    </w:p>
    <w:p w14:paraId="03CBA61C" w14:textId="77777777" w:rsidR="009700E5" w:rsidRPr="009700E5" w:rsidRDefault="002C033C">
      <w:pPr>
        <w:keepNext/>
        <w:keepLines/>
        <w:numPr>
          <w:ilvl w:val="12"/>
          <w:numId w:val="0"/>
        </w:numPr>
        <w:rPr>
          <w:moveTo w:id="2703" w:author="Author" w:date="2025-07-20T00:28:00Z"/>
          <w:iCs/>
          <w:szCs w:val="22"/>
          <w:u w:val="single"/>
          <w:rPrChange w:id="2704" w:author="Author" w:date="2025-08-22T15:12:00Z">
            <w:rPr>
              <w:moveTo w:id="2705" w:author="Author" w:date="2025-07-20T00:28:00Z"/>
              <w:i/>
              <w:szCs w:val="22"/>
            </w:rPr>
          </w:rPrChange>
        </w:rPr>
      </w:pPr>
      <w:moveToRangeStart w:id="2706" w:author="Author" w:date="2025-07-20T00:28:00Z" w:name="move203863708"/>
      <w:moveTo w:id="2707" w:author="Author" w:date="2025-07-20T00:28:00Z">
        <w:r>
          <w:rPr>
            <w:iCs/>
            <w:szCs w:val="22"/>
            <w:u w:val="single"/>
            <w:rPrChange w:id="2708" w:author="Author" w:date="2025-08-22T15:12:00Z">
              <w:rPr>
                <w:i/>
                <w:szCs w:val="22"/>
              </w:rPr>
            </w:rPrChange>
          </w:rPr>
          <w:t>Subkutánne použitie</w:t>
        </w:r>
      </w:moveTo>
    </w:p>
    <w:moveToRangeEnd w:id="2706"/>
    <w:p w14:paraId="36B0373F" w14:textId="77777777" w:rsidR="009700E5" w:rsidRDefault="002C033C">
      <w:pPr>
        <w:keepNext/>
        <w:keepLines/>
        <w:numPr>
          <w:ilvl w:val="12"/>
          <w:numId w:val="0"/>
        </w:numPr>
        <w:rPr>
          <w:ins w:id="2709" w:author="Author" w:date="2025-07-21T10:59:00Z"/>
          <w:i/>
          <w:szCs w:val="22"/>
        </w:rPr>
      </w:pPr>
      <w:r>
        <w:rPr>
          <w:i/>
          <w:szCs w:val="22"/>
          <w:rPrChange w:id="2710" w:author="Author" w:date="2025-08-22T15:12:00Z">
            <w:rPr>
              <w:iCs/>
              <w:szCs w:val="22"/>
              <w:u w:val="single"/>
            </w:rPr>
          </w:rPrChange>
        </w:rPr>
        <w:t>Pacienti so sJIA</w:t>
      </w:r>
    </w:p>
    <w:p w14:paraId="214432C5" w14:textId="77777777" w:rsidR="009700E5" w:rsidRPr="009700E5" w:rsidRDefault="009700E5">
      <w:pPr>
        <w:keepNext/>
        <w:keepLines/>
        <w:numPr>
          <w:ilvl w:val="12"/>
          <w:numId w:val="0"/>
        </w:numPr>
        <w:rPr>
          <w:i/>
          <w:szCs w:val="22"/>
          <w:rPrChange w:id="2711" w:author="Author" w:date="2025-08-22T15:12:00Z">
            <w:rPr>
              <w:iCs/>
              <w:szCs w:val="22"/>
              <w:u w:val="single"/>
            </w:rPr>
          </w:rPrChange>
        </w:rPr>
      </w:pPr>
    </w:p>
    <w:p w14:paraId="505C82F6" w14:textId="77777777" w:rsidR="009700E5" w:rsidRDefault="002C033C">
      <w:pPr>
        <w:keepNext/>
        <w:keepLines/>
        <w:numPr>
          <w:ilvl w:val="12"/>
          <w:numId w:val="0"/>
        </w:numPr>
        <w:rPr>
          <w:moveFrom w:id="2712" w:author="Author" w:date="2025-07-20T00:28:00Z"/>
          <w:i/>
          <w:szCs w:val="22"/>
        </w:rPr>
      </w:pPr>
      <w:moveFromRangeStart w:id="2713" w:author="Author" w:date="2025-07-20T00:28:00Z" w:name="move203863708"/>
      <w:moveFrom w:id="2714" w:author="Author" w:date="2025-07-20T00:28:00Z">
        <w:r>
          <w:rPr>
            <w:i/>
            <w:szCs w:val="22"/>
          </w:rPr>
          <w:t>Subkutánne použitie</w:t>
        </w:r>
      </w:moveFrom>
    </w:p>
    <w:moveFromRangeEnd w:id="2713"/>
    <w:p w14:paraId="0818F794" w14:textId="77777777" w:rsidR="009700E5" w:rsidRDefault="002C033C">
      <w:pPr>
        <w:keepNext/>
        <w:keepLines/>
        <w:numPr>
          <w:ilvl w:val="12"/>
          <w:numId w:val="0"/>
        </w:numPr>
        <w:rPr>
          <w:iCs/>
        </w:rPr>
      </w:pPr>
      <w:r>
        <w:rPr>
          <w:iCs/>
        </w:rPr>
        <w:t xml:space="preserve">Farmakokinetika </w:t>
      </w:r>
      <w:r>
        <w:t>tocilizumabu</w:t>
      </w:r>
      <w:r>
        <w:rPr>
          <w:iCs/>
        </w:rPr>
        <w:t xml:space="preserve"> u pacientov so sJIA bola charakterizovaná pomocou populačnej farmakokinetickej analýzy zahŕňajúcej 140 pacientov, ktorí boli liečení dávkou 8 mg/kg intravenózne raz za 2 týždne (Q2W) (pacienti s telesnou hmotnosťou ≥ 30 kg), 12 mg/kg intravenózne raz za 2 týždne (pacienti s telesnou hmotnosťou nižšou ako 30 kg), 162 mg subkutánne raz za týždeň (pacienti s telesnou hmotnosťou ≥ 30 kg), 162 mg subkutánne každých 10 dní alebo raz za 2 týždne (pacienti s telesnou hmotnosťou nižšou ako 30 kg).</w:t>
      </w:r>
    </w:p>
    <w:p w14:paraId="40DEA4EF" w14:textId="77777777" w:rsidR="009700E5" w:rsidRDefault="009700E5">
      <w:pPr>
        <w:numPr>
          <w:ilvl w:val="12"/>
          <w:numId w:val="0"/>
        </w:numPr>
        <w:rPr>
          <w:iCs/>
        </w:rPr>
      </w:pPr>
    </w:p>
    <w:p w14:paraId="386A3932" w14:textId="77777777" w:rsidR="009700E5" w:rsidRDefault="002C033C">
      <w:pPr>
        <w:rPr>
          <w:iCs/>
          <w:szCs w:val="22"/>
        </w:rPr>
      </w:pPr>
      <w:r>
        <w:rPr>
          <w:iCs/>
          <w:szCs w:val="22"/>
        </w:rPr>
        <w:t>K dispozícii sú obmedzené údaje týkajúce sa expozícií po subkutánnom podávaní tocilizumabu u pacientov so sJIA mladších ako 2 roky, ktorí mali telesnú hmotnosť nižšiu ako 10 kg.</w:t>
      </w:r>
    </w:p>
    <w:p w14:paraId="5E20FADE" w14:textId="77777777" w:rsidR="009700E5" w:rsidRDefault="002C033C">
      <w:pPr>
        <w:rPr>
          <w:iCs/>
          <w:szCs w:val="22"/>
        </w:rPr>
      </w:pPr>
      <w:r>
        <w:t xml:space="preserve">Pri podávaní </w:t>
      </w:r>
      <w:r>
        <w:rPr>
          <w:iCs/>
          <w:szCs w:val="22"/>
        </w:rPr>
        <w:t>tocilizumabu</w:t>
      </w:r>
      <w:r>
        <w:t xml:space="preserve"> subkutánne musia mať pacienti </w:t>
      </w:r>
      <w:r>
        <w:rPr>
          <w:iCs/>
          <w:szCs w:val="22"/>
        </w:rPr>
        <w:t>so sJIA</w:t>
      </w:r>
      <w:r>
        <w:t xml:space="preserve"> minimálnu telesnú hmotnosť 10 kg </w:t>
      </w:r>
      <w:r>
        <w:rPr>
          <w:iCs/>
          <w:szCs w:val="22"/>
        </w:rPr>
        <w:t>(pozri časť 4.2).</w:t>
      </w:r>
    </w:p>
    <w:p w14:paraId="32451055" w14:textId="77777777" w:rsidR="009700E5" w:rsidRDefault="009700E5">
      <w:pPr>
        <w:numPr>
          <w:ilvl w:val="12"/>
          <w:numId w:val="0"/>
        </w:numPr>
        <w:ind w:right="-2"/>
        <w:rPr>
          <w:iCs/>
        </w:rPr>
      </w:pPr>
    </w:p>
    <w:p w14:paraId="1E90661F" w14:textId="77777777" w:rsidR="009700E5" w:rsidRDefault="002C033C">
      <w:pPr>
        <w:keepNext/>
        <w:keepLines/>
        <w:numPr>
          <w:ilvl w:val="12"/>
          <w:numId w:val="0"/>
        </w:numPr>
        <w:ind w:right="-2"/>
        <w:rPr>
          <w:bCs/>
          <w:i/>
          <w:szCs w:val="22"/>
        </w:rPr>
      </w:pPr>
      <w:r>
        <w:rPr>
          <w:bCs/>
          <w:i/>
          <w:szCs w:val="22"/>
        </w:rPr>
        <w:t>Tabuľka 8. Predpokladaný priemer ± SD FK parametrov v rovnovážnom stave po subkutánnom podávaní u pacientov so sJIA</w:t>
      </w:r>
    </w:p>
    <w:p w14:paraId="24AA738D" w14:textId="77777777" w:rsidR="009700E5" w:rsidRDefault="009700E5">
      <w:pPr>
        <w:keepNext/>
        <w:keepLines/>
        <w:numPr>
          <w:ilvl w:val="12"/>
          <w:numId w:val="0"/>
        </w:numPr>
        <w:ind w:right="-2"/>
        <w:rPr>
          <w:bCs/>
          <w:i/>
          <w:szCs w:val="22"/>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9700E5" w14:paraId="554744F3" w14:textId="77777777">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3A1FBC38" w14:textId="77777777" w:rsidR="009700E5" w:rsidRDefault="002C033C">
            <w:pPr>
              <w:pStyle w:val="TextTi9"/>
              <w:keepNext/>
              <w:spacing w:after="120"/>
              <w:rPr>
                <w:rFonts w:ascii="Times New Roman" w:hAnsi="Times New Roman"/>
                <w:sz w:val="20"/>
                <w:szCs w:val="20"/>
              </w:rPr>
            </w:pPr>
            <w:r>
              <w:rPr>
                <w:rFonts w:ascii="Times New Roman" w:hAnsi="Times New Roman"/>
                <w:b/>
                <w:sz w:val="20"/>
                <w:szCs w:val="20"/>
              </w:rPr>
              <w:t>FK parameter tocilizumabu</w:t>
            </w:r>
          </w:p>
        </w:tc>
        <w:tc>
          <w:tcPr>
            <w:tcW w:w="2977" w:type="dxa"/>
            <w:tcBorders>
              <w:top w:val="single" w:sz="4" w:space="0" w:color="auto"/>
              <w:left w:val="single" w:sz="4" w:space="0" w:color="auto"/>
              <w:bottom w:val="single" w:sz="4" w:space="0" w:color="auto"/>
              <w:right w:val="single" w:sz="4" w:space="0" w:color="auto"/>
            </w:tcBorders>
            <w:hideMark/>
          </w:tcPr>
          <w:p w14:paraId="6E847B92" w14:textId="77777777" w:rsidR="009700E5" w:rsidRDefault="002C033C">
            <w:pPr>
              <w:pStyle w:val="TextTi9"/>
              <w:keepNext/>
              <w:spacing w:after="120"/>
              <w:jc w:val="center"/>
              <w:rPr>
                <w:rFonts w:ascii="Times New Roman" w:hAnsi="Times New Roman"/>
                <w:b/>
                <w:sz w:val="20"/>
                <w:szCs w:val="20"/>
              </w:rPr>
            </w:pPr>
            <w:r>
              <w:rPr>
                <w:rFonts w:ascii="Times New Roman" w:hAnsi="Times New Roman"/>
                <w:b/>
                <w:sz w:val="20"/>
                <w:szCs w:val="20"/>
              </w:rPr>
              <w:t>162 mg QW</w:t>
            </w:r>
          </w:p>
          <w:p w14:paraId="6B8577F6" w14:textId="77777777" w:rsidR="009700E5" w:rsidRDefault="002C033C">
            <w:pPr>
              <w:pStyle w:val="TextTi9"/>
              <w:keepNext/>
              <w:spacing w:after="120"/>
              <w:jc w:val="center"/>
              <w:rPr>
                <w:rFonts w:ascii="Times New Roman" w:hAnsi="Times New Roman"/>
                <w:b/>
                <w:sz w:val="20"/>
                <w:szCs w:val="20"/>
              </w:rPr>
            </w:pPr>
            <w:r>
              <w:rPr>
                <w:rFonts w:ascii="Times New Roman" w:hAnsi="Times New Roman"/>
                <w:b/>
                <w:sz w:val="20"/>
                <w:szCs w:val="20"/>
              </w:rPr>
              <w:t>≥ 30 kg</w:t>
            </w:r>
          </w:p>
        </w:tc>
        <w:tc>
          <w:tcPr>
            <w:tcW w:w="2977" w:type="dxa"/>
            <w:tcBorders>
              <w:top w:val="single" w:sz="4" w:space="0" w:color="auto"/>
              <w:left w:val="single" w:sz="4" w:space="0" w:color="auto"/>
              <w:bottom w:val="single" w:sz="4" w:space="0" w:color="auto"/>
              <w:right w:val="single" w:sz="4" w:space="0" w:color="auto"/>
            </w:tcBorders>
            <w:hideMark/>
          </w:tcPr>
          <w:p w14:paraId="7A58162B" w14:textId="77777777" w:rsidR="009700E5" w:rsidRDefault="002C033C">
            <w:pPr>
              <w:pStyle w:val="TextTi9"/>
              <w:keepNext/>
              <w:spacing w:after="120"/>
              <w:jc w:val="center"/>
              <w:rPr>
                <w:rFonts w:ascii="Times New Roman" w:hAnsi="Times New Roman"/>
                <w:b/>
                <w:sz w:val="20"/>
                <w:szCs w:val="20"/>
              </w:rPr>
            </w:pPr>
            <w:r>
              <w:rPr>
                <w:rFonts w:ascii="Times New Roman" w:hAnsi="Times New Roman"/>
                <w:b/>
                <w:sz w:val="20"/>
                <w:szCs w:val="20"/>
              </w:rPr>
              <w:t>162 mg Q2W</w:t>
            </w:r>
          </w:p>
          <w:p w14:paraId="20576EED" w14:textId="77777777" w:rsidR="009700E5" w:rsidRDefault="002C033C">
            <w:pPr>
              <w:pStyle w:val="TextTi9"/>
              <w:keepNext/>
              <w:spacing w:after="120"/>
              <w:jc w:val="center"/>
              <w:rPr>
                <w:rFonts w:ascii="Times New Roman" w:hAnsi="Times New Roman"/>
                <w:b/>
                <w:sz w:val="20"/>
                <w:szCs w:val="20"/>
              </w:rPr>
            </w:pPr>
            <w:r>
              <w:rPr>
                <w:rFonts w:ascii="Times New Roman" w:hAnsi="Times New Roman"/>
                <w:b/>
                <w:sz w:val="20"/>
                <w:szCs w:val="20"/>
              </w:rPr>
              <w:t>menej ako 30 kg</w:t>
            </w:r>
          </w:p>
        </w:tc>
      </w:tr>
      <w:tr w:rsidR="009700E5" w14:paraId="3AAD23D6" w14:textId="77777777">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2A2D09BA" w14:textId="77777777" w:rsidR="009700E5" w:rsidRDefault="002C033C">
            <w:pPr>
              <w:pStyle w:val="TextTi9"/>
              <w:keepNext/>
              <w:spacing w:after="120"/>
              <w:rPr>
                <w:rFonts w:ascii="Times New Roman" w:hAnsi="Times New Roman"/>
                <w:sz w:val="20"/>
                <w:szCs w:val="20"/>
              </w:rPr>
            </w:pPr>
            <w:r>
              <w:rPr>
                <w:rFonts w:ascii="Times New Roman" w:hAnsi="Times New Roman"/>
                <w:sz w:val="20"/>
                <w:szCs w:val="20"/>
              </w:rPr>
              <w:t>C</w:t>
            </w:r>
            <w:r>
              <w:rPr>
                <w:rFonts w:ascii="Times New Roman" w:hAnsi="Times New Roman"/>
                <w:sz w:val="20"/>
                <w:szCs w:val="20"/>
                <w:vertAlign w:val="subscript"/>
              </w:rPr>
              <w:t>max</w:t>
            </w:r>
            <w:r>
              <w:rPr>
                <w:rFonts w:ascii="Times New Roman" w:hAnsi="Times New Roman"/>
                <w:sz w:val="20"/>
                <w:szCs w:val="20"/>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1CDAEA2E" w14:textId="77777777" w:rsidR="009700E5" w:rsidRDefault="002C033C">
            <w:pPr>
              <w:pStyle w:val="TextTi9"/>
              <w:keepNext/>
              <w:spacing w:after="120"/>
              <w:jc w:val="center"/>
              <w:rPr>
                <w:rFonts w:ascii="Times New Roman" w:hAnsi="Times New Roman"/>
                <w:sz w:val="20"/>
                <w:szCs w:val="20"/>
              </w:rPr>
            </w:pPr>
            <w:r>
              <w:rPr>
                <w:rFonts w:ascii="Times New Roman" w:hAnsi="Times New Roman"/>
                <w:sz w:val="20"/>
                <w:szCs w:val="20"/>
              </w:rPr>
              <w:t>99,8 ± 46,2</w:t>
            </w:r>
          </w:p>
        </w:tc>
        <w:tc>
          <w:tcPr>
            <w:tcW w:w="2977" w:type="dxa"/>
            <w:tcBorders>
              <w:top w:val="single" w:sz="4" w:space="0" w:color="auto"/>
              <w:left w:val="single" w:sz="4" w:space="0" w:color="auto"/>
              <w:bottom w:val="single" w:sz="4" w:space="0" w:color="auto"/>
              <w:right w:val="single" w:sz="4" w:space="0" w:color="auto"/>
            </w:tcBorders>
            <w:hideMark/>
          </w:tcPr>
          <w:p w14:paraId="1556B6BD" w14:textId="77777777" w:rsidR="009700E5" w:rsidRDefault="002C033C">
            <w:pPr>
              <w:pStyle w:val="TextTi9"/>
              <w:keepNext/>
              <w:spacing w:after="120"/>
              <w:jc w:val="center"/>
              <w:rPr>
                <w:rFonts w:ascii="Times New Roman" w:hAnsi="Times New Roman"/>
                <w:sz w:val="20"/>
                <w:szCs w:val="20"/>
              </w:rPr>
            </w:pPr>
            <w:r>
              <w:rPr>
                <w:rFonts w:ascii="Times New Roman" w:hAnsi="Times New Roman"/>
                <w:sz w:val="20"/>
                <w:szCs w:val="20"/>
              </w:rPr>
              <w:t>134 ± 58,6</w:t>
            </w:r>
          </w:p>
        </w:tc>
      </w:tr>
      <w:tr w:rsidR="009700E5" w14:paraId="749586CB" w14:textId="77777777">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1F44A4E8" w14:textId="77777777" w:rsidR="009700E5" w:rsidRDefault="002C033C">
            <w:pPr>
              <w:pStyle w:val="TextTi9"/>
              <w:keepNext/>
              <w:spacing w:after="120"/>
              <w:rPr>
                <w:rFonts w:ascii="Times New Roman" w:hAnsi="Times New Roman"/>
                <w:sz w:val="20"/>
                <w:szCs w:val="20"/>
              </w:rPr>
            </w:pPr>
            <w:r>
              <w:rPr>
                <w:rFonts w:ascii="Times New Roman" w:hAnsi="Times New Roman"/>
                <w:sz w:val="20"/>
                <w:szCs w:val="20"/>
              </w:rPr>
              <w:t>C</w:t>
            </w:r>
            <w:r>
              <w:rPr>
                <w:rFonts w:ascii="Times New Roman" w:hAnsi="Times New Roman"/>
                <w:sz w:val="20"/>
                <w:szCs w:val="20"/>
                <w:vertAlign w:val="subscript"/>
              </w:rPr>
              <w:t>min</w:t>
            </w:r>
            <w:r>
              <w:rPr>
                <w:rFonts w:ascii="Times New Roman" w:hAnsi="Times New Roman"/>
                <w:sz w:val="20"/>
                <w:szCs w:val="20"/>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27771BCB" w14:textId="77777777" w:rsidR="009700E5" w:rsidRDefault="002C033C">
            <w:pPr>
              <w:pStyle w:val="TextTi9"/>
              <w:keepNext/>
              <w:spacing w:after="120"/>
              <w:jc w:val="center"/>
              <w:rPr>
                <w:rFonts w:ascii="Times New Roman" w:hAnsi="Times New Roman"/>
                <w:sz w:val="20"/>
                <w:szCs w:val="20"/>
              </w:rPr>
            </w:pPr>
            <w:r>
              <w:rPr>
                <w:rFonts w:ascii="Times New Roman" w:hAnsi="Times New Roman"/>
                <w:sz w:val="20"/>
                <w:szCs w:val="20"/>
              </w:rPr>
              <w:t>79,2 ± 35,6</w:t>
            </w:r>
          </w:p>
        </w:tc>
        <w:tc>
          <w:tcPr>
            <w:tcW w:w="2977" w:type="dxa"/>
            <w:tcBorders>
              <w:top w:val="single" w:sz="4" w:space="0" w:color="auto"/>
              <w:left w:val="single" w:sz="4" w:space="0" w:color="auto"/>
              <w:bottom w:val="single" w:sz="4" w:space="0" w:color="auto"/>
              <w:right w:val="single" w:sz="4" w:space="0" w:color="auto"/>
            </w:tcBorders>
            <w:hideMark/>
          </w:tcPr>
          <w:p w14:paraId="1F72077A" w14:textId="77777777" w:rsidR="009700E5" w:rsidRDefault="002C033C">
            <w:pPr>
              <w:pStyle w:val="TextTi9"/>
              <w:keepNext/>
              <w:spacing w:after="120"/>
              <w:jc w:val="center"/>
              <w:rPr>
                <w:rFonts w:ascii="Times New Roman" w:hAnsi="Times New Roman"/>
                <w:sz w:val="20"/>
                <w:szCs w:val="20"/>
              </w:rPr>
            </w:pPr>
            <w:r>
              <w:rPr>
                <w:rFonts w:ascii="Times New Roman" w:hAnsi="Times New Roman"/>
                <w:sz w:val="20"/>
                <w:szCs w:val="20"/>
              </w:rPr>
              <w:t>65,9 ± 31,3</w:t>
            </w:r>
          </w:p>
        </w:tc>
      </w:tr>
      <w:tr w:rsidR="009700E5" w14:paraId="33B04307" w14:textId="77777777">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276111C8" w14:textId="77777777" w:rsidR="009700E5" w:rsidRDefault="002C033C">
            <w:pPr>
              <w:pStyle w:val="TextTi9"/>
              <w:keepNext/>
              <w:spacing w:after="120"/>
              <w:rPr>
                <w:rFonts w:ascii="Times New Roman" w:hAnsi="Times New Roman"/>
                <w:sz w:val="20"/>
                <w:szCs w:val="20"/>
              </w:rPr>
            </w:pPr>
            <w:r>
              <w:rPr>
                <w:rFonts w:ascii="Times New Roman" w:hAnsi="Times New Roman"/>
                <w:sz w:val="20"/>
                <w:szCs w:val="20"/>
              </w:rPr>
              <w:t>C</w:t>
            </w:r>
            <w:r>
              <w:rPr>
                <w:rFonts w:ascii="Times New Roman" w:hAnsi="Times New Roman"/>
                <w:sz w:val="20"/>
                <w:szCs w:val="20"/>
                <w:vertAlign w:val="subscript"/>
              </w:rPr>
              <w:t>mean</w:t>
            </w:r>
            <w:r>
              <w:rPr>
                <w:rFonts w:ascii="Times New Roman" w:hAnsi="Times New Roman"/>
                <w:sz w:val="20"/>
                <w:szCs w:val="20"/>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51F3FF32" w14:textId="77777777" w:rsidR="009700E5" w:rsidRDefault="002C033C">
            <w:pPr>
              <w:pStyle w:val="TextTi9"/>
              <w:keepNext/>
              <w:spacing w:after="120"/>
              <w:jc w:val="center"/>
              <w:rPr>
                <w:rFonts w:ascii="Times New Roman" w:hAnsi="Times New Roman"/>
                <w:sz w:val="20"/>
                <w:szCs w:val="20"/>
              </w:rPr>
            </w:pPr>
            <w:r>
              <w:rPr>
                <w:rFonts w:ascii="Times New Roman" w:hAnsi="Times New Roman"/>
                <w:sz w:val="20"/>
                <w:szCs w:val="20"/>
              </w:rPr>
              <w:t>91,3 ± 40,4</w:t>
            </w:r>
          </w:p>
        </w:tc>
        <w:tc>
          <w:tcPr>
            <w:tcW w:w="2977" w:type="dxa"/>
            <w:tcBorders>
              <w:top w:val="single" w:sz="4" w:space="0" w:color="auto"/>
              <w:left w:val="single" w:sz="4" w:space="0" w:color="auto"/>
              <w:bottom w:val="single" w:sz="4" w:space="0" w:color="auto"/>
              <w:right w:val="single" w:sz="4" w:space="0" w:color="auto"/>
            </w:tcBorders>
            <w:hideMark/>
          </w:tcPr>
          <w:p w14:paraId="1891FD54" w14:textId="77777777" w:rsidR="009700E5" w:rsidRDefault="002C033C">
            <w:pPr>
              <w:pStyle w:val="TextTi9"/>
              <w:keepNext/>
              <w:spacing w:after="120"/>
              <w:jc w:val="center"/>
              <w:rPr>
                <w:rFonts w:ascii="Times New Roman" w:hAnsi="Times New Roman"/>
                <w:sz w:val="20"/>
                <w:szCs w:val="20"/>
              </w:rPr>
            </w:pPr>
            <w:r>
              <w:rPr>
                <w:rFonts w:ascii="Times New Roman" w:hAnsi="Times New Roman"/>
                <w:sz w:val="20"/>
                <w:szCs w:val="20"/>
              </w:rPr>
              <w:t>101 ± 43,2</w:t>
            </w:r>
          </w:p>
        </w:tc>
      </w:tr>
      <w:tr w:rsidR="009700E5" w14:paraId="70E62B07" w14:textId="77777777">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0C083046" w14:textId="77777777" w:rsidR="009700E5" w:rsidRDefault="002C033C">
            <w:pPr>
              <w:pStyle w:val="TextTi9"/>
              <w:keepNext/>
              <w:spacing w:after="120"/>
              <w:rPr>
                <w:rFonts w:ascii="Times New Roman" w:hAnsi="Times New Roman"/>
                <w:sz w:val="20"/>
                <w:szCs w:val="20"/>
              </w:rPr>
            </w:pPr>
            <w:r>
              <w:rPr>
                <w:rFonts w:ascii="Times New Roman" w:hAnsi="Times New Roman"/>
                <w:sz w:val="20"/>
                <w:szCs w:val="20"/>
              </w:rPr>
              <w:t>Kumulácia z hľadiska C</w:t>
            </w:r>
            <w:r>
              <w:rPr>
                <w:rFonts w:ascii="Times New Roman" w:hAnsi="Times New Roman"/>
                <w:sz w:val="20"/>
                <w:szCs w:val="20"/>
                <w:vertAlign w:val="subscript"/>
              </w:rPr>
              <w:t>max</w:t>
            </w:r>
          </w:p>
        </w:tc>
        <w:tc>
          <w:tcPr>
            <w:tcW w:w="2977" w:type="dxa"/>
            <w:tcBorders>
              <w:top w:val="single" w:sz="4" w:space="0" w:color="auto"/>
              <w:left w:val="single" w:sz="4" w:space="0" w:color="auto"/>
              <w:bottom w:val="single" w:sz="4" w:space="0" w:color="auto"/>
              <w:right w:val="single" w:sz="4" w:space="0" w:color="auto"/>
            </w:tcBorders>
          </w:tcPr>
          <w:p w14:paraId="3130A0E8" w14:textId="77777777" w:rsidR="009700E5" w:rsidRDefault="002C033C">
            <w:pPr>
              <w:pStyle w:val="TextTi9"/>
              <w:keepNext/>
              <w:spacing w:after="120"/>
              <w:jc w:val="center"/>
              <w:rPr>
                <w:rFonts w:ascii="Times New Roman" w:hAnsi="Times New Roman"/>
                <w:sz w:val="20"/>
                <w:szCs w:val="20"/>
              </w:rPr>
            </w:pPr>
            <w:r>
              <w:rPr>
                <w:rFonts w:ascii="Times New Roman" w:hAnsi="Times New Roman"/>
                <w:sz w:val="20"/>
                <w:szCs w:val="20"/>
              </w:rPr>
              <w:t>3,66</w:t>
            </w:r>
          </w:p>
        </w:tc>
        <w:tc>
          <w:tcPr>
            <w:tcW w:w="2977" w:type="dxa"/>
            <w:tcBorders>
              <w:top w:val="single" w:sz="4" w:space="0" w:color="auto"/>
              <w:left w:val="single" w:sz="4" w:space="0" w:color="auto"/>
              <w:bottom w:val="single" w:sz="4" w:space="0" w:color="auto"/>
              <w:right w:val="single" w:sz="4" w:space="0" w:color="auto"/>
            </w:tcBorders>
          </w:tcPr>
          <w:p w14:paraId="3199B5F4" w14:textId="77777777" w:rsidR="009700E5" w:rsidRDefault="002C033C">
            <w:pPr>
              <w:pStyle w:val="TextTi9"/>
              <w:keepNext/>
              <w:spacing w:after="120"/>
              <w:jc w:val="center"/>
              <w:rPr>
                <w:rFonts w:ascii="Times New Roman" w:hAnsi="Times New Roman"/>
                <w:sz w:val="20"/>
                <w:szCs w:val="20"/>
              </w:rPr>
            </w:pPr>
            <w:r>
              <w:rPr>
                <w:rFonts w:ascii="Times New Roman" w:hAnsi="Times New Roman"/>
                <w:sz w:val="20"/>
                <w:szCs w:val="20"/>
              </w:rPr>
              <w:t>1,88</w:t>
            </w:r>
          </w:p>
        </w:tc>
      </w:tr>
      <w:tr w:rsidR="009700E5" w14:paraId="74D73EE6" w14:textId="77777777">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490DA022" w14:textId="77777777" w:rsidR="009700E5" w:rsidRDefault="002C033C">
            <w:pPr>
              <w:pStyle w:val="TextTi9"/>
              <w:keepNext/>
              <w:spacing w:after="120"/>
              <w:rPr>
                <w:rFonts w:ascii="Times New Roman" w:hAnsi="Times New Roman"/>
                <w:sz w:val="20"/>
                <w:szCs w:val="20"/>
              </w:rPr>
            </w:pPr>
            <w:r>
              <w:rPr>
                <w:rFonts w:ascii="Times New Roman" w:hAnsi="Times New Roman"/>
                <w:sz w:val="20"/>
                <w:szCs w:val="20"/>
              </w:rPr>
              <w:t>Kumulácia z hľadiska C</w:t>
            </w:r>
            <w:r>
              <w:rPr>
                <w:rFonts w:ascii="Times New Roman" w:hAnsi="Times New Roman"/>
                <w:sz w:val="20"/>
                <w:szCs w:val="20"/>
                <w:vertAlign w:val="subscript"/>
              </w:rPr>
              <w:t>min</w:t>
            </w:r>
          </w:p>
        </w:tc>
        <w:tc>
          <w:tcPr>
            <w:tcW w:w="2977" w:type="dxa"/>
            <w:tcBorders>
              <w:top w:val="single" w:sz="4" w:space="0" w:color="auto"/>
              <w:left w:val="single" w:sz="4" w:space="0" w:color="auto"/>
              <w:bottom w:val="single" w:sz="4" w:space="0" w:color="auto"/>
              <w:right w:val="single" w:sz="4" w:space="0" w:color="auto"/>
            </w:tcBorders>
          </w:tcPr>
          <w:p w14:paraId="2AC5041B" w14:textId="77777777" w:rsidR="009700E5" w:rsidRDefault="002C033C">
            <w:pPr>
              <w:pStyle w:val="TextTi9"/>
              <w:keepNext/>
              <w:spacing w:after="120"/>
              <w:jc w:val="center"/>
              <w:rPr>
                <w:rFonts w:ascii="Times New Roman" w:hAnsi="Times New Roman"/>
                <w:sz w:val="20"/>
                <w:szCs w:val="20"/>
              </w:rPr>
            </w:pPr>
            <w:r>
              <w:rPr>
                <w:rFonts w:ascii="Times New Roman" w:hAnsi="Times New Roman"/>
                <w:sz w:val="20"/>
                <w:szCs w:val="20"/>
              </w:rPr>
              <w:t>4,39</w:t>
            </w:r>
          </w:p>
        </w:tc>
        <w:tc>
          <w:tcPr>
            <w:tcW w:w="2977" w:type="dxa"/>
            <w:tcBorders>
              <w:top w:val="single" w:sz="4" w:space="0" w:color="auto"/>
              <w:left w:val="single" w:sz="4" w:space="0" w:color="auto"/>
              <w:bottom w:val="single" w:sz="4" w:space="0" w:color="auto"/>
              <w:right w:val="single" w:sz="4" w:space="0" w:color="auto"/>
            </w:tcBorders>
          </w:tcPr>
          <w:p w14:paraId="633B4BC9" w14:textId="77777777" w:rsidR="009700E5" w:rsidRDefault="002C033C">
            <w:pPr>
              <w:pStyle w:val="TextTi9"/>
              <w:keepNext/>
              <w:spacing w:after="120"/>
              <w:jc w:val="center"/>
              <w:rPr>
                <w:rFonts w:ascii="Times New Roman" w:hAnsi="Times New Roman"/>
                <w:sz w:val="20"/>
                <w:szCs w:val="20"/>
              </w:rPr>
            </w:pPr>
            <w:r>
              <w:rPr>
                <w:rFonts w:ascii="Times New Roman" w:hAnsi="Times New Roman"/>
                <w:sz w:val="20"/>
                <w:szCs w:val="20"/>
              </w:rPr>
              <w:t>3,21</w:t>
            </w:r>
          </w:p>
        </w:tc>
      </w:tr>
      <w:tr w:rsidR="009700E5" w14:paraId="14118D89" w14:textId="77777777">
        <w:trPr>
          <w:cantSplit/>
          <w:trHeight w:val="331"/>
        </w:trPr>
        <w:tc>
          <w:tcPr>
            <w:tcW w:w="2835" w:type="dxa"/>
            <w:tcBorders>
              <w:top w:val="single" w:sz="4" w:space="0" w:color="auto"/>
              <w:left w:val="single" w:sz="4" w:space="0" w:color="auto"/>
              <w:bottom w:val="single" w:sz="4" w:space="0" w:color="auto"/>
              <w:right w:val="single" w:sz="4" w:space="0" w:color="auto"/>
            </w:tcBorders>
          </w:tcPr>
          <w:p w14:paraId="0094F871" w14:textId="77777777" w:rsidR="009700E5" w:rsidRDefault="002C033C">
            <w:pPr>
              <w:pStyle w:val="TextTi9"/>
              <w:keepNext/>
              <w:spacing w:after="120"/>
              <w:rPr>
                <w:rFonts w:ascii="Times New Roman" w:hAnsi="Times New Roman"/>
                <w:sz w:val="20"/>
                <w:szCs w:val="20"/>
              </w:rPr>
            </w:pPr>
            <w:r>
              <w:rPr>
                <w:rFonts w:ascii="Times New Roman" w:hAnsi="Times New Roman"/>
                <w:sz w:val="20"/>
                <w:szCs w:val="20"/>
              </w:rPr>
              <w:t>Kumulácia z hľadiska C</w:t>
            </w:r>
            <w:r>
              <w:rPr>
                <w:rFonts w:ascii="Times New Roman" w:hAnsi="Times New Roman"/>
                <w:sz w:val="20"/>
                <w:szCs w:val="20"/>
                <w:vertAlign w:val="subscript"/>
              </w:rPr>
              <w:t>mean</w:t>
            </w:r>
            <w:r>
              <w:rPr>
                <w:rFonts w:ascii="Times New Roman" w:hAnsi="Times New Roman"/>
                <w:sz w:val="20"/>
                <w:szCs w:val="20"/>
              </w:rPr>
              <w:t xml:space="preserve"> alebo AUC</w:t>
            </w:r>
            <w:r>
              <w:rPr>
                <w:rFonts w:ascii="Times New Roman" w:hAnsi="Times New Roman"/>
                <w:sz w:val="20"/>
                <w:szCs w:val="20"/>
                <w:vertAlign w:val="subscript"/>
              </w:rPr>
              <w:t>τ</w:t>
            </w:r>
            <w:r>
              <w:rPr>
                <w:rFonts w:ascii="Times New Roman" w:hAnsi="Times New Roman"/>
                <w:sz w:val="20"/>
                <w:szCs w:val="20"/>
              </w:rPr>
              <w:t>*</w:t>
            </w:r>
          </w:p>
        </w:tc>
        <w:tc>
          <w:tcPr>
            <w:tcW w:w="2977" w:type="dxa"/>
            <w:tcBorders>
              <w:top w:val="single" w:sz="4" w:space="0" w:color="auto"/>
              <w:left w:val="single" w:sz="4" w:space="0" w:color="auto"/>
              <w:bottom w:val="single" w:sz="4" w:space="0" w:color="auto"/>
              <w:right w:val="single" w:sz="4" w:space="0" w:color="auto"/>
            </w:tcBorders>
          </w:tcPr>
          <w:p w14:paraId="6E0BB654" w14:textId="77777777" w:rsidR="009700E5" w:rsidRDefault="002C033C">
            <w:pPr>
              <w:pStyle w:val="TextTi9"/>
              <w:keepNext/>
              <w:spacing w:after="120"/>
              <w:jc w:val="center"/>
              <w:rPr>
                <w:rFonts w:ascii="Times New Roman" w:hAnsi="Times New Roman"/>
                <w:sz w:val="20"/>
                <w:szCs w:val="20"/>
              </w:rPr>
            </w:pPr>
            <w:r>
              <w:rPr>
                <w:rFonts w:ascii="Times New Roman" w:hAnsi="Times New Roman"/>
                <w:sz w:val="20"/>
                <w:szCs w:val="20"/>
              </w:rPr>
              <w:t>4,28</w:t>
            </w:r>
          </w:p>
        </w:tc>
        <w:tc>
          <w:tcPr>
            <w:tcW w:w="2977" w:type="dxa"/>
            <w:tcBorders>
              <w:top w:val="single" w:sz="4" w:space="0" w:color="auto"/>
              <w:left w:val="single" w:sz="4" w:space="0" w:color="auto"/>
              <w:bottom w:val="single" w:sz="4" w:space="0" w:color="auto"/>
              <w:right w:val="single" w:sz="4" w:space="0" w:color="auto"/>
            </w:tcBorders>
          </w:tcPr>
          <w:p w14:paraId="525EA5F5" w14:textId="77777777" w:rsidR="009700E5" w:rsidRDefault="002C033C">
            <w:pPr>
              <w:pStyle w:val="TextTi9"/>
              <w:keepNext/>
              <w:spacing w:after="120"/>
              <w:jc w:val="center"/>
              <w:rPr>
                <w:rFonts w:ascii="Times New Roman" w:hAnsi="Times New Roman"/>
                <w:sz w:val="20"/>
                <w:szCs w:val="20"/>
              </w:rPr>
            </w:pPr>
            <w:r>
              <w:rPr>
                <w:rFonts w:ascii="Times New Roman" w:hAnsi="Times New Roman"/>
                <w:sz w:val="20"/>
                <w:szCs w:val="20"/>
              </w:rPr>
              <w:t>2,27</w:t>
            </w:r>
          </w:p>
        </w:tc>
      </w:tr>
    </w:tbl>
    <w:p w14:paraId="006F78F8" w14:textId="77777777" w:rsidR="009700E5" w:rsidRDefault="002C033C">
      <w:pPr>
        <w:jc w:val="both"/>
        <w:rPr>
          <w:sz w:val="18"/>
          <w:szCs w:val="18"/>
          <w:lang w:eastAsia="en-US"/>
        </w:rPr>
      </w:pPr>
      <w:r>
        <w:rPr>
          <w:sz w:val="18"/>
          <w:szCs w:val="18"/>
          <w:lang w:eastAsia="en-US"/>
        </w:rPr>
        <w:t>*τ</w:t>
      </w:r>
      <w:ins w:id="2715" w:author="Author" w:date="2025-07-21T11:00:00Z">
        <w:r>
          <w:rPr>
            <w:sz w:val="18"/>
            <w:szCs w:val="18"/>
            <w:lang w:eastAsia="en-US"/>
          </w:rPr>
          <w:t> </w:t>
        </w:r>
      </w:ins>
      <w:del w:id="2716" w:author="Author" w:date="2025-07-21T11:00:00Z">
        <w:r>
          <w:rPr>
            <w:sz w:val="18"/>
            <w:szCs w:val="18"/>
            <w:lang w:eastAsia="en-US"/>
          </w:rPr>
          <w:delText xml:space="preserve"> </w:delText>
        </w:r>
      </w:del>
      <w:r>
        <w:rPr>
          <w:sz w:val="18"/>
          <w:szCs w:val="18"/>
          <w:lang w:eastAsia="en-US"/>
        </w:rPr>
        <w:t>=</w:t>
      </w:r>
      <w:ins w:id="2717" w:author="Author" w:date="2025-07-21T11:00:00Z">
        <w:r>
          <w:rPr>
            <w:sz w:val="18"/>
            <w:szCs w:val="18"/>
            <w:lang w:eastAsia="en-US"/>
          </w:rPr>
          <w:t> </w:t>
        </w:r>
      </w:ins>
      <w:del w:id="2718" w:author="Author" w:date="2025-07-21T11:00:00Z">
        <w:r>
          <w:rPr>
            <w:sz w:val="18"/>
            <w:szCs w:val="18"/>
            <w:lang w:eastAsia="en-US"/>
          </w:rPr>
          <w:delText xml:space="preserve"> </w:delText>
        </w:r>
      </w:del>
      <w:r>
        <w:rPr>
          <w:sz w:val="18"/>
          <w:szCs w:val="18"/>
          <w:lang w:eastAsia="en-US"/>
        </w:rPr>
        <w:t>1 týždeň alebo 2 týždne pri dvoch režimoch so subkutánnou dávkou</w:t>
      </w:r>
    </w:p>
    <w:p w14:paraId="4F807E69" w14:textId="77777777" w:rsidR="009700E5" w:rsidRDefault="009700E5">
      <w:pPr>
        <w:numPr>
          <w:ilvl w:val="12"/>
          <w:numId w:val="0"/>
        </w:numPr>
        <w:ind w:right="-2"/>
        <w:rPr>
          <w:szCs w:val="22"/>
        </w:rPr>
      </w:pPr>
    </w:p>
    <w:p w14:paraId="0F7E6474" w14:textId="77777777" w:rsidR="009700E5" w:rsidRDefault="002C033C">
      <w:pPr>
        <w:numPr>
          <w:ilvl w:val="12"/>
          <w:numId w:val="0"/>
        </w:numPr>
        <w:ind w:right="-2"/>
        <w:rPr>
          <w:iCs/>
          <w:szCs w:val="22"/>
          <w:highlight w:val="yellow"/>
        </w:rPr>
      </w:pPr>
      <w:r>
        <w:rPr>
          <w:szCs w:val="22"/>
        </w:rPr>
        <w:t>Po subkutánnom podávaní sa približne 90 % rovnovážneho stavu dosiahlo do 12. týždňa pri režime s dávkou 162 mg QW aj pri režime s dávkou 162 mg Q2W.</w:t>
      </w:r>
    </w:p>
    <w:p w14:paraId="7EE08111" w14:textId="77777777" w:rsidR="009700E5" w:rsidRDefault="009700E5">
      <w:pPr>
        <w:numPr>
          <w:ilvl w:val="12"/>
          <w:numId w:val="0"/>
        </w:numPr>
        <w:ind w:right="-2"/>
        <w:rPr>
          <w:iCs/>
          <w:szCs w:val="22"/>
          <w:highlight w:val="yellow"/>
        </w:rPr>
      </w:pPr>
    </w:p>
    <w:p w14:paraId="05C45B98" w14:textId="77777777" w:rsidR="009700E5" w:rsidRDefault="002C033C">
      <w:pPr>
        <w:keepNext/>
        <w:keepLines/>
        <w:numPr>
          <w:ilvl w:val="12"/>
          <w:numId w:val="0"/>
        </w:numPr>
        <w:rPr>
          <w:i/>
          <w:u w:val="single"/>
        </w:rPr>
      </w:pPr>
      <w:r>
        <w:rPr>
          <w:i/>
          <w:u w:val="single"/>
        </w:rPr>
        <w:lastRenderedPageBreak/>
        <w:t>Absorpcia</w:t>
      </w:r>
    </w:p>
    <w:p w14:paraId="58FA97C8" w14:textId="77777777" w:rsidR="009700E5" w:rsidRDefault="002C033C">
      <w:pPr>
        <w:keepNext/>
        <w:keepLines/>
        <w:numPr>
          <w:ilvl w:val="12"/>
          <w:numId w:val="0"/>
        </w:numPr>
        <w:rPr>
          <w:iCs/>
        </w:rPr>
      </w:pPr>
      <w:r>
        <w:rPr>
          <w:iCs/>
        </w:rPr>
        <w:t xml:space="preserve">Po </w:t>
      </w:r>
      <w:r>
        <w:rPr>
          <w:szCs w:val="22"/>
        </w:rPr>
        <w:t>subkutánnom</w:t>
      </w:r>
      <w:r>
        <w:rPr>
          <w:iCs/>
        </w:rPr>
        <w:t xml:space="preserve"> podávaní pacientom so sJIA bol polčas absorpcie približne 2 dni a biologická dostupnosť </w:t>
      </w:r>
      <w:r>
        <w:rPr>
          <w:szCs w:val="22"/>
        </w:rPr>
        <w:t xml:space="preserve">subkutánnej </w:t>
      </w:r>
      <w:r>
        <w:rPr>
          <w:iCs/>
        </w:rPr>
        <w:t>formy u pacientov so sJIA bola 95 %.</w:t>
      </w:r>
    </w:p>
    <w:p w14:paraId="209DAB06" w14:textId="77777777" w:rsidR="009700E5" w:rsidRDefault="009700E5">
      <w:pPr>
        <w:numPr>
          <w:ilvl w:val="12"/>
          <w:numId w:val="0"/>
        </w:numPr>
        <w:ind w:right="-2"/>
        <w:rPr>
          <w:iCs/>
          <w:szCs w:val="22"/>
          <w:highlight w:val="yellow"/>
        </w:rPr>
      </w:pPr>
    </w:p>
    <w:p w14:paraId="5BB6D713" w14:textId="77777777" w:rsidR="009700E5" w:rsidRDefault="002C033C">
      <w:pPr>
        <w:rPr>
          <w:i/>
          <w:iCs/>
          <w:szCs w:val="22"/>
          <w:u w:val="single"/>
          <w:lang w:eastAsia="de-DE"/>
        </w:rPr>
      </w:pPr>
      <w:r>
        <w:rPr>
          <w:i/>
          <w:iCs/>
          <w:szCs w:val="22"/>
          <w:u w:val="single"/>
          <w:lang w:eastAsia="de-DE"/>
        </w:rPr>
        <w:t>Distribúcia</w:t>
      </w:r>
    </w:p>
    <w:p w14:paraId="1065E233" w14:textId="77777777" w:rsidR="009700E5" w:rsidRDefault="002C033C">
      <w:pPr>
        <w:rPr>
          <w:szCs w:val="22"/>
          <w:lang w:eastAsia="de-DE"/>
        </w:rPr>
      </w:pPr>
      <w:r>
        <w:rPr>
          <w:szCs w:val="22"/>
          <w:lang w:eastAsia="de-DE"/>
        </w:rPr>
        <w:t>U pediatrických pacientov so sJIA bol distribučný objem centrálneho kompartmentu 1,87 l; distribučný objem periférneho kompartmentu 2,14 l; čo malo za následok distribučný objem 4,01 l v rovnovážnom stave.</w:t>
      </w:r>
    </w:p>
    <w:p w14:paraId="2FA38064" w14:textId="77777777" w:rsidR="009700E5" w:rsidRDefault="009700E5">
      <w:pPr>
        <w:spacing w:line="280" w:lineRule="atLeast"/>
        <w:rPr>
          <w:iCs/>
          <w:szCs w:val="22"/>
          <w:highlight w:val="yellow"/>
          <w:lang w:eastAsia="de-DE"/>
        </w:rPr>
      </w:pPr>
    </w:p>
    <w:p w14:paraId="2E814935" w14:textId="77777777" w:rsidR="009700E5" w:rsidRDefault="002C033C">
      <w:pPr>
        <w:numPr>
          <w:ilvl w:val="12"/>
          <w:numId w:val="0"/>
        </w:numPr>
        <w:ind w:right="-2"/>
        <w:rPr>
          <w:i/>
          <w:szCs w:val="22"/>
          <w:u w:val="single"/>
        </w:rPr>
      </w:pPr>
      <w:r>
        <w:rPr>
          <w:i/>
          <w:szCs w:val="22"/>
          <w:u w:val="single"/>
        </w:rPr>
        <w:t>Eliminácia</w:t>
      </w:r>
    </w:p>
    <w:p w14:paraId="30E237AB" w14:textId="77777777" w:rsidR="009700E5" w:rsidRDefault="002C033C">
      <w:pPr>
        <w:numPr>
          <w:ilvl w:val="12"/>
          <w:numId w:val="0"/>
        </w:numPr>
        <w:ind w:right="-2"/>
      </w:pPr>
      <w:r>
        <w:t>Celkový klírens tocilizumabu bol závislý od koncentrácie a predstavoval súčet lineárneho a nelineráneho klírensu. Lineárny klírens bol odhadnutý ako parameter v populačnej farmakokinetickej analýze na 5,7 ml/h u pediatrických pacientov so systémovou juvenilnou idiopatickou artritídou. Po subkutánnom podávaní je efektívny t</w:t>
      </w:r>
      <w:r>
        <w:rPr>
          <w:vertAlign w:val="subscript"/>
        </w:rPr>
        <w:t>1/2</w:t>
      </w:r>
      <w:r>
        <w:t xml:space="preserve"> tocilizumabu</w:t>
      </w:r>
      <w:r>
        <w:rPr>
          <w:iCs/>
          <w:szCs w:val="22"/>
        </w:rPr>
        <w:t xml:space="preserve"> u pacientov so s</w:t>
      </w:r>
      <w:r>
        <w:t>JIA až 14 dní pri režime s dávkou 162 mg QW aj pri režime s dávkou 162 mg Q2W počas dávkovacieho intervalu po dosiahnutí rovnovážneho stavu.</w:t>
      </w:r>
    </w:p>
    <w:p w14:paraId="717E648C" w14:textId="77777777" w:rsidR="009700E5" w:rsidRDefault="009700E5">
      <w:pPr>
        <w:numPr>
          <w:ilvl w:val="12"/>
          <w:numId w:val="0"/>
        </w:numPr>
        <w:ind w:right="-2"/>
      </w:pPr>
    </w:p>
    <w:p w14:paraId="18E44F5D" w14:textId="77777777" w:rsidR="009700E5" w:rsidRPr="009700E5" w:rsidRDefault="002C033C">
      <w:pPr>
        <w:numPr>
          <w:ilvl w:val="12"/>
          <w:numId w:val="0"/>
        </w:numPr>
        <w:ind w:right="-2"/>
        <w:rPr>
          <w:moveTo w:id="2719" w:author="Author" w:date="2025-07-20T00:29:00Z"/>
          <w:iCs/>
          <w:szCs w:val="22"/>
          <w:u w:val="single"/>
          <w:rPrChange w:id="2720" w:author="Author" w:date="2025-08-22T15:12:00Z">
            <w:rPr>
              <w:moveTo w:id="2721" w:author="Author" w:date="2025-07-20T00:29:00Z"/>
              <w:i/>
              <w:szCs w:val="22"/>
            </w:rPr>
          </w:rPrChange>
        </w:rPr>
      </w:pPr>
      <w:moveToRangeStart w:id="2722" w:author="Author" w:date="2025-07-20T00:29:00Z" w:name="move203863790"/>
      <w:moveTo w:id="2723" w:author="Author" w:date="2025-07-20T00:29:00Z">
        <w:r>
          <w:rPr>
            <w:iCs/>
            <w:szCs w:val="22"/>
            <w:u w:val="single"/>
            <w:rPrChange w:id="2724" w:author="Author" w:date="2025-08-22T15:12:00Z">
              <w:rPr>
                <w:i/>
                <w:szCs w:val="22"/>
              </w:rPr>
            </w:rPrChange>
          </w:rPr>
          <w:t>Subkutánne použitie</w:t>
        </w:r>
      </w:moveTo>
    </w:p>
    <w:moveToRangeEnd w:id="2722"/>
    <w:p w14:paraId="09C56A0C" w14:textId="77777777" w:rsidR="009700E5" w:rsidRDefault="002C033C">
      <w:pPr>
        <w:numPr>
          <w:ilvl w:val="12"/>
          <w:numId w:val="0"/>
        </w:numPr>
        <w:ind w:right="-2"/>
        <w:rPr>
          <w:ins w:id="2725" w:author="Author" w:date="2025-07-21T11:00:00Z"/>
          <w:i/>
          <w:szCs w:val="22"/>
        </w:rPr>
      </w:pPr>
      <w:r>
        <w:rPr>
          <w:i/>
          <w:szCs w:val="22"/>
          <w:rPrChange w:id="2726" w:author="Author" w:date="2025-08-22T15:12:00Z">
            <w:rPr>
              <w:iCs/>
              <w:szCs w:val="22"/>
              <w:u w:val="single"/>
            </w:rPr>
          </w:rPrChange>
        </w:rPr>
        <w:t>Pacienti s</w:t>
      </w:r>
      <w:del w:id="2727" w:author="Author" w:date="2025-07-21T11:00:00Z">
        <w:r>
          <w:rPr>
            <w:i/>
            <w:szCs w:val="22"/>
            <w:rPrChange w:id="2728" w:author="Author" w:date="2025-08-22T15:12:00Z">
              <w:rPr>
                <w:iCs/>
                <w:szCs w:val="22"/>
                <w:u w:val="single"/>
              </w:rPr>
            </w:rPrChange>
          </w:rPr>
          <w:delText> </w:delText>
        </w:r>
      </w:del>
      <w:ins w:id="2729" w:author="Author" w:date="2025-07-21T11:00:00Z">
        <w:r>
          <w:rPr>
            <w:i/>
            <w:szCs w:val="22"/>
          </w:rPr>
          <w:t> </w:t>
        </w:r>
      </w:ins>
      <w:r>
        <w:rPr>
          <w:i/>
          <w:szCs w:val="22"/>
          <w:rPrChange w:id="2730" w:author="Author" w:date="2025-08-22T15:12:00Z">
            <w:rPr>
              <w:iCs/>
              <w:szCs w:val="22"/>
              <w:u w:val="single"/>
            </w:rPr>
          </w:rPrChange>
        </w:rPr>
        <w:t>pJIA</w:t>
      </w:r>
    </w:p>
    <w:p w14:paraId="7581F7DE" w14:textId="77777777" w:rsidR="009700E5" w:rsidRPr="009700E5" w:rsidRDefault="009700E5">
      <w:pPr>
        <w:numPr>
          <w:ilvl w:val="12"/>
          <w:numId w:val="0"/>
        </w:numPr>
        <w:ind w:right="-2"/>
        <w:rPr>
          <w:i/>
          <w:szCs w:val="22"/>
          <w:rPrChange w:id="2731" w:author="Author" w:date="2025-08-22T15:12:00Z">
            <w:rPr>
              <w:iCs/>
              <w:szCs w:val="22"/>
              <w:u w:val="single"/>
            </w:rPr>
          </w:rPrChange>
        </w:rPr>
      </w:pPr>
    </w:p>
    <w:p w14:paraId="160EF19E" w14:textId="77777777" w:rsidR="009700E5" w:rsidRDefault="002C033C">
      <w:pPr>
        <w:numPr>
          <w:ilvl w:val="12"/>
          <w:numId w:val="0"/>
        </w:numPr>
        <w:ind w:right="-2"/>
        <w:rPr>
          <w:moveFrom w:id="2732" w:author="Author" w:date="2025-07-20T00:29:00Z"/>
          <w:i/>
          <w:szCs w:val="22"/>
        </w:rPr>
      </w:pPr>
      <w:moveFromRangeStart w:id="2733" w:author="Author" w:date="2025-07-20T00:29:00Z" w:name="move203863790"/>
      <w:moveFrom w:id="2734" w:author="Author" w:date="2025-07-20T00:29:00Z">
        <w:r>
          <w:rPr>
            <w:i/>
            <w:szCs w:val="22"/>
          </w:rPr>
          <w:t>Subkutánne použitie</w:t>
        </w:r>
      </w:moveFrom>
    </w:p>
    <w:moveFromRangeEnd w:id="2733"/>
    <w:p w14:paraId="5657F883" w14:textId="77777777" w:rsidR="009700E5" w:rsidRDefault="002C033C">
      <w:pPr>
        <w:pStyle w:val="TextTi12"/>
        <w:keepNext/>
        <w:keepLines/>
        <w:spacing w:after="0" w:line="240" w:lineRule="auto"/>
        <w:jc w:val="left"/>
        <w:rPr>
          <w:sz w:val="22"/>
          <w:szCs w:val="22"/>
        </w:rPr>
      </w:pPr>
      <w:r>
        <w:rPr>
          <w:sz w:val="22"/>
          <w:szCs w:val="22"/>
        </w:rPr>
        <w:t>Farmakokinetika tocilizumab</w:t>
      </w:r>
      <w:r>
        <w:rPr>
          <w:iCs/>
          <w:sz w:val="22"/>
          <w:szCs w:val="22"/>
        </w:rPr>
        <w:t>u u pacientov s </w:t>
      </w:r>
      <w:r>
        <w:rPr>
          <w:sz w:val="22"/>
          <w:szCs w:val="22"/>
        </w:rPr>
        <w:t>pJIA bola charakterizovaná pomocou populačnej farmakokinetickej analýzy zahŕňajúcej 237 pacientov, ktorí boli liečení dávkou 8 mg/kg intravenózne raz za 4 týždne (pacienti s telesnou hmotnosťou ≥ 30 kg), 10 mg/kg intravenózne raz za 4 týždne (pacienti s telesnou hmotnosťou nižšou ako 30 kg), 162 mg subkutánne raz za 2 týždne (pacienti s telesnou hmotnosťou ≥ 30 kg) alebo 162 mg subkutánne raz za 3 týždne (pacienti s telesnou hmotnosťou nižšou ako 30 kg).</w:t>
      </w:r>
    </w:p>
    <w:p w14:paraId="07E5A9B0" w14:textId="77777777" w:rsidR="009700E5" w:rsidRDefault="009700E5">
      <w:pPr>
        <w:numPr>
          <w:ilvl w:val="12"/>
          <w:numId w:val="0"/>
        </w:numPr>
        <w:ind w:right="-2"/>
        <w:rPr>
          <w:iCs/>
          <w:szCs w:val="22"/>
        </w:rPr>
      </w:pPr>
    </w:p>
    <w:p w14:paraId="10AB6E3A" w14:textId="77777777" w:rsidR="009700E5" w:rsidRDefault="002C033C">
      <w:pPr>
        <w:keepNext/>
        <w:keepLines/>
        <w:numPr>
          <w:ilvl w:val="12"/>
          <w:numId w:val="0"/>
        </w:numPr>
        <w:ind w:right="-2"/>
        <w:rPr>
          <w:bCs/>
          <w:i/>
          <w:szCs w:val="22"/>
        </w:rPr>
      </w:pPr>
      <w:r>
        <w:rPr>
          <w:bCs/>
          <w:i/>
          <w:szCs w:val="22"/>
        </w:rPr>
        <w:t>Tabuľka 9. Predpokladaný priemer ± SD FK parametrov v rovnovážnom stave po subkutánnom podávaní u pacientov s pJIA</w:t>
      </w:r>
    </w:p>
    <w:p w14:paraId="1BB05DC5" w14:textId="77777777" w:rsidR="009700E5" w:rsidRDefault="009700E5">
      <w:pPr>
        <w:keepNext/>
        <w:keepLines/>
        <w:numPr>
          <w:ilvl w:val="12"/>
          <w:numId w:val="0"/>
        </w:numPr>
        <w:ind w:right="-2"/>
        <w:rPr>
          <w:bCs/>
          <w:i/>
          <w:szCs w:val="22"/>
        </w:rPr>
      </w:pPr>
    </w:p>
    <w:tbl>
      <w:tblPr>
        <w:tblW w:w="8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801"/>
        <w:gridCol w:w="3261"/>
      </w:tblGrid>
      <w:tr w:rsidR="009700E5" w14:paraId="70D5E68E" w14:textId="77777777">
        <w:trPr>
          <w:cantSplit/>
          <w:trHeight w:val="452"/>
        </w:trPr>
        <w:tc>
          <w:tcPr>
            <w:tcW w:w="2518" w:type="dxa"/>
            <w:tcBorders>
              <w:top w:val="single" w:sz="4" w:space="0" w:color="auto"/>
              <w:left w:val="single" w:sz="4" w:space="0" w:color="auto"/>
              <w:bottom w:val="single" w:sz="4" w:space="0" w:color="auto"/>
              <w:right w:val="single" w:sz="4" w:space="0" w:color="auto"/>
            </w:tcBorders>
            <w:hideMark/>
          </w:tcPr>
          <w:p w14:paraId="580A18F8" w14:textId="77777777" w:rsidR="009700E5" w:rsidRDefault="002C033C">
            <w:pPr>
              <w:pStyle w:val="TextTi9"/>
              <w:keepNext/>
              <w:keepLines/>
              <w:spacing w:after="120"/>
              <w:rPr>
                <w:rFonts w:ascii="Times New Roman" w:hAnsi="Times New Roman"/>
                <w:sz w:val="20"/>
                <w:szCs w:val="20"/>
              </w:rPr>
            </w:pPr>
            <w:r>
              <w:rPr>
                <w:rFonts w:ascii="Times New Roman" w:hAnsi="Times New Roman"/>
                <w:b/>
                <w:sz w:val="20"/>
                <w:szCs w:val="20"/>
              </w:rPr>
              <w:t>FK parameter tocilizumabu</w:t>
            </w:r>
          </w:p>
        </w:tc>
        <w:tc>
          <w:tcPr>
            <w:tcW w:w="2801" w:type="dxa"/>
            <w:tcBorders>
              <w:top w:val="single" w:sz="4" w:space="0" w:color="auto"/>
              <w:left w:val="single" w:sz="4" w:space="0" w:color="auto"/>
              <w:bottom w:val="single" w:sz="4" w:space="0" w:color="auto"/>
              <w:right w:val="single" w:sz="4" w:space="0" w:color="auto"/>
            </w:tcBorders>
            <w:hideMark/>
          </w:tcPr>
          <w:p w14:paraId="166CCA19" w14:textId="77777777" w:rsidR="009700E5" w:rsidRDefault="002C033C">
            <w:pPr>
              <w:pStyle w:val="TextTi9"/>
              <w:keepNext/>
              <w:keepLines/>
              <w:spacing w:after="120"/>
              <w:jc w:val="center"/>
              <w:rPr>
                <w:rFonts w:ascii="Times New Roman" w:hAnsi="Times New Roman"/>
                <w:b/>
                <w:sz w:val="20"/>
                <w:szCs w:val="20"/>
              </w:rPr>
            </w:pPr>
            <w:r>
              <w:rPr>
                <w:rFonts w:ascii="Times New Roman" w:hAnsi="Times New Roman"/>
                <w:b/>
                <w:sz w:val="20"/>
                <w:szCs w:val="20"/>
              </w:rPr>
              <w:t>162 mg Q2W</w:t>
            </w:r>
          </w:p>
          <w:p w14:paraId="6691D90D" w14:textId="77777777" w:rsidR="009700E5" w:rsidRDefault="002C033C">
            <w:pPr>
              <w:pStyle w:val="TextTi9"/>
              <w:keepNext/>
              <w:keepLines/>
              <w:spacing w:after="120"/>
              <w:jc w:val="center"/>
              <w:rPr>
                <w:rFonts w:ascii="Times New Roman" w:hAnsi="Times New Roman"/>
                <w:b/>
                <w:sz w:val="20"/>
                <w:szCs w:val="20"/>
              </w:rPr>
            </w:pPr>
            <w:r>
              <w:rPr>
                <w:rFonts w:ascii="Times New Roman" w:hAnsi="Times New Roman"/>
                <w:b/>
                <w:sz w:val="20"/>
                <w:szCs w:val="20"/>
              </w:rPr>
              <w:t>≥ 30 kg</w:t>
            </w:r>
          </w:p>
        </w:tc>
        <w:tc>
          <w:tcPr>
            <w:tcW w:w="3261" w:type="dxa"/>
            <w:tcBorders>
              <w:top w:val="single" w:sz="4" w:space="0" w:color="auto"/>
              <w:left w:val="single" w:sz="4" w:space="0" w:color="auto"/>
              <w:bottom w:val="single" w:sz="4" w:space="0" w:color="auto"/>
              <w:right w:val="single" w:sz="4" w:space="0" w:color="auto"/>
            </w:tcBorders>
            <w:hideMark/>
          </w:tcPr>
          <w:p w14:paraId="0440BBDE" w14:textId="77777777" w:rsidR="009700E5" w:rsidRDefault="002C033C">
            <w:pPr>
              <w:pStyle w:val="TextTi9"/>
              <w:keepNext/>
              <w:keepLines/>
              <w:spacing w:after="120"/>
              <w:jc w:val="center"/>
              <w:rPr>
                <w:rFonts w:ascii="Times New Roman" w:hAnsi="Times New Roman"/>
                <w:b/>
                <w:sz w:val="20"/>
                <w:szCs w:val="20"/>
              </w:rPr>
            </w:pPr>
            <w:r>
              <w:rPr>
                <w:rFonts w:ascii="Times New Roman" w:hAnsi="Times New Roman"/>
                <w:b/>
                <w:sz w:val="20"/>
                <w:szCs w:val="20"/>
              </w:rPr>
              <w:t>162 mg Q3W</w:t>
            </w:r>
          </w:p>
          <w:p w14:paraId="4273D597" w14:textId="77777777" w:rsidR="009700E5" w:rsidRDefault="002C033C">
            <w:pPr>
              <w:pStyle w:val="TextTi9"/>
              <w:keepNext/>
              <w:keepLines/>
              <w:spacing w:after="120"/>
              <w:jc w:val="center"/>
              <w:rPr>
                <w:rFonts w:ascii="Times New Roman" w:hAnsi="Times New Roman"/>
                <w:b/>
                <w:sz w:val="20"/>
                <w:szCs w:val="20"/>
              </w:rPr>
            </w:pPr>
            <w:r>
              <w:rPr>
                <w:rFonts w:ascii="Times New Roman" w:hAnsi="Times New Roman"/>
                <w:b/>
                <w:sz w:val="20"/>
                <w:szCs w:val="20"/>
              </w:rPr>
              <w:t>menej ako 30 kg</w:t>
            </w:r>
          </w:p>
        </w:tc>
      </w:tr>
      <w:tr w:rsidR="009700E5" w14:paraId="78F1AF69" w14:textId="77777777">
        <w:trPr>
          <w:cantSplit/>
          <w:trHeight w:val="195"/>
        </w:trPr>
        <w:tc>
          <w:tcPr>
            <w:tcW w:w="2518" w:type="dxa"/>
            <w:tcBorders>
              <w:top w:val="single" w:sz="4" w:space="0" w:color="auto"/>
              <w:left w:val="single" w:sz="4" w:space="0" w:color="auto"/>
              <w:bottom w:val="single" w:sz="4" w:space="0" w:color="auto"/>
              <w:right w:val="single" w:sz="4" w:space="0" w:color="auto"/>
            </w:tcBorders>
            <w:hideMark/>
          </w:tcPr>
          <w:p w14:paraId="58FADA95" w14:textId="77777777" w:rsidR="009700E5" w:rsidRDefault="002C033C">
            <w:pPr>
              <w:pStyle w:val="TextTi9"/>
              <w:keepNext/>
              <w:spacing w:after="120"/>
              <w:rPr>
                <w:rFonts w:ascii="Times New Roman" w:hAnsi="Times New Roman"/>
                <w:sz w:val="20"/>
                <w:szCs w:val="20"/>
              </w:rPr>
            </w:pPr>
            <w:r>
              <w:rPr>
                <w:rFonts w:ascii="Times New Roman" w:hAnsi="Times New Roman"/>
                <w:sz w:val="20"/>
                <w:szCs w:val="20"/>
              </w:rPr>
              <w:t>C</w:t>
            </w:r>
            <w:r>
              <w:rPr>
                <w:rFonts w:ascii="Times New Roman" w:hAnsi="Times New Roman"/>
                <w:sz w:val="20"/>
                <w:szCs w:val="20"/>
                <w:vertAlign w:val="subscript"/>
              </w:rPr>
              <w:t>max</w:t>
            </w:r>
            <w:r>
              <w:rPr>
                <w:rFonts w:ascii="Times New Roman" w:hAnsi="Times New Roman"/>
                <w:sz w:val="20"/>
                <w:szCs w:val="20"/>
              </w:rPr>
              <w:t xml:space="preserve"> (µg/ml)</w:t>
            </w:r>
          </w:p>
        </w:tc>
        <w:tc>
          <w:tcPr>
            <w:tcW w:w="2801" w:type="dxa"/>
            <w:tcBorders>
              <w:top w:val="single" w:sz="4" w:space="0" w:color="auto"/>
              <w:left w:val="single" w:sz="4" w:space="0" w:color="auto"/>
              <w:bottom w:val="single" w:sz="4" w:space="0" w:color="auto"/>
              <w:right w:val="single" w:sz="4" w:space="0" w:color="auto"/>
            </w:tcBorders>
            <w:hideMark/>
          </w:tcPr>
          <w:p w14:paraId="2AA06FDB" w14:textId="77777777" w:rsidR="009700E5" w:rsidRDefault="002C033C">
            <w:pPr>
              <w:pStyle w:val="TextTi9"/>
              <w:keepNext/>
              <w:spacing w:after="120"/>
              <w:jc w:val="center"/>
              <w:rPr>
                <w:rFonts w:ascii="Times New Roman" w:hAnsi="Times New Roman"/>
                <w:sz w:val="20"/>
                <w:szCs w:val="20"/>
              </w:rPr>
            </w:pPr>
            <w:r>
              <w:rPr>
                <w:rFonts w:ascii="Times New Roman" w:hAnsi="Times New Roman"/>
                <w:sz w:val="20"/>
                <w:szCs w:val="20"/>
              </w:rPr>
              <w:t>29,4</w:t>
            </w:r>
            <w:r>
              <w:rPr>
                <w:rFonts w:ascii="Times New Roman" w:eastAsia="SimSun" w:hAnsi="Times New Roman"/>
                <w:sz w:val="20"/>
                <w:szCs w:val="20"/>
              </w:rPr>
              <w:t> </w:t>
            </w:r>
            <w:r>
              <w:rPr>
                <w:rFonts w:ascii="Times New Roman" w:hAnsi="Times New Roman"/>
                <w:sz w:val="20"/>
                <w:szCs w:val="20"/>
              </w:rPr>
              <w:t>±</w:t>
            </w:r>
            <w:r>
              <w:rPr>
                <w:rFonts w:ascii="Times New Roman" w:eastAsia="SimSun" w:hAnsi="Times New Roman"/>
                <w:sz w:val="20"/>
                <w:szCs w:val="20"/>
              </w:rPr>
              <w:t> </w:t>
            </w:r>
            <w:r>
              <w:rPr>
                <w:rFonts w:ascii="Times New Roman" w:hAnsi="Times New Roman"/>
                <w:sz w:val="20"/>
                <w:szCs w:val="20"/>
              </w:rPr>
              <w:t>13,5</w:t>
            </w:r>
          </w:p>
        </w:tc>
        <w:tc>
          <w:tcPr>
            <w:tcW w:w="3261" w:type="dxa"/>
            <w:tcBorders>
              <w:top w:val="single" w:sz="4" w:space="0" w:color="auto"/>
              <w:left w:val="single" w:sz="4" w:space="0" w:color="auto"/>
              <w:bottom w:val="single" w:sz="4" w:space="0" w:color="auto"/>
              <w:right w:val="single" w:sz="4" w:space="0" w:color="auto"/>
            </w:tcBorders>
            <w:hideMark/>
          </w:tcPr>
          <w:p w14:paraId="67EFE359" w14:textId="77777777" w:rsidR="009700E5" w:rsidRDefault="002C033C">
            <w:pPr>
              <w:pStyle w:val="TextTi9"/>
              <w:keepNext/>
              <w:spacing w:after="120"/>
              <w:jc w:val="center"/>
              <w:rPr>
                <w:rFonts w:ascii="Times New Roman" w:hAnsi="Times New Roman"/>
                <w:sz w:val="20"/>
                <w:szCs w:val="20"/>
              </w:rPr>
            </w:pPr>
            <w:r>
              <w:rPr>
                <w:rFonts w:ascii="Times New Roman" w:hAnsi="Times New Roman"/>
                <w:sz w:val="20"/>
                <w:szCs w:val="20"/>
              </w:rPr>
              <w:t>75,5</w:t>
            </w:r>
            <w:r>
              <w:rPr>
                <w:rFonts w:ascii="Times New Roman" w:eastAsia="SimSun" w:hAnsi="Times New Roman"/>
                <w:sz w:val="20"/>
                <w:szCs w:val="20"/>
              </w:rPr>
              <w:t> </w:t>
            </w:r>
            <w:r>
              <w:rPr>
                <w:rFonts w:ascii="Times New Roman" w:hAnsi="Times New Roman"/>
                <w:sz w:val="20"/>
                <w:szCs w:val="20"/>
              </w:rPr>
              <w:t>±</w:t>
            </w:r>
            <w:r>
              <w:rPr>
                <w:rFonts w:ascii="Times New Roman" w:eastAsia="SimSun" w:hAnsi="Times New Roman"/>
                <w:sz w:val="20"/>
                <w:szCs w:val="20"/>
              </w:rPr>
              <w:t> </w:t>
            </w:r>
            <w:r>
              <w:rPr>
                <w:rFonts w:ascii="Times New Roman" w:hAnsi="Times New Roman"/>
                <w:sz w:val="20"/>
                <w:szCs w:val="20"/>
              </w:rPr>
              <w:t>24,1</w:t>
            </w:r>
          </w:p>
        </w:tc>
      </w:tr>
      <w:tr w:rsidR="009700E5" w14:paraId="0C7FE815" w14:textId="77777777">
        <w:trPr>
          <w:cantSplit/>
          <w:trHeight w:val="195"/>
        </w:trPr>
        <w:tc>
          <w:tcPr>
            <w:tcW w:w="2518" w:type="dxa"/>
            <w:tcBorders>
              <w:top w:val="single" w:sz="4" w:space="0" w:color="auto"/>
              <w:left w:val="single" w:sz="4" w:space="0" w:color="auto"/>
              <w:bottom w:val="single" w:sz="4" w:space="0" w:color="auto"/>
              <w:right w:val="single" w:sz="4" w:space="0" w:color="auto"/>
            </w:tcBorders>
            <w:hideMark/>
          </w:tcPr>
          <w:p w14:paraId="6AE3466E" w14:textId="77777777" w:rsidR="009700E5" w:rsidRDefault="002C033C">
            <w:pPr>
              <w:pStyle w:val="TextTi9"/>
              <w:keepNext/>
              <w:spacing w:after="120"/>
              <w:rPr>
                <w:rFonts w:ascii="Times New Roman" w:hAnsi="Times New Roman"/>
                <w:sz w:val="20"/>
                <w:szCs w:val="20"/>
              </w:rPr>
            </w:pPr>
            <w:r>
              <w:rPr>
                <w:rFonts w:ascii="Times New Roman" w:hAnsi="Times New Roman"/>
                <w:sz w:val="20"/>
                <w:szCs w:val="20"/>
              </w:rPr>
              <w:t>C</w:t>
            </w:r>
            <w:r>
              <w:rPr>
                <w:rFonts w:ascii="Times New Roman" w:hAnsi="Times New Roman"/>
                <w:sz w:val="20"/>
                <w:szCs w:val="20"/>
                <w:vertAlign w:val="subscript"/>
              </w:rPr>
              <w:t>min</w:t>
            </w:r>
            <w:r>
              <w:rPr>
                <w:rFonts w:ascii="Times New Roman" w:hAnsi="Times New Roman"/>
                <w:sz w:val="20"/>
                <w:szCs w:val="20"/>
              </w:rPr>
              <w:t xml:space="preserve"> (µg/ml)</w:t>
            </w:r>
          </w:p>
        </w:tc>
        <w:tc>
          <w:tcPr>
            <w:tcW w:w="2801" w:type="dxa"/>
            <w:tcBorders>
              <w:top w:val="single" w:sz="4" w:space="0" w:color="auto"/>
              <w:left w:val="single" w:sz="4" w:space="0" w:color="auto"/>
              <w:bottom w:val="single" w:sz="4" w:space="0" w:color="auto"/>
              <w:right w:val="single" w:sz="4" w:space="0" w:color="auto"/>
            </w:tcBorders>
            <w:hideMark/>
          </w:tcPr>
          <w:p w14:paraId="2C11CA65" w14:textId="77777777" w:rsidR="009700E5" w:rsidRDefault="002C033C">
            <w:pPr>
              <w:pStyle w:val="TextTi9"/>
              <w:keepNext/>
              <w:spacing w:after="120"/>
              <w:jc w:val="center"/>
              <w:rPr>
                <w:rFonts w:ascii="Times New Roman" w:hAnsi="Times New Roman"/>
                <w:sz w:val="20"/>
                <w:szCs w:val="20"/>
              </w:rPr>
            </w:pPr>
            <w:r>
              <w:rPr>
                <w:rFonts w:ascii="Times New Roman" w:hAnsi="Times New Roman"/>
                <w:sz w:val="20"/>
                <w:szCs w:val="20"/>
              </w:rPr>
              <w:t>11,8</w:t>
            </w:r>
            <w:r>
              <w:rPr>
                <w:rFonts w:ascii="Times New Roman" w:eastAsia="SimSun" w:hAnsi="Times New Roman"/>
                <w:sz w:val="20"/>
                <w:szCs w:val="20"/>
              </w:rPr>
              <w:t> </w:t>
            </w:r>
            <w:r>
              <w:rPr>
                <w:rFonts w:ascii="Times New Roman" w:hAnsi="Times New Roman"/>
                <w:sz w:val="20"/>
                <w:szCs w:val="20"/>
              </w:rPr>
              <w:t>±</w:t>
            </w:r>
            <w:r>
              <w:rPr>
                <w:rFonts w:ascii="Times New Roman" w:eastAsia="SimSun" w:hAnsi="Times New Roman"/>
                <w:sz w:val="20"/>
                <w:szCs w:val="20"/>
              </w:rPr>
              <w:t> </w:t>
            </w:r>
            <w:r>
              <w:rPr>
                <w:rFonts w:ascii="Times New Roman" w:hAnsi="Times New Roman"/>
                <w:sz w:val="20"/>
                <w:szCs w:val="20"/>
              </w:rPr>
              <w:t>7,08</w:t>
            </w:r>
          </w:p>
        </w:tc>
        <w:tc>
          <w:tcPr>
            <w:tcW w:w="3261" w:type="dxa"/>
            <w:tcBorders>
              <w:top w:val="single" w:sz="4" w:space="0" w:color="auto"/>
              <w:left w:val="single" w:sz="4" w:space="0" w:color="auto"/>
              <w:bottom w:val="single" w:sz="4" w:space="0" w:color="auto"/>
              <w:right w:val="single" w:sz="4" w:space="0" w:color="auto"/>
            </w:tcBorders>
            <w:hideMark/>
          </w:tcPr>
          <w:p w14:paraId="418E55D7" w14:textId="77777777" w:rsidR="009700E5" w:rsidRDefault="002C033C">
            <w:pPr>
              <w:pStyle w:val="TextTi9"/>
              <w:keepNext/>
              <w:spacing w:after="120"/>
              <w:jc w:val="center"/>
              <w:rPr>
                <w:rFonts w:ascii="Times New Roman" w:hAnsi="Times New Roman"/>
                <w:sz w:val="20"/>
                <w:szCs w:val="20"/>
              </w:rPr>
            </w:pPr>
            <w:r>
              <w:rPr>
                <w:rFonts w:ascii="Times New Roman" w:hAnsi="Times New Roman"/>
                <w:sz w:val="20"/>
                <w:szCs w:val="20"/>
              </w:rPr>
              <w:t>18,4</w:t>
            </w:r>
            <w:r>
              <w:rPr>
                <w:rFonts w:ascii="Times New Roman" w:eastAsia="SimSun" w:hAnsi="Times New Roman"/>
                <w:sz w:val="20"/>
                <w:szCs w:val="20"/>
              </w:rPr>
              <w:t> </w:t>
            </w:r>
            <w:r>
              <w:rPr>
                <w:rFonts w:ascii="Times New Roman" w:hAnsi="Times New Roman"/>
                <w:sz w:val="20"/>
                <w:szCs w:val="20"/>
              </w:rPr>
              <w:t>±</w:t>
            </w:r>
            <w:r>
              <w:rPr>
                <w:rFonts w:ascii="Times New Roman" w:eastAsia="SimSun" w:hAnsi="Times New Roman"/>
                <w:sz w:val="20"/>
                <w:szCs w:val="20"/>
              </w:rPr>
              <w:t> </w:t>
            </w:r>
            <w:r>
              <w:rPr>
                <w:rFonts w:ascii="Times New Roman" w:hAnsi="Times New Roman"/>
                <w:sz w:val="20"/>
                <w:szCs w:val="20"/>
              </w:rPr>
              <w:t>12,9</w:t>
            </w:r>
          </w:p>
        </w:tc>
      </w:tr>
      <w:tr w:rsidR="009700E5" w14:paraId="15AF07C4" w14:textId="77777777">
        <w:trPr>
          <w:cantSplit/>
          <w:trHeight w:val="324"/>
        </w:trPr>
        <w:tc>
          <w:tcPr>
            <w:tcW w:w="2518" w:type="dxa"/>
            <w:tcBorders>
              <w:top w:val="single" w:sz="4" w:space="0" w:color="auto"/>
              <w:left w:val="single" w:sz="4" w:space="0" w:color="auto"/>
              <w:bottom w:val="single" w:sz="4" w:space="0" w:color="auto"/>
              <w:right w:val="single" w:sz="4" w:space="0" w:color="auto"/>
            </w:tcBorders>
            <w:hideMark/>
          </w:tcPr>
          <w:p w14:paraId="21F73257" w14:textId="77777777" w:rsidR="009700E5" w:rsidRDefault="002C033C">
            <w:pPr>
              <w:pStyle w:val="TextTi9"/>
              <w:keepNext/>
              <w:spacing w:after="120"/>
              <w:rPr>
                <w:rFonts w:ascii="Times New Roman" w:hAnsi="Times New Roman"/>
                <w:sz w:val="20"/>
                <w:szCs w:val="20"/>
              </w:rPr>
            </w:pPr>
            <w:r>
              <w:rPr>
                <w:rFonts w:ascii="Times New Roman" w:hAnsi="Times New Roman"/>
                <w:sz w:val="20"/>
                <w:szCs w:val="20"/>
              </w:rPr>
              <w:t>C</w:t>
            </w:r>
            <w:r>
              <w:rPr>
                <w:rFonts w:ascii="Times New Roman" w:hAnsi="Times New Roman"/>
                <w:sz w:val="20"/>
                <w:szCs w:val="20"/>
                <w:vertAlign w:val="subscript"/>
              </w:rPr>
              <w:t>mean</w:t>
            </w:r>
            <w:r>
              <w:rPr>
                <w:rFonts w:ascii="Times New Roman" w:hAnsi="Times New Roman"/>
                <w:sz w:val="20"/>
                <w:szCs w:val="20"/>
              </w:rPr>
              <w:t xml:space="preserve"> (µg/ml)</w:t>
            </w:r>
          </w:p>
        </w:tc>
        <w:tc>
          <w:tcPr>
            <w:tcW w:w="2801" w:type="dxa"/>
            <w:tcBorders>
              <w:top w:val="single" w:sz="4" w:space="0" w:color="auto"/>
              <w:left w:val="single" w:sz="4" w:space="0" w:color="auto"/>
              <w:bottom w:val="single" w:sz="4" w:space="0" w:color="auto"/>
              <w:right w:val="single" w:sz="4" w:space="0" w:color="auto"/>
            </w:tcBorders>
            <w:hideMark/>
          </w:tcPr>
          <w:p w14:paraId="2352FCBD" w14:textId="77777777" w:rsidR="009700E5" w:rsidRDefault="002C033C">
            <w:pPr>
              <w:pStyle w:val="TextTi9"/>
              <w:keepNext/>
              <w:spacing w:after="120"/>
              <w:jc w:val="center"/>
              <w:rPr>
                <w:rFonts w:ascii="Times New Roman" w:hAnsi="Times New Roman"/>
                <w:sz w:val="20"/>
                <w:szCs w:val="20"/>
              </w:rPr>
            </w:pPr>
            <w:r>
              <w:rPr>
                <w:rFonts w:ascii="Times New Roman" w:hAnsi="Times New Roman"/>
                <w:sz w:val="20"/>
                <w:szCs w:val="20"/>
              </w:rPr>
              <w:t>21,7</w:t>
            </w:r>
            <w:r>
              <w:rPr>
                <w:rFonts w:ascii="Times New Roman" w:eastAsia="SimSun" w:hAnsi="Times New Roman"/>
                <w:sz w:val="20"/>
                <w:szCs w:val="20"/>
              </w:rPr>
              <w:t> </w:t>
            </w:r>
            <w:r>
              <w:rPr>
                <w:rFonts w:ascii="Times New Roman" w:hAnsi="Times New Roman"/>
                <w:sz w:val="20"/>
                <w:szCs w:val="20"/>
              </w:rPr>
              <w:t>±</w:t>
            </w:r>
            <w:r>
              <w:rPr>
                <w:rFonts w:ascii="Times New Roman" w:eastAsia="SimSun" w:hAnsi="Times New Roman"/>
                <w:sz w:val="20"/>
                <w:szCs w:val="20"/>
              </w:rPr>
              <w:t> </w:t>
            </w:r>
            <w:r>
              <w:rPr>
                <w:rFonts w:ascii="Times New Roman" w:hAnsi="Times New Roman"/>
                <w:sz w:val="20"/>
                <w:szCs w:val="20"/>
              </w:rPr>
              <w:t>10,4</w:t>
            </w:r>
          </w:p>
        </w:tc>
        <w:tc>
          <w:tcPr>
            <w:tcW w:w="3261" w:type="dxa"/>
            <w:tcBorders>
              <w:top w:val="single" w:sz="4" w:space="0" w:color="auto"/>
              <w:left w:val="single" w:sz="4" w:space="0" w:color="auto"/>
              <w:bottom w:val="single" w:sz="4" w:space="0" w:color="auto"/>
              <w:right w:val="single" w:sz="4" w:space="0" w:color="auto"/>
            </w:tcBorders>
            <w:hideMark/>
          </w:tcPr>
          <w:p w14:paraId="41B69CED" w14:textId="77777777" w:rsidR="009700E5" w:rsidRDefault="002C033C">
            <w:pPr>
              <w:pStyle w:val="TextTi9"/>
              <w:keepNext/>
              <w:spacing w:after="120"/>
              <w:jc w:val="center"/>
              <w:rPr>
                <w:rFonts w:ascii="Times New Roman" w:hAnsi="Times New Roman"/>
                <w:sz w:val="20"/>
                <w:szCs w:val="20"/>
              </w:rPr>
            </w:pPr>
            <w:r>
              <w:rPr>
                <w:rFonts w:ascii="Times New Roman" w:hAnsi="Times New Roman"/>
                <w:sz w:val="20"/>
                <w:szCs w:val="20"/>
              </w:rPr>
              <w:t>45,5</w:t>
            </w:r>
            <w:r>
              <w:rPr>
                <w:rFonts w:ascii="Times New Roman" w:eastAsia="SimSun" w:hAnsi="Times New Roman"/>
                <w:sz w:val="20"/>
                <w:szCs w:val="20"/>
              </w:rPr>
              <w:t> </w:t>
            </w:r>
            <w:r>
              <w:rPr>
                <w:rFonts w:ascii="Times New Roman" w:hAnsi="Times New Roman"/>
                <w:sz w:val="20"/>
                <w:szCs w:val="20"/>
              </w:rPr>
              <w:t>±</w:t>
            </w:r>
            <w:r>
              <w:rPr>
                <w:rFonts w:ascii="Times New Roman" w:eastAsia="SimSun" w:hAnsi="Times New Roman"/>
                <w:sz w:val="20"/>
                <w:szCs w:val="20"/>
              </w:rPr>
              <w:t> </w:t>
            </w:r>
            <w:r>
              <w:rPr>
                <w:rFonts w:ascii="Times New Roman" w:hAnsi="Times New Roman"/>
                <w:sz w:val="20"/>
                <w:szCs w:val="20"/>
              </w:rPr>
              <w:t>19,8</w:t>
            </w:r>
          </w:p>
        </w:tc>
      </w:tr>
      <w:tr w:rsidR="009700E5" w14:paraId="370295EF" w14:textId="77777777">
        <w:trPr>
          <w:cantSplit/>
          <w:trHeight w:val="324"/>
        </w:trPr>
        <w:tc>
          <w:tcPr>
            <w:tcW w:w="2518" w:type="dxa"/>
            <w:tcBorders>
              <w:top w:val="single" w:sz="4" w:space="0" w:color="auto"/>
              <w:left w:val="single" w:sz="4" w:space="0" w:color="auto"/>
              <w:bottom w:val="single" w:sz="4" w:space="0" w:color="auto"/>
              <w:right w:val="single" w:sz="4" w:space="0" w:color="auto"/>
            </w:tcBorders>
            <w:hideMark/>
          </w:tcPr>
          <w:p w14:paraId="76C9B19B" w14:textId="77777777" w:rsidR="009700E5" w:rsidRDefault="002C033C">
            <w:pPr>
              <w:pStyle w:val="TextTi9"/>
              <w:spacing w:after="120"/>
              <w:rPr>
                <w:rFonts w:ascii="Times New Roman" w:hAnsi="Times New Roman"/>
                <w:sz w:val="20"/>
                <w:szCs w:val="20"/>
              </w:rPr>
            </w:pPr>
            <w:r>
              <w:rPr>
                <w:rFonts w:ascii="Times New Roman" w:hAnsi="Times New Roman"/>
                <w:sz w:val="20"/>
                <w:szCs w:val="20"/>
              </w:rPr>
              <w:t>Kumulácia z hľadiska C</w:t>
            </w:r>
            <w:r>
              <w:rPr>
                <w:rFonts w:ascii="Times New Roman" w:hAnsi="Times New Roman"/>
                <w:sz w:val="20"/>
                <w:szCs w:val="20"/>
                <w:vertAlign w:val="subscript"/>
              </w:rPr>
              <w:t>max</w:t>
            </w:r>
          </w:p>
        </w:tc>
        <w:tc>
          <w:tcPr>
            <w:tcW w:w="2801" w:type="dxa"/>
            <w:tcBorders>
              <w:top w:val="single" w:sz="4" w:space="0" w:color="auto"/>
              <w:left w:val="single" w:sz="4" w:space="0" w:color="auto"/>
              <w:bottom w:val="single" w:sz="4" w:space="0" w:color="auto"/>
              <w:right w:val="single" w:sz="4" w:space="0" w:color="auto"/>
            </w:tcBorders>
          </w:tcPr>
          <w:p w14:paraId="32AF8B7C" w14:textId="77777777" w:rsidR="009700E5" w:rsidRDefault="002C033C">
            <w:pPr>
              <w:pStyle w:val="TextTi9"/>
              <w:spacing w:after="120"/>
              <w:jc w:val="center"/>
              <w:rPr>
                <w:rFonts w:ascii="Times New Roman" w:hAnsi="Times New Roman"/>
                <w:sz w:val="20"/>
                <w:szCs w:val="20"/>
              </w:rPr>
            </w:pPr>
            <w:r>
              <w:rPr>
                <w:rFonts w:ascii="Times New Roman" w:hAnsi="Times New Roman"/>
                <w:sz w:val="20"/>
                <w:szCs w:val="20"/>
              </w:rPr>
              <w:t>1,72</w:t>
            </w:r>
          </w:p>
        </w:tc>
        <w:tc>
          <w:tcPr>
            <w:tcW w:w="3261" w:type="dxa"/>
            <w:tcBorders>
              <w:top w:val="single" w:sz="4" w:space="0" w:color="auto"/>
              <w:left w:val="single" w:sz="4" w:space="0" w:color="auto"/>
              <w:bottom w:val="single" w:sz="4" w:space="0" w:color="auto"/>
              <w:right w:val="single" w:sz="4" w:space="0" w:color="auto"/>
            </w:tcBorders>
          </w:tcPr>
          <w:p w14:paraId="1386D769" w14:textId="77777777" w:rsidR="009700E5" w:rsidRDefault="002C033C">
            <w:pPr>
              <w:pStyle w:val="TextTi9"/>
              <w:spacing w:after="120"/>
              <w:jc w:val="center"/>
              <w:rPr>
                <w:rFonts w:ascii="Times New Roman" w:hAnsi="Times New Roman"/>
                <w:sz w:val="20"/>
                <w:szCs w:val="20"/>
              </w:rPr>
            </w:pPr>
            <w:r>
              <w:rPr>
                <w:rFonts w:ascii="Times New Roman" w:hAnsi="Times New Roman"/>
                <w:sz w:val="20"/>
                <w:szCs w:val="20"/>
              </w:rPr>
              <w:t>1,32</w:t>
            </w:r>
          </w:p>
        </w:tc>
      </w:tr>
      <w:tr w:rsidR="009700E5" w14:paraId="036C7C4E" w14:textId="77777777">
        <w:trPr>
          <w:cantSplit/>
          <w:trHeight w:val="331"/>
        </w:trPr>
        <w:tc>
          <w:tcPr>
            <w:tcW w:w="2518" w:type="dxa"/>
            <w:tcBorders>
              <w:top w:val="single" w:sz="4" w:space="0" w:color="auto"/>
              <w:left w:val="single" w:sz="4" w:space="0" w:color="auto"/>
              <w:bottom w:val="single" w:sz="4" w:space="0" w:color="auto"/>
              <w:right w:val="single" w:sz="4" w:space="0" w:color="auto"/>
            </w:tcBorders>
            <w:hideMark/>
          </w:tcPr>
          <w:p w14:paraId="793ED3E7" w14:textId="77777777" w:rsidR="009700E5" w:rsidRDefault="002C033C">
            <w:pPr>
              <w:pStyle w:val="TextTi9"/>
              <w:spacing w:after="120"/>
              <w:rPr>
                <w:rFonts w:ascii="Times New Roman" w:hAnsi="Times New Roman"/>
                <w:sz w:val="20"/>
                <w:szCs w:val="20"/>
              </w:rPr>
            </w:pPr>
            <w:r>
              <w:rPr>
                <w:rFonts w:ascii="Times New Roman" w:hAnsi="Times New Roman"/>
                <w:sz w:val="20"/>
                <w:szCs w:val="20"/>
              </w:rPr>
              <w:t>Kumulácia z hľadiska C</w:t>
            </w:r>
            <w:r>
              <w:rPr>
                <w:rFonts w:ascii="Times New Roman" w:hAnsi="Times New Roman"/>
                <w:sz w:val="20"/>
                <w:szCs w:val="20"/>
                <w:vertAlign w:val="subscript"/>
              </w:rPr>
              <w:t>min</w:t>
            </w:r>
          </w:p>
        </w:tc>
        <w:tc>
          <w:tcPr>
            <w:tcW w:w="2801" w:type="dxa"/>
            <w:tcBorders>
              <w:top w:val="single" w:sz="4" w:space="0" w:color="auto"/>
              <w:left w:val="single" w:sz="4" w:space="0" w:color="auto"/>
              <w:bottom w:val="single" w:sz="4" w:space="0" w:color="auto"/>
              <w:right w:val="single" w:sz="4" w:space="0" w:color="auto"/>
            </w:tcBorders>
          </w:tcPr>
          <w:p w14:paraId="7A543C33" w14:textId="77777777" w:rsidR="009700E5" w:rsidRDefault="002C033C">
            <w:pPr>
              <w:pStyle w:val="TextTi9"/>
              <w:spacing w:after="120"/>
              <w:jc w:val="center"/>
              <w:rPr>
                <w:rFonts w:ascii="Times New Roman" w:hAnsi="Times New Roman"/>
                <w:sz w:val="20"/>
                <w:szCs w:val="20"/>
              </w:rPr>
            </w:pPr>
            <w:r>
              <w:rPr>
                <w:rFonts w:ascii="Times New Roman" w:hAnsi="Times New Roman"/>
                <w:sz w:val="20"/>
                <w:szCs w:val="20"/>
              </w:rPr>
              <w:t>3,58</w:t>
            </w:r>
          </w:p>
        </w:tc>
        <w:tc>
          <w:tcPr>
            <w:tcW w:w="3261" w:type="dxa"/>
            <w:tcBorders>
              <w:top w:val="single" w:sz="4" w:space="0" w:color="auto"/>
              <w:left w:val="single" w:sz="4" w:space="0" w:color="auto"/>
              <w:bottom w:val="single" w:sz="4" w:space="0" w:color="auto"/>
              <w:right w:val="single" w:sz="4" w:space="0" w:color="auto"/>
            </w:tcBorders>
          </w:tcPr>
          <w:p w14:paraId="0C967754" w14:textId="77777777" w:rsidR="009700E5" w:rsidRDefault="002C033C">
            <w:pPr>
              <w:pStyle w:val="TextTi9"/>
              <w:spacing w:after="120"/>
              <w:jc w:val="center"/>
              <w:rPr>
                <w:rFonts w:ascii="Times New Roman" w:hAnsi="Times New Roman"/>
                <w:sz w:val="20"/>
                <w:szCs w:val="20"/>
              </w:rPr>
            </w:pPr>
            <w:r>
              <w:rPr>
                <w:rFonts w:ascii="Times New Roman" w:hAnsi="Times New Roman"/>
                <w:sz w:val="20"/>
                <w:szCs w:val="20"/>
              </w:rPr>
              <w:t>2,08</w:t>
            </w:r>
          </w:p>
        </w:tc>
      </w:tr>
      <w:tr w:rsidR="009700E5" w14:paraId="03505D23" w14:textId="77777777">
        <w:trPr>
          <w:cantSplit/>
          <w:trHeight w:val="331"/>
        </w:trPr>
        <w:tc>
          <w:tcPr>
            <w:tcW w:w="2518" w:type="dxa"/>
            <w:tcBorders>
              <w:top w:val="single" w:sz="4" w:space="0" w:color="auto"/>
              <w:left w:val="single" w:sz="4" w:space="0" w:color="auto"/>
              <w:bottom w:val="single" w:sz="4" w:space="0" w:color="auto"/>
              <w:right w:val="single" w:sz="4" w:space="0" w:color="auto"/>
            </w:tcBorders>
          </w:tcPr>
          <w:p w14:paraId="73E964F2" w14:textId="77777777" w:rsidR="009700E5" w:rsidRDefault="002C033C">
            <w:pPr>
              <w:pStyle w:val="TextTi9"/>
              <w:spacing w:after="120"/>
              <w:rPr>
                <w:rFonts w:ascii="Times New Roman" w:hAnsi="Times New Roman"/>
                <w:sz w:val="20"/>
                <w:szCs w:val="20"/>
              </w:rPr>
            </w:pPr>
            <w:r>
              <w:rPr>
                <w:rFonts w:ascii="Times New Roman" w:hAnsi="Times New Roman"/>
                <w:sz w:val="20"/>
                <w:szCs w:val="20"/>
              </w:rPr>
              <w:t>Kumulácia z hľadiska C</w:t>
            </w:r>
            <w:r>
              <w:rPr>
                <w:rFonts w:ascii="Times New Roman" w:hAnsi="Times New Roman"/>
                <w:sz w:val="20"/>
                <w:szCs w:val="20"/>
                <w:vertAlign w:val="subscript"/>
              </w:rPr>
              <w:t>mean</w:t>
            </w:r>
            <w:r>
              <w:rPr>
                <w:rFonts w:ascii="Times New Roman" w:hAnsi="Times New Roman"/>
                <w:sz w:val="20"/>
                <w:szCs w:val="20"/>
              </w:rPr>
              <w:t xml:space="preserve"> alebo AUC</w:t>
            </w:r>
            <w:r>
              <w:rPr>
                <w:rFonts w:ascii="Times New Roman" w:hAnsi="Times New Roman"/>
                <w:sz w:val="20"/>
                <w:szCs w:val="20"/>
                <w:vertAlign w:val="subscript"/>
              </w:rPr>
              <w:t>τ</w:t>
            </w:r>
            <w:r>
              <w:rPr>
                <w:rFonts w:ascii="Times New Roman" w:hAnsi="Times New Roman"/>
                <w:sz w:val="20"/>
                <w:szCs w:val="20"/>
              </w:rPr>
              <w:t xml:space="preserve"> *</w:t>
            </w:r>
          </w:p>
        </w:tc>
        <w:tc>
          <w:tcPr>
            <w:tcW w:w="2801" w:type="dxa"/>
            <w:tcBorders>
              <w:top w:val="single" w:sz="4" w:space="0" w:color="auto"/>
              <w:left w:val="single" w:sz="4" w:space="0" w:color="auto"/>
              <w:bottom w:val="single" w:sz="4" w:space="0" w:color="auto"/>
              <w:right w:val="single" w:sz="4" w:space="0" w:color="auto"/>
            </w:tcBorders>
          </w:tcPr>
          <w:p w14:paraId="5BD282FC" w14:textId="77777777" w:rsidR="009700E5" w:rsidRDefault="002C033C">
            <w:pPr>
              <w:pStyle w:val="TextTi9"/>
              <w:spacing w:after="120"/>
              <w:jc w:val="center"/>
              <w:rPr>
                <w:rFonts w:ascii="Times New Roman" w:hAnsi="Times New Roman"/>
                <w:sz w:val="20"/>
                <w:szCs w:val="20"/>
              </w:rPr>
            </w:pPr>
            <w:r>
              <w:rPr>
                <w:rFonts w:ascii="Times New Roman" w:hAnsi="Times New Roman"/>
                <w:sz w:val="20"/>
                <w:szCs w:val="20"/>
              </w:rPr>
              <w:t>2,04</w:t>
            </w:r>
          </w:p>
        </w:tc>
        <w:tc>
          <w:tcPr>
            <w:tcW w:w="3261" w:type="dxa"/>
            <w:tcBorders>
              <w:top w:val="single" w:sz="4" w:space="0" w:color="auto"/>
              <w:left w:val="single" w:sz="4" w:space="0" w:color="auto"/>
              <w:bottom w:val="single" w:sz="4" w:space="0" w:color="auto"/>
              <w:right w:val="single" w:sz="4" w:space="0" w:color="auto"/>
            </w:tcBorders>
          </w:tcPr>
          <w:p w14:paraId="35F7ED1E" w14:textId="77777777" w:rsidR="009700E5" w:rsidRDefault="002C033C">
            <w:pPr>
              <w:pStyle w:val="TextTi9"/>
              <w:spacing w:after="120"/>
              <w:jc w:val="center"/>
              <w:rPr>
                <w:rFonts w:ascii="Times New Roman" w:hAnsi="Times New Roman"/>
                <w:sz w:val="20"/>
                <w:szCs w:val="20"/>
              </w:rPr>
            </w:pPr>
            <w:r>
              <w:rPr>
                <w:rFonts w:ascii="Times New Roman" w:hAnsi="Times New Roman"/>
                <w:sz w:val="20"/>
                <w:szCs w:val="20"/>
              </w:rPr>
              <w:t>1,46</w:t>
            </w:r>
          </w:p>
        </w:tc>
      </w:tr>
    </w:tbl>
    <w:p w14:paraId="3D11B4E6" w14:textId="77777777" w:rsidR="009700E5" w:rsidRDefault="002C033C">
      <w:pPr>
        <w:rPr>
          <w:sz w:val="18"/>
          <w:szCs w:val="18"/>
        </w:rPr>
      </w:pPr>
      <w:r>
        <w:rPr>
          <w:sz w:val="18"/>
          <w:szCs w:val="18"/>
        </w:rPr>
        <w:t>*τ</w:t>
      </w:r>
      <w:ins w:id="2735" w:author="Author" w:date="2025-07-21T11:01:00Z">
        <w:r>
          <w:rPr>
            <w:sz w:val="18"/>
            <w:szCs w:val="18"/>
          </w:rPr>
          <w:t> </w:t>
        </w:r>
      </w:ins>
      <w:del w:id="2736" w:author="Author" w:date="2025-07-21T11:01:00Z">
        <w:r>
          <w:rPr>
            <w:sz w:val="18"/>
            <w:szCs w:val="18"/>
          </w:rPr>
          <w:delText xml:space="preserve"> </w:delText>
        </w:r>
      </w:del>
      <w:r>
        <w:rPr>
          <w:sz w:val="18"/>
          <w:szCs w:val="18"/>
        </w:rPr>
        <w:t>=</w:t>
      </w:r>
      <w:ins w:id="2737" w:author="Author" w:date="2025-07-21T11:01:00Z">
        <w:r>
          <w:rPr>
            <w:sz w:val="18"/>
            <w:szCs w:val="18"/>
          </w:rPr>
          <w:t> </w:t>
        </w:r>
      </w:ins>
      <w:del w:id="2738" w:author="Author" w:date="2025-07-21T11:01:00Z">
        <w:r>
          <w:rPr>
            <w:sz w:val="18"/>
            <w:szCs w:val="18"/>
          </w:rPr>
          <w:delText xml:space="preserve"> </w:delText>
        </w:r>
      </w:del>
      <w:r>
        <w:rPr>
          <w:sz w:val="18"/>
          <w:szCs w:val="18"/>
        </w:rPr>
        <w:t>2 týždne alebo 3 týždne pri dvoch režimoch so subkutánnou dávkou</w:t>
      </w:r>
    </w:p>
    <w:p w14:paraId="6B55A356" w14:textId="77777777" w:rsidR="009700E5" w:rsidRDefault="009700E5">
      <w:pPr>
        <w:numPr>
          <w:ilvl w:val="12"/>
          <w:numId w:val="0"/>
        </w:numPr>
        <w:rPr>
          <w:iCs/>
          <w:szCs w:val="22"/>
        </w:rPr>
      </w:pPr>
    </w:p>
    <w:p w14:paraId="4F680B88" w14:textId="77777777" w:rsidR="009700E5" w:rsidRDefault="002C033C">
      <w:pPr>
        <w:numPr>
          <w:ilvl w:val="12"/>
          <w:numId w:val="0"/>
        </w:numPr>
        <w:rPr>
          <w:szCs w:val="22"/>
        </w:rPr>
      </w:pPr>
      <w:r>
        <w:rPr>
          <w:szCs w:val="22"/>
        </w:rPr>
        <w:t>Po intravenóznom podávaní sa približne 90 % rovnovážneho stavu dosiahlo do 12. týždňa pri dávke 10 mg/kg (telesná hmotnosť </w:t>
      </w:r>
      <w:r>
        <w:rPr>
          <w:rFonts w:eastAsia="MS Mincho"/>
          <w:szCs w:val="22"/>
        </w:rPr>
        <w:sym w:font="Symbol" w:char="F03C"/>
      </w:r>
      <w:r>
        <w:rPr>
          <w:szCs w:val="22"/>
        </w:rPr>
        <w:t> 30 kg) a do 16. týždňa pri dávke 8 mg/kg (telesná hmotnosť ≥ 30 kg). Po subkutánnom podávaní sa približne 90 % rovnovážneho stavu dosiahlo do 12. týždňa pri režime so subkutánnou dávkou 162 mg Q2W aj pri režime so subkutánnou dávkou 162 mg Q3W.</w:t>
      </w:r>
    </w:p>
    <w:p w14:paraId="658F52D2" w14:textId="77777777" w:rsidR="009700E5" w:rsidRDefault="009700E5">
      <w:pPr>
        <w:numPr>
          <w:ilvl w:val="12"/>
          <w:numId w:val="0"/>
        </w:numPr>
        <w:rPr>
          <w:iCs/>
          <w:szCs w:val="22"/>
        </w:rPr>
      </w:pPr>
    </w:p>
    <w:p w14:paraId="46692A24" w14:textId="77777777" w:rsidR="009700E5" w:rsidRDefault="002C033C">
      <w:pPr>
        <w:numPr>
          <w:ilvl w:val="12"/>
          <w:numId w:val="0"/>
        </w:numPr>
        <w:ind w:right="-2"/>
        <w:rPr>
          <w:i/>
          <w:u w:val="single"/>
        </w:rPr>
      </w:pPr>
      <w:r>
        <w:rPr>
          <w:i/>
          <w:u w:val="single"/>
        </w:rPr>
        <w:t>Absorpcia</w:t>
      </w:r>
    </w:p>
    <w:p w14:paraId="4B82777A" w14:textId="77777777" w:rsidR="009700E5" w:rsidRDefault="002C033C">
      <w:pPr>
        <w:numPr>
          <w:ilvl w:val="12"/>
          <w:numId w:val="0"/>
        </w:numPr>
        <w:ind w:right="-2"/>
        <w:rPr>
          <w:iCs/>
        </w:rPr>
      </w:pPr>
      <w:r>
        <w:rPr>
          <w:iCs/>
        </w:rPr>
        <w:t xml:space="preserve">Po </w:t>
      </w:r>
      <w:r>
        <w:rPr>
          <w:szCs w:val="22"/>
        </w:rPr>
        <w:t>subkutánnom</w:t>
      </w:r>
      <w:r>
        <w:rPr>
          <w:iCs/>
        </w:rPr>
        <w:t xml:space="preserve"> podávaní pacientom s pJIA bol polčas absorpcie približne 2 dni a biologická dostupnosť </w:t>
      </w:r>
      <w:r>
        <w:rPr>
          <w:szCs w:val="22"/>
        </w:rPr>
        <w:t>subkutánnej</w:t>
      </w:r>
      <w:r>
        <w:rPr>
          <w:iCs/>
        </w:rPr>
        <w:t xml:space="preserve"> formy u pacientov s pJIA bola 96 %.</w:t>
      </w:r>
    </w:p>
    <w:p w14:paraId="672E5956" w14:textId="77777777" w:rsidR="009700E5" w:rsidRDefault="009700E5">
      <w:pPr>
        <w:rPr>
          <w:szCs w:val="22"/>
          <w:lang w:eastAsia="de-DE"/>
        </w:rPr>
      </w:pPr>
    </w:p>
    <w:p w14:paraId="78262629" w14:textId="77777777" w:rsidR="009700E5" w:rsidRDefault="002C033C">
      <w:pPr>
        <w:keepNext/>
        <w:keepLines/>
        <w:rPr>
          <w:i/>
          <w:iCs/>
          <w:szCs w:val="22"/>
          <w:u w:val="single"/>
          <w:lang w:eastAsia="de-DE"/>
        </w:rPr>
      </w:pPr>
      <w:r>
        <w:rPr>
          <w:i/>
          <w:iCs/>
          <w:szCs w:val="22"/>
          <w:u w:val="single"/>
          <w:lang w:eastAsia="de-DE"/>
        </w:rPr>
        <w:lastRenderedPageBreak/>
        <w:t>Distribúcia</w:t>
      </w:r>
    </w:p>
    <w:p w14:paraId="6A92DEA4" w14:textId="77777777" w:rsidR="009700E5" w:rsidRDefault="002C033C">
      <w:pPr>
        <w:keepNext/>
        <w:keepLines/>
        <w:rPr>
          <w:szCs w:val="22"/>
          <w:lang w:eastAsia="de-DE"/>
        </w:rPr>
      </w:pPr>
      <w:r>
        <w:rPr>
          <w:szCs w:val="22"/>
          <w:lang w:eastAsia="de-DE"/>
        </w:rPr>
        <w:t>U pediatrických pacientov s pJIA bol distribučný objem centrálneho kompartmentu 1,97 l; distribučný objem periférneho kompartmentu 2,03 l; čo malo za následok distribučný objem 4,0 l v rovnovážnom stave.</w:t>
      </w:r>
    </w:p>
    <w:p w14:paraId="1F741B36" w14:textId="77777777" w:rsidR="009700E5" w:rsidRDefault="009700E5">
      <w:pPr>
        <w:spacing w:line="280" w:lineRule="atLeast"/>
        <w:rPr>
          <w:iCs/>
          <w:szCs w:val="22"/>
          <w:highlight w:val="yellow"/>
          <w:lang w:eastAsia="de-DE"/>
        </w:rPr>
      </w:pPr>
    </w:p>
    <w:p w14:paraId="4444B418" w14:textId="77777777" w:rsidR="009700E5" w:rsidRDefault="002C033C">
      <w:pPr>
        <w:numPr>
          <w:ilvl w:val="12"/>
          <w:numId w:val="0"/>
        </w:numPr>
        <w:ind w:right="-2"/>
        <w:rPr>
          <w:i/>
          <w:szCs w:val="22"/>
          <w:u w:val="single"/>
        </w:rPr>
      </w:pPr>
      <w:r>
        <w:rPr>
          <w:i/>
          <w:szCs w:val="22"/>
          <w:u w:val="single"/>
        </w:rPr>
        <w:t>Eliminácia</w:t>
      </w:r>
    </w:p>
    <w:p w14:paraId="1ABDCF84" w14:textId="77777777" w:rsidR="009700E5" w:rsidRDefault="002C033C">
      <w:r>
        <w:rPr>
          <w:szCs w:val="22"/>
          <w:lang w:eastAsia="de-DE"/>
        </w:rPr>
        <w:t>Populačné farmakokinetické analýzy u pacientov s pJIA preukázali vplyv veľkosti tela na lineárny klírens, z čoho vyplýva, že sa má vziať do úvahy dávkovanie odvodené od telesnej hmotnosti (pozri tabuľku 9).</w:t>
      </w:r>
    </w:p>
    <w:p w14:paraId="7ECEC9C6" w14:textId="77777777" w:rsidR="009700E5" w:rsidRDefault="009700E5">
      <w:pPr>
        <w:rPr>
          <w:szCs w:val="22"/>
          <w:lang w:eastAsia="de-DE"/>
        </w:rPr>
      </w:pPr>
    </w:p>
    <w:p w14:paraId="5E1FB46D" w14:textId="77777777" w:rsidR="009700E5" w:rsidRDefault="002C033C">
      <w:pPr>
        <w:numPr>
          <w:ilvl w:val="12"/>
          <w:numId w:val="0"/>
        </w:numPr>
      </w:pPr>
      <w:r>
        <w:t>Po subkutánnom podávaní je efektívny t</w:t>
      </w:r>
      <w:r>
        <w:rPr>
          <w:vertAlign w:val="subscript"/>
        </w:rPr>
        <w:t>1/2</w:t>
      </w:r>
      <w:r>
        <w:t xml:space="preserve"> tocilizumabu</w:t>
      </w:r>
      <w:r>
        <w:rPr>
          <w:iCs/>
          <w:szCs w:val="22"/>
        </w:rPr>
        <w:t xml:space="preserve"> u pacientov s </w:t>
      </w:r>
      <w:r>
        <w:t>pJIA až 10 dní u pacientov s telesnou hmotnosťou </w:t>
      </w:r>
      <w:r>
        <w:rPr>
          <w:rFonts w:eastAsia="MS Mincho"/>
          <w:szCs w:val="22"/>
        </w:rPr>
        <w:sym w:font="Symbol" w:char="F03C"/>
      </w:r>
      <w:r>
        <w:rPr>
          <w:color w:val="000000"/>
          <w:szCs w:val="22"/>
          <w:shd w:val="clear" w:color="auto" w:fill="FFFFFF"/>
        </w:rPr>
        <w:t> </w:t>
      </w:r>
      <w:r>
        <w:t>30 kg (</w:t>
      </w:r>
      <w:r>
        <w:rPr>
          <w:szCs w:val="22"/>
        </w:rPr>
        <w:t xml:space="preserve">pri režime so subkutánnou dávkou 162 mg Q3W) a až 7 dní u pacientov s telesnou hmotnosťou </w:t>
      </w:r>
      <w:r>
        <w:t>≥ 30 kg (</w:t>
      </w:r>
      <w:r>
        <w:rPr>
          <w:szCs w:val="22"/>
        </w:rPr>
        <w:t xml:space="preserve">pri režime so subkutánnou dávkou 162 mg Q2W) </w:t>
      </w:r>
      <w:r>
        <w:t>počas dávkovacieho intervalu po dosiahnutí rovnovážneho stavu. Po intravenóznom podaní podlieha tocilizumab dvojfázovému vylučovaniu z cirkulácie. Celkový klírens tocilizumabu bol závislý od koncentrácie a predstavoval súčet lineárneho a nelineráneho klírensu. Lineárny klírens bol odhadnutý ako parameter v populačnej farmakokinetickej analýze na 6,25 ml/h. Nelineárny klírens závislý od koncentrácie zohrával významnú úlohu pri nízkych koncentráciách tocilizumabu. Po dosiahnutí saturácie nelineárneho klírensu pri vyšších koncentráciách tocilizumabu je klírens určovaný predovšetkým lineárnym klírensom.</w:t>
      </w:r>
    </w:p>
    <w:p w14:paraId="0159B16A" w14:textId="77777777" w:rsidR="009700E5" w:rsidRDefault="009700E5">
      <w:pPr>
        <w:rPr>
          <w:szCs w:val="22"/>
          <w:lang w:eastAsia="de-DE"/>
        </w:rPr>
      </w:pPr>
    </w:p>
    <w:p w14:paraId="68F7CDA0" w14:textId="77777777" w:rsidR="009700E5" w:rsidRPr="009700E5" w:rsidRDefault="002C033C">
      <w:pPr>
        <w:rPr>
          <w:moveTo w:id="2739" w:author="Author" w:date="2025-07-20T00:30:00Z"/>
          <w:szCs w:val="22"/>
          <w:u w:val="single"/>
          <w:lang w:eastAsia="de-DE"/>
          <w:rPrChange w:id="2740" w:author="Author" w:date="2025-08-22T15:12:00Z">
            <w:rPr>
              <w:moveTo w:id="2741" w:author="Author" w:date="2025-07-20T00:30:00Z"/>
              <w:i/>
              <w:iCs/>
              <w:szCs w:val="22"/>
              <w:lang w:eastAsia="de-DE"/>
            </w:rPr>
          </w:rPrChange>
        </w:rPr>
      </w:pPr>
      <w:moveToRangeStart w:id="2742" w:author="Author" w:date="2025-07-20T00:30:00Z" w:name="move203863833"/>
      <w:moveTo w:id="2743" w:author="Author" w:date="2025-07-20T00:30:00Z">
        <w:r>
          <w:rPr>
            <w:szCs w:val="22"/>
            <w:u w:val="single"/>
            <w:lang w:eastAsia="de-DE"/>
            <w:rPrChange w:id="2744" w:author="Author" w:date="2025-08-22T15:12:00Z">
              <w:rPr>
                <w:i/>
                <w:iCs/>
                <w:szCs w:val="22"/>
                <w:lang w:eastAsia="de-DE"/>
              </w:rPr>
            </w:rPrChange>
          </w:rPr>
          <w:t>Subkutánne použitie</w:t>
        </w:r>
      </w:moveTo>
    </w:p>
    <w:moveToRangeEnd w:id="2742"/>
    <w:p w14:paraId="05987415" w14:textId="77777777" w:rsidR="009700E5" w:rsidRDefault="002C033C">
      <w:pPr>
        <w:rPr>
          <w:ins w:id="2745" w:author="Author" w:date="2025-07-21T11:01:00Z"/>
          <w:i/>
          <w:iCs/>
          <w:szCs w:val="22"/>
          <w:lang w:eastAsia="de-DE"/>
        </w:rPr>
      </w:pPr>
      <w:r>
        <w:rPr>
          <w:i/>
          <w:iCs/>
          <w:szCs w:val="22"/>
          <w:lang w:eastAsia="de-DE"/>
          <w:rPrChange w:id="2746" w:author="Author" w:date="2025-08-22T15:12:00Z">
            <w:rPr>
              <w:szCs w:val="22"/>
              <w:u w:val="single"/>
              <w:lang w:eastAsia="de-DE"/>
            </w:rPr>
          </w:rPrChange>
        </w:rPr>
        <w:t>Pacienti s</w:t>
      </w:r>
      <w:del w:id="2747" w:author="Author" w:date="2025-07-21T11:01:00Z">
        <w:r>
          <w:rPr>
            <w:i/>
            <w:iCs/>
            <w:szCs w:val="22"/>
            <w:lang w:eastAsia="de-DE"/>
            <w:rPrChange w:id="2748" w:author="Author" w:date="2025-08-22T15:12:00Z">
              <w:rPr>
                <w:szCs w:val="22"/>
                <w:u w:val="single"/>
                <w:lang w:eastAsia="de-DE"/>
              </w:rPr>
            </w:rPrChange>
          </w:rPr>
          <w:delText> </w:delText>
        </w:r>
      </w:del>
      <w:ins w:id="2749" w:author="Author" w:date="2025-07-21T11:01:00Z">
        <w:r>
          <w:rPr>
            <w:i/>
            <w:iCs/>
            <w:szCs w:val="22"/>
            <w:lang w:eastAsia="de-DE"/>
          </w:rPr>
          <w:t> </w:t>
        </w:r>
      </w:ins>
      <w:r>
        <w:rPr>
          <w:i/>
          <w:iCs/>
          <w:szCs w:val="22"/>
          <w:lang w:eastAsia="de-DE"/>
          <w:rPrChange w:id="2750" w:author="Author" w:date="2025-08-22T15:12:00Z">
            <w:rPr>
              <w:szCs w:val="22"/>
              <w:u w:val="single"/>
              <w:lang w:eastAsia="de-DE"/>
            </w:rPr>
          </w:rPrChange>
        </w:rPr>
        <w:t>OBA</w:t>
      </w:r>
    </w:p>
    <w:p w14:paraId="44A9F95C" w14:textId="77777777" w:rsidR="009700E5" w:rsidRPr="009700E5" w:rsidRDefault="009700E5">
      <w:pPr>
        <w:rPr>
          <w:i/>
          <w:iCs/>
          <w:szCs w:val="22"/>
          <w:lang w:eastAsia="de-DE"/>
          <w:rPrChange w:id="2751" w:author="Author" w:date="2025-08-22T15:12:00Z">
            <w:rPr>
              <w:szCs w:val="22"/>
              <w:u w:val="single"/>
              <w:lang w:eastAsia="de-DE"/>
            </w:rPr>
          </w:rPrChange>
        </w:rPr>
      </w:pPr>
    </w:p>
    <w:p w14:paraId="47D00CF2" w14:textId="77777777" w:rsidR="009700E5" w:rsidRDefault="002C033C">
      <w:pPr>
        <w:rPr>
          <w:moveFrom w:id="2752" w:author="Author" w:date="2025-07-20T00:30:00Z"/>
          <w:i/>
          <w:iCs/>
          <w:szCs w:val="22"/>
          <w:lang w:eastAsia="de-DE"/>
        </w:rPr>
      </w:pPr>
      <w:moveFromRangeStart w:id="2753" w:author="Author" w:date="2025-07-20T00:30:00Z" w:name="move203863833"/>
      <w:moveFrom w:id="2754" w:author="Author" w:date="2025-07-20T00:30:00Z">
        <w:r>
          <w:rPr>
            <w:i/>
            <w:iCs/>
            <w:szCs w:val="22"/>
            <w:lang w:eastAsia="de-DE"/>
          </w:rPr>
          <w:t>Subkutánne použitie</w:t>
        </w:r>
      </w:moveFrom>
    </w:p>
    <w:moveFromRangeEnd w:id="2753"/>
    <w:p w14:paraId="138D878B" w14:textId="77777777" w:rsidR="009700E5" w:rsidRDefault="002C033C">
      <w:pPr>
        <w:rPr>
          <w:szCs w:val="22"/>
          <w:lang w:eastAsia="de-DE"/>
        </w:rPr>
      </w:pPr>
      <w:r>
        <w:rPr>
          <w:szCs w:val="22"/>
          <w:lang w:eastAsia="de-DE"/>
        </w:rPr>
        <w:t xml:space="preserve">Farmakokinetika tocilizumabu u pacientov s OBA sa stanovila </w:t>
      </w:r>
      <w:r>
        <w:rPr>
          <w:iCs/>
        </w:rPr>
        <w:t>za použitia populačného farmakokinetického modelu analýzy údajov z databázy zloženej zo</w:t>
      </w:r>
      <w:r>
        <w:rPr>
          <w:szCs w:val="22"/>
          <w:lang w:eastAsia="de-DE"/>
        </w:rPr>
        <w:t xml:space="preserve"> 149 pacientov s OBA liečených dávkou 162 mg podávanou subkutánne každý týždeň alebo dávkou 162 mg podávanou subkutánne každý druhý týždeň. Tento vyvinutý model mal zhodnú štruktúru so štruktúrou populačného FK modelu, ktorý bol vyvinutý skoršie na základe údajov z</w:t>
      </w:r>
      <w:ins w:id="2755" w:author="Author" w:date="2025-07-21T11:01:00Z">
        <w:r>
          <w:rPr>
            <w:szCs w:val="22"/>
            <w:lang w:eastAsia="de-DE"/>
          </w:rPr>
          <w:t> </w:t>
        </w:r>
      </w:ins>
      <w:del w:id="2756" w:author="Author" w:date="2025-07-21T11:01:00Z">
        <w:r>
          <w:rPr>
            <w:szCs w:val="22"/>
            <w:lang w:eastAsia="de-DE"/>
          </w:rPr>
          <w:delText xml:space="preserve">o </w:delText>
        </w:r>
      </w:del>
      <w:del w:id="2757" w:author="Author" w:date="2025-07-20T22:26:00Z">
        <w:r>
          <w:rPr>
            <w:szCs w:val="22"/>
            <w:lang w:eastAsia="de-DE"/>
          </w:rPr>
          <w:delText xml:space="preserve">štúdie </w:delText>
        </w:r>
      </w:del>
      <w:ins w:id="2758" w:author="Author" w:date="2025-07-21T11:01:00Z">
        <w:r>
          <w:t>klinického</w:t>
        </w:r>
        <w:r>
          <w:rPr>
            <w:szCs w:val="22"/>
            <w:lang w:eastAsia="de-DE"/>
          </w:rPr>
          <w:t xml:space="preserve"> </w:t>
        </w:r>
      </w:ins>
      <w:ins w:id="2759" w:author="Author" w:date="2025-07-20T22:26:00Z">
        <w:r>
          <w:rPr>
            <w:szCs w:val="22"/>
            <w:lang w:eastAsia="de-DE"/>
          </w:rPr>
          <w:t xml:space="preserve">skúšania </w:t>
        </w:r>
      </w:ins>
      <w:r>
        <w:rPr>
          <w:szCs w:val="22"/>
          <w:lang w:eastAsia="de-DE"/>
        </w:rPr>
        <w:t>pacientov s RA (pozri tabuľku 10).</w:t>
      </w:r>
    </w:p>
    <w:p w14:paraId="37959AFD" w14:textId="77777777" w:rsidR="009700E5" w:rsidRDefault="009700E5">
      <w:pPr>
        <w:rPr>
          <w:szCs w:val="22"/>
          <w:lang w:eastAsia="de-DE"/>
        </w:rPr>
      </w:pPr>
    </w:p>
    <w:p w14:paraId="0167BE4C" w14:textId="77777777" w:rsidR="009700E5" w:rsidRDefault="002C033C">
      <w:pPr>
        <w:keepNext/>
        <w:keepLines/>
        <w:spacing w:line="280" w:lineRule="atLeast"/>
        <w:rPr>
          <w:i/>
          <w:szCs w:val="22"/>
          <w:lang w:eastAsia="de-DE"/>
        </w:rPr>
      </w:pPr>
      <w:r>
        <w:rPr>
          <w:i/>
          <w:szCs w:val="22"/>
          <w:lang w:eastAsia="de-DE"/>
        </w:rPr>
        <w:t xml:space="preserve">Tabuľka 10. Predpokladaný priemer </w:t>
      </w:r>
      <w:r>
        <w:rPr>
          <w:rFonts w:eastAsia="SimSun"/>
          <w:i/>
          <w:szCs w:val="22"/>
          <w:lang w:eastAsia="de-DE"/>
        </w:rPr>
        <w:t>±</w:t>
      </w:r>
      <w:r>
        <w:rPr>
          <w:i/>
          <w:szCs w:val="22"/>
          <w:lang w:eastAsia="de-DE"/>
        </w:rPr>
        <w:t xml:space="preserve"> SD FK paramentrov v rovnovážnom stave po subkutánnom podávaní u pacientov s OBA </w:t>
      </w:r>
    </w:p>
    <w:p w14:paraId="03FC09AF" w14:textId="77777777" w:rsidR="009700E5" w:rsidRDefault="009700E5">
      <w:pPr>
        <w:keepNext/>
        <w:keepLines/>
        <w:spacing w:line="280" w:lineRule="atLeast"/>
        <w:rPr>
          <w:i/>
          <w:color w:val="000000"/>
          <w:szCs w:val="22"/>
          <w:lang w:eastAsia="de-DE"/>
        </w:rPr>
      </w:pP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5"/>
        <w:gridCol w:w="1483"/>
        <w:gridCol w:w="2601"/>
      </w:tblGrid>
      <w:tr w:rsidR="009700E5" w14:paraId="0D78E6B2" w14:textId="77777777">
        <w:trPr>
          <w:cantSplit/>
          <w:trHeight w:val="128"/>
          <w:jc w:val="center"/>
        </w:trPr>
        <w:tc>
          <w:tcPr>
            <w:tcW w:w="4735" w:type="dxa"/>
            <w:tcBorders>
              <w:top w:val="single" w:sz="4" w:space="0" w:color="auto"/>
              <w:left w:val="single" w:sz="4" w:space="0" w:color="auto"/>
              <w:bottom w:val="single" w:sz="4" w:space="0" w:color="auto"/>
              <w:right w:val="single" w:sz="4" w:space="0" w:color="auto"/>
            </w:tcBorders>
          </w:tcPr>
          <w:p w14:paraId="770C2828" w14:textId="77777777" w:rsidR="009700E5" w:rsidRDefault="009700E5">
            <w:pPr>
              <w:keepNext/>
              <w:spacing w:before="113" w:after="57" w:line="280" w:lineRule="atLeast"/>
              <w:ind w:left="1701" w:hanging="1701"/>
              <w:outlineLvl w:val="6"/>
              <w:rPr>
                <w:rFonts w:eastAsia="MS Mincho"/>
                <w:b/>
                <w:sz w:val="20"/>
              </w:rPr>
            </w:pPr>
          </w:p>
        </w:tc>
        <w:tc>
          <w:tcPr>
            <w:tcW w:w="4084" w:type="dxa"/>
            <w:gridSpan w:val="2"/>
            <w:tcBorders>
              <w:top w:val="single" w:sz="4" w:space="0" w:color="auto"/>
              <w:left w:val="single" w:sz="4" w:space="0" w:color="auto"/>
              <w:bottom w:val="single" w:sz="4" w:space="0" w:color="auto"/>
              <w:right w:val="single" w:sz="4" w:space="0" w:color="auto"/>
            </w:tcBorders>
          </w:tcPr>
          <w:p w14:paraId="286D8AF7" w14:textId="77777777" w:rsidR="009700E5" w:rsidRDefault="002C033C">
            <w:pPr>
              <w:keepNext/>
              <w:spacing w:after="200"/>
              <w:jc w:val="center"/>
              <w:rPr>
                <w:rFonts w:eastAsia="PMingLiU"/>
                <w:b/>
                <w:sz w:val="20"/>
                <w:lang w:eastAsia="zh-TW"/>
              </w:rPr>
            </w:pPr>
            <w:r>
              <w:rPr>
                <w:rFonts w:eastAsia="PMingLiU"/>
                <w:b/>
                <w:sz w:val="20"/>
                <w:lang w:eastAsia="zh-TW"/>
              </w:rPr>
              <w:t>Subkutánne podávanie</w:t>
            </w:r>
          </w:p>
        </w:tc>
      </w:tr>
      <w:tr w:rsidR="009700E5" w14:paraId="219C4442" w14:textId="77777777">
        <w:trPr>
          <w:cantSplit/>
          <w:trHeight w:val="452"/>
          <w:jc w:val="center"/>
        </w:trPr>
        <w:tc>
          <w:tcPr>
            <w:tcW w:w="4735" w:type="dxa"/>
            <w:tcBorders>
              <w:top w:val="single" w:sz="4" w:space="0" w:color="auto"/>
              <w:left w:val="single" w:sz="4" w:space="0" w:color="auto"/>
              <w:bottom w:val="single" w:sz="4" w:space="0" w:color="auto"/>
              <w:right w:val="single" w:sz="4" w:space="0" w:color="auto"/>
            </w:tcBorders>
          </w:tcPr>
          <w:p w14:paraId="723700A5" w14:textId="77777777" w:rsidR="009700E5" w:rsidRDefault="002C033C">
            <w:pPr>
              <w:keepNext/>
              <w:spacing w:after="120"/>
              <w:rPr>
                <w:rFonts w:eastAsia="PMingLiU"/>
                <w:sz w:val="20"/>
                <w:lang w:eastAsia="zh-TW"/>
              </w:rPr>
            </w:pPr>
            <w:r>
              <w:rPr>
                <w:rFonts w:eastAsia="PMingLiU"/>
                <w:b/>
                <w:sz w:val="20"/>
                <w:lang w:eastAsia="zh-TW"/>
              </w:rPr>
              <w:t>FK parametre tocilizumabu</w:t>
            </w:r>
          </w:p>
        </w:tc>
        <w:tc>
          <w:tcPr>
            <w:tcW w:w="1483" w:type="dxa"/>
            <w:tcBorders>
              <w:top w:val="single" w:sz="4" w:space="0" w:color="auto"/>
              <w:left w:val="single" w:sz="4" w:space="0" w:color="auto"/>
              <w:bottom w:val="single" w:sz="4" w:space="0" w:color="auto"/>
              <w:right w:val="single" w:sz="4" w:space="0" w:color="auto"/>
            </w:tcBorders>
          </w:tcPr>
          <w:p w14:paraId="4320ACCE" w14:textId="77777777" w:rsidR="009700E5" w:rsidRDefault="002C033C">
            <w:pPr>
              <w:keepNext/>
              <w:spacing w:after="120"/>
              <w:jc w:val="center"/>
              <w:rPr>
                <w:rFonts w:eastAsia="PMingLiU"/>
                <w:b/>
                <w:sz w:val="20"/>
                <w:lang w:eastAsia="zh-TW"/>
              </w:rPr>
            </w:pPr>
            <w:r>
              <w:rPr>
                <w:rFonts w:eastAsia="PMingLiU"/>
                <w:b/>
                <w:sz w:val="20"/>
                <w:lang w:eastAsia="zh-TW"/>
              </w:rPr>
              <w:t xml:space="preserve">162 mg každý druhý týždeň </w:t>
            </w:r>
          </w:p>
        </w:tc>
        <w:tc>
          <w:tcPr>
            <w:tcW w:w="2601" w:type="dxa"/>
            <w:tcBorders>
              <w:top w:val="single" w:sz="4" w:space="0" w:color="auto"/>
              <w:left w:val="single" w:sz="4" w:space="0" w:color="auto"/>
              <w:bottom w:val="single" w:sz="4" w:space="0" w:color="auto"/>
              <w:right w:val="single" w:sz="4" w:space="0" w:color="auto"/>
            </w:tcBorders>
          </w:tcPr>
          <w:p w14:paraId="57924635" w14:textId="77777777" w:rsidR="009700E5" w:rsidRDefault="002C033C">
            <w:pPr>
              <w:keepNext/>
              <w:spacing w:after="120"/>
              <w:jc w:val="center"/>
              <w:rPr>
                <w:rFonts w:eastAsia="PMingLiU"/>
                <w:b/>
                <w:sz w:val="20"/>
                <w:lang w:eastAsia="zh-TW"/>
              </w:rPr>
            </w:pPr>
            <w:r>
              <w:rPr>
                <w:rFonts w:eastAsia="PMingLiU"/>
                <w:b/>
                <w:sz w:val="20"/>
                <w:lang w:eastAsia="zh-TW"/>
              </w:rPr>
              <w:t>162 mg každý týždeň</w:t>
            </w:r>
          </w:p>
        </w:tc>
      </w:tr>
      <w:tr w:rsidR="009700E5" w14:paraId="36750447" w14:textId="77777777">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02F36C20" w14:textId="77777777" w:rsidR="009700E5" w:rsidRDefault="002C033C">
            <w:pPr>
              <w:keepNext/>
              <w:spacing w:after="120"/>
              <w:rPr>
                <w:rFonts w:eastAsia="PMingLiU"/>
                <w:sz w:val="20"/>
                <w:lang w:eastAsia="zh-TW"/>
              </w:rPr>
            </w:pPr>
            <w:r>
              <w:rPr>
                <w:rFonts w:eastAsia="PMingLiU"/>
                <w:sz w:val="20"/>
                <w:lang w:eastAsia="zh-TW"/>
              </w:rPr>
              <w:t>C</w:t>
            </w:r>
            <w:r>
              <w:rPr>
                <w:rFonts w:eastAsia="PMingLiU"/>
                <w:sz w:val="20"/>
                <w:vertAlign w:val="subscript"/>
                <w:lang w:eastAsia="zh-TW"/>
              </w:rPr>
              <w:t>max</w:t>
            </w:r>
            <w:r>
              <w:rPr>
                <w:rFonts w:eastAsia="PMingLiU"/>
                <w:sz w:val="20"/>
                <w:lang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4F87BA6D" w14:textId="77777777" w:rsidR="009700E5" w:rsidRDefault="002C033C">
            <w:pPr>
              <w:keepNext/>
              <w:spacing w:after="120"/>
              <w:jc w:val="center"/>
              <w:rPr>
                <w:rFonts w:eastAsia="PMingLiU"/>
                <w:sz w:val="20"/>
                <w:lang w:eastAsia="zh-TW"/>
              </w:rPr>
            </w:pPr>
            <w:r>
              <w:rPr>
                <w:rFonts w:eastAsia="SimSun"/>
                <w:sz w:val="20"/>
                <w:lang w:eastAsia="zh-TW"/>
              </w:rPr>
              <w:t>19,3 ± 12,8</w:t>
            </w:r>
          </w:p>
        </w:tc>
        <w:tc>
          <w:tcPr>
            <w:tcW w:w="2601" w:type="dxa"/>
            <w:tcBorders>
              <w:top w:val="single" w:sz="4" w:space="0" w:color="auto"/>
              <w:left w:val="single" w:sz="4" w:space="0" w:color="auto"/>
              <w:bottom w:val="single" w:sz="4" w:space="0" w:color="auto"/>
              <w:right w:val="single" w:sz="4" w:space="0" w:color="auto"/>
            </w:tcBorders>
          </w:tcPr>
          <w:p w14:paraId="2507C749" w14:textId="77777777" w:rsidR="009700E5" w:rsidRDefault="002C033C">
            <w:pPr>
              <w:keepNext/>
              <w:spacing w:after="120"/>
              <w:jc w:val="center"/>
              <w:rPr>
                <w:rFonts w:eastAsia="PMingLiU"/>
                <w:sz w:val="20"/>
                <w:lang w:eastAsia="zh-TW"/>
              </w:rPr>
            </w:pPr>
            <w:r>
              <w:rPr>
                <w:rFonts w:eastAsia="PMingLiU"/>
                <w:sz w:val="20"/>
                <w:lang w:eastAsia="zh-TW"/>
              </w:rPr>
              <w:t>73 ± 30,4</w:t>
            </w:r>
          </w:p>
        </w:tc>
      </w:tr>
      <w:tr w:rsidR="009700E5" w14:paraId="43C2F2AD" w14:textId="77777777">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4231D995" w14:textId="77777777" w:rsidR="009700E5" w:rsidRDefault="002C033C">
            <w:pPr>
              <w:keepNext/>
              <w:spacing w:after="120"/>
              <w:rPr>
                <w:rFonts w:eastAsia="PMingLiU"/>
                <w:sz w:val="20"/>
                <w:lang w:eastAsia="zh-TW"/>
              </w:rPr>
            </w:pPr>
            <w:r>
              <w:rPr>
                <w:rFonts w:eastAsia="PMingLiU"/>
                <w:sz w:val="20"/>
                <w:lang w:eastAsia="zh-TW"/>
              </w:rPr>
              <w:t>C</w:t>
            </w:r>
            <w:r>
              <w:rPr>
                <w:rFonts w:eastAsia="PMingLiU"/>
                <w:sz w:val="20"/>
                <w:vertAlign w:val="subscript"/>
                <w:lang w:eastAsia="zh-TW"/>
              </w:rPr>
              <w:t>trough</w:t>
            </w:r>
            <w:r>
              <w:rPr>
                <w:rFonts w:eastAsia="PMingLiU"/>
                <w:sz w:val="20"/>
                <w:lang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0D74EF0A" w14:textId="77777777" w:rsidR="009700E5" w:rsidRDefault="002C033C">
            <w:pPr>
              <w:keepNext/>
              <w:spacing w:after="120"/>
              <w:jc w:val="center"/>
              <w:rPr>
                <w:rFonts w:eastAsia="PMingLiU"/>
                <w:sz w:val="20"/>
                <w:lang w:eastAsia="zh-TW"/>
              </w:rPr>
            </w:pPr>
            <w:r>
              <w:rPr>
                <w:rFonts w:eastAsia="SimSun"/>
                <w:sz w:val="20"/>
                <w:lang w:eastAsia="zh-TW"/>
              </w:rPr>
              <w:t>11,1 ± 10,3</w:t>
            </w:r>
          </w:p>
        </w:tc>
        <w:tc>
          <w:tcPr>
            <w:tcW w:w="2601" w:type="dxa"/>
            <w:tcBorders>
              <w:top w:val="single" w:sz="4" w:space="0" w:color="auto"/>
              <w:left w:val="single" w:sz="4" w:space="0" w:color="auto"/>
              <w:bottom w:val="single" w:sz="4" w:space="0" w:color="auto"/>
              <w:right w:val="single" w:sz="4" w:space="0" w:color="auto"/>
            </w:tcBorders>
          </w:tcPr>
          <w:p w14:paraId="5A03182A" w14:textId="77777777" w:rsidR="009700E5" w:rsidRDefault="002C033C">
            <w:pPr>
              <w:keepNext/>
              <w:spacing w:after="120"/>
              <w:jc w:val="center"/>
              <w:rPr>
                <w:rFonts w:eastAsia="PMingLiU"/>
                <w:sz w:val="20"/>
                <w:lang w:eastAsia="zh-TW"/>
              </w:rPr>
            </w:pPr>
            <w:r>
              <w:rPr>
                <w:rFonts w:eastAsia="PMingLiU"/>
                <w:sz w:val="20"/>
                <w:lang w:eastAsia="zh-TW"/>
              </w:rPr>
              <w:t>68,1± 29,5</w:t>
            </w:r>
          </w:p>
        </w:tc>
      </w:tr>
      <w:tr w:rsidR="009700E5" w14:paraId="55F22961" w14:textId="77777777">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28E4B482" w14:textId="77777777" w:rsidR="009700E5" w:rsidRDefault="002C033C">
            <w:pPr>
              <w:keepNext/>
              <w:spacing w:after="120"/>
              <w:rPr>
                <w:rFonts w:eastAsia="PMingLiU"/>
                <w:sz w:val="20"/>
                <w:lang w:eastAsia="zh-TW"/>
              </w:rPr>
            </w:pPr>
            <w:r>
              <w:rPr>
                <w:rFonts w:eastAsia="PMingLiU"/>
                <w:sz w:val="20"/>
                <w:lang w:eastAsia="zh-TW"/>
              </w:rPr>
              <w:t>C</w:t>
            </w:r>
            <w:r>
              <w:rPr>
                <w:rFonts w:eastAsia="PMingLiU"/>
                <w:sz w:val="20"/>
                <w:vertAlign w:val="subscript"/>
                <w:lang w:eastAsia="zh-TW"/>
              </w:rPr>
              <w:t>mean</w:t>
            </w:r>
            <w:r>
              <w:rPr>
                <w:rFonts w:eastAsia="PMingLiU"/>
                <w:sz w:val="20"/>
                <w:lang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68EDBB03" w14:textId="77777777" w:rsidR="009700E5" w:rsidRDefault="002C033C">
            <w:pPr>
              <w:keepNext/>
              <w:spacing w:after="120"/>
              <w:jc w:val="center"/>
              <w:rPr>
                <w:rFonts w:eastAsia="PMingLiU"/>
                <w:sz w:val="20"/>
                <w:lang w:eastAsia="zh-TW"/>
              </w:rPr>
            </w:pPr>
            <w:r>
              <w:rPr>
                <w:rFonts w:eastAsia="PMingLiU"/>
                <w:sz w:val="20"/>
                <w:lang w:eastAsia="zh-TW"/>
              </w:rPr>
              <w:t>16,2 ± 11,8</w:t>
            </w:r>
          </w:p>
        </w:tc>
        <w:tc>
          <w:tcPr>
            <w:tcW w:w="2601" w:type="dxa"/>
            <w:tcBorders>
              <w:top w:val="single" w:sz="4" w:space="0" w:color="auto"/>
              <w:left w:val="single" w:sz="4" w:space="0" w:color="auto"/>
              <w:bottom w:val="single" w:sz="4" w:space="0" w:color="auto"/>
              <w:right w:val="single" w:sz="4" w:space="0" w:color="auto"/>
            </w:tcBorders>
          </w:tcPr>
          <w:p w14:paraId="032C4F7D" w14:textId="77777777" w:rsidR="009700E5" w:rsidRDefault="002C033C">
            <w:pPr>
              <w:keepNext/>
              <w:spacing w:after="120"/>
              <w:jc w:val="center"/>
              <w:rPr>
                <w:rFonts w:eastAsia="PMingLiU"/>
                <w:sz w:val="20"/>
                <w:lang w:eastAsia="zh-TW"/>
              </w:rPr>
            </w:pPr>
            <w:r>
              <w:rPr>
                <w:rFonts w:eastAsia="PMingLiU"/>
                <w:sz w:val="20"/>
                <w:lang w:eastAsia="zh-TW"/>
              </w:rPr>
              <w:t>71,3 ± 30,1</w:t>
            </w:r>
          </w:p>
        </w:tc>
      </w:tr>
      <w:tr w:rsidR="009700E5" w14:paraId="01C96B5C" w14:textId="77777777">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462A4635" w14:textId="77777777" w:rsidR="009700E5" w:rsidRDefault="002C033C">
            <w:pPr>
              <w:spacing w:after="120"/>
              <w:rPr>
                <w:rFonts w:eastAsia="PMingLiU"/>
                <w:sz w:val="20"/>
                <w:lang w:eastAsia="zh-TW"/>
              </w:rPr>
            </w:pPr>
            <w:r>
              <w:rPr>
                <w:rFonts w:eastAsia="PMingLiU"/>
                <w:sz w:val="20"/>
                <w:lang w:eastAsia="zh-TW"/>
              </w:rPr>
              <w:t>Kumulácia C</w:t>
            </w:r>
            <w:r>
              <w:rPr>
                <w:rFonts w:eastAsia="PMingLiU"/>
                <w:sz w:val="20"/>
                <w:vertAlign w:val="subscript"/>
                <w:lang w:eastAsia="zh-TW"/>
              </w:rPr>
              <w:t>max</w:t>
            </w:r>
          </w:p>
        </w:tc>
        <w:tc>
          <w:tcPr>
            <w:tcW w:w="1483" w:type="dxa"/>
            <w:tcBorders>
              <w:top w:val="single" w:sz="4" w:space="0" w:color="auto"/>
              <w:left w:val="single" w:sz="4" w:space="0" w:color="auto"/>
              <w:bottom w:val="single" w:sz="4" w:space="0" w:color="auto"/>
              <w:right w:val="single" w:sz="4" w:space="0" w:color="auto"/>
            </w:tcBorders>
          </w:tcPr>
          <w:p w14:paraId="5ED4332C" w14:textId="77777777" w:rsidR="009700E5" w:rsidRDefault="002C033C">
            <w:pPr>
              <w:spacing w:after="120"/>
              <w:jc w:val="center"/>
              <w:rPr>
                <w:rFonts w:eastAsia="PMingLiU"/>
                <w:sz w:val="20"/>
                <w:lang w:eastAsia="zh-TW"/>
              </w:rPr>
            </w:pPr>
            <w:r>
              <w:rPr>
                <w:rFonts w:eastAsia="PMingLiU"/>
                <w:sz w:val="20"/>
                <w:lang w:eastAsia="zh-TW"/>
              </w:rPr>
              <w:t>2,18</w:t>
            </w:r>
          </w:p>
        </w:tc>
        <w:tc>
          <w:tcPr>
            <w:tcW w:w="2601" w:type="dxa"/>
            <w:tcBorders>
              <w:top w:val="single" w:sz="4" w:space="0" w:color="auto"/>
              <w:left w:val="single" w:sz="4" w:space="0" w:color="auto"/>
              <w:bottom w:val="single" w:sz="4" w:space="0" w:color="auto"/>
              <w:right w:val="single" w:sz="4" w:space="0" w:color="auto"/>
            </w:tcBorders>
          </w:tcPr>
          <w:p w14:paraId="0DBC099C" w14:textId="77777777" w:rsidR="009700E5" w:rsidRDefault="002C033C">
            <w:pPr>
              <w:spacing w:after="120"/>
              <w:jc w:val="center"/>
              <w:rPr>
                <w:rFonts w:eastAsia="PMingLiU"/>
                <w:sz w:val="20"/>
                <w:lang w:eastAsia="zh-TW"/>
              </w:rPr>
            </w:pPr>
            <w:r>
              <w:rPr>
                <w:rFonts w:eastAsia="PMingLiU"/>
                <w:sz w:val="20"/>
                <w:lang w:eastAsia="zh-TW"/>
              </w:rPr>
              <w:t xml:space="preserve"> 8,88</w:t>
            </w:r>
          </w:p>
        </w:tc>
      </w:tr>
      <w:tr w:rsidR="009700E5" w14:paraId="2E7347B0" w14:textId="77777777">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2728590D" w14:textId="77777777" w:rsidR="009700E5" w:rsidRDefault="002C033C">
            <w:pPr>
              <w:spacing w:after="120"/>
              <w:rPr>
                <w:rFonts w:eastAsia="PMingLiU"/>
                <w:sz w:val="20"/>
                <w:lang w:eastAsia="zh-TW"/>
              </w:rPr>
            </w:pPr>
            <w:r>
              <w:rPr>
                <w:rFonts w:eastAsia="PMingLiU"/>
                <w:sz w:val="20"/>
                <w:lang w:eastAsia="zh-TW"/>
              </w:rPr>
              <w:t>Kumulácia C</w:t>
            </w:r>
            <w:r>
              <w:rPr>
                <w:rFonts w:eastAsia="PMingLiU"/>
                <w:sz w:val="20"/>
                <w:vertAlign w:val="subscript"/>
                <w:lang w:eastAsia="zh-TW"/>
              </w:rPr>
              <w:t>trough</w:t>
            </w:r>
          </w:p>
        </w:tc>
        <w:tc>
          <w:tcPr>
            <w:tcW w:w="1483" w:type="dxa"/>
            <w:tcBorders>
              <w:top w:val="single" w:sz="4" w:space="0" w:color="auto"/>
              <w:left w:val="single" w:sz="4" w:space="0" w:color="auto"/>
              <w:bottom w:val="single" w:sz="4" w:space="0" w:color="auto"/>
              <w:right w:val="single" w:sz="4" w:space="0" w:color="auto"/>
            </w:tcBorders>
          </w:tcPr>
          <w:p w14:paraId="51ED1D24" w14:textId="77777777" w:rsidR="009700E5" w:rsidRDefault="002C033C">
            <w:pPr>
              <w:spacing w:after="120"/>
              <w:jc w:val="center"/>
              <w:rPr>
                <w:rFonts w:eastAsia="PMingLiU"/>
                <w:sz w:val="20"/>
                <w:lang w:eastAsia="zh-TW"/>
              </w:rPr>
            </w:pPr>
            <w:r>
              <w:rPr>
                <w:rFonts w:eastAsia="PMingLiU"/>
                <w:sz w:val="20"/>
                <w:lang w:eastAsia="zh-TW"/>
              </w:rPr>
              <w:t>5,61</w:t>
            </w:r>
          </w:p>
        </w:tc>
        <w:tc>
          <w:tcPr>
            <w:tcW w:w="2601" w:type="dxa"/>
            <w:tcBorders>
              <w:top w:val="single" w:sz="4" w:space="0" w:color="auto"/>
              <w:left w:val="single" w:sz="4" w:space="0" w:color="auto"/>
              <w:bottom w:val="single" w:sz="4" w:space="0" w:color="auto"/>
              <w:right w:val="single" w:sz="4" w:space="0" w:color="auto"/>
            </w:tcBorders>
          </w:tcPr>
          <w:p w14:paraId="1083E19F" w14:textId="77777777" w:rsidR="009700E5" w:rsidRDefault="002C033C">
            <w:pPr>
              <w:spacing w:after="120"/>
              <w:jc w:val="center"/>
              <w:rPr>
                <w:rFonts w:eastAsia="PMingLiU"/>
                <w:sz w:val="20"/>
                <w:lang w:eastAsia="zh-TW"/>
              </w:rPr>
            </w:pPr>
            <w:r>
              <w:rPr>
                <w:rFonts w:eastAsia="PMingLiU"/>
                <w:sz w:val="20"/>
                <w:lang w:eastAsia="zh-TW"/>
              </w:rPr>
              <w:t>9,59</w:t>
            </w:r>
          </w:p>
        </w:tc>
      </w:tr>
      <w:tr w:rsidR="009700E5" w14:paraId="7BEA4278" w14:textId="77777777">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1791E3E3" w14:textId="77777777" w:rsidR="009700E5" w:rsidRDefault="002C033C">
            <w:pPr>
              <w:spacing w:after="120"/>
              <w:rPr>
                <w:rFonts w:eastAsia="PMingLiU"/>
                <w:sz w:val="20"/>
                <w:lang w:eastAsia="zh-TW"/>
              </w:rPr>
            </w:pPr>
            <w:r>
              <w:rPr>
                <w:sz w:val="20"/>
              </w:rPr>
              <w:t>Kumulácia C</w:t>
            </w:r>
            <w:r>
              <w:rPr>
                <w:sz w:val="20"/>
                <w:vertAlign w:val="subscript"/>
              </w:rPr>
              <w:t>mean</w:t>
            </w:r>
            <w:r>
              <w:rPr>
                <w:sz w:val="20"/>
              </w:rPr>
              <w:t xml:space="preserve"> alebo AUC</w:t>
            </w:r>
            <w:r>
              <w:rPr>
                <w:sz w:val="20"/>
                <w:vertAlign w:val="subscript"/>
              </w:rPr>
              <w:t>τ</w:t>
            </w:r>
            <w:r>
              <w:rPr>
                <w:sz w:val="20"/>
              </w:rPr>
              <w:t xml:space="preserve"> </w:t>
            </w:r>
            <w:r>
              <w:rPr>
                <w:sz w:val="18"/>
                <w:szCs w:val="18"/>
              </w:rPr>
              <w:t>*</w:t>
            </w:r>
          </w:p>
        </w:tc>
        <w:tc>
          <w:tcPr>
            <w:tcW w:w="1483" w:type="dxa"/>
            <w:tcBorders>
              <w:top w:val="single" w:sz="4" w:space="0" w:color="auto"/>
              <w:left w:val="single" w:sz="4" w:space="0" w:color="auto"/>
              <w:bottom w:val="single" w:sz="4" w:space="0" w:color="auto"/>
              <w:right w:val="single" w:sz="4" w:space="0" w:color="auto"/>
            </w:tcBorders>
          </w:tcPr>
          <w:p w14:paraId="52E030BD" w14:textId="77777777" w:rsidR="009700E5" w:rsidRDefault="002C033C">
            <w:pPr>
              <w:spacing w:after="120"/>
              <w:jc w:val="center"/>
              <w:rPr>
                <w:rFonts w:eastAsia="PMingLiU"/>
                <w:sz w:val="20"/>
                <w:lang w:eastAsia="zh-TW"/>
              </w:rPr>
            </w:pPr>
            <w:r>
              <w:rPr>
                <w:rFonts w:eastAsia="PMingLiU"/>
                <w:sz w:val="20"/>
                <w:lang w:eastAsia="zh-TW"/>
              </w:rPr>
              <w:t>2,81</w:t>
            </w:r>
          </w:p>
        </w:tc>
        <w:tc>
          <w:tcPr>
            <w:tcW w:w="2601" w:type="dxa"/>
            <w:tcBorders>
              <w:top w:val="single" w:sz="4" w:space="0" w:color="auto"/>
              <w:left w:val="single" w:sz="4" w:space="0" w:color="auto"/>
              <w:bottom w:val="single" w:sz="4" w:space="0" w:color="auto"/>
              <w:right w:val="single" w:sz="4" w:space="0" w:color="auto"/>
            </w:tcBorders>
          </w:tcPr>
          <w:p w14:paraId="7DBAA21E" w14:textId="77777777" w:rsidR="009700E5" w:rsidRDefault="002C033C">
            <w:pPr>
              <w:spacing w:after="120"/>
              <w:jc w:val="center"/>
              <w:rPr>
                <w:rFonts w:eastAsia="PMingLiU"/>
                <w:sz w:val="20"/>
                <w:lang w:eastAsia="zh-TW"/>
              </w:rPr>
            </w:pPr>
            <w:r>
              <w:rPr>
                <w:rFonts w:eastAsia="PMingLiU"/>
                <w:sz w:val="20"/>
                <w:lang w:eastAsia="zh-TW"/>
              </w:rPr>
              <w:t>10,91</w:t>
            </w:r>
          </w:p>
        </w:tc>
      </w:tr>
    </w:tbl>
    <w:p w14:paraId="6504F33F" w14:textId="77777777" w:rsidR="009700E5" w:rsidRPr="009700E5" w:rsidRDefault="002C033C">
      <w:pPr>
        <w:pStyle w:val="Standard"/>
        <w:ind w:left="142"/>
        <w:rPr>
          <w:noProof/>
          <w:sz w:val="18"/>
          <w:szCs w:val="18"/>
          <w:lang w:val="sk-SK"/>
          <w:rPrChange w:id="2760" w:author="Author" w:date="2025-08-22T15:12:00Z">
            <w:rPr>
              <w:sz w:val="18"/>
              <w:szCs w:val="18"/>
              <w:lang w:val="sk-SK"/>
            </w:rPr>
          </w:rPrChange>
        </w:rPr>
      </w:pPr>
      <w:r>
        <w:rPr>
          <w:noProof/>
          <w:sz w:val="18"/>
          <w:szCs w:val="18"/>
          <w:lang w:val="sk-SK"/>
          <w:rPrChange w:id="2761" w:author="Author" w:date="2025-08-22T15:12:00Z">
            <w:rPr>
              <w:sz w:val="18"/>
              <w:szCs w:val="18"/>
              <w:lang w:val="sk-SK"/>
            </w:rPr>
          </w:rPrChange>
        </w:rPr>
        <w:t>*τ</w:t>
      </w:r>
      <w:ins w:id="2762" w:author="Author" w:date="2025-07-21T11:01:00Z">
        <w:r>
          <w:rPr>
            <w:noProof/>
            <w:sz w:val="18"/>
            <w:szCs w:val="18"/>
            <w:lang w:val="sk-SK"/>
            <w:rPrChange w:id="2763" w:author="Author" w:date="2025-08-22T15:12:00Z">
              <w:rPr>
                <w:sz w:val="18"/>
                <w:szCs w:val="18"/>
                <w:lang w:val="sk-SK"/>
              </w:rPr>
            </w:rPrChange>
          </w:rPr>
          <w:t> </w:t>
        </w:r>
      </w:ins>
      <w:del w:id="2764" w:author="Author" w:date="2025-07-21T11:01:00Z">
        <w:r>
          <w:rPr>
            <w:noProof/>
            <w:sz w:val="18"/>
            <w:szCs w:val="18"/>
            <w:lang w:val="sk-SK"/>
            <w:rPrChange w:id="2765" w:author="Author" w:date="2025-08-22T15:12:00Z">
              <w:rPr>
                <w:sz w:val="18"/>
                <w:szCs w:val="18"/>
                <w:lang w:val="sk-SK"/>
              </w:rPr>
            </w:rPrChange>
          </w:rPr>
          <w:delText xml:space="preserve"> </w:delText>
        </w:r>
      </w:del>
      <w:r>
        <w:rPr>
          <w:noProof/>
          <w:sz w:val="18"/>
          <w:szCs w:val="18"/>
          <w:lang w:val="sk-SK"/>
          <w:rPrChange w:id="2766" w:author="Author" w:date="2025-08-22T15:12:00Z">
            <w:rPr>
              <w:sz w:val="18"/>
              <w:szCs w:val="18"/>
              <w:lang w:val="sk-SK"/>
            </w:rPr>
          </w:rPrChange>
        </w:rPr>
        <w:t>=</w:t>
      </w:r>
      <w:ins w:id="2767" w:author="Author" w:date="2025-07-21T11:01:00Z">
        <w:r>
          <w:rPr>
            <w:noProof/>
            <w:sz w:val="18"/>
            <w:szCs w:val="18"/>
            <w:lang w:val="sk-SK"/>
            <w:rPrChange w:id="2768" w:author="Author" w:date="2025-08-22T15:12:00Z">
              <w:rPr>
                <w:sz w:val="18"/>
                <w:szCs w:val="18"/>
                <w:lang w:val="sk-SK"/>
              </w:rPr>
            </w:rPrChange>
          </w:rPr>
          <w:t> </w:t>
        </w:r>
      </w:ins>
      <w:del w:id="2769" w:author="Author" w:date="2025-07-21T11:01:00Z">
        <w:r>
          <w:rPr>
            <w:noProof/>
            <w:sz w:val="18"/>
            <w:szCs w:val="18"/>
            <w:lang w:val="sk-SK"/>
            <w:rPrChange w:id="2770" w:author="Author" w:date="2025-08-22T15:12:00Z">
              <w:rPr>
                <w:sz w:val="18"/>
                <w:szCs w:val="18"/>
                <w:lang w:val="sk-SK"/>
              </w:rPr>
            </w:rPrChange>
          </w:rPr>
          <w:delText xml:space="preserve"> </w:delText>
        </w:r>
      </w:del>
      <w:r>
        <w:rPr>
          <w:noProof/>
          <w:sz w:val="18"/>
          <w:szCs w:val="18"/>
          <w:lang w:val="sk-SK"/>
          <w:rPrChange w:id="2771" w:author="Author" w:date="2025-08-22T15:12:00Z">
            <w:rPr>
              <w:sz w:val="18"/>
              <w:szCs w:val="18"/>
              <w:lang w:val="sk-SK"/>
            </w:rPr>
          </w:rPrChange>
        </w:rPr>
        <w:t>2 týždne alebo 1 týždeň pri dvoch režimoch so subkutánnou dávkou</w:t>
      </w:r>
    </w:p>
    <w:p w14:paraId="09F4A942" w14:textId="77777777" w:rsidR="009700E5" w:rsidRDefault="009700E5">
      <w:pPr>
        <w:rPr>
          <w:lang w:eastAsia="de-DE"/>
        </w:rPr>
      </w:pPr>
    </w:p>
    <w:p w14:paraId="0A0DF5A3" w14:textId="77777777" w:rsidR="009700E5" w:rsidRDefault="002C033C">
      <w:pPr>
        <w:rPr>
          <w:lang w:eastAsia="de-DE"/>
        </w:rPr>
      </w:pPr>
      <w:r>
        <w:rPr>
          <w:lang w:eastAsia="de-DE"/>
        </w:rPr>
        <w:t xml:space="preserve">Profil rovnovážneho stavu po podávaní tocilizumabu každý týždeň bol takmer plochý, s veľmi malými rozdielmi medzi minimálnymi a maximálnymi hodnotami, zatiaľ čo pri dávke tocilizumabu podávanej každý druhý týždeň sa pozorovali významné rozdiely. Približne 90 % rovnovážneho stavu </w:t>
      </w:r>
      <w:r>
        <w:rPr>
          <w:sz w:val="20"/>
        </w:rPr>
        <w:t>(AUC</w:t>
      </w:r>
      <w:r>
        <w:rPr>
          <w:sz w:val="20"/>
          <w:vertAlign w:val="subscript"/>
        </w:rPr>
        <w:t>τ</w:t>
      </w:r>
      <w:r>
        <w:rPr>
          <w:lang w:eastAsia="de-DE"/>
        </w:rPr>
        <w:t>) sa dosiahlo do 14. týždňa v skupine s tocilizumabom podávaným každý druhý týždeň a do 17. týždňa v skupine s tocilizumabom podávaným každý týždeň.</w:t>
      </w:r>
    </w:p>
    <w:p w14:paraId="54952B95" w14:textId="77777777" w:rsidR="009700E5" w:rsidRDefault="009700E5">
      <w:pPr>
        <w:rPr>
          <w:lang w:eastAsia="de-DE"/>
        </w:rPr>
      </w:pPr>
    </w:p>
    <w:p w14:paraId="79B5C3E6" w14:textId="77777777" w:rsidR="009700E5" w:rsidRDefault="002C033C">
      <w:pPr>
        <w:rPr>
          <w:rFonts w:eastAsia="SimSun"/>
          <w:szCs w:val="24"/>
          <w:lang w:eastAsia="zh-CN"/>
        </w:rPr>
      </w:pPr>
      <w:r>
        <w:rPr>
          <w:rFonts w:eastAsia="SimSun"/>
          <w:szCs w:val="24"/>
          <w:lang w:eastAsia="zh-CN"/>
        </w:rPr>
        <w:lastRenderedPageBreak/>
        <w:t xml:space="preserve">Na základe súčasnej FK charakteristiky minimálne koncentrácie </w:t>
      </w:r>
      <w:r>
        <w:rPr>
          <w:lang w:eastAsia="de-DE"/>
        </w:rPr>
        <w:t>tocilizumabu</w:t>
      </w:r>
      <w:r>
        <w:rPr>
          <w:rFonts w:eastAsia="SimSun"/>
          <w:szCs w:val="24"/>
          <w:lang w:eastAsia="zh-CN"/>
        </w:rPr>
        <w:t xml:space="preserve"> v rovnovážnom stave sú o 50 % vyššie v tejto populácii, v porovnamí s priemernými koncentráciami uvedenými vo veľkom súbore údajov získaných od populácie s RA. Tieto rozdiely sa objavujú z neznámych dôvodov. Rozdiely vo FK nesprevádzajú významné rozdiely vo FD parametroch, a preto klinický význam týchto údajov nie je známy.</w:t>
      </w:r>
    </w:p>
    <w:p w14:paraId="4D29476A" w14:textId="77777777" w:rsidR="009700E5" w:rsidRDefault="009700E5">
      <w:pPr>
        <w:rPr>
          <w:rFonts w:eastAsia="SimSun"/>
          <w:szCs w:val="24"/>
          <w:lang w:eastAsia="zh-CN"/>
        </w:rPr>
      </w:pPr>
    </w:p>
    <w:p w14:paraId="43A586E6" w14:textId="77777777" w:rsidR="009700E5" w:rsidRDefault="002C033C">
      <w:pPr>
        <w:rPr>
          <w:rFonts w:eastAsia="SimSun"/>
          <w:szCs w:val="24"/>
          <w:lang w:eastAsia="zh-CN"/>
        </w:rPr>
      </w:pPr>
      <w:r>
        <w:rPr>
          <w:rFonts w:eastAsia="SimSun"/>
          <w:szCs w:val="24"/>
          <w:lang w:eastAsia="zh-CN"/>
        </w:rPr>
        <w:t>U pacientov s OBA bola pozorovaná vyššia expozícia u pacientov s nižšou telesnou hmotnosťou. V režime s dávkou 162 mg podávanou každý týždeň bol rovnovážny stav Cavg o 51 % vyšší u pacientov s telesnou hmotnosťou </w:t>
      </w:r>
      <w:r>
        <w:rPr>
          <w:rFonts w:eastAsia="MS Mincho"/>
          <w:szCs w:val="22"/>
        </w:rPr>
        <w:sym w:font="Symbol" w:char="F03C"/>
      </w:r>
      <w:r>
        <w:rPr>
          <w:rFonts w:eastAsia="SimSun"/>
          <w:szCs w:val="24"/>
          <w:lang w:eastAsia="zh-CN"/>
        </w:rPr>
        <w:t> 60 kg, oproti pacientom s telesnou hmotnosťou od 60 do 100 kg. V režime s dávkou 162 mg podávanou každý druhý týždeň bol rovnovážny stav Cavg o 129 % vyšší u pacientov s telesnou hmotnosťou </w:t>
      </w:r>
      <w:r>
        <w:rPr>
          <w:rFonts w:eastAsia="MS Mincho"/>
          <w:szCs w:val="22"/>
        </w:rPr>
        <w:sym w:font="Symbol" w:char="F03C"/>
      </w:r>
      <w:r>
        <w:rPr>
          <w:rFonts w:eastAsia="SimSun"/>
          <w:szCs w:val="24"/>
          <w:lang w:eastAsia="zh-CN"/>
        </w:rPr>
        <w:t> 60 kg, oproti pacientom s telesnou hmotnosťou od 60 do 100 kg. Údaje o pacientoch s telesnou hmotnosťou </w:t>
      </w:r>
      <w:r>
        <w:rPr>
          <w:rFonts w:eastAsia="MS Mincho"/>
          <w:szCs w:val="22"/>
        </w:rPr>
        <w:sym w:font="Symbol" w:char="F03E"/>
      </w:r>
      <w:r>
        <w:rPr>
          <w:rFonts w:eastAsia="SimSun"/>
          <w:szCs w:val="24"/>
          <w:lang w:eastAsia="zh-CN"/>
        </w:rPr>
        <w:t> 100 kg sú obmedzené (n = 7).</w:t>
      </w:r>
    </w:p>
    <w:p w14:paraId="4034F3C8" w14:textId="77777777" w:rsidR="009700E5" w:rsidRDefault="009700E5">
      <w:pPr>
        <w:rPr>
          <w:rFonts w:eastAsia="SimSun"/>
          <w:szCs w:val="24"/>
          <w:lang w:eastAsia="zh-CN"/>
        </w:rPr>
      </w:pPr>
    </w:p>
    <w:p w14:paraId="4A790B69" w14:textId="77777777" w:rsidR="009700E5" w:rsidRDefault="002C033C">
      <w:pPr>
        <w:keepNext/>
        <w:keepLines/>
        <w:rPr>
          <w:i/>
          <w:iCs/>
          <w:u w:val="single"/>
          <w:lang w:eastAsia="de-DE"/>
        </w:rPr>
      </w:pPr>
      <w:r>
        <w:rPr>
          <w:i/>
          <w:iCs/>
          <w:u w:val="single"/>
          <w:lang w:eastAsia="de-DE"/>
        </w:rPr>
        <w:t>Absorpcia</w:t>
      </w:r>
    </w:p>
    <w:p w14:paraId="20B78720" w14:textId="77777777" w:rsidR="009700E5" w:rsidRDefault="002C033C">
      <w:pPr>
        <w:keepNext/>
        <w:keepLines/>
        <w:rPr>
          <w:iCs/>
          <w:lang w:eastAsia="de-DE"/>
        </w:rPr>
      </w:pPr>
      <w:r>
        <w:rPr>
          <w:iCs/>
        </w:rPr>
        <w:t>Po subkutánnom podávaní u pacientov s OBA bol absorpčný t</w:t>
      </w:r>
      <w:r>
        <w:rPr>
          <w:iCs/>
          <w:vertAlign w:val="subscript"/>
          <w:rPrChange w:id="2772" w:author="Author" w:date="2025-08-22T15:12:00Z">
            <w:rPr>
              <w:iCs/>
            </w:rPr>
          </w:rPrChange>
        </w:rPr>
        <w:t>½</w:t>
      </w:r>
      <w:r>
        <w:rPr>
          <w:iCs/>
        </w:rPr>
        <w:t xml:space="preserve"> približne 4 dni. Biologická dostupnosť v prípade subkutánnej formy bola 0,8. Medián hodnôt </w:t>
      </w:r>
      <w:r>
        <w:rPr>
          <w:iCs/>
          <w:lang w:eastAsia="de-DE"/>
        </w:rPr>
        <w:t>T</w:t>
      </w:r>
      <w:r>
        <w:rPr>
          <w:iCs/>
          <w:vertAlign w:val="subscript"/>
          <w:lang w:eastAsia="de-DE"/>
        </w:rPr>
        <w:t>max</w:t>
      </w:r>
      <w:r>
        <w:rPr>
          <w:iCs/>
          <w:lang w:eastAsia="de-DE"/>
        </w:rPr>
        <w:t xml:space="preserve"> bol 3 dni po podávaní </w:t>
      </w:r>
      <w:r>
        <w:rPr>
          <w:lang w:eastAsia="de-DE"/>
        </w:rPr>
        <w:t>tocilizumabu</w:t>
      </w:r>
      <w:r>
        <w:rPr>
          <w:iCs/>
          <w:lang w:eastAsia="de-DE"/>
        </w:rPr>
        <w:t xml:space="preserve"> každý týždeň a 4,5 dňa po podávaní tocilizumabu každý druhý týždeň.</w:t>
      </w:r>
    </w:p>
    <w:p w14:paraId="3BC79125" w14:textId="77777777" w:rsidR="009700E5" w:rsidRDefault="009700E5">
      <w:pPr>
        <w:rPr>
          <w:iCs/>
          <w:lang w:eastAsia="de-DE"/>
        </w:rPr>
      </w:pPr>
    </w:p>
    <w:p w14:paraId="72180CF5" w14:textId="77777777" w:rsidR="009700E5" w:rsidRDefault="002C033C">
      <w:pPr>
        <w:keepNext/>
        <w:keepLines/>
        <w:rPr>
          <w:i/>
          <w:iCs/>
          <w:u w:val="single"/>
          <w:lang w:eastAsia="de-DE"/>
        </w:rPr>
      </w:pPr>
      <w:r>
        <w:rPr>
          <w:i/>
          <w:iCs/>
          <w:u w:val="single"/>
          <w:lang w:eastAsia="de-DE"/>
        </w:rPr>
        <w:t>Distribúcia</w:t>
      </w:r>
    </w:p>
    <w:p w14:paraId="1FB60F03" w14:textId="77777777" w:rsidR="009700E5" w:rsidRDefault="002C033C">
      <w:pPr>
        <w:keepNext/>
        <w:keepLines/>
        <w:rPr>
          <w:lang w:eastAsia="de-DE"/>
        </w:rPr>
      </w:pPr>
      <w:r>
        <w:rPr>
          <w:lang w:eastAsia="de-DE"/>
        </w:rPr>
        <w:t>U pacientov s OBA bol distribučný objem centrálneho kompartmentu 4,09 l, distribučný objem periférneho kompartmentu bol 3,37 l, čo malo za následok distribučný objem 7,46 l v rovnovážnom stave.</w:t>
      </w:r>
    </w:p>
    <w:p w14:paraId="266AB13F" w14:textId="77777777" w:rsidR="009700E5" w:rsidRDefault="009700E5">
      <w:pPr>
        <w:rPr>
          <w:iCs/>
        </w:rPr>
      </w:pPr>
    </w:p>
    <w:p w14:paraId="661E787B" w14:textId="77777777" w:rsidR="009700E5" w:rsidRDefault="002C033C">
      <w:pPr>
        <w:rPr>
          <w:i/>
          <w:iCs/>
          <w:u w:val="single"/>
          <w:lang w:eastAsia="de-DE"/>
        </w:rPr>
      </w:pPr>
      <w:r>
        <w:rPr>
          <w:i/>
          <w:iCs/>
          <w:u w:val="single"/>
          <w:lang w:eastAsia="de-DE"/>
        </w:rPr>
        <w:t>Eliminácia</w:t>
      </w:r>
    </w:p>
    <w:p w14:paraId="3A00E22C" w14:textId="77777777" w:rsidR="009700E5" w:rsidRDefault="002C033C">
      <w:r>
        <w:t xml:space="preserve">Celkový klírens </w:t>
      </w:r>
      <w:r>
        <w:rPr>
          <w:lang w:eastAsia="de-DE"/>
        </w:rPr>
        <w:t>tocilizumabu</w:t>
      </w:r>
      <w:r>
        <w:t xml:space="preserve"> bol závislý od koncentrácie a je súčtom lineárneho a nelineárneho klírensu. Lineárny klírens bol odhadnutý ako parameter v populačnej farmakokinetickej analýze a u pacientov s OBA bol 6,7 ml/h.</w:t>
      </w:r>
    </w:p>
    <w:p w14:paraId="4EF18381" w14:textId="77777777" w:rsidR="009700E5" w:rsidRDefault="009700E5"/>
    <w:p w14:paraId="224EDDAE" w14:textId="77777777" w:rsidR="009700E5" w:rsidRDefault="002C033C">
      <w:r>
        <w:t xml:space="preserve">U pacientov s OBA, v rovnovážnom stave, sa </w:t>
      </w:r>
      <w:ins w:id="2773" w:author="Author" w:date="2025-07-21T11:06:00Z">
        <w:r>
          <w:rPr>
            <w:szCs w:val="22"/>
          </w:rPr>
          <w:t>t</w:t>
        </w:r>
        <w:r>
          <w:rPr>
            <w:szCs w:val="22"/>
            <w:vertAlign w:val="subscript"/>
          </w:rPr>
          <w:t>1/2</w:t>
        </w:r>
        <w:r>
          <w:rPr>
            <w:szCs w:val="22"/>
          </w:rPr>
          <w:t xml:space="preserve"> </w:t>
        </w:r>
      </w:ins>
      <w:del w:id="2774" w:author="Author" w:date="2025-07-21T11:06:00Z">
        <w:r>
          <w:rPr>
            <w:iCs/>
          </w:rPr>
          <w:delText>t½</w:delText>
        </w:r>
      </w:del>
      <w:r>
        <w:rPr>
          <w:iCs/>
        </w:rPr>
        <w:t xml:space="preserve"> </w:t>
      </w:r>
      <w:r>
        <w:t xml:space="preserve">účinnosti </w:t>
      </w:r>
      <w:r>
        <w:rPr>
          <w:lang w:eastAsia="de-DE"/>
        </w:rPr>
        <w:t>tocilizumabu</w:t>
      </w:r>
      <w:r>
        <w:t xml:space="preserve"> pohyboval v rozpätí od 18,3 do 18,9 dňa pri režime 162 mg podávaných každý týždeň, a v rozpätí od 4,2 do 7,9 dňa pri režime 162 mg podávaných každý druhý týždeň. Pri vysokých koncentráciách v sére, v ktorých je celkový klírens </w:t>
      </w:r>
      <w:r>
        <w:rPr>
          <w:lang w:eastAsia="de-DE"/>
        </w:rPr>
        <w:t>tocilizumabu</w:t>
      </w:r>
      <w:r>
        <w:t xml:space="preserve"> určovaný najmä lineárnym klírensom, bol </w:t>
      </w:r>
      <w:ins w:id="2775" w:author="Author" w:date="2025-07-21T11:06:00Z">
        <w:r>
          <w:rPr>
            <w:szCs w:val="22"/>
          </w:rPr>
          <w:t>t</w:t>
        </w:r>
        <w:r>
          <w:rPr>
            <w:szCs w:val="22"/>
            <w:vertAlign w:val="subscript"/>
          </w:rPr>
          <w:t>1/2</w:t>
        </w:r>
      </w:ins>
      <w:del w:id="2776" w:author="Author" w:date="2025-07-21T11:06:00Z">
        <w:r>
          <w:rPr>
            <w:iCs/>
          </w:rPr>
          <w:delText xml:space="preserve">t½ </w:delText>
        </w:r>
      </w:del>
      <w:ins w:id="2777" w:author="Author" w:date="2025-07-21T11:06:00Z">
        <w:r>
          <w:rPr>
            <w:iCs/>
          </w:rPr>
          <w:t xml:space="preserve"> </w:t>
        </w:r>
      </w:ins>
      <w:r>
        <w:t>účinnosti približne 32 dní odvodený z odhadov populačných parametrov.</w:t>
      </w:r>
    </w:p>
    <w:p w14:paraId="469B32AE" w14:textId="77777777" w:rsidR="009700E5" w:rsidRDefault="009700E5">
      <w:pPr>
        <w:rPr>
          <w:szCs w:val="22"/>
          <w:lang w:eastAsia="de-DE"/>
        </w:rPr>
      </w:pPr>
    </w:p>
    <w:p w14:paraId="4AF40837" w14:textId="77777777" w:rsidR="009700E5" w:rsidRDefault="002C033C">
      <w:pPr>
        <w:outlineLvl w:val="0"/>
        <w:rPr>
          <w:iCs/>
          <w:u w:val="single"/>
        </w:rPr>
      </w:pPr>
      <w:r>
        <w:rPr>
          <w:iCs/>
          <w:u w:val="single"/>
        </w:rPr>
        <w:t>Osobitné skupiny pacientov</w:t>
      </w:r>
    </w:p>
    <w:p w14:paraId="0EEBF901" w14:textId="77777777" w:rsidR="009700E5" w:rsidRDefault="002C033C">
      <w:pPr>
        <w:numPr>
          <w:ilvl w:val="12"/>
          <w:numId w:val="0"/>
        </w:numPr>
        <w:ind w:right="-2"/>
        <w:rPr>
          <w:bCs/>
          <w:i/>
          <w:iCs/>
        </w:rPr>
      </w:pPr>
      <w:r>
        <w:rPr>
          <w:bCs/>
          <w:i/>
          <w:iCs/>
        </w:rPr>
        <w:t>Porucha funkcie obličiek</w:t>
      </w:r>
    </w:p>
    <w:p w14:paraId="0DBC58BC" w14:textId="77777777" w:rsidR="009700E5" w:rsidRDefault="002C033C">
      <w:pPr>
        <w:numPr>
          <w:ilvl w:val="12"/>
          <w:numId w:val="0"/>
        </w:numPr>
        <w:ind w:right="-2"/>
        <w:rPr>
          <w:iCs/>
        </w:rPr>
      </w:pPr>
      <w:del w:id="2778" w:author="Author" w:date="2025-07-20T00:32:00Z">
        <w:r>
          <w:rPr>
            <w:iCs/>
          </w:rPr>
          <w:delText xml:space="preserve">Štúdia </w:delText>
        </w:r>
      </w:del>
      <w:ins w:id="2779" w:author="Author" w:date="2025-07-21T11:07:00Z">
        <w:r>
          <w:rPr>
            <w:iCs/>
          </w:rPr>
          <w:t>Klinické s</w:t>
        </w:r>
      </w:ins>
      <w:ins w:id="2780" w:author="Author" w:date="2025-07-20T00:32:00Z">
        <w:del w:id="2781" w:author="Author" w:date="2025-07-21T11:07:00Z">
          <w:r>
            <w:rPr>
              <w:iCs/>
            </w:rPr>
            <w:delText>S</w:delText>
          </w:r>
        </w:del>
        <w:r>
          <w:rPr>
            <w:iCs/>
          </w:rPr>
          <w:t xml:space="preserve">kúšanie </w:t>
        </w:r>
      </w:ins>
      <w:r>
        <w:rPr>
          <w:iCs/>
        </w:rPr>
        <w:t xml:space="preserve">vplyvu poruchy funkcie obličiek na farmakokinetiku </w:t>
      </w:r>
      <w:r>
        <w:rPr>
          <w:lang w:eastAsia="de-DE"/>
        </w:rPr>
        <w:t>tocilizumabu</w:t>
      </w:r>
      <w:r>
        <w:rPr>
          <w:iCs/>
        </w:rPr>
        <w:t xml:space="preserve"> sa neuskutočnila. Väčšina pacientov zaradených v analýzach farmakokinetiky v populáciách s RA a OBA mala normálnu funkciu obličiek alebo miernu poruchu funkcie obličiek. Mierna porucha funkcie obličiek (odhadovaný klírens kreatinínu podľa Cockroftovho a Gaultovho vzorca) nemala vplyv na farmakokinetiku </w:t>
      </w:r>
      <w:r>
        <w:rPr>
          <w:lang w:eastAsia="de-DE"/>
        </w:rPr>
        <w:t>tocilizumabu</w:t>
      </w:r>
      <w:r>
        <w:rPr>
          <w:iCs/>
        </w:rPr>
        <w:t>.</w:t>
      </w:r>
    </w:p>
    <w:p w14:paraId="0DA4CEB6" w14:textId="77777777" w:rsidR="009700E5" w:rsidRDefault="009700E5">
      <w:pPr>
        <w:numPr>
          <w:ilvl w:val="12"/>
          <w:numId w:val="0"/>
        </w:numPr>
        <w:ind w:right="-2"/>
        <w:rPr>
          <w:iCs/>
        </w:rPr>
      </w:pPr>
    </w:p>
    <w:p w14:paraId="069AC841" w14:textId="77777777" w:rsidR="009700E5" w:rsidRDefault="002C033C">
      <w:pPr>
        <w:numPr>
          <w:ilvl w:val="12"/>
          <w:numId w:val="0"/>
        </w:numPr>
        <w:ind w:right="-2"/>
        <w:rPr>
          <w:iCs/>
        </w:rPr>
      </w:pPr>
      <w:r>
        <w:rPr>
          <w:iCs/>
        </w:rPr>
        <w:t xml:space="preserve">Približne jedna tretina pacientov v </w:t>
      </w:r>
      <w:del w:id="2782" w:author="Author" w:date="2025-07-20T00:32:00Z">
        <w:r>
          <w:rPr>
            <w:iCs/>
          </w:rPr>
          <w:delText xml:space="preserve">štúdii </w:delText>
        </w:r>
      </w:del>
      <w:ins w:id="2783" w:author="Author" w:date="2025-07-21T11:07:00Z">
        <w:r>
          <w:rPr>
            <w:iCs/>
          </w:rPr>
          <w:t xml:space="preserve">klinickom </w:t>
        </w:r>
      </w:ins>
      <w:ins w:id="2784" w:author="Author" w:date="2025-07-20T00:32:00Z">
        <w:r>
          <w:rPr>
            <w:iCs/>
          </w:rPr>
          <w:t xml:space="preserve">skúšaní </w:t>
        </w:r>
      </w:ins>
      <w:r>
        <w:rPr>
          <w:iCs/>
        </w:rPr>
        <w:t>OBA mala stredne ťažkú poruchu funkcie obličiek na začiatku liečby (odhadovaný klírens kreatínu 30 </w:t>
      </w:r>
      <w:r>
        <w:rPr>
          <w:iCs/>
        </w:rPr>
        <w:noBreakHyphen/>
        <w:t xml:space="preserve"> 59 ml/min). U týchto pacientov nebol pozorovaný žiaden vplyv na expozíciu </w:t>
      </w:r>
      <w:r>
        <w:rPr>
          <w:lang w:eastAsia="de-DE"/>
        </w:rPr>
        <w:t>tocilizumabu</w:t>
      </w:r>
      <w:r>
        <w:rPr>
          <w:iCs/>
        </w:rPr>
        <w:t>.</w:t>
      </w:r>
    </w:p>
    <w:p w14:paraId="7B011890" w14:textId="77777777" w:rsidR="009700E5" w:rsidRDefault="009700E5">
      <w:pPr>
        <w:numPr>
          <w:ilvl w:val="12"/>
          <w:numId w:val="0"/>
        </w:numPr>
        <w:ind w:right="-2"/>
        <w:rPr>
          <w:iCs/>
        </w:rPr>
      </w:pPr>
    </w:p>
    <w:p w14:paraId="741839EE" w14:textId="77777777" w:rsidR="009700E5" w:rsidRDefault="002C033C">
      <w:pPr>
        <w:numPr>
          <w:ilvl w:val="12"/>
          <w:numId w:val="0"/>
        </w:numPr>
        <w:ind w:right="-2"/>
        <w:rPr>
          <w:iCs/>
        </w:rPr>
      </w:pPr>
      <w:r>
        <w:rPr>
          <w:iCs/>
        </w:rPr>
        <w:t>U pacientov s miernou alebo stredne ťažkou poruchou funkcie obličiek nie je potrebná úprava dávky.</w:t>
      </w:r>
    </w:p>
    <w:p w14:paraId="607355C5" w14:textId="77777777" w:rsidR="009700E5" w:rsidRDefault="009700E5">
      <w:pPr>
        <w:outlineLvl w:val="0"/>
      </w:pPr>
    </w:p>
    <w:p w14:paraId="43AE5F93" w14:textId="77777777" w:rsidR="009700E5" w:rsidRDefault="002C033C">
      <w:pPr>
        <w:outlineLvl w:val="0"/>
        <w:rPr>
          <w:bCs/>
          <w:i/>
          <w:iCs/>
        </w:rPr>
      </w:pPr>
      <w:r>
        <w:rPr>
          <w:bCs/>
          <w:i/>
          <w:iCs/>
        </w:rPr>
        <w:t>Porucha funkcie pečene</w:t>
      </w:r>
    </w:p>
    <w:p w14:paraId="139571A8" w14:textId="77777777" w:rsidR="009700E5" w:rsidRDefault="002C033C">
      <w:pPr>
        <w:outlineLvl w:val="0"/>
        <w:rPr>
          <w:iCs/>
        </w:rPr>
      </w:pPr>
      <w:del w:id="2785" w:author="Author" w:date="2025-07-20T00:32:00Z">
        <w:r>
          <w:rPr>
            <w:iCs/>
          </w:rPr>
          <w:delText xml:space="preserve">Štúdia </w:delText>
        </w:r>
      </w:del>
      <w:ins w:id="2786" w:author="Author" w:date="2025-07-21T11:07:00Z">
        <w:r>
          <w:rPr>
            <w:iCs/>
          </w:rPr>
          <w:t>Klinické s</w:t>
        </w:r>
      </w:ins>
      <w:ins w:id="2787" w:author="Author" w:date="2025-07-20T00:32:00Z">
        <w:del w:id="2788" w:author="Author" w:date="2025-07-21T11:07:00Z">
          <w:r>
            <w:rPr>
              <w:iCs/>
            </w:rPr>
            <w:delText>S</w:delText>
          </w:r>
        </w:del>
        <w:r>
          <w:rPr>
            <w:iCs/>
          </w:rPr>
          <w:t>kúšan</w:t>
        </w:r>
      </w:ins>
      <w:ins w:id="2789" w:author="Author" w:date="2025-07-20T00:33:00Z">
        <w:r>
          <w:rPr>
            <w:iCs/>
          </w:rPr>
          <w:t>ie</w:t>
        </w:r>
      </w:ins>
      <w:ins w:id="2790" w:author="Author" w:date="2025-07-20T00:32:00Z">
        <w:r>
          <w:rPr>
            <w:iCs/>
          </w:rPr>
          <w:t xml:space="preserve"> </w:t>
        </w:r>
      </w:ins>
      <w:r>
        <w:rPr>
          <w:iCs/>
        </w:rPr>
        <w:t xml:space="preserve">vplyvu poruchy funkcie pečene na farmakokinetiku </w:t>
      </w:r>
      <w:r>
        <w:rPr>
          <w:lang w:eastAsia="de-DE"/>
        </w:rPr>
        <w:t>tocilizumabu</w:t>
      </w:r>
      <w:r>
        <w:rPr>
          <w:iCs/>
        </w:rPr>
        <w:t xml:space="preserve"> sa </w:t>
      </w:r>
      <w:del w:id="2791" w:author="Author" w:date="2025-07-20T00:33:00Z">
        <w:r>
          <w:rPr>
            <w:iCs/>
          </w:rPr>
          <w:delText>neuskutočnila</w:delText>
        </w:r>
      </w:del>
      <w:ins w:id="2792" w:author="Author" w:date="2025-07-20T00:33:00Z">
        <w:r>
          <w:rPr>
            <w:iCs/>
          </w:rPr>
          <w:t>neuskutočnilo</w:t>
        </w:r>
      </w:ins>
      <w:r>
        <w:rPr>
          <w:iCs/>
        </w:rPr>
        <w:t>.</w:t>
      </w:r>
    </w:p>
    <w:p w14:paraId="6735F90B" w14:textId="77777777" w:rsidR="009700E5" w:rsidRDefault="009700E5">
      <w:pPr>
        <w:outlineLvl w:val="0"/>
      </w:pPr>
    </w:p>
    <w:p w14:paraId="1CA011FC" w14:textId="77777777" w:rsidR="009700E5" w:rsidRDefault="002C033C">
      <w:pPr>
        <w:outlineLvl w:val="0"/>
        <w:rPr>
          <w:bCs/>
          <w:i/>
          <w:iCs/>
        </w:rPr>
      </w:pPr>
      <w:r>
        <w:rPr>
          <w:bCs/>
          <w:i/>
          <w:iCs/>
        </w:rPr>
        <w:t>Vek, pohlavie a etnická príslušnosť</w:t>
      </w:r>
    </w:p>
    <w:p w14:paraId="43DEB51B" w14:textId="77777777" w:rsidR="009700E5" w:rsidRDefault="002C033C">
      <w:pPr>
        <w:outlineLvl w:val="0"/>
        <w:rPr>
          <w:iCs/>
        </w:rPr>
      </w:pPr>
      <w:r>
        <w:rPr>
          <w:iCs/>
        </w:rPr>
        <w:t>Populačné farmakokinetické analýzy u dospelých pacientov s RA a OBA preukázali, že vek, pohlavie a </w:t>
      </w:r>
      <w:r>
        <w:rPr>
          <w:bCs/>
        </w:rPr>
        <w:t>etnická príslušnosť</w:t>
      </w:r>
      <w:r>
        <w:rPr>
          <w:iCs/>
        </w:rPr>
        <w:t xml:space="preserve"> nemajú vplyv na farmakokinetiku </w:t>
      </w:r>
      <w:r>
        <w:rPr>
          <w:lang w:eastAsia="de-DE"/>
        </w:rPr>
        <w:t>tocilizumabu</w:t>
      </w:r>
      <w:r>
        <w:rPr>
          <w:iCs/>
        </w:rPr>
        <w:t>.</w:t>
      </w:r>
    </w:p>
    <w:p w14:paraId="51D6AE5D" w14:textId="77777777" w:rsidR="009700E5" w:rsidRDefault="009700E5">
      <w:pPr>
        <w:numPr>
          <w:ilvl w:val="12"/>
          <w:numId w:val="0"/>
        </w:numPr>
        <w:ind w:right="-2"/>
        <w:rPr>
          <w:iCs/>
        </w:rPr>
      </w:pPr>
    </w:p>
    <w:p w14:paraId="33EC12A8" w14:textId="77777777" w:rsidR="009700E5" w:rsidRDefault="002C033C">
      <w:pPr>
        <w:keepNext/>
        <w:keepLines/>
        <w:numPr>
          <w:ilvl w:val="12"/>
          <w:numId w:val="0"/>
        </w:numPr>
        <w:rPr>
          <w:iCs/>
        </w:rPr>
      </w:pPr>
      <w:r>
        <w:rPr>
          <w:iCs/>
        </w:rPr>
        <w:lastRenderedPageBreak/>
        <w:t xml:space="preserve">Výsledky populačnej FK analýzy u pacientov so sJIA a pJIA potvrdili, že veľkosť tela je jediný kovariát, ktorý má zreteľný účinok na farmakokinetiku </w:t>
      </w:r>
      <w:r>
        <w:rPr>
          <w:lang w:eastAsia="de-DE"/>
        </w:rPr>
        <w:t>tocilizumabu</w:t>
      </w:r>
      <w:r>
        <w:rPr>
          <w:iCs/>
        </w:rPr>
        <w:t xml:space="preserve"> vrátane eliminácie a absorpcie, z čoho vyplýva, že sa má vziať do úvahy dávkovanie odvodené od telesnej hmotnosti (pozri tabuľky 8 a 9).</w:t>
      </w:r>
    </w:p>
    <w:p w14:paraId="02948DF4" w14:textId="77777777" w:rsidR="009700E5" w:rsidRDefault="009700E5">
      <w:pPr>
        <w:numPr>
          <w:ilvl w:val="12"/>
          <w:numId w:val="0"/>
        </w:numPr>
        <w:ind w:right="-2"/>
        <w:rPr>
          <w:iCs/>
        </w:rPr>
      </w:pPr>
    </w:p>
    <w:p w14:paraId="181671BB" w14:textId="77777777" w:rsidR="009700E5" w:rsidRDefault="002C033C">
      <w:pPr>
        <w:keepNext/>
        <w:keepLines/>
        <w:outlineLvl w:val="0"/>
      </w:pPr>
      <w:r>
        <w:rPr>
          <w:b/>
        </w:rPr>
        <w:t>5.3</w:t>
      </w:r>
      <w:r>
        <w:rPr>
          <w:b/>
        </w:rPr>
        <w:tab/>
      </w:r>
      <w:r>
        <w:rPr>
          <w:b/>
          <w:szCs w:val="22"/>
        </w:rPr>
        <w:t>Predklinické údaje o bezpečnosti</w:t>
      </w:r>
    </w:p>
    <w:p w14:paraId="3015CD3B" w14:textId="77777777" w:rsidR="009700E5" w:rsidRDefault="009700E5">
      <w:pPr>
        <w:keepNext/>
        <w:keepLines/>
      </w:pPr>
    </w:p>
    <w:p w14:paraId="4F6F270D" w14:textId="77777777" w:rsidR="009700E5" w:rsidRDefault="002C033C">
      <w:pPr>
        <w:keepNext/>
        <w:keepLines/>
        <w:rPr>
          <w:bCs/>
        </w:rPr>
      </w:pPr>
      <w:r>
        <w:rPr>
          <w:szCs w:val="22"/>
        </w:rPr>
        <w:t xml:space="preserve">Predklinické údaje získané na základe obvyklých farmakologických </w:t>
      </w:r>
      <w:del w:id="2793" w:author="Author" w:date="2025-07-20T00:33:00Z">
        <w:r>
          <w:rPr>
            <w:szCs w:val="22"/>
          </w:rPr>
          <w:delText xml:space="preserve">štúdií </w:delText>
        </w:r>
      </w:del>
      <w:ins w:id="2794" w:author="Author" w:date="2025-07-21T11:07:00Z">
        <w:r>
          <w:rPr>
            <w:szCs w:val="22"/>
          </w:rPr>
          <w:t xml:space="preserve">klinických </w:t>
        </w:r>
      </w:ins>
      <w:ins w:id="2795" w:author="Author" w:date="2025-07-20T00:33:00Z">
        <w:r>
          <w:rPr>
            <w:szCs w:val="22"/>
          </w:rPr>
          <w:t xml:space="preserve">skúšaní </w:t>
        </w:r>
      </w:ins>
      <w:r>
        <w:rPr>
          <w:szCs w:val="22"/>
        </w:rPr>
        <w:t>bezpečnosti, toxicity po opakovanom podávaní, genotoxicity, reprodukčnej toxicity a vývinu neodhalili žiadne osobitné riziko pre ľudí</w:t>
      </w:r>
      <w:r>
        <w:t>.</w:t>
      </w:r>
    </w:p>
    <w:p w14:paraId="7639F6A9" w14:textId="77777777" w:rsidR="009700E5" w:rsidRDefault="009700E5">
      <w:pPr>
        <w:rPr>
          <w:bCs/>
        </w:rPr>
      </w:pPr>
    </w:p>
    <w:p w14:paraId="28B8A28A" w14:textId="77777777" w:rsidR="009700E5" w:rsidRDefault="002C033C">
      <w:pPr>
        <w:rPr>
          <w:bCs/>
        </w:rPr>
      </w:pPr>
      <w:del w:id="2796" w:author="Author" w:date="2025-07-20T00:33:00Z">
        <w:r>
          <w:rPr>
            <w:bCs/>
          </w:rPr>
          <w:delText xml:space="preserve">Štúdie </w:delText>
        </w:r>
      </w:del>
      <w:ins w:id="2797" w:author="Author" w:date="2025-07-21T11:07:00Z">
        <w:r>
          <w:rPr>
            <w:bCs/>
          </w:rPr>
          <w:t>Klinické s</w:t>
        </w:r>
      </w:ins>
      <w:ins w:id="2798" w:author="Author" w:date="2025-07-20T00:33:00Z">
        <w:del w:id="2799" w:author="Author" w:date="2025-07-21T11:07:00Z">
          <w:r>
            <w:rPr>
              <w:bCs/>
            </w:rPr>
            <w:delText>S</w:delText>
          </w:r>
        </w:del>
        <w:r>
          <w:rPr>
            <w:bCs/>
          </w:rPr>
          <w:t xml:space="preserve">kúšania </w:t>
        </w:r>
      </w:ins>
      <w:r>
        <w:rPr>
          <w:bCs/>
        </w:rPr>
        <w:t>karcinogenity sa neuskutočnili, pretože IG1 monoklonálne protilátky sa nepovažujú za látky s vlastným karcinogénnym potenciálom.</w:t>
      </w:r>
    </w:p>
    <w:p w14:paraId="4E404666" w14:textId="77777777" w:rsidR="009700E5" w:rsidRDefault="009700E5"/>
    <w:p w14:paraId="12D98EB9" w14:textId="77777777" w:rsidR="009700E5" w:rsidRDefault="002C033C">
      <w:r>
        <w:t>Dostupné predklinické údaje preukázali vplyv IL</w:t>
      </w:r>
      <w:r>
        <w:noBreakHyphen/>
        <w:t xml:space="preserve">6 na progresiu zhubných nádorov a na rezistenciu rôznych typov nádorov na apoptózu. Tieto údaje nepoukazujú na významné riziko pre vznik a progresiu rakoviny počas liečby </w:t>
      </w:r>
      <w:r>
        <w:rPr>
          <w:lang w:eastAsia="de-DE"/>
        </w:rPr>
        <w:t>tocilizumabom</w:t>
      </w:r>
      <w:r>
        <w:t>. Okrem toho sa v 6</w:t>
      </w:r>
      <w:r>
        <w:noBreakHyphen/>
        <w:t xml:space="preserve">mesačných </w:t>
      </w:r>
      <w:del w:id="2800" w:author="Author" w:date="2025-07-20T00:33:00Z">
        <w:r>
          <w:delText xml:space="preserve">štúdiách </w:delText>
        </w:r>
      </w:del>
      <w:ins w:id="2801" w:author="Author" w:date="2025-07-21T11:07:00Z">
        <w:r>
          <w:t xml:space="preserve">klinických </w:t>
        </w:r>
      </w:ins>
      <w:ins w:id="2802" w:author="Author" w:date="2025-07-20T00:33:00Z">
        <w:r>
          <w:t xml:space="preserve">skúšaniach </w:t>
        </w:r>
      </w:ins>
      <w:r>
        <w:t>chronickej toxicity na opiciach rodu Cynomolgus, ani u myší s deficitom IL</w:t>
      </w:r>
      <w:r>
        <w:noBreakHyphen/>
        <w:t>6 proliferatívne lézie nepozorovali.</w:t>
      </w:r>
    </w:p>
    <w:p w14:paraId="3F45169D" w14:textId="77777777" w:rsidR="009700E5" w:rsidRDefault="009700E5"/>
    <w:p w14:paraId="588162D8" w14:textId="77777777" w:rsidR="009700E5" w:rsidRDefault="002C033C">
      <w:r>
        <w:t xml:space="preserve">Dostupné predklinické údaje nepotvrdili, že liečba </w:t>
      </w:r>
      <w:r>
        <w:rPr>
          <w:lang w:eastAsia="de-DE"/>
        </w:rPr>
        <w:t>tocilizumabom</w:t>
      </w:r>
      <w:r>
        <w:t xml:space="preserve"> má vplyv na fertilitu. V</w:t>
      </w:r>
      <w:del w:id="2803" w:author="Author" w:date="2025-07-21T11:07:00Z">
        <w:r>
          <w:delText> </w:delText>
        </w:r>
      </w:del>
      <w:ins w:id="2804" w:author="Author" w:date="2025-07-20T00:33:00Z">
        <w:del w:id="2805" w:author="Author" w:date="2025-07-21T11:07:00Z">
          <w:r>
            <w:delText> </w:delText>
          </w:r>
        </w:del>
      </w:ins>
      <w:ins w:id="2806" w:author="Author" w:date="2025-07-21T11:07:00Z">
        <w:r>
          <w:t xml:space="preserve"> klinickom </w:t>
        </w:r>
      </w:ins>
      <w:del w:id="2807" w:author="Author" w:date="2025-07-20T00:33:00Z">
        <w:r>
          <w:delText xml:space="preserve">štúdii </w:delText>
        </w:r>
      </w:del>
      <w:ins w:id="2808" w:author="Author" w:date="2025-07-20T00:33:00Z">
        <w:r>
          <w:t xml:space="preserve">skúšaní </w:t>
        </w:r>
      </w:ins>
      <w:r>
        <w:t>chronickej toxicity na opiciach rodu Cynomolgus sa nepozorovali účinky na endokrinne aktívne orgány a na orgány reprodukčného systému a u myší s deficitom IL</w:t>
      </w:r>
      <w:r>
        <w:noBreakHyphen/>
        <w:t xml:space="preserve">6 nedošlo k poškodeniu reprodukčnej výkonnosti. Zistilo sa, že </w:t>
      </w:r>
      <w:r>
        <w:rPr>
          <w:lang w:eastAsia="de-DE"/>
        </w:rPr>
        <w:t>tocilizumab</w:t>
      </w:r>
      <w:r>
        <w:t xml:space="preserve"> podávaný opiciam rodu Cynomolgus počas skorej fázy gestácie nemal priamy ani nepriamy škodlivý vplyv na graviditu alebo embryofetálny vývoj. Pozorovalo sa však mierne zvýšenie potratov/embryofetálnej úmrtnosti pri vysokej systémovej expozícii (</w:t>
      </w:r>
      <w:r>
        <w:rPr>
          <w:rFonts w:eastAsia="MS Mincho"/>
          <w:szCs w:val="22"/>
        </w:rPr>
        <w:sym w:font="Symbol" w:char="F03E"/>
      </w:r>
      <w:r>
        <w:t> 100</w:t>
      </w:r>
      <w:r>
        <w:noBreakHyphen/>
        <w:t>násobok expozície dosiahnutej u ľudí) v skupine liečenej vysokou dávkou 50 mg/kg/deň oproti skupine liečenej placebom a inými nízkymi dávkami. Hoci IL</w:t>
      </w:r>
      <w:r>
        <w:noBreakHyphen/>
        <w:t>6 zrejme nie je rozhodujúcim cytokínom pre rast plodu alebo imunologickú kontrolu rozhrania materských a fetálnych tkanív, súvislosť tohto zistenia s </w:t>
      </w:r>
      <w:r>
        <w:rPr>
          <w:lang w:eastAsia="de-DE"/>
        </w:rPr>
        <w:t>tocilizumabom</w:t>
      </w:r>
      <w:r>
        <w:t xml:space="preserve"> nie je možné vylúčiť.</w:t>
      </w:r>
    </w:p>
    <w:p w14:paraId="76B9E231" w14:textId="77777777" w:rsidR="009700E5" w:rsidRDefault="009700E5"/>
    <w:p w14:paraId="542756F4" w14:textId="77777777" w:rsidR="009700E5" w:rsidRDefault="002C033C">
      <w:r>
        <w:t>Liečba myšacím analógom na juvenilných myšiach nevykazovala toxicitu. Konkrétne, nebolo prítomné žiadne narušenie rastu kostí, imunitných funkcií a sexuálneho dozrievania.</w:t>
      </w:r>
    </w:p>
    <w:p w14:paraId="043FB0E0" w14:textId="77777777" w:rsidR="009700E5" w:rsidRDefault="009700E5"/>
    <w:p w14:paraId="1A7139E0" w14:textId="77777777" w:rsidR="009700E5" w:rsidRDefault="002C033C">
      <w:r>
        <w:t xml:space="preserve">Predklinický bezpečnostný profil </w:t>
      </w:r>
      <w:r>
        <w:rPr>
          <w:lang w:eastAsia="de-DE"/>
        </w:rPr>
        <w:t>tocilizumabu</w:t>
      </w:r>
      <w:r>
        <w:t xml:space="preserve"> u opíc rodu Cynomolgus nepoukazuje na rozdiel medzi intravenóznyn a subkutánynm spôsobom podávania.</w:t>
      </w:r>
    </w:p>
    <w:p w14:paraId="04C5F835" w14:textId="77777777" w:rsidR="009700E5" w:rsidRDefault="009700E5"/>
    <w:p w14:paraId="39CFB4B7" w14:textId="77777777" w:rsidR="009700E5" w:rsidRDefault="009700E5"/>
    <w:p w14:paraId="70549171" w14:textId="77777777" w:rsidR="009700E5" w:rsidRDefault="002C033C">
      <w:pPr>
        <w:keepNext/>
        <w:keepLines/>
        <w:rPr>
          <w:b/>
        </w:rPr>
      </w:pPr>
      <w:r>
        <w:rPr>
          <w:b/>
        </w:rPr>
        <w:t>6.</w:t>
      </w:r>
      <w:r>
        <w:rPr>
          <w:b/>
        </w:rPr>
        <w:tab/>
      </w:r>
      <w:r>
        <w:rPr>
          <w:b/>
          <w:szCs w:val="22"/>
        </w:rPr>
        <w:t>FARMACEUTICKÉ INFORMÁCIE</w:t>
      </w:r>
    </w:p>
    <w:p w14:paraId="775C8865" w14:textId="77777777" w:rsidR="009700E5" w:rsidRDefault="009700E5">
      <w:pPr>
        <w:keepNext/>
        <w:keepLines/>
      </w:pPr>
    </w:p>
    <w:p w14:paraId="33E97DB5" w14:textId="77777777" w:rsidR="009700E5" w:rsidRDefault="002C033C">
      <w:pPr>
        <w:keepNext/>
        <w:keepLines/>
        <w:outlineLvl w:val="0"/>
        <w:rPr>
          <w:b/>
        </w:rPr>
      </w:pPr>
      <w:r>
        <w:rPr>
          <w:b/>
        </w:rPr>
        <w:t>6.1</w:t>
      </w:r>
      <w:r>
        <w:rPr>
          <w:b/>
        </w:rPr>
        <w:tab/>
      </w:r>
      <w:r>
        <w:rPr>
          <w:b/>
          <w:szCs w:val="22"/>
        </w:rPr>
        <w:t>Zoznam pomocných látok</w:t>
      </w:r>
    </w:p>
    <w:p w14:paraId="1F885BB4" w14:textId="77777777" w:rsidR="009700E5" w:rsidRDefault="009700E5">
      <w:pPr>
        <w:outlineLvl w:val="0"/>
      </w:pPr>
    </w:p>
    <w:p w14:paraId="4D32BECA" w14:textId="77777777" w:rsidR="009700E5" w:rsidRDefault="002C033C">
      <w:pPr>
        <w:ind w:left="567" w:hanging="567"/>
        <w:outlineLvl w:val="0"/>
        <w:rPr>
          <w:bCs/>
          <w:szCs w:val="22"/>
        </w:rPr>
      </w:pPr>
      <w:r>
        <w:rPr>
          <w:bCs/>
          <w:szCs w:val="22"/>
        </w:rPr>
        <w:t>histidín (na úpravu pH)</w:t>
      </w:r>
    </w:p>
    <w:p w14:paraId="2ECE2047" w14:textId="77777777" w:rsidR="009700E5" w:rsidRDefault="002C033C">
      <w:pPr>
        <w:ind w:left="567" w:hanging="567"/>
        <w:outlineLvl w:val="0"/>
        <w:rPr>
          <w:bCs/>
          <w:szCs w:val="22"/>
        </w:rPr>
      </w:pPr>
      <w:r>
        <w:rPr>
          <w:bCs/>
          <w:szCs w:val="22"/>
        </w:rPr>
        <w:t>monohydrát histidíniumchloridu (na úpravu pH)</w:t>
      </w:r>
    </w:p>
    <w:p w14:paraId="34B915EA" w14:textId="77777777" w:rsidR="009700E5" w:rsidRDefault="002C033C">
      <w:pPr>
        <w:ind w:left="567" w:hanging="567"/>
        <w:outlineLvl w:val="0"/>
        <w:rPr>
          <w:bCs/>
          <w:szCs w:val="22"/>
        </w:rPr>
      </w:pPr>
      <w:r>
        <w:rPr>
          <w:bCs/>
          <w:szCs w:val="22"/>
        </w:rPr>
        <w:t>arginín/arginíniumchlorid</w:t>
      </w:r>
    </w:p>
    <w:p w14:paraId="3B8A8ED8" w14:textId="77777777" w:rsidR="009700E5" w:rsidRDefault="002C033C">
      <w:pPr>
        <w:ind w:left="567" w:hanging="567"/>
        <w:outlineLvl w:val="0"/>
        <w:rPr>
          <w:bCs/>
          <w:szCs w:val="22"/>
        </w:rPr>
      </w:pPr>
      <w:r>
        <w:rPr>
          <w:bCs/>
          <w:szCs w:val="22"/>
        </w:rPr>
        <w:t>metionín</w:t>
      </w:r>
    </w:p>
    <w:p w14:paraId="4D96D055" w14:textId="77777777" w:rsidR="009700E5" w:rsidRDefault="002C033C">
      <w:pPr>
        <w:outlineLvl w:val="0"/>
        <w:rPr>
          <w:bCs/>
        </w:rPr>
      </w:pPr>
      <w:r>
        <w:rPr>
          <w:bCs/>
        </w:rPr>
        <w:t>polysorbát 80 (E 433)</w:t>
      </w:r>
    </w:p>
    <w:p w14:paraId="2DC31AE1" w14:textId="77777777" w:rsidR="009700E5" w:rsidRDefault="002C033C">
      <w:pPr>
        <w:outlineLvl w:val="0"/>
        <w:rPr>
          <w:bCs/>
        </w:rPr>
      </w:pPr>
      <w:r>
        <w:rPr>
          <w:bCs/>
        </w:rPr>
        <w:t>voda na injekcie</w:t>
      </w:r>
    </w:p>
    <w:p w14:paraId="30EB06F3" w14:textId="77777777" w:rsidR="009700E5" w:rsidRDefault="009700E5">
      <w:pPr>
        <w:rPr>
          <w:iCs/>
        </w:rPr>
      </w:pPr>
    </w:p>
    <w:p w14:paraId="4376709E" w14:textId="77777777" w:rsidR="009700E5" w:rsidRDefault="002C033C">
      <w:pPr>
        <w:keepNext/>
        <w:keepLines/>
        <w:outlineLvl w:val="0"/>
      </w:pPr>
      <w:r>
        <w:rPr>
          <w:b/>
        </w:rPr>
        <w:t>6.2</w:t>
      </w:r>
      <w:r>
        <w:rPr>
          <w:b/>
        </w:rPr>
        <w:tab/>
      </w:r>
      <w:r>
        <w:rPr>
          <w:b/>
          <w:szCs w:val="22"/>
        </w:rPr>
        <w:t>Inkompatibility</w:t>
      </w:r>
    </w:p>
    <w:p w14:paraId="31CB3D28" w14:textId="77777777" w:rsidR="009700E5" w:rsidRDefault="009700E5"/>
    <w:p w14:paraId="5CF6069D" w14:textId="77777777" w:rsidR="009700E5" w:rsidRDefault="002C033C">
      <w:pPr>
        <w:ind w:left="567" w:hanging="567"/>
        <w:outlineLvl w:val="0"/>
      </w:pPr>
      <w:r>
        <w:rPr>
          <w:szCs w:val="22"/>
        </w:rPr>
        <w:t xml:space="preserve">Nevykonali sa </w:t>
      </w:r>
      <w:ins w:id="2809" w:author="Author" w:date="2025-07-21T11:08:00Z">
        <w:r>
          <w:rPr>
            <w:szCs w:val="22"/>
          </w:rPr>
          <w:t>klinické skúšania</w:t>
        </w:r>
      </w:ins>
      <w:del w:id="2810" w:author="Author" w:date="2025-07-21T11:08:00Z">
        <w:r>
          <w:rPr>
            <w:szCs w:val="22"/>
          </w:rPr>
          <w:delText>štúdie</w:delText>
        </w:r>
      </w:del>
      <w:r>
        <w:rPr>
          <w:szCs w:val="22"/>
        </w:rPr>
        <w:t xml:space="preserve"> kompatibility, preto sa tento liek nesmie miešať s inými liekmi.</w:t>
      </w:r>
    </w:p>
    <w:p w14:paraId="6568A221" w14:textId="77777777" w:rsidR="009700E5" w:rsidRDefault="009700E5">
      <w:pPr>
        <w:outlineLvl w:val="0"/>
      </w:pPr>
    </w:p>
    <w:p w14:paraId="7A20B7CF" w14:textId="77777777" w:rsidR="009700E5" w:rsidRDefault="002C033C">
      <w:pPr>
        <w:keepNext/>
        <w:keepLines/>
        <w:outlineLvl w:val="0"/>
      </w:pPr>
      <w:r>
        <w:rPr>
          <w:b/>
        </w:rPr>
        <w:lastRenderedPageBreak/>
        <w:t>6.3</w:t>
      </w:r>
      <w:r>
        <w:rPr>
          <w:b/>
        </w:rPr>
        <w:tab/>
      </w:r>
      <w:r>
        <w:rPr>
          <w:b/>
          <w:szCs w:val="22"/>
        </w:rPr>
        <w:t>Čas použiteľnosti</w:t>
      </w:r>
    </w:p>
    <w:p w14:paraId="543868A6" w14:textId="77777777" w:rsidR="009700E5" w:rsidRDefault="009700E5">
      <w:pPr>
        <w:keepNext/>
        <w:keepLines/>
      </w:pPr>
    </w:p>
    <w:p w14:paraId="13138A3D" w14:textId="77777777" w:rsidR="009700E5" w:rsidRDefault="002C033C">
      <w:pPr>
        <w:keepNext/>
        <w:keepLines/>
      </w:pPr>
      <w:r>
        <w:t>3 roky</w:t>
      </w:r>
    </w:p>
    <w:p w14:paraId="6FAB0925" w14:textId="77777777" w:rsidR="009700E5" w:rsidRDefault="009700E5">
      <w:pPr>
        <w:keepNext/>
        <w:keepLines/>
      </w:pPr>
    </w:p>
    <w:p w14:paraId="0F8AB91F" w14:textId="77777777" w:rsidR="009700E5" w:rsidRDefault="002C033C">
      <w:pPr>
        <w:keepNext/>
        <w:outlineLvl w:val="0"/>
        <w:rPr>
          <w:b/>
          <w:szCs w:val="22"/>
        </w:rPr>
      </w:pPr>
      <w:r>
        <w:rPr>
          <w:b/>
        </w:rPr>
        <w:t>6.4</w:t>
      </w:r>
      <w:r>
        <w:rPr>
          <w:b/>
        </w:rPr>
        <w:tab/>
      </w:r>
      <w:r>
        <w:rPr>
          <w:b/>
          <w:szCs w:val="22"/>
        </w:rPr>
        <w:t>Špeciálne upozornenia na uchovávanie</w:t>
      </w:r>
    </w:p>
    <w:p w14:paraId="57EC844C" w14:textId="77777777" w:rsidR="009700E5" w:rsidRDefault="009700E5">
      <w:pPr>
        <w:keepNext/>
        <w:outlineLvl w:val="0"/>
      </w:pPr>
    </w:p>
    <w:p w14:paraId="279C2DA1" w14:textId="77777777" w:rsidR="009700E5" w:rsidRDefault="002C033C">
      <w:pPr>
        <w:keepNext/>
      </w:pPr>
      <w:r>
        <w:t>Uchovávajte v chladničke (2 °C </w:t>
      </w:r>
      <w:r>
        <w:noBreakHyphen/>
        <w:t> 8 °C). Neuchovávajte v mrazničke. Po vybratí z chladničky možno naplnené pero uchovávať až 2 týždne pri teplote do 30 °C.</w:t>
      </w:r>
    </w:p>
    <w:p w14:paraId="2D8F410C" w14:textId="77777777" w:rsidR="009700E5" w:rsidRDefault="009700E5">
      <w:pPr>
        <w:keepNext/>
      </w:pPr>
    </w:p>
    <w:p w14:paraId="6BBF2EBE" w14:textId="77777777" w:rsidR="009700E5" w:rsidRDefault="002C033C">
      <w:pPr>
        <w:rPr>
          <w:ins w:id="2811" w:author="Author" w:date="2025-07-20T00:35:00Z"/>
          <w:szCs w:val="22"/>
        </w:rPr>
      </w:pPr>
      <w:r>
        <w:rPr>
          <w:szCs w:val="22"/>
        </w:rPr>
        <w:t>Naplnené pero uchovávajte vo vonkajšom obale na ochranu pred svetlom a vlhkosťou.</w:t>
      </w:r>
    </w:p>
    <w:p w14:paraId="20711082" w14:textId="77777777" w:rsidR="009700E5" w:rsidRDefault="009700E5">
      <w:pPr>
        <w:rPr>
          <w:ins w:id="2812" w:author="Author" w:date="2025-07-20T00:35:00Z"/>
          <w:szCs w:val="22"/>
        </w:rPr>
      </w:pPr>
    </w:p>
    <w:p w14:paraId="2C930AD8" w14:textId="77777777" w:rsidR="009700E5" w:rsidRDefault="002C033C">
      <w:pPr>
        <w:rPr>
          <w:ins w:id="2813" w:author="Author" w:date="2025-07-20T00:35:00Z"/>
          <w:del w:id="2814" w:author="Author" w:date="2025-07-24T21:17:00Z"/>
          <w:szCs w:val="22"/>
        </w:rPr>
      </w:pPr>
      <w:ins w:id="2815" w:author="Author" w:date="2025-07-20T00:35:00Z">
        <w:r>
          <w:rPr>
            <w:szCs w:val="22"/>
          </w:rPr>
          <w:t xml:space="preserve">Dátum a čas vytiahnutia balenia z chladničky musia byť zaznamenané na </w:t>
        </w:r>
      </w:ins>
      <w:ins w:id="2816" w:author="Author" w:date="2025-07-21T11:08:00Z">
        <w:r>
          <w:rPr>
            <w:szCs w:val="22"/>
          </w:rPr>
          <w:t>vonkajšom obale</w:t>
        </w:r>
      </w:ins>
      <w:ins w:id="2817" w:author="Author" w:date="2025-07-20T00:35:00Z">
        <w:del w:id="2818" w:author="Author" w:date="2025-07-21T11:08:00Z">
          <w:r>
            <w:rPr>
              <w:szCs w:val="22"/>
            </w:rPr>
            <w:delText>škatuli</w:delText>
          </w:r>
        </w:del>
        <w:r>
          <w:rPr>
            <w:szCs w:val="22"/>
          </w:rPr>
          <w:t xml:space="preserve">. Ak </w:t>
        </w:r>
      </w:ins>
      <w:ins w:id="2819" w:author="Author" w:date="2026-02-19T09:51:00Z">
        <w:r>
          <w:rPr>
            <w:szCs w:val="22"/>
          </w:rPr>
          <w:t>je pero</w:t>
        </w:r>
      </w:ins>
      <w:ins w:id="2820" w:author="Author" w:date="2025-07-20T00:35:00Z">
        <w:r>
          <w:rPr>
            <w:szCs w:val="22"/>
          </w:rPr>
          <w:t xml:space="preserve"> mimo chladničk</w:t>
        </w:r>
      </w:ins>
      <w:ins w:id="2821" w:author="Author" w:date="2026-02-19T09:51:00Z">
        <w:r>
          <w:rPr>
            <w:szCs w:val="22"/>
          </w:rPr>
          <w:t>y</w:t>
        </w:r>
      </w:ins>
      <w:ins w:id="2822" w:author="Author" w:date="2025-07-20T00:35:00Z">
        <w:r>
          <w:rPr>
            <w:szCs w:val="22"/>
          </w:rPr>
          <w:t xml:space="preserve"> viac ako dva týždne, zlikvidujte ho. Na zohriatie naplnených pier nepoužívajte externé zdroje tepla, ako napr. horúc</w:t>
        </w:r>
      </w:ins>
      <w:ins w:id="2823" w:author="Author" w:date="2025-07-21T11:08:00Z">
        <w:r>
          <w:rPr>
            <w:szCs w:val="22"/>
          </w:rPr>
          <w:t>u</w:t>
        </w:r>
      </w:ins>
      <w:ins w:id="2824" w:author="Author" w:date="2025-07-20T00:35:00Z">
        <w:del w:id="2825" w:author="Author" w:date="2025-07-21T11:08:00Z">
          <w:r>
            <w:rPr>
              <w:szCs w:val="22"/>
            </w:rPr>
            <w:delText>a</w:delText>
          </w:r>
        </w:del>
        <w:r>
          <w:rPr>
            <w:szCs w:val="22"/>
          </w:rPr>
          <w:t xml:space="preserve"> vod</w:t>
        </w:r>
      </w:ins>
      <w:ins w:id="2826" w:author="Author" w:date="2025-07-21T11:08:00Z">
        <w:r>
          <w:rPr>
            <w:szCs w:val="22"/>
          </w:rPr>
          <w:t>u</w:t>
        </w:r>
      </w:ins>
      <w:ins w:id="2827" w:author="Author" w:date="2025-07-20T00:35:00Z">
        <w:del w:id="2828" w:author="Author" w:date="2025-07-21T11:08:00Z">
          <w:r>
            <w:rPr>
              <w:szCs w:val="22"/>
            </w:rPr>
            <w:delText>a</w:delText>
          </w:r>
        </w:del>
        <w:r>
          <w:rPr>
            <w:szCs w:val="22"/>
          </w:rPr>
          <w:t>.</w:t>
        </w:r>
      </w:ins>
    </w:p>
    <w:p w14:paraId="2013BC1D" w14:textId="77777777" w:rsidR="009700E5" w:rsidRDefault="009700E5">
      <w:pPr>
        <w:rPr>
          <w:szCs w:val="22"/>
        </w:rPr>
      </w:pPr>
    </w:p>
    <w:p w14:paraId="30246E7E" w14:textId="77777777" w:rsidR="009700E5" w:rsidRDefault="009700E5">
      <w:pPr>
        <w:rPr>
          <w:szCs w:val="22"/>
        </w:rPr>
      </w:pPr>
    </w:p>
    <w:p w14:paraId="00AF95F8" w14:textId="77777777" w:rsidR="009700E5" w:rsidRDefault="002C033C">
      <w:pPr>
        <w:keepNext/>
        <w:keepLines/>
        <w:outlineLvl w:val="0"/>
        <w:rPr>
          <w:b/>
          <w:szCs w:val="22"/>
        </w:rPr>
      </w:pPr>
      <w:r>
        <w:rPr>
          <w:b/>
        </w:rPr>
        <w:t>6.5</w:t>
      </w:r>
      <w:r>
        <w:rPr>
          <w:b/>
        </w:rPr>
        <w:tab/>
      </w:r>
      <w:r>
        <w:rPr>
          <w:b/>
          <w:szCs w:val="22"/>
        </w:rPr>
        <w:t>Druh obalu a obsah balenia</w:t>
      </w:r>
    </w:p>
    <w:p w14:paraId="6B18F56D" w14:textId="77777777" w:rsidR="009700E5" w:rsidRDefault="009700E5">
      <w:pPr>
        <w:keepNext/>
        <w:keepLines/>
        <w:outlineLvl w:val="0"/>
        <w:rPr>
          <w:b/>
        </w:rPr>
      </w:pPr>
    </w:p>
    <w:p w14:paraId="378C487E" w14:textId="77777777" w:rsidR="009700E5" w:rsidRDefault="002C033C">
      <w:pPr>
        <w:rPr>
          <w:szCs w:val="22"/>
        </w:rPr>
      </w:pPr>
      <w:r>
        <w:rPr>
          <w:szCs w:val="22"/>
        </w:rPr>
        <w:t>0,9 ml roztok v naplnenej injekčnej striekačke (sklo typu I) so vsadenou ihlou, ktorá je zabudovaná do naplneného pera. Injekčná striekačka je uzatvorená pevným krytom ihly (elastomérové tesnenie s polypropylénovým plášťom) a gumovou zátkou (butylkaučuk s povlakom z fluorovanej živice).</w:t>
      </w:r>
    </w:p>
    <w:p w14:paraId="1BC5CC63" w14:textId="77777777" w:rsidR="009700E5" w:rsidRDefault="009700E5">
      <w:pPr>
        <w:rPr>
          <w:szCs w:val="22"/>
        </w:rPr>
      </w:pPr>
    </w:p>
    <w:p w14:paraId="0E3EB7CD" w14:textId="77777777" w:rsidR="009700E5" w:rsidRDefault="002C033C">
      <w:pPr>
        <w:rPr>
          <w:szCs w:val="22"/>
        </w:rPr>
      </w:pPr>
      <w:r>
        <w:rPr>
          <w:szCs w:val="22"/>
        </w:rPr>
        <w:t xml:space="preserve">Balenie po 4 naplnených perách </w:t>
      </w:r>
      <w:r>
        <w:rPr>
          <w:bCs/>
          <w:szCs w:val="22"/>
        </w:rPr>
        <w:t>a spoločné balenie s obsahom 12 (3 balenia po 4ks) naplnených pier. Na trh nemusia byť uvedené všetky veľkosti balenia.</w:t>
      </w:r>
    </w:p>
    <w:p w14:paraId="171DF20A" w14:textId="77777777" w:rsidR="009700E5" w:rsidRDefault="009700E5"/>
    <w:p w14:paraId="72DB36CE" w14:textId="77777777" w:rsidR="009700E5" w:rsidRDefault="002C033C">
      <w:pPr>
        <w:keepNext/>
        <w:keepLines/>
        <w:outlineLvl w:val="0"/>
      </w:pPr>
      <w:r>
        <w:rPr>
          <w:b/>
        </w:rPr>
        <w:t>6.6</w:t>
      </w:r>
      <w:r>
        <w:rPr>
          <w:b/>
        </w:rPr>
        <w:tab/>
      </w:r>
      <w:r>
        <w:rPr>
          <w:b/>
          <w:bCs/>
        </w:rPr>
        <w:t>Špeciálne opatrenia na likvidáciu a iné zaobchádzanie s liekom</w:t>
      </w:r>
    </w:p>
    <w:p w14:paraId="5ED2807C" w14:textId="77777777" w:rsidR="009700E5" w:rsidRDefault="009700E5">
      <w:pPr>
        <w:keepNext/>
        <w:keepLines/>
        <w:rPr>
          <w:szCs w:val="22"/>
          <w:u w:val="single"/>
        </w:rPr>
      </w:pPr>
    </w:p>
    <w:p w14:paraId="4C97F46E" w14:textId="77777777" w:rsidR="009700E5" w:rsidRDefault="002C033C">
      <w:pPr>
        <w:keepNext/>
        <w:keepLines/>
        <w:rPr>
          <w:color w:val="222222"/>
          <w:szCs w:val="22"/>
          <w:lang w:eastAsia="zh-CN"/>
        </w:rPr>
      </w:pPr>
      <w:r>
        <w:rPr>
          <w:szCs w:val="22"/>
        </w:rPr>
        <w:t xml:space="preserve">RoActemra sa dodáva v naplnenom pere na jednorazové použitie. Po vybratí naplneného pera z chladničky sa má nechať naplnené pero dosiahnuť izbovú teplotu (18 °C až 28 °C) tak, že sa počká 45 minút pred injekčným podaním. Naplneným perom sa nemá triasť. </w:t>
      </w:r>
      <w:r>
        <w:rPr>
          <w:rFonts w:eastAsia="SimSun"/>
          <w:szCs w:val="22"/>
          <w:lang w:eastAsia="zh-CN"/>
        </w:rPr>
        <w:t>Po odstránení viečka sa musí injekcia začať podávať do 3 minút, aby sa zabránilo vysušeniu lieku a zablokovaniu ihly. Ak sa naplnené pero nepoužije do 3 minút, musí sa vyhodiť do nádoby odolnej proti prepichnutiu a použiť nové naplnené pero.</w:t>
      </w:r>
    </w:p>
    <w:p w14:paraId="7C890290" w14:textId="77777777" w:rsidR="009700E5" w:rsidRDefault="009700E5">
      <w:pPr>
        <w:rPr>
          <w:color w:val="222222"/>
          <w:szCs w:val="22"/>
          <w:lang w:eastAsia="zh-CN"/>
        </w:rPr>
      </w:pPr>
    </w:p>
    <w:p w14:paraId="2F345004" w14:textId="77777777" w:rsidR="009700E5" w:rsidRDefault="002C033C">
      <w:r>
        <w:rPr>
          <w:color w:val="222222"/>
          <w:szCs w:val="22"/>
          <w:lang w:eastAsia="zh-CN"/>
        </w:rPr>
        <w:t xml:space="preserve">Ak sa fialový indikátor po stlačení aktivačného tlačidla neposúva, naplnené pero musíte vyhodiť do nádoby odolnej proti prepichnutiu. </w:t>
      </w:r>
      <w:bookmarkStart w:id="2829" w:name="_Hlk504551140"/>
      <w:r>
        <w:rPr>
          <w:b/>
          <w:color w:val="222222"/>
          <w:szCs w:val="22"/>
          <w:lang w:eastAsia="zh-CN"/>
        </w:rPr>
        <w:t xml:space="preserve">Nepokúšajte </w:t>
      </w:r>
      <w:r>
        <w:rPr>
          <w:color w:val="222222"/>
          <w:szCs w:val="22"/>
          <w:lang w:eastAsia="zh-CN"/>
        </w:rPr>
        <w:t>sa znovu použiť</w:t>
      </w:r>
      <w:bookmarkEnd w:id="2829"/>
      <w:r>
        <w:rPr>
          <w:color w:val="222222"/>
          <w:szCs w:val="22"/>
          <w:lang w:eastAsia="zh-CN"/>
        </w:rPr>
        <w:t xml:space="preserve"> toto naplnené pero. Neopakujte podanie injekcie pomocou ďalšieho naplneného pera. Zatelefonujte svojmu lekárovi a poraďte sa s ním.</w:t>
      </w:r>
    </w:p>
    <w:p w14:paraId="04EE6D1E" w14:textId="77777777" w:rsidR="009700E5" w:rsidRDefault="009700E5">
      <w:pPr>
        <w:rPr>
          <w:szCs w:val="22"/>
        </w:rPr>
      </w:pPr>
    </w:p>
    <w:p w14:paraId="49DCCC33" w14:textId="77777777" w:rsidR="009700E5" w:rsidRDefault="002C033C">
      <w:pPr>
        <w:rPr>
          <w:rFonts w:eastAsia="SimSun"/>
          <w:szCs w:val="22"/>
          <w:lang w:eastAsia="zh-CN"/>
        </w:rPr>
      </w:pPr>
      <w:r>
        <w:rPr>
          <w:rFonts w:eastAsia="SimSun"/>
          <w:szCs w:val="22"/>
          <w:lang w:eastAsia="zh-CN"/>
        </w:rPr>
        <w:t xml:space="preserve">Nepoužívajte, ak je liek zakalený alebo obsahuje čiastočky, ak má inú farbu než bezfarebnú až svetložltkastú, alebo ak ktorákoľvek časť </w:t>
      </w:r>
      <w:r>
        <w:rPr>
          <w:szCs w:val="22"/>
        </w:rPr>
        <w:t>naplneného pera</w:t>
      </w:r>
      <w:r>
        <w:rPr>
          <w:rFonts w:eastAsia="SimSun"/>
          <w:szCs w:val="22"/>
          <w:lang w:eastAsia="zh-CN"/>
        </w:rPr>
        <w:t xml:space="preserve"> javí známky poškodenia.</w:t>
      </w:r>
    </w:p>
    <w:p w14:paraId="36929220" w14:textId="77777777" w:rsidR="009700E5" w:rsidRDefault="009700E5">
      <w:pPr>
        <w:rPr>
          <w:rFonts w:eastAsia="SimSun"/>
          <w:szCs w:val="22"/>
          <w:lang w:eastAsia="zh-CN"/>
        </w:rPr>
      </w:pPr>
    </w:p>
    <w:p w14:paraId="2FFCA80C" w14:textId="77777777" w:rsidR="009700E5" w:rsidRDefault="002C033C">
      <w:pPr>
        <w:rPr>
          <w:iCs/>
          <w:szCs w:val="22"/>
        </w:rPr>
      </w:pPr>
      <w:r>
        <w:rPr>
          <w:rFonts w:eastAsia="SimSun"/>
          <w:szCs w:val="22"/>
          <w:lang w:eastAsia="zh-CN"/>
        </w:rPr>
        <w:t>Úplné pokyny na podanie RoActemry v </w:t>
      </w:r>
      <w:r>
        <w:rPr>
          <w:szCs w:val="22"/>
        </w:rPr>
        <w:t xml:space="preserve">naplnenom pere </w:t>
      </w:r>
      <w:r>
        <w:rPr>
          <w:rFonts w:eastAsia="SimSun"/>
          <w:szCs w:val="22"/>
          <w:lang w:eastAsia="zh-CN"/>
        </w:rPr>
        <w:t>sú poskytnuté v písomnej informácii pre používateľa.</w:t>
      </w:r>
    </w:p>
    <w:p w14:paraId="0AC7A6B6" w14:textId="77777777" w:rsidR="009700E5" w:rsidRDefault="009700E5">
      <w:pPr>
        <w:rPr>
          <w:szCs w:val="22"/>
          <w:u w:val="single"/>
        </w:rPr>
      </w:pPr>
    </w:p>
    <w:p w14:paraId="28533922" w14:textId="77777777" w:rsidR="009700E5" w:rsidRDefault="002C033C">
      <w:r>
        <w:rPr>
          <w:szCs w:val="22"/>
        </w:rPr>
        <w:t>Všetok nepoužitý liek alebo odpad vzniknutý z lieku sa má zlikvidovať v súlade s národnými požiadavkami</w:t>
      </w:r>
      <w:r>
        <w:t>.</w:t>
      </w:r>
    </w:p>
    <w:p w14:paraId="1BC39CDA" w14:textId="77777777" w:rsidR="009700E5" w:rsidRDefault="009700E5"/>
    <w:p w14:paraId="3A652652" w14:textId="77777777" w:rsidR="009700E5" w:rsidRDefault="009700E5"/>
    <w:p w14:paraId="557BEA6F" w14:textId="77777777" w:rsidR="009700E5" w:rsidRDefault="002C033C">
      <w:pPr>
        <w:keepNext/>
        <w:keepLines/>
      </w:pPr>
      <w:r>
        <w:rPr>
          <w:b/>
        </w:rPr>
        <w:t>7.</w:t>
      </w:r>
      <w:r>
        <w:rPr>
          <w:b/>
        </w:rPr>
        <w:tab/>
      </w:r>
      <w:r>
        <w:rPr>
          <w:b/>
          <w:szCs w:val="22"/>
        </w:rPr>
        <w:t>DRŽITEĽ ROZHODNUTIA O REGISTRÁCII</w:t>
      </w:r>
    </w:p>
    <w:p w14:paraId="0DDD8B94" w14:textId="77777777" w:rsidR="009700E5" w:rsidRDefault="009700E5">
      <w:pPr>
        <w:keepNext/>
        <w:keepLines/>
      </w:pPr>
    </w:p>
    <w:p w14:paraId="07406BC9" w14:textId="77777777" w:rsidR="009700E5" w:rsidRDefault="002C033C">
      <w:r>
        <w:t xml:space="preserve">Roche Registration GmbH </w:t>
      </w:r>
    </w:p>
    <w:p w14:paraId="4D73A847" w14:textId="77777777" w:rsidR="009700E5" w:rsidRDefault="002C033C">
      <w:r>
        <w:t>Emil-Barell-Strasse 1</w:t>
      </w:r>
    </w:p>
    <w:p w14:paraId="690B96B7" w14:textId="77777777" w:rsidR="009700E5" w:rsidRDefault="002C033C">
      <w:r>
        <w:t>79639 Grenzach-Wyhlen</w:t>
      </w:r>
    </w:p>
    <w:p w14:paraId="7CA1CC09" w14:textId="77777777" w:rsidR="009700E5" w:rsidRDefault="002C033C">
      <w:r>
        <w:t>Nemecko</w:t>
      </w:r>
    </w:p>
    <w:p w14:paraId="661D6223" w14:textId="77777777" w:rsidR="009700E5" w:rsidRDefault="009700E5"/>
    <w:p w14:paraId="104AD613" w14:textId="77777777" w:rsidR="009700E5" w:rsidRDefault="009700E5"/>
    <w:p w14:paraId="220345F6" w14:textId="77777777" w:rsidR="009700E5" w:rsidRDefault="002C033C">
      <w:pPr>
        <w:keepNext/>
        <w:keepLines/>
        <w:rPr>
          <w:b/>
        </w:rPr>
      </w:pPr>
      <w:r>
        <w:rPr>
          <w:b/>
        </w:rPr>
        <w:lastRenderedPageBreak/>
        <w:t>8.</w:t>
      </w:r>
      <w:r>
        <w:rPr>
          <w:b/>
        </w:rPr>
        <w:tab/>
      </w:r>
      <w:r>
        <w:rPr>
          <w:b/>
          <w:szCs w:val="22"/>
        </w:rPr>
        <w:t>REGISTRAČNÉ ČÍSL</w:t>
      </w:r>
      <w:ins w:id="2830" w:author="Author" w:date="2025-07-20T00:36:00Z">
        <w:r>
          <w:rPr>
            <w:b/>
            <w:szCs w:val="22"/>
          </w:rPr>
          <w:t>A</w:t>
        </w:r>
      </w:ins>
      <w:del w:id="2831" w:author="Author" w:date="2025-07-20T00:36:00Z">
        <w:r>
          <w:rPr>
            <w:b/>
            <w:szCs w:val="22"/>
          </w:rPr>
          <w:delText>O</w:delText>
        </w:r>
      </w:del>
    </w:p>
    <w:p w14:paraId="729FA48A" w14:textId="77777777" w:rsidR="009700E5" w:rsidRDefault="009700E5">
      <w:pPr>
        <w:keepNext/>
        <w:keepLines/>
      </w:pPr>
    </w:p>
    <w:p w14:paraId="7178287B" w14:textId="77777777" w:rsidR="009700E5" w:rsidRDefault="002C033C">
      <w:pPr>
        <w:keepNext/>
        <w:keepLines/>
      </w:pPr>
      <w:r>
        <w:t>EU/1/08/492/009</w:t>
      </w:r>
    </w:p>
    <w:p w14:paraId="29B5FBAF" w14:textId="77777777" w:rsidR="009700E5" w:rsidRDefault="002C033C">
      <w:pPr>
        <w:rPr>
          <w:szCs w:val="22"/>
        </w:rPr>
      </w:pPr>
      <w:r>
        <w:rPr>
          <w:szCs w:val="22"/>
        </w:rPr>
        <w:t>EU/1/08/492/010</w:t>
      </w:r>
    </w:p>
    <w:p w14:paraId="45852BEF" w14:textId="77777777" w:rsidR="009700E5" w:rsidRDefault="009700E5"/>
    <w:p w14:paraId="20F354FB" w14:textId="77777777" w:rsidR="009700E5" w:rsidRDefault="009700E5"/>
    <w:p w14:paraId="320FDCE7" w14:textId="77777777" w:rsidR="009700E5" w:rsidRDefault="002C033C">
      <w:pPr>
        <w:keepNext/>
        <w:keepLines/>
      </w:pPr>
      <w:r>
        <w:rPr>
          <w:b/>
        </w:rPr>
        <w:t>9.</w:t>
      </w:r>
      <w:r>
        <w:rPr>
          <w:b/>
        </w:rPr>
        <w:tab/>
      </w:r>
      <w:r>
        <w:rPr>
          <w:b/>
          <w:szCs w:val="22"/>
        </w:rPr>
        <w:t>DÁTUM PRVEJ REGISTRÁCIE/PREDĹŽENIA REGISTRÁCIE</w:t>
      </w:r>
    </w:p>
    <w:p w14:paraId="259A5AD8" w14:textId="77777777" w:rsidR="009700E5" w:rsidRDefault="009700E5"/>
    <w:p w14:paraId="2D9BCA8A" w14:textId="77777777" w:rsidR="009700E5" w:rsidRDefault="002C033C">
      <w:r>
        <w:rPr>
          <w:szCs w:val="22"/>
        </w:rPr>
        <w:t>Dátum prvej registrácie:</w:t>
      </w:r>
      <w:r>
        <w:t xml:space="preserve"> 16. január 2009</w:t>
      </w:r>
    </w:p>
    <w:p w14:paraId="4CB5E134" w14:textId="77777777" w:rsidR="009700E5" w:rsidRDefault="002C033C">
      <w:pPr>
        <w:rPr>
          <w:color w:val="222222"/>
          <w:szCs w:val="22"/>
          <w:shd w:val="clear" w:color="auto" w:fill="FFFFFF"/>
        </w:rPr>
      </w:pPr>
      <w:r>
        <w:rPr>
          <w:color w:val="222222"/>
          <w:szCs w:val="22"/>
          <w:shd w:val="clear" w:color="auto" w:fill="FFFFFF"/>
        </w:rPr>
        <w:t>Dátum posledného predĺženia registrácie: 25. september 2013</w:t>
      </w:r>
    </w:p>
    <w:p w14:paraId="788D7642" w14:textId="77777777" w:rsidR="009700E5" w:rsidRDefault="009700E5"/>
    <w:p w14:paraId="65FEB12B" w14:textId="77777777" w:rsidR="009700E5" w:rsidRDefault="009700E5"/>
    <w:p w14:paraId="76DFADBD" w14:textId="77777777" w:rsidR="009700E5" w:rsidRDefault="002C033C">
      <w:pPr>
        <w:keepNext/>
        <w:keepLines/>
        <w:rPr>
          <w:b/>
        </w:rPr>
      </w:pPr>
      <w:r>
        <w:rPr>
          <w:b/>
        </w:rPr>
        <w:t>10.</w:t>
      </w:r>
      <w:r>
        <w:rPr>
          <w:b/>
        </w:rPr>
        <w:tab/>
      </w:r>
      <w:r>
        <w:rPr>
          <w:b/>
          <w:szCs w:val="22"/>
        </w:rPr>
        <w:t>DÁTUM REVÍZIE TEXTU</w:t>
      </w:r>
    </w:p>
    <w:p w14:paraId="7E1913CF" w14:textId="77777777" w:rsidR="009700E5" w:rsidRDefault="009700E5">
      <w:pPr>
        <w:keepNext/>
        <w:keepLines/>
      </w:pPr>
    </w:p>
    <w:p w14:paraId="2319D89F" w14:textId="77777777" w:rsidR="009700E5" w:rsidRDefault="002C033C">
      <w:pPr>
        <w:keepNext/>
        <w:keepLines/>
      </w:pPr>
      <w:r>
        <w:rPr>
          <w:szCs w:val="22"/>
        </w:rPr>
        <w:t xml:space="preserve">Podrobné informácie o tomto lieku sú dostupné na internetovej stránke Európskej agentúry pre lieky </w:t>
      </w:r>
      <w:hyperlink r:id="rId15" w:history="1">
        <w:r>
          <w:rPr>
            <w:rStyle w:val="Hyperlink"/>
          </w:rPr>
          <w:t>https://www.ema.europa.eu</w:t>
        </w:r>
      </w:hyperlink>
      <w:r>
        <w:t>.</w:t>
      </w:r>
    </w:p>
    <w:p w14:paraId="31981F4F" w14:textId="77777777" w:rsidR="009700E5" w:rsidRDefault="002C033C">
      <w:pPr>
        <w:jc w:val="center"/>
      </w:pPr>
      <w:r>
        <w:br w:type="page"/>
      </w:r>
    </w:p>
    <w:p w14:paraId="33F5E17B" w14:textId="77777777" w:rsidR="009700E5" w:rsidRDefault="009700E5">
      <w:pPr>
        <w:jc w:val="center"/>
        <w:rPr>
          <w:b/>
          <w:u w:val="single"/>
        </w:rPr>
      </w:pPr>
    </w:p>
    <w:p w14:paraId="7AD805F8" w14:textId="77777777" w:rsidR="009700E5" w:rsidRDefault="009700E5">
      <w:pPr>
        <w:jc w:val="center"/>
        <w:rPr>
          <w:b/>
          <w:u w:val="single"/>
        </w:rPr>
      </w:pPr>
    </w:p>
    <w:p w14:paraId="4C69F693" w14:textId="77777777" w:rsidR="009700E5" w:rsidRDefault="009700E5">
      <w:pPr>
        <w:jc w:val="center"/>
        <w:rPr>
          <w:b/>
          <w:u w:val="single"/>
        </w:rPr>
      </w:pPr>
    </w:p>
    <w:p w14:paraId="18254C6E" w14:textId="77777777" w:rsidR="009700E5" w:rsidRDefault="009700E5">
      <w:pPr>
        <w:jc w:val="center"/>
        <w:rPr>
          <w:b/>
          <w:u w:val="single"/>
        </w:rPr>
      </w:pPr>
    </w:p>
    <w:p w14:paraId="69F1E86F" w14:textId="77777777" w:rsidR="009700E5" w:rsidRDefault="009700E5">
      <w:pPr>
        <w:jc w:val="center"/>
        <w:rPr>
          <w:b/>
          <w:u w:val="single"/>
        </w:rPr>
      </w:pPr>
    </w:p>
    <w:p w14:paraId="006EC750" w14:textId="77777777" w:rsidR="009700E5" w:rsidRDefault="009700E5">
      <w:pPr>
        <w:jc w:val="center"/>
        <w:rPr>
          <w:b/>
          <w:u w:val="single"/>
        </w:rPr>
      </w:pPr>
    </w:p>
    <w:p w14:paraId="34E10B80" w14:textId="77777777" w:rsidR="009700E5" w:rsidRDefault="009700E5">
      <w:pPr>
        <w:jc w:val="center"/>
        <w:rPr>
          <w:b/>
          <w:u w:val="single"/>
        </w:rPr>
      </w:pPr>
    </w:p>
    <w:p w14:paraId="3882F343" w14:textId="77777777" w:rsidR="009700E5" w:rsidRDefault="009700E5">
      <w:pPr>
        <w:jc w:val="center"/>
        <w:rPr>
          <w:b/>
          <w:u w:val="single"/>
        </w:rPr>
      </w:pPr>
    </w:p>
    <w:p w14:paraId="12BB1471" w14:textId="77777777" w:rsidR="009700E5" w:rsidRDefault="009700E5">
      <w:pPr>
        <w:jc w:val="center"/>
        <w:rPr>
          <w:b/>
          <w:u w:val="single"/>
        </w:rPr>
      </w:pPr>
    </w:p>
    <w:p w14:paraId="2E0BEC99" w14:textId="77777777" w:rsidR="009700E5" w:rsidRDefault="009700E5">
      <w:pPr>
        <w:jc w:val="center"/>
        <w:rPr>
          <w:b/>
          <w:u w:val="single"/>
        </w:rPr>
      </w:pPr>
    </w:p>
    <w:p w14:paraId="1A80703E" w14:textId="77777777" w:rsidR="009700E5" w:rsidRDefault="009700E5">
      <w:pPr>
        <w:jc w:val="center"/>
        <w:rPr>
          <w:b/>
          <w:u w:val="single"/>
        </w:rPr>
      </w:pPr>
    </w:p>
    <w:p w14:paraId="4C5EB903" w14:textId="77777777" w:rsidR="009700E5" w:rsidRDefault="009700E5">
      <w:pPr>
        <w:jc w:val="center"/>
        <w:rPr>
          <w:b/>
          <w:u w:val="single"/>
        </w:rPr>
      </w:pPr>
    </w:p>
    <w:p w14:paraId="68EC94A9" w14:textId="77777777" w:rsidR="009700E5" w:rsidRDefault="009700E5">
      <w:pPr>
        <w:jc w:val="center"/>
        <w:rPr>
          <w:b/>
          <w:u w:val="single"/>
        </w:rPr>
      </w:pPr>
    </w:p>
    <w:p w14:paraId="570FF8CD" w14:textId="77777777" w:rsidR="009700E5" w:rsidRDefault="009700E5">
      <w:pPr>
        <w:jc w:val="center"/>
      </w:pPr>
    </w:p>
    <w:p w14:paraId="1AC8AF69" w14:textId="77777777" w:rsidR="009700E5" w:rsidRDefault="009700E5">
      <w:pPr>
        <w:jc w:val="center"/>
      </w:pPr>
    </w:p>
    <w:p w14:paraId="1FFE07F1" w14:textId="77777777" w:rsidR="009700E5" w:rsidRDefault="009700E5">
      <w:pPr>
        <w:jc w:val="center"/>
      </w:pPr>
    </w:p>
    <w:p w14:paraId="6F837640" w14:textId="77777777" w:rsidR="009700E5" w:rsidRDefault="009700E5">
      <w:pPr>
        <w:jc w:val="center"/>
      </w:pPr>
    </w:p>
    <w:p w14:paraId="215C5CF4" w14:textId="77777777" w:rsidR="009700E5" w:rsidRDefault="009700E5">
      <w:pPr>
        <w:jc w:val="center"/>
      </w:pPr>
    </w:p>
    <w:p w14:paraId="6F66BF19" w14:textId="77777777" w:rsidR="009700E5" w:rsidRDefault="009700E5">
      <w:pPr>
        <w:jc w:val="center"/>
      </w:pPr>
    </w:p>
    <w:p w14:paraId="53BE26B4" w14:textId="77777777" w:rsidR="009700E5" w:rsidRDefault="009700E5">
      <w:pPr>
        <w:jc w:val="center"/>
      </w:pPr>
    </w:p>
    <w:p w14:paraId="40DFB4B6" w14:textId="77777777" w:rsidR="009700E5" w:rsidRDefault="009700E5">
      <w:pPr>
        <w:jc w:val="center"/>
      </w:pPr>
    </w:p>
    <w:p w14:paraId="6124847B" w14:textId="77777777" w:rsidR="009700E5" w:rsidRDefault="009700E5">
      <w:pPr>
        <w:jc w:val="center"/>
      </w:pPr>
    </w:p>
    <w:p w14:paraId="50FB3EC5" w14:textId="77777777" w:rsidR="009700E5" w:rsidRDefault="009700E5">
      <w:pPr>
        <w:jc w:val="center"/>
      </w:pPr>
    </w:p>
    <w:p w14:paraId="51A3EE79" w14:textId="77777777" w:rsidR="009700E5" w:rsidRDefault="002C033C">
      <w:pPr>
        <w:jc w:val="center"/>
        <w:rPr>
          <w:b/>
        </w:rPr>
      </w:pPr>
      <w:r>
        <w:rPr>
          <w:b/>
        </w:rPr>
        <w:t>PRÍLOHA II</w:t>
      </w:r>
    </w:p>
    <w:p w14:paraId="190068CF" w14:textId="77777777" w:rsidR="009700E5" w:rsidRDefault="009700E5">
      <w:pPr>
        <w:ind w:left="1701" w:right="1416"/>
      </w:pPr>
    </w:p>
    <w:p w14:paraId="3FC1804D" w14:textId="77777777" w:rsidR="009700E5" w:rsidRDefault="002C033C">
      <w:pPr>
        <w:tabs>
          <w:tab w:val="left" w:pos="1701"/>
        </w:tabs>
        <w:ind w:left="2268" w:right="1416" w:hanging="567"/>
        <w:rPr>
          <w:b/>
        </w:rPr>
      </w:pPr>
      <w:r>
        <w:rPr>
          <w:b/>
        </w:rPr>
        <w:t>A.</w:t>
      </w:r>
      <w:r>
        <w:rPr>
          <w:b/>
        </w:rPr>
        <w:tab/>
      </w:r>
      <w:del w:id="2832" w:author="Author" w:date="2025-08-19T13:14:00Z">
        <w:r>
          <w:rPr>
            <w:b/>
          </w:rPr>
          <w:delText xml:space="preserve">VÝROBCA </w:delText>
        </w:r>
      </w:del>
      <w:ins w:id="2833" w:author="Author" w:date="2025-08-19T13:14:00Z">
        <w:r>
          <w:rPr>
            <w:b/>
          </w:rPr>
          <w:t xml:space="preserve">VÝROBCOVIA </w:t>
        </w:r>
      </w:ins>
      <w:r>
        <w:rPr>
          <w:b/>
        </w:rPr>
        <w:t>BIOLOGICKÉHO LIEČIVA A VÝROBCA ZODPOVEDNÝ ZA UVOĽNENIE ŠARŽE</w:t>
      </w:r>
    </w:p>
    <w:p w14:paraId="7D63DF2A" w14:textId="77777777" w:rsidR="009700E5" w:rsidRDefault="009700E5">
      <w:pPr>
        <w:tabs>
          <w:tab w:val="left" w:pos="1701"/>
        </w:tabs>
        <w:ind w:left="1701" w:right="1416"/>
        <w:rPr>
          <w:b/>
        </w:rPr>
      </w:pPr>
    </w:p>
    <w:p w14:paraId="7B753C40" w14:textId="77777777" w:rsidR="009700E5" w:rsidRDefault="002C033C">
      <w:pPr>
        <w:tabs>
          <w:tab w:val="left" w:pos="1701"/>
        </w:tabs>
        <w:ind w:left="2268" w:right="1416" w:hanging="567"/>
        <w:rPr>
          <w:b/>
        </w:rPr>
      </w:pPr>
      <w:r>
        <w:rPr>
          <w:b/>
        </w:rPr>
        <w:t>B.</w:t>
      </w:r>
      <w:r>
        <w:rPr>
          <w:b/>
        </w:rPr>
        <w:tab/>
        <w:t>PODMIENKY ALEBO OBMEDZENIA TÝKAJÚCE SA VÝDAJA A POUŽITIA</w:t>
      </w:r>
    </w:p>
    <w:p w14:paraId="5B9555F7" w14:textId="77777777" w:rsidR="009700E5" w:rsidRDefault="009700E5">
      <w:pPr>
        <w:tabs>
          <w:tab w:val="left" w:pos="1701"/>
        </w:tabs>
        <w:ind w:left="1701" w:right="1416"/>
        <w:rPr>
          <w:b/>
        </w:rPr>
      </w:pPr>
    </w:p>
    <w:p w14:paraId="0B0FC22B" w14:textId="77777777" w:rsidR="009700E5" w:rsidRDefault="002C033C">
      <w:pPr>
        <w:tabs>
          <w:tab w:val="left" w:pos="1701"/>
        </w:tabs>
        <w:ind w:left="2268" w:right="1416" w:hanging="567"/>
        <w:rPr>
          <w:b/>
        </w:rPr>
      </w:pPr>
      <w:r>
        <w:rPr>
          <w:b/>
        </w:rPr>
        <w:t>C.</w:t>
      </w:r>
      <w:r>
        <w:rPr>
          <w:b/>
        </w:rPr>
        <w:tab/>
      </w:r>
      <w:r>
        <w:rPr>
          <w:b/>
          <w:szCs w:val="22"/>
        </w:rPr>
        <w:t>ĎALŠIE</w:t>
      </w:r>
      <w:r>
        <w:rPr>
          <w:b/>
        </w:rPr>
        <w:t xml:space="preserve"> PODMIENKY A POŽIADAVKY REGISTRÁCIE</w:t>
      </w:r>
    </w:p>
    <w:p w14:paraId="7698B280" w14:textId="77777777" w:rsidR="009700E5" w:rsidRDefault="009700E5">
      <w:pPr>
        <w:tabs>
          <w:tab w:val="left" w:pos="1701"/>
        </w:tabs>
        <w:ind w:left="2268" w:right="1416" w:hanging="567"/>
        <w:rPr>
          <w:b/>
        </w:rPr>
      </w:pPr>
    </w:p>
    <w:p w14:paraId="5B04D242" w14:textId="77777777" w:rsidR="009700E5" w:rsidRDefault="002C033C">
      <w:pPr>
        <w:tabs>
          <w:tab w:val="left" w:pos="1701"/>
        </w:tabs>
        <w:ind w:left="2268" w:right="1416" w:hanging="567"/>
        <w:rPr>
          <w:b/>
        </w:rPr>
      </w:pPr>
      <w:r>
        <w:rPr>
          <w:b/>
        </w:rPr>
        <w:t>D.</w:t>
      </w:r>
      <w:r>
        <w:rPr>
          <w:b/>
        </w:rPr>
        <w:tab/>
        <w:t>PODMIENKY ALEBO OBMEDZENIA TÝKAJÚCE SA BEZPEČNÉHO A ÚČINNÉHO POUŽÍVANIA LIEKU</w:t>
      </w:r>
    </w:p>
    <w:p w14:paraId="63030E42" w14:textId="77777777" w:rsidR="009700E5" w:rsidRDefault="009700E5">
      <w:pPr>
        <w:ind w:firstLine="1134"/>
      </w:pPr>
    </w:p>
    <w:p w14:paraId="0746E37B" w14:textId="77777777" w:rsidR="009700E5" w:rsidRDefault="009700E5">
      <w:pPr>
        <w:tabs>
          <w:tab w:val="left" w:pos="1701"/>
        </w:tabs>
        <w:ind w:left="2268" w:right="1416" w:hanging="567"/>
        <w:rPr>
          <w:b/>
        </w:rPr>
      </w:pPr>
    </w:p>
    <w:p w14:paraId="45918F92" w14:textId="77777777" w:rsidR="009700E5" w:rsidRDefault="009700E5">
      <w:pPr>
        <w:tabs>
          <w:tab w:val="left" w:pos="1701"/>
        </w:tabs>
        <w:ind w:left="1701" w:right="1416"/>
        <w:rPr>
          <w:b/>
        </w:rPr>
      </w:pPr>
    </w:p>
    <w:p w14:paraId="7C3D9C1E" w14:textId="77777777" w:rsidR="009700E5" w:rsidRDefault="002C033C">
      <w:pPr>
        <w:pStyle w:val="AnnexHeading"/>
      </w:pPr>
      <w:r>
        <w:br w:type="page"/>
      </w:r>
      <w:r>
        <w:lastRenderedPageBreak/>
        <w:t>A.</w:t>
      </w:r>
      <w:r>
        <w:tab/>
      </w:r>
      <w:del w:id="2834" w:author="Author" w:date="2025-07-20T00:36:00Z">
        <w:r>
          <w:delText xml:space="preserve">VÝROBCA </w:delText>
        </w:r>
      </w:del>
      <w:ins w:id="2835" w:author="Author" w:date="2025-07-20T00:36:00Z">
        <w:r>
          <w:t xml:space="preserve">VÝROBCOVIA </w:t>
        </w:r>
      </w:ins>
      <w:r>
        <w:t>BIOLOGICKÉHO LIEČIVA A VÝROBCA ZODPOVEDNÝ ZA UVOĽNENIE ŠARŽE</w:t>
      </w:r>
    </w:p>
    <w:p w14:paraId="629B210F" w14:textId="77777777" w:rsidR="009700E5" w:rsidRDefault="009700E5">
      <w:pPr>
        <w:ind w:right="1416"/>
      </w:pPr>
    </w:p>
    <w:p w14:paraId="74502785" w14:textId="77777777" w:rsidR="009700E5" w:rsidRDefault="002C033C">
      <w:r>
        <w:rPr>
          <w:u w:val="single"/>
        </w:rPr>
        <w:t>Názov a adresa výrobc</w:t>
      </w:r>
      <w:ins w:id="2836" w:author="Author" w:date="2025-07-20T00:36:00Z">
        <w:r>
          <w:rPr>
            <w:u w:val="single"/>
          </w:rPr>
          <w:t>ov</w:t>
        </w:r>
      </w:ins>
      <w:del w:id="2837" w:author="Author" w:date="2025-07-20T00:36:00Z">
        <w:r>
          <w:rPr>
            <w:u w:val="single"/>
          </w:rPr>
          <w:delText>u</w:delText>
        </w:r>
      </w:del>
      <w:r>
        <w:rPr>
          <w:u w:val="single"/>
        </w:rPr>
        <w:t xml:space="preserve"> biologického liečiva</w:t>
      </w:r>
    </w:p>
    <w:p w14:paraId="420908CF" w14:textId="77777777" w:rsidR="009700E5" w:rsidRDefault="009700E5">
      <w:pPr>
        <w:rPr>
          <w:szCs w:val="22"/>
        </w:rPr>
      </w:pPr>
    </w:p>
    <w:p w14:paraId="6FA3D1D3" w14:textId="77777777" w:rsidR="009700E5" w:rsidRDefault="002C033C">
      <w:bookmarkStart w:id="2838" w:name="OLE_LINK3"/>
      <w:bookmarkStart w:id="2839" w:name="OLE_LINK4"/>
      <w:r>
        <w:rPr>
          <w:szCs w:val="22"/>
        </w:rPr>
        <w:t>Lonza Manufacturing LLC</w:t>
      </w:r>
    </w:p>
    <w:p w14:paraId="7AB589AE" w14:textId="77777777" w:rsidR="009700E5" w:rsidRDefault="002C033C">
      <w:r>
        <w:t xml:space="preserve">1000 New Horizons Way </w:t>
      </w:r>
    </w:p>
    <w:p w14:paraId="216FC622" w14:textId="77777777" w:rsidR="009700E5" w:rsidRDefault="002C033C">
      <w:r>
        <w:t xml:space="preserve">Vacaville, CA </w:t>
      </w:r>
    </w:p>
    <w:p w14:paraId="5810CBCF" w14:textId="77777777" w:rsidR="009700E5" w:rsidRDefault="002C033C">
      <w:r>
        <w:t xml:space="preserve">95688 </w:t>
      </w:r>
    </w:p>
    <w:p w14:paraId="1767ACA7" w14:textId="77777777" w:rsidR="009700E5" w:rsidRDefault="002C033C">
      <w:r>
        <w:t>USA</w:t>
      </w:r>
    </w:p>
    <w:p w14:paraId="7F573E15" w14:textId="77777777" w:rsidR="009700E5" w:rsidRDefault="009700E5"/>
    <w:p w14:paraId="50F5AD67" w14:textId="77777777" w:rsidR="009700E5" w:rsidRPr="009700E5" w:rsidRDefault="002C033C">
      <w:pPr>
        <w:pStyle w:val="Standard"/>
        <w:rPr>
          <w:noProof/>
          <w:szCs w:val="22"/>
          <w:lang w:val="sk-SK"/>
          <w:rPrChange w:id="2840" w:author="Author" w:date="2025-08-22T15:12:00Z">
            <w:rPr>
              <w:szCs w:val="22"/>
              <w:lang w:val="sk-SK"/>
            </w:rPr>
          </w:rPrChange>
        </w:rPr>
      </w:pPr>
      <w:r>
        <w:rPr>
          <w:noProof/>
          <w:szCs w:val="22"/>
          <w:lang w:val="sk-SK"/>
          <w:rPrChange w:id="2841" w:author="Author" w:date="2025-08-22T15:12:00Z">
            <w:rPr>
              <w:szCs w:val="22"/>
              <w:lang w:val="sk-SK"/>
            </w:rPr>
          </w:rPrChange>
        </w:rPr>
        <w:t>Genentech Inc.</w:t>
      </w:r>
    </w:p>
    <w:p w14:paraId="7C0A3955" w14:textId="77777777" w:rsidR="009700E5" w:rsidRPr="009700E5" w:rsidRDefault="002C033C">
      <w:pPr>
        <w:pStyle w:val="Standard"/>
        <w:rPr>
          <w:noProof/>
          <w:szCs w:val="22"/>
          <w:lang w:val="sk-SK"/>
          <w:rPrChange w:id="2842" w:author="Author" w:date="2025-08-22T15:12:00Z">
            <w:rPr>
              <w:szCs w:val="22"/>
              <w:lang w:val="sk-SK"/>
            </w:rPr>
          </w:rPrChange>
        </w:rPr>
      </w:pPr>
      <w:r>
        <w:rPr>
          <w:noProof/>
          <w:szCs w:val="22"/>
          <w:lang w:val="sk-SK"/>
          <w:rPrChange w:id="2843" w:author="Author" w:date="2025-08-22T15:12:00Z">
            <w:rPr>
              <w:szCs w:val="22"/>
              <w:lang w:val="sk-SK"/>
            </w:rPr>
          </w:rPrChange>
        </w:rPr>
        <w:t>1 Antibody Way</w:t>
      </w:r>
    </w:p>
    <w:p w14:paraId="2F4667D1" w14:textId="77777777" w:rsidR="009700E5" w:rsidRPr="009700E5" w:rsidRDefault="002C033C">
      <w:pPr>
        <w:pStyle w:val="Standard"/>
        <w:rPr>
          <w:noProof/>
          <w:szCs w:val="22"/>
          <w:lang w:val="sk-SK"/>
          <w:rPrChange w:id="2844" w:author="Author" w:date="2025-08-22T15:12:00Z">
            <w:rPr>
              <w:szCs w:val="22"/>
              <w:lang w:val="sk-SK"/>
            </w:rPr>
          </w:rPrChange>
        </w:rPr>
      </w:pPr>
      <w:r>
        <w:rPr>
          <w:noProof/>
          <w:szCs w:val="22"/>
          <w:lang w:val="sk-SK"/>
          <w:rPrChange w:id="2845" w:author="Author" w:date="2025-08-22T15:12:00Z">
            <w:rPr>
              <w:szCs w:val="22"/>
              <w:lang w:val="sk-SK"/>
            </w:rPr>
          </w:rPrChange>
        </w:rPr>
        <w:t>Oceanside, CA</w:t>
      </w:r>
    </w:p>
    <w:p w14:paraId="3B09932B" w14:textId="77777777" w:rsidR="009700E5" w:rsidRPr="009700E5" w:rsidRDefault="002C033C">
      <w:pPr>
        <w:pStyle w:val="Standard"/>
        <w:rPr>
          <w:noProof/>
          <w:szCs w:val="22"/>
          <w:lang w:val="sk-SK"/>
          <w:rPrChange w:id="2846" w:author="Author" w:date="2025-08-22T15:12:00Z">
            <w:rPr>
              <w:szCs w:val="22"/>
              <w:lang w:val="sk-SK"/>
            </w:rPr>
          </w:rPrChange>
        </w:rPr>
      </w:pPr>
      <w:r>
        <w:rPr>
          <w:noProof/>
          <w:szCs w:val="22"/>
          <w:lang w:val="sk-SK"/>
          <w:rPrChange w:id="2847" w:author="Author" w:date="2025-08-22T15:12:00Z">
            <w:rPr>
              <w:szCs w:val="22"/>
              <w:lang w:val="sk-SK"/>
            </w:rPr>
          </w:rPrChange>
        </w:rPr>
        <w:t>92056</w:t>
      </w:r>
    </w:p>
    <w:p w14:paraId="795FB514" w14:textId="77777777" w:rsidR="009700E5" w:rsidRPr="009700E5" w:rsidRDefault="002C033C">
      <w:pPr>
        <w:pStyle w:val="Standard"/>
        <w:rPr>
          <w:noProof/>
          <w:szCs w:val="22"/>
          <w:lang w:val="sk-SK"/>
          <w:rPrChange w:id="2848" w:author="Author" w:date="2025-08-22T15:12:00Z">
            <w:rPr>
              <w:szCs w:val="22"/>
              <w:lang w:val="sk-SK"/>
            </w:rPr>
          </w:rPrChange>
        </w:rPr>
      </w:pPr>
      <w:r>
        <w:rPr>
          <w:noProof/>
          <w:szCs w:val="22"/>
          <w:lang w:val="sk-SK"/>
          <w:rPrChange w:id="2849" w:author="Author" w:date="2025-08-22T15:12:00Z">
            <w:rPr>
              <w:szCs w:val="22"/>
              <w:lang w:val="sk-SK"/>
            </w:rPr>
          </w:rPrChange>
        </w:rPr>
        <w:t>USA</w:t>
      </w:r>
    </w:p>
    <w:p w14:paraId="67B2C603" w14:textId="77777777" w:rsidR="009700E5" w:rsidRPr="009700E5" w:rsidRDefault="009700E5">
      <w:pPr>
        <w:pStyle w:val="Standard"/>
        <w:rPr>
          <w:noProof/>
          <w:szCs w:val="22"/>
          <w:lang w:val="sk-SK"/>
          <w:rPrChange w:id="2850" w:author="Author" w:date="2025-08-22T15:12:00Z">
            <w:rPr>
              <w:szCs w:val="22"/>
              <w:lang w:val="sk-SK"/>
            </w:rPr>
          </w:rPrChange>
        </w:rPr>
      </w:pPr>
    </w:p>
    <w:p w14:paraId="506343C5" w14:textId="77777777" w:rsidR="009700E5" w:rsidRDefault="002C033C">
      <w:pPr>
        <w:shd w:val="clear" w:color="auto" w:fill="FFFFFF"/>
        <w:rPr>
          <w:sz w:val="24"/>
          <w:szCs w:val="24"/>
        </w:rPr>
      </w:pPr>
      <w:r>
        <w:rPr>
          <w:iCs/>
          <w:szCs w:val="22"/>
        </w:rPr>
        <w:t>Samsung Biologics Co Ltd</w:t>
      </w:r>
    </w:p>
    <w:p w14:paraId="0B2BBEE0" w14:textId="77777777" w:rsidR="009700E5" w:rsidRDefault="002C033C">
      <w:pPr>
        <w:shd w:val="clear" w:color="auto" w:fill="FFFFFF"/>
        <w:rPr>
          <w:sz w:val="24"/>
          <w:szCs w:val="24"/>
        </w:rPr>
      </w:pPr>
      <w:r>
        <w:rPr>
          <w:iCs/>
          <w:szCs w:val="22"/>
        </w:rPr>
        <w:t>300, Songdo bio-daero, Yeonsu-gu</w:t>
      </w:r>
    </w:p>
    <w:p w14:paraId="284656D7" w14:textId="77777777" w:rsidR="009700E5" w:rsidRDefault="002C033C">
      <w:pPr>
        <w:shd w:val="clear" w:color="auto" w:fill="FFFFFF"/>
        <w:rPr>
          <w:sz w:val="24"/>
          <w:szCs w:val="24"/>
        </w:rPr>
      </w:pPr>
      <w:r>
        <w:rPr>
          <w:iCs/>
          <w:szCs w:val="22"/>
        </w:rPr>
        <w:t>Incheon, 21987</w:t>
      </w:r>
    </w:p>
    <w:p w14:paraId="2D7E4A2D" w14:textId="77777777" w:rsidR="009700E5" w:rsidRDefault="002C033C">
      <w:pPr>
        <w:shd w:val="clear" w:color="auto" w:fill="FFFFFF"/>
        <w:rPr>
          <w:sz w:val="24"/>
          <w:szCs w:val="24"/>
        </w:rPr>
      </w:pPr>
      <w:r>
        <w:rPr>
          <w:iCs/>
          <w:szCs w:val="22"/>
        </w:rPr>
        <w:t>Kórejská republika</w:t>
      </w:r>
    </w:p>
    <w:p w14:paraId="60F0728B" w14:textId="77777777" w:rsidR="009700E5" w:rsidRDefault="009700E5">
      <w:pPr>
        <w:rPr>
          <w:szCs w:val="22"/>
        </w:rPr>
      </w:pPr>
    </w:p>
    <w:bookmarkEnd w:id="2838"/>
    <w:bookmarkEnd w:id="2839"/>
    <w:p w14:paraId="0367224E" w14:textId="77777777" w:rsidR="009700E5" w:rsidRDefault="002C033C">
      <w:pPr>
        <w:shd w:val="clear" w:color="auto" w:fill="FFFFFF"/>
        <w:rPr>
          <w:szCs w:val="22"/>
        </w:rPr>
      </w:pPr>
      <w:r>
        <w:rPr>
          <w:szCs w:val="22"/>
        </w:rPr>
        <w:t>Chugai Pharma Manufacturing Co., Ltd.</w:t>
      </w:r>
    </w:p>
    <w:p w14:paraId="269BBBB7" w14:textId="77777777" w:rsidR="009700E5" w:rsidRDefault="002C033C">
      <w:pPr>
        <w:shd w:val="clear" w:color="auto" w:fill="FFFFFF"/>
        <w:rPr>
          <w:szCs w:val="22"/>
        </w:rPr>
      </w:pPr>
      <w:r>
        <w:rPr>
          <w:szCs w:val="22"/>
        </w:rPr>
        <w:t>16‑3 Kiyohara‑Kogyodanchi</w:t>
      </w:r>
    </w:p>
    <w:p w14:paraId="3F7D29DB" w14:textId="77777777" w:rsidR="009700E5" w:rsidRDefault="002C033C">
      <w:pPr>
        <w:shd w:val="clear" w:color="auto" w:fill="FFFFFF"/>
        <w:rPr>
          <w:szCs w:val="22"/>
        </w:rPr>
      </w:pPr>
      <w:r>
        <w:rPr>
          <w:szCs w:val="22"/>
        </w:rPr>
        <w:t>Utsunomiya City, Tochigi Pref., 321-3231</w:t>
      </w:r>
    </w:p>
    <w:p w14:paraId="3FBB9040" w14:textId="77777777" w:rsidR="009700E5" w:rsidRDefault="002C033C">
      <w:pPr>
        <w:shd w:val="clear" w:color="auto" w:fill="FFFFFF"/>
        <w:rPr>
          <w:szCs w:val="22"/>
        </w:rPr>
      </w:pPr>
      <w:r>
        <w:rPr>
          <w:szCs w:val="22"/>
        </w:rPr>
        <w:t>Japonsko</w:t>
      </w:r>
    </w:p>
    <w:p w14:paraId="1999AAFD" w14:textId="77777777" w:rsidR="009700E5" w:rsidRDefault="009700E5">
      <w:pPr>
        <w:shd w:val="clear" w:color="auto" w:fill="FFFFFF"/>
        <w:rPr>
          <w:szCs w:val="22"/>
        </w:rPr>
      </w:pPr>
    </w:p>
    <w:p w14:paraId="3741672E" w14:textId="77777777" w:rsidR="009700E5" w:rsidRDefault="002C033C">
      <w:pPr>
        <w:shd w:val="clear" w:color="auto" w:fill="FFFFFF"/>
        <w:rPr>
          <w:szCs w:val="22"/>
        </w:rPr>
      </w:pPr>
      <w:r>
        <w:rPr>
          <w:szCs w:val="22"/>
        </w:rPr>
        <w:t xml:space="preserve">Novartis Singapore Pharmaceutical Manufacturing Pte. Ltd. </w:t>
      </w:r>
    </w:p>
    <w:p w14:paraId="63201D2F" w14:textId="77777777" w:rsidR="009700E5" w:rsidRDefault="002C033C">
      <w:pPr>
        <w:shd w:val="clear" w:color="auto" w:fill="FFFFFF"/>
        <w:rPr>
          <w:szCs w:val="22"/>
        </w:rPr>
      </w:pPr>
      <w:r>
        <w:rPr>
          <w:szCs w:val="22"/>
        </w:rPr>
        <w:t>Bioproduction Operations Singapore</w:t>
      </w:r>
    </w:p>
    <w:p w14:paraId="620C8D3B" w14:textId="77777777" w:rsidR="009700E5" w:rsidRDefault="002C033C">
      <w:pPr>
        <w:shd w:val="clear" w:color="auto" w:fill="FFFFFF"/>
        <w:rPr>
          <w:szCs w:val="22"/>
        </w:rPr>
      </w:pPr>
      <w:r>
        <w:rPr>
          <w:szCs w:val="22"/>
        </w:rPr>
        <w:t>8 Tuas Bay Lane</w:t>
      </w:r>
    </w:p>
    <w:p w14:paraId="169305A0" w14:textId="77777777" w:rsidR="009700E5" w:rsidRDefault="002C033C">
      <w:pPr>
        <w:shd w:val="clear" w:color="auto" w:fill="FFFFFF"/>
        <w:rPr>
          <w:szCs w:val="22"/>
        </w:rPr>
      </w:pPr>
      <w:r>
        <w:rPr>
          <w:szCs w:val="22"/>
        </w:rPr>
        <w:t>Singapur 636986</w:t>
      </w:r>
    </w:p>
    <w:p w14:paraId="214B81E6" w14:textId="77777777" w:rsidR="009700E5" w:rsidRDefault="002C033C">
      <w:pPr>
        <w:shd w:val="clear" w:color="auto" w:fill="FFFFFF"/>
        <w:rPr>
          <w:szCs w:val="22"/>
        </w:rPr>
      </w:pPr>
      <w:r>
        <w:rPr>
          <w:szCs w:val="22"/>
        </w:rPr>
        <w:t>Singapur</w:t>
      </w:r>
    </w:p>
    <w:p w14:paraId="68C325ED" w14:textId="77777777" w:rsidR="009700E5" w:rsidRDefault="009700E5">
      <w:pPr>
        <w:rPr>
          <w:u w:val="single"/>
        </w:rPr>
      </w:pPr>
    </w:p>
    <w:p w14:paraId="2192D8FB" w14:textId="77777777" w:rsidR="009700E5" w:rsidRDefault="002C033C">
      <w:r>
        <w:rPr>
          <w:u w:val="single"/>
        </w:rPr>
        <w:t>Názov a adresa výrobcu zodpovedného za uvoľnenie šarže</w:t>
      </w:r>
    </w:p>
    <w:p w14:paraId="199ACD88" w14:textId="77777777" w:rsidR="009700E5" w:rsidRDefault="009700E5"/>
    <w:p w14:paraId="62CBA4A9" w14:textId="77777777" w:rsidR="009700E5" w:rsidRDefault="002C033C">
      <w:pPr>
        <w:rPr>
          <w:iCs/>
        </w:rPr>
      </w:pPr>
      <w:r>
        <w:rPr>
          <w:iCs/>
        </w:rPr>
        <w:t>Roche Pharma AG</w:t>
      </w:r>
    </w:p>
    <w:p w14:paraId="3978C176" w14:textId="77777777" w:rsidR="009700E5" w:rsidRDefault="002C033C">
      <w:pPr>
        <w:rPr>
          <w:iCs/>
        </w:rPr>
      </w:pPr>
      <w:r>
        <w:rPr>
          <w:iCs/>
        </w:rPr>
        <w:t>Emil-Barell-Strasse 1</w:t>
      </w:r>
    </w:p>
    <w:p w14:paraId="68A28C14" w14:textId="77777777" w:rsidR="009700E5" w:rsidRDefault="002C033C">
      <w:pPr>
        <w:rPr>
          <w:iCs/>
        </w:rPr>
      </w:pPr>
      <w:r>
        <w:rPr>
          <w:iCs/>
        </w:rPr>
        <w:t>79639 Grenzach-Wyhlen</w:t>
      </w:r>
    </w:p>
    <w:p w14:paraId="3EE4CEA8" w14:textId="77777777" w:rsidR="009700E5" w:rsidRDefault="002C033C">
      <w:pPr>
        <w:rPr>
          <w:iCs/>
        </w:rPr>
      </w:pPr>
      <w:r>
        <w:rPr>
          <w:iCs/>
        </w:rPr>
        <w:t>Nemecko</w:t>
      </w:r>
    </w:p>
    <w:p w14:paraId="6AD8D261" w14:textId="77777777" w:rsidR="009700E5" w:rsidRDefault="009700E5"/>
    <w:p w14:paraId="1B0BBACB" w14:textId="77777777" w:rsidR="009700E5" w:rsidRDefault="009700E5"/>
    <w:p w14:paraId="2C09B26C" w14:textId="77777777" w:rsidR="009700E5" w:rsidRDefault="002C033C">
      <w:pPr>
        <w:pStyle w:val="AnnexHeading"/>
      </w:pPr>
      <w:r>
        <w:t>B.</w:t>
      </w:r>
      <w:r>
        <w:tab/>
        <w:t>PODMIENKY ALEBO OBMEDZENIA TÝKAJÚCE SA VÝDAJA A POUŽITIA</w:t>
      </w:r>
    </w:p>
    <w:p w14:paraId="0B0EA750" w14:textId="77777777" w:rsidR="009700E5" w:rsidRDefault="009700E5"/>
    <w:p w14:paraId="4C3565E1" w14:textId="77777777" w:rsidR="009700E5" w:rsidRDefault="002C033C">
      <w:pPr>
        <w:numPr>
          <w:ilvl w:val="12"/>
          <w:numId w:val="0"/>
        </w:numPr>
      </w:pPr>
      <w:r>
        <w:t>Výdaj lieku je viazaný na lekársky predpis s obmedzením predpisovania (pozri Prílohu I: Súhrn charakteristických vlastností lieku, časť 4.2).</w:t>
      </w:r>
    </w:p>
    <w:p w14:paraId="37923CF5" w14:textId="77777777" w:rsidR="009700E5" w:rsidRDefault="009700E5">
      <w:pPr>
        <w:ind w:right="-1"/>
        <w:rPr>
          <w:szCs w:val="22"/>
          <w:lang w:eastAsia="sk-SK"/>
        </w:rPr>
      </w:pPr>
    </w:p>
    <w:p w14:paraId="00396324" w14:textId="77777777" w:rsidR="009700E5" w:rsidRDefault="009700E5">
      <w:pPr>
        <w:ind w:right="-1"/>
        <w:rPr>
          <w:szCs w:val="22"/>
          <w:lang w:eastAsia="sk-SK"/>
        </w:rPr>
      </w:pPr>
    </w:p>
    <w:p w14:paraId="349D1147" w14:textId="77777777" w:rsidR="009700E5" w:rsidRDefault="002C033C">
      <w:pPr>
        <w:pStyle w:val="AnnexHeading"/>
      </w:pPr>
      <w:r>
        <w:t>C.</w:t>
      </w:r>
      <w:r>
        <w:tab/>
        <w:t>ĎALŠIE PODMIENKY A POŽIADAVKY REGISTRÁCIE</w:t>
      </w:r>
    </w:p>
    <w:p w14:paraId="08ACA94A" w14:textId="77777777" w:rsidR="009700E5" w:rsidRDefault="009700E5">
      <w:pPr>
        <w:ind w:right="-1"/>
        <w:rPr>
          <w:szCs w:val="24"/>
        </w:rPr>
      </w:pPr>
    </w:p>
    <w:p w14:paraId="62E72B3C" w14:textId="77777777" w:rsidR="009700E5" w:rsidRDefault="002C033C">
      <w:pPr>
        <w:tabs>
          <w:tab w:val="left" w:pos="0"/>
          <w:tab w:val="left" w:pos="567"/>
        </w:tabs>
        <w:ind w:left="567" w:hanging="425"/>
        <w:rPr>
          <w:szCs w:val="24"/>
        </w:rPr>
        <w:pPrChange w:id="2851" w:author="Author" w:date="2025-07-20T00:36:00Z">
          <w:pPr>
            <w:tabs>
              <w:tab w:val="left" w:pos="0"/>
              <w:tab w:val="left" w:pos="567"/>
            </w:tabs>
            <w:ind w:left="567" w:hanging="567"/>
          </w:pPr>
        </w:pPrChange>
      </w:pPr>
      <w:r>
        <w:rPr>
          <w:szCs w:val="22"/>
        </w:rPr>
        <w:sym w:font="Symbol" w:char="F0B7"/>
      </w:r>
      <w:r>
        <w:tab/>
      </w:r>
      <w:r>
        <w:rPr>
          <w:b/>
          <w:szCs w:val="22"/>
        </w:rPr>
        <w:t>Periodicky aktualizované správy o bezpečnosti (</w:t>
      </w:r>
      <w:r>
        <w:rPr>
          <w:b/>
        </w:rPr>
        <w:t>Periodic safety update reports, PSUR</w:t>
      </w:r>
      <w:r>
        <w:rPr>
          <w:b/>
          <w:szCs w:val="22"/>
        </w:rPr>
        <w:t>)</w:t>
      </w:r>
    </w:p>
    <w:p w14:paraId="59729535" w14:textId="77777777" w:rsidR="009700E5" w:rsidRDefault="009700E5">
      <w:pPr>
        <w:tabs>
          <w:tab w:val="left" w:pos="0"/>
        </w:tabs>
        <w:ind w:right="567"/>
      </w:pPr>
    </w:p>
    <w:p w14:paraId="1BD2E820" w14:textId="77777777" w:rsidR="009700E5" w:rsidRDefault="002C033C">
      <w:pPr>
        <w:tabs>
          <w:tab w:val="left" w:pos="0"/>
        </w:tabs>
        <w:ind w:right="567"/>
        <w:rPr>
          <w:i/>
          <w:szCs w:val="24"/>
        </w:rPr>
      </w:pPr>
      <w:r>
        <w:t>Požiadavky na predloženie PSUR</w:t>
      </w:r>
      <w:r>
        <w:rPr>
          <w:szCs w:val="24"/>
        </w:rPr>
        <w:t xml:space="preserve"> tohto lieku sú stanovené </w:t>
      </w:r>
      <w:r>
        <w:t>v zozname referenčných dátumov Únie (zoznam EURD)</w:t>
      </w:r>
      <w:r>
        <w:rPr>
          <w:szCs w:val="24"/>
        </w:rPr>
        <w:t xml:space="preserve"> v súlade s článkom 107c ods. 7 smernice 2001/83/ES a </w:t>
      </w:r>
      <w:r>
        <w:t>všetkých následných aktualizácií uverejnených na európskom internetovom portáli pre lieky</w:t>
      </w:r>
      <w:r>
        <w:rPr>
          <w:szCs w:val="24"/>
        </w:rPr>
        <w:t>.</w:t>
      </w:r>
    </w:p>
    <w:p w14:paraId="051FCD40" w14:textId="77777777" w:rsidR="009700E5" w:rsidRDefault="009700E5">
      <w:pPr>
        <w:tabs>
          <w:tab w:val="left" w:pos="0"/>
        </w:tabs>
        <w:ind w:right="567"/>
        <w:rPr>
          <w:szCs w:val="24"/>
        </w:rPr>
      </w:pPr>
    </w:p>
    <w:p w14:paraId="3011B784" w14:textId="77777777" w:rsidR="009700E5" w:rsidRDefault="009700E5">
      <w:pPr>
        <w:ind w:right="567"/>
        <w:rPr>
          <w:i/>
        </w:rPr>
      </w:pPr>
    </w:p>
    <w:p w14:paraId="32B9FD53" w14:textId="77777777" w:rsidR="009700E5" w:rsidRDefault="002C033C">
      <w:pPr>
        <w:pStyle w:val="AnnexHeading"/>
        <w:keepNext/>
        <w:keepLines/>
      </w:pPr>
      <w:r>
        <w:lastRenderedPageBreak/>
        <w:t>D.</w:t>
      </w:r>
      <w:r>
        <w:tab/>
        <w:t>PODMIENKY ALEBO OBMEDZENIA TÝKAJÚCE SA BEZPEČNÉHO A ÚČINNÉHO POUŽÍVANIA LIEKU</w:t>
      </w:r>
    </w:p>
    <w:p w14:paraId="24381FBD" w14:textId="77777777" w:rsidR="009700E5" w:rsidRDefault="009700E5">
      <w:pPr>
        <w:keepNext/>
        <w:keepLines/>
      </w:pPr>
    </w:p>
    <w:p w14:paraId="18264D2F" w14:textId="77777777" w:rsidR="009700E5" w:rsidRDefault="002C033C">
      <w:pPr>
        <w:keepNext/>
        <w:keepLines/>
        <w:ind w:left="567" w:hanging="425"/>
        <w:rPr>
          <w:b/>
          <w:szCs w:val="24"/>
        </w:rPr>
        <w:pPrChange w:id="2852" w:author="Author" w:date="2025-07-20T00:36:00Z">
          <w:pPr>
            <w:keepNext/>
            <w:keepLines/>
            <w:ind w:left="567" w:hanging="567"/>
          </w:pPr>
        </w:pPrChange>
      </w:pPr>
      <w:r>
        <w:rPr>
          <w:szCs w:val="22"/>
        </w:rPr>
        <w:sym w:font="Symbol" w:char="F0B7"/>
      </w:r>
      <w:r>
        <w:tab/>
      </w:r>
      <w:r>
        <w:rPr>
          <w:b/>
          <w:szCs w:val="24"/>
        </w:rPr>
        <w:t>Plán riadenia rizík (RMP)</w:t>
      </w:r>
    </w:p>
    <w:p w14:paraId="106BCE68" w14:textId="77777777" w:rsidR="009700E5" w:rsidRDefault="009700E5">
      <w:pPr>
        <w:keepNext/>
        <w:keepLines/>
      </w:pPr>
    </w:p>
    <w:p w14:paraId="12DA2674" w14:textId="77777777" w:rsidR="009700E5" w:rsidRDefault="002C033C">
      <w:pPr>
        <w:keepNext/>
        <w:keepLines/>
        <w:tabs>
          <w:tab w:val="left" w:pos="0"/>
        </w:tabs>
        <w:ind w:right="567"/>
        <w:rPr>
          <w:szCs w:val="24"/>
        </w:rPr>
      </w:pPr>
      <w:r>
        <w:rPr>
          <w:szCs w:val="24"/>
        </w:rPr>
        <w:t xml:space="preserve">Držiteľ rozhodnutia o registrácii vykoná požadované činnosti a zásahy v rámci dohľadu </w:t>
      </w:r>
      <w:r>
        <w:t>nad liekmi</w:t>
      </w:r>
      <w:r>
        <w:rPr>
          <w:szCs w:val="24"/>
        </w:rPr>
        <w:t>, ktoré sú podrobne opísané v odsúhlasenom RMP predloženom v module 1.8.2 registračnej dokumentácie a vo všetkých ďalších odsúhlasených aktualizáciách RMP.</w:t>
      </w:r>
    </w:p>
    <w:p w14:paraId="5601EC3B" w14:textId="77777777" w:rsidR="009700E5" w:rsidRDefault="009700E5">
      <w:pPr>
        <w:rPr>
          <w:szCs w:val="24"/>
        </w:rPr>
      </w:pPr>
    </w:p>
    <w:p w14:paraId="22D08733" w14:textId="77777777" w:rsidR="009700E5" w:rsidRDefault="002C033C">
      <w:pPr>
        <w:keepNext/>
        <w:keepLines/>
        <w:ind w:right="-1"/>
        <w:rPr>
          <w:i/>
          <w:szCs w:val="24"/>
        </w:rPr>
      </w:pPr>
      <w:r>
        <w:rPr>
          <w:szCs w:val="24"/>
        </w:rPr>
        <w:t>Aktualizovaný RMP je potrebné predložiť:</w:t>
      </w:r>
    </w:p>
    <w:p w14:paraId="34DF7B5B" w14:textId="77777777" w:rsidR="009700E5" w:rsidRDefault="002C033C">
      <w:pPr>
        <w:keepNext/>
        <w:keepLines/>
        <w:ind w:left="851" w:hanging="284"/>
        <w:rPr>
          <w:i/>
          <w:szCs w:val="24"/>
        </w:rPr>
        <w:pPrChange w:id="2853" w:author="Author" w:date="2025-07-20T00:37:00Z">
          <w:pPr>
            <w:keepNext/>
            <w:keepLines/>
            <w:ind w:left="720" w:hanging="360"/>
          </w:pPr>
        </w:pPrChange>
      </w:pPr>
      <w:r>
        <w:sym w:font="Symbol" w:char="F0B7"/>
      </w:r>
      <w:r>
        <w:tab/>
      </w:r>
      <w:r>
        <w:rPr>
          <w:szCs w:val="24"/>
        </w:rPr>
        <w:t>na žiadosť Európskej agentúry pre lieky,</w:t>
      </w:r>
    </w:p>
    <w:p w14:paraId="7C8C2500" w14:textId="77777777" w:rsidR="009700E5" w:rsidRDefault="002C033C">
      <w:pPr>
        <w:keepNext/>
        <w:keepLines/>
        <w:ind w:left="851" w:hanging="284"/>
        <w:rPr>
          <w:szCs w:val="24"/>
        </w:rPr>
        <w:pPrChange w:id="2854" w:author="Author" w:date="2025-07-20T00:37:00Z">
          <w:pPr>
            <w:keepNext/>
            <w:keepLines/>
            <w:ind w:left="720" w:hanging="360"/>
          </w:pPr>
        </w:pPrChange>
      </w:pPr>
      <w:r>
        <w:sym w:font="Symbol" w:char="F0B7"/>
      </w:r>
      <w:r>
        <w:tab/>
      </w:r>
      <w:r>
        <w:rPr>
          <w:szCs w:val="24"/>
        </w:rPr>
        <w:t>vždy v prípade zmeny systému riadenia rizík, predovšetkým v dôsledku získania nových informácií, ktoré môžu viesť k výraznej zmene pomeru prínosu a rizika, alebo v dôsledku dosiahnutia dôležitého medzníka (v rámci dohľadu nad liekmi alebo minimalizácie rizika).</w:t>
      </w:r>
    </w:p>
    <w:p w14:paraId="27747420" w14:textId="77777777" w:rsidR="009700E5" w:rsidRDefault="009700E5">
      <w:pPr>
        <w:ind w:left="720" w:hanging="153"/>
        <w:rPr>
          <w:szCs w:val="24"/>
        </w:rPr>
        <w:pPrChange w:id="2855" w:author="Author" w:date="2025-07-20T00:37:00Z">
          <w:pPr>
            <w:ind w:left="720" w:hanging="360"/>
          </w:pPr>
        </w:pPrChange>
      </w:pPr>
    </w:p>
    <w:p w14:paraId="3997C4AB" w14:textId="77777777" w:rsidR="009700E5" w:rsidRDefault="002C033C">
      <w:pPr>
        <w:rPr>
          <w:ins w:id="2856" w:author="Author" w:date="2026-02-18T13:31:00Z"/>
          <w:szCs w:val="22"/>
        </w:rPr>
      </w:pPr>
      <w:r>
        <w:rPr>
          <w:szCs w:val="22"/>
        </w:rPr>
        <w:t>V prípade, že sa dátum predloženia periodicky aktualizovanej správy o bezpečnosti lieku (PSUR) zhoduje s dátumom aktualizácie RMP, môžu sa predložiť súčasne.</w:t>
      </w:r>
    </w:p>
    <w:p w14:paraId="0E60B42F" w14:textId="77777777" w:rsidR="009700E5" w:rsidRDefault="009700E5">
      <w:pPr>
        <w:rPr>
          <w:szCs w:val="22"/>
        </w:rPr>
      </w:pPr>
    </w:p>
    <w:p w14:paraId="2EED1D4E" w14:textId="77777777" w:rsidR="009700E5" w:rsidRDefault="009700E5">
      <w:pPr>
        <w:ind w:right="-1"/>
        <w:rPr>
          <w:del w:id="2857" w:author="Author" w:date="2025-07-20T00:38:00Z"/>
          <w:szCs w:val="24"/>
        </w:rPr>
      </w:pPr>
    </w:p>
    <w:p w14:paraId="598A15F2" w14:textId="77777777" w:rsidR="009700E5" w:rsidRDefault="002C033C">
      <w:pPr>
        <w:keepNext/>
        <w:keepLines/>
        <w:ind w:left="562" w:hanging="562"/>
        <w:rPr>
          <w:b/>
          <w:szCs w:val="24"/>
        </w:rPr>
      </w:pPr>
      <w:r>
        <w:sym w:font="Symbol" w:char="F0B7"/>
      </w:r>
      <w:r>
        <w:tab/>
      </w:r>
      <w:r>
        <w:rPr>
          <w:b/>
          <w:szCs w:val="24"/>
        </w:rPr>
        <w:t>Dodatočné opatrenia na minimalizáciu rizika</w:t>
      </w:r>
    </w:p>
    <w:p w14:paraId="2178D23D" w14:textId="77777777" w:rsidR="009700E5" w:rsidRDefault="009700E5">
      <w:pPr>
        <w:keepNext/>
        <w:keepLines/>
        <w:ind w:left="562" w:hanging="562"/>
        <w:rPr>
          <w:i/>
          <w:szCs w:val="24"/>
        </w:rPr>
      </w:pPr>
    </w:p>
    <w:p w14:paraId="33262229" w14:textId="77777777" w:rsidR="009700E5" w:rsidRDefault="002C033C">
      <w:pPr>
        <w:keepNext/>
        <w:keepLines/>
      </w:pPr>
      <w:r>
        <w:t>Držiteľ rozhodnutia o registrácii má zabezpečiť</w:t>
      </w:r>
      <w:del w:id="2858" w:author="Author" w:date="2026-02-12T09:14:00Z">
        <w:r>
          <w:delText xml:space="preserve">, </w:delText>
        </w:r>
        <w:r>
          <w:rPr>
            <w:rFonts w:eastAsia="SimSun"/>
            <w:szCs w:val="22"/>
            <w:lang w:eastAsia="zh-CN"/>
          </w:rPr>
          <w:delText xml:space="preserve">aby </w:delText>
        </w:r>
        <w:r>
          <w:delText>všetci lekári ktorí budú predpisovať/podávať</w:delText>
        </w:r>
      </w:del>
      <w:ins w:id="2859" w:author="Author" w:date="2026-02-12T09:14:00Z">
        <w:r>
          <w:t xml:space="preserve"> pre všetkých pacientov u ktorých sa očkáva, že budú používať </w:t>
        </w:r>
      </w:ins>
      <w:del w:id="2860" w:author="Author" w:date="2026-02-12T09:15:00Z">
        <w:r>
          <w:delText xml:space="preserve"> </w:delText>
        </w:r>
      </w:del>
      <w:r>
        <w:t xml:space="preserve">RoActemru, </w:t>
      </w:r>
      <w:del w:id="2861" w:author="Author" w:date="2026-02-12T09:15:00Z">
        <w:r>
          <w:delText xml:space="preserve">dostali </w:delText>
        </w:r>
      </w:del>
      <w:ins w:id="2862" w:author="Author" w:date="2026-02-12T09:15:00Z">
        <w:r>
          <w:t xml:space="preserve">informačný </w:t>
        </w:r>
      </w:ins>
      <w:r>
        <w:t xml:space="preserve">balíček </w:t>
      </w:r>
      <w:del w:id="2863" w:author="Author" w:date="2026-02-12T09:15:00Z">
        <w:r>
          <w:delText>vzdelávacích materiálov</w:delText>
        </w:r>
      </w:del>
      <w:ins w:id="2864" w:author="Author" w:date="2026-02-12T09:15:00Z">
        <w:r>
          <w:t>pre p</w:t>
        </w:r>
      </w:ins>
      <w:ins w:id="2865" w:author="Author" w:date="2026-02-12T09:16:00Z">
        <w:r>
          <w:t>acientov</w:t>
        </w:r>
      </w:ins>
      <w:r>
        <w:t>, ktorý zahŕňa terapeutické indikácie RA, pJIA, sJIA a OBA</w:t>
      </w:r>
      <w:del w:id="2866" w:author="Author" w:date="2026-02-12T09:17:00Z">
        <w:r>
          <w:delText>:</w:delText>
        </w:r>
      </w:del>
      <w:ins w:id="2867" w:author="Author" w:date="2026-02-12T09:17:00Z">
        <w:r>
          <w:t>.</w:t>
        </w:r>
      </w:ins>
      <w:r>
        <w:t xml:space="preserve"> </w:t>
      </w:r>
    </w:p>
    <w:p w14:paraId="58F95AFB" w14:textId="77777777" w:rsidR="009700E5" w:rsidRDefault="009700E5">
      <w:pPr>
        <w:keepNext/>
        <w:keepLines/>
      </w:pPr>
    </w:p>
    <w:p w14:paraId="71243216" w14:textId="77777777" w:rsidR="009700E5" w:rsidRDefault="002C033C">
      <w:pPr>
        <w:keepNext/>
        <w:keepLines/>
        <w:ind w:left="924" w:hanging="567"/>
        <w:rPr>
          <w:del w:id="2868" w:author="Author" w:date="2026-02-12T09:17:00Z"/>
        </w:rPr>
      </w:pPr>
      <w:del w:id="2869" w:author="Author" w:date="2026-02-12T09:17:00Z">
        <w:r>
          <w:sym w:font="Symbol" w:char="F0B7"/>
        </w:r>
        <w:r>
          <w:tab/>
          <w:delText>Informačný balíček pre lekára</w:delText>
        </w:r>
      </w:del>
    </w:p>
    <w:p w14:paraId="14A26D35" w14:textId="77777777" w:rsidR="009700E5" w:rsidRDefault="002C033C">
      <w:pPr>
        <w:keepNext/>
        <w:keepLines/>
        <w:ind w:left="924" w:hanging="567"/>
        <w:rPr>
          <w:del w:id="2870" w:author="Author" w:date="2026-02-12T09:17:00Z"/>
        </w:rPr>
      </w:pPr>
      <w:del w:id="2871" w:author="Author" w:date="2026-02-12T09:17:00Z">
        <w:r>
          <w:sym w:font="Symbol" w:char="F0B7"/>
        </w:r>
        <w:r>
          <w:tab/>
          <w:delText>Informačný balíček pre zdravotnú sestru</w:delText>
        </w:r>
      </w:del>
    </w:p>
    <w:p w14:paraId="36443D6E" w14:textId="77777777" w:rsidR="009700E5" w:rsidRDefault="002C033C">
      <w:pPr>
        <w:keepNext/>
        <w:keepLines/>
        <w:ind w:left="924" w:hanging="567"/>
        <w:rPr>
          <w:del w:id="2872" w:author="Author" w:date="2026-02-12T09:17:00Z"/>
        </w:rPr>
      </w:pPr>
      <w:del w:id="2873" w:author="Author" w:date="2026-02-12T09:17:00Z">
        <w:r>
          <w:sym w:font="Symbol" w:char="F0B7"/>
        </w:r>
        <w:r>
          <w:tab/>
          <w:delText>Informačný balíček pre pacienta</w:delText>
        </w:r>
      </w:del>
    </w:p>
    <w:p w14:paraId="72F5811F" w14:textId="77777777" w:rsidR="009700E5" w:rsidRDefault="009700E5">
      <w:pPr>
        <w:keepNext/>
        <w:keepLines/>
        <w:rPr>
          <w:del w:id="2874" w:author="Author" w:date="2026-02-12T09:17:00Z"/>
        </w:rPr>
      </w:pPr>
    </w:p>
    <w:p w14:paraId="4F676C23" w14:textId="77777777" w:rsidR="009700E5" w:rsidRDefault="002C033C">
      <w:pPr>
        <w:rPr>
          <w:del w:id="2875" w:author="Author" w:date="2026-02-12T09:17:00Z"/>
          <w:sz w:val="24"/>
          <w:szCs w:val="24"/>
        </w:rPr>
      </w:pPr>
      <w:del w:id="2876" w:author="Author" w:date="2026-02-12T09:17:00Z">
        <w:r>
          <w:delText>Držiteľ rozhodnutia o registrácii má prerokovať a dohodnúť obsah a formát vzdelávacieho materiálu, vrátane komunikačného plánu (vrátane spôsobov distribúcie), v spolupráci s národnou autoritou, ešte pred jeho distribúciou.</w:delText>
        </w:r>
      </w:del>
    </w:p>
    <w:p w14:paraId="4DAC4784" w14:textId="77777777" w:rsidR="009700E5" w:rsidRDefault="009700E5">
      <w:pPr>
        <w:rPr>
          <w:del w:id="2877" w:author="Author" w:date="2026-02-12T09:17:00Z"/>
        </w:rPr>
      </w:pPr>
    </w:p>
    <w:p w14:paraId="654073C2" w14:textId="77777777" w:rsidR="009700E5" w:rsidRDefault="002C033C">
      <w:pPr>
        <w:rPr>
          <w:del w:id="2878" w:author="Author" w:date="2026-02-12T09:17:00Z"/>
        </w:rPr>
      </w:pPr>
      <w:del w:id="2879" w:author="Author" w:date="2026-02-12T09:17:00Z">
        <w:r>
          <w:delText>Informačný balíček pre lekára má obsahovať tieto základné súčasti:</w:delText>
        </w:r>
      </w:del>
    </w:p>
    <w:p w14:paraId="74A5CD63" w14:textId="77777777" w:rsidR="009700E5" w:rsidRDefault="002C033C">
      <w:pPr>
        <w:ind w:left="924" w:hanging="567"/>
        <w:rPr>
          <w:del w:id="2880" w:author="Author" w:date="2026-02-12T09:17:00Z"/>
        </w:rPr>
      </w:pPr>
      <w:del w:id="2881" w:author="Author" w:date="2026-02-12T09:17:00Z">
        <w:r>
          <w:sym w:font="Symbol" w:char="F0B7"/>
        </w:r>
        <w:r>
          <w:tab/>
          <w:delText>Odkaz na Súhrn charakteristických vlastností lieku (napr. odkaz na internetovú stránku EMA)</w:delText>
        </w:r>
      </w:del>
    </w:p>
    <w:p w14:paraId="17C54F18" w14:textId="77777777" w:rsidR="009700E5" w:rsidRDefault="002C033C">
      <w:pPr>
        <w:ind w:left="924" w:hanging="567"/>
        <w:rPr>
          <w:del w:id="2882" w:author="Author" w:date="2026-02-12T09:17:00Z"/>
        </w:rPr>
      </w:pPr>
      <w:del w:id="2883" w:author="Author" w:date="2026-02-12T09:17:00Z">
        <w:r>
          <w:sym w:font="Symbol" w:char="F0B7"/>
        </w:r>
        <w:r>
          <w:tab/>
          <w:delText>Výpočet dávky (pacienti s RA, so sJIA a pJIA), príprava infúzia a rýchlosť podávania infúzie</w:delText>
        </w:r>
      </w:del>
    </w:p>
    <w:p w14:paraId="07781693" w14:textId="77777777" w:rsidR="009700E5" w:rsidRDefault="002C033C">
      <w:pPr>
        <w:ind w:left="924" w:hanging="567"/>
        <w:rPr>
          <w:del w:id="2884" w:author="Author" w:date="2026-02-12T09:17:00Z"/>
        </w:rPr>
      </w:pPr>
      <w:del w:id="2885" w:author="Author" w:date="2026-02-12T09:17:00Z">
        <w:r>
          <w:sym w:font="Symbol" w:char="F0B7"/>
        </w:r>
        <w:r>
          <w:tab/>
          <w:delText>Riziko vážnej infekcie</w:delText>
        </w:r>
      </w:del>
    </w:p>
    <w:p w14:paraId="2506CA7D" w14:textId="77777777" w:rsidR="009700E5" w:rsidRDefault="002C033C">
      <w:pPr>
        <w:ind w:left="1418" w:hanging="284"/>
        <w:rPr>
          <w:del w:id="2886" w:author="Author" w:date="2026-02-12T09:17:00Z"/>
        </w:rPr>
      </w:pPr>
      <w:del w:id="2887" w:author="Author" w:date="2026-02-12T09:17:00Z">
        <w:r>
          <w:sym w:font="Symbol" w:char="F0B7"/>
        </w:r>
        <w:r>
          <w:tab/>
          <w:delText>liek sa nesmie podávať pacientom s aktívnou alebo suspektnou infekciou</w:delText>
        </w:r>
      </w:del>
    </w:p>
    <w:p w14:paraId="1092E306" w14:textId="77777777" w:rsidR="009700E5" w:rsidRDefault="002C033C">
      <w:pPr>
        <w:ind w:left="1418" w:hanging="284"/>
        <w:rPr>
          <w:del w:id="2888" w:author="Author" w:date="2026-02-12T09:17:00Z"/>
        </w:rPr>
      </w:pPr>
      <w:del w:id="2889" w:author="Author" w:date="2026-02-12T09:17:00Z">
        <w:r>
          <w:sym w:font="Symbol" w:char="F0B7"/>
        </w:r>
        <w:r>
          <w:tab/>
          <w:delText>liek môže oslabiť známky alebo príznaky akútnej infekcie a oddialiť stanovenie diagnózy</w:delText>
        </w:r>
      </w:del>
    </w:p>
    <w:p w14:paraId="6E1C06D6" w14:textId="77777777" w:rsidR="009700E5" w:rsidRDefault="002C033C">
      <w:pPr>
        <w:ind w:left="924" w:hanging="567"/>
        <w:rPr>
          <w:del w:id="2890" w:author="Author" w:date="2026-02-12T09:17:00Z"/>
        </w:rPr>
      </w:pPr>
      <w:del w:id="2891" w:author="Author" w:date="2026-02-12T09:17:00Z">
        <w:r>
          <w:sym w:font="Symbol" w:char="F0B7"/>
        </w:r>
        <w:r>
          <w:tab/>
          <w:delText>Riziko hepatotoxicity</w:delText>
        </w:r>
      </w:del>
    </w:p>
    <w:p w14:paraId="443F3FA5" w14:textId="77777777" w:rsidR="009700E5" w:rsidRDefault="002C033C">
      <w:pPr>
        <w:ind w:left="1418" w:hanging="284"/>
        <w:rPr>
          <w:del w:id="2892" w:author="Author" w:date="2026-02-12T09:17:00Z"/>
        </w:rPr>
      </w:pPr>
      <w:del w:id="2893" w:author="Author" w:date="2026-02-12T09:17:00Z">
        <w:r>
          <w:sym w:font="Symbol" w:char="F0B7"/>
        </w:r>
        <w:r>
          <w:tab/>
          <w:delText>keď sa uvažuje o začatí liečby RoActemrou u pacientov s hodnotami transamináz ALT alebo AST zvýšenými na &gt; 1,5 násobok ULN, je nutná opatrnosť. U pacientov s hodnotami ALT alebo AST &gt; 5 násobok ULN sa liečba neodporúča.</w:delText>
        </w:r>
      </w:del>
    </w:p>
    <w:p w14:paraId="4979792E" w14:textId="77777777" w:rsidR="009700E5" w:rsidRDefault="002C033C">
      <w:pPr>
        <w:ind w:left="1418" w:hanging="284"/>
        <w:rPr>
          <w:del w:id="2894" w:author="Author" w:date="2026-02-12T09:17:00Z"/>
        </w:rPr>
      </w:pPr>
      <w:del w:id="2895" w:author="Author" w:date="2026-02-12T09:17:00Z">
        <w:r>
          <w:sym w:font="Symbol" w:char="F0B7"/>
        </w:r>
        <w:r>
          <w:tab/>
          <w:delText>u pacientov s RA, OBA, pJIA a sJIA sa ALT/AST má skontrolovať raz za 4 až 8 týždňov počas prvých 6 mesiacov liečby a následne raz za 12 týždňov. Odporúčané úpravy dávky vrátane ukončenia liečby tocilizumabom na základe hladín transamináz sú v časti 4.2 SPC.</w:delText>
        </w:r>
      </w:del>
    </w:p>
    <w:p w14:paraId="542AA430" w14:textId="77777777" w:rsidR="009700E5" w:rsidRDefault="002C033C">
      <w:pPr>
        <w:ind w:left="924" w:hanging="567"/>
        <w:rPr>
          <w:del w:id="2896" w:author="Author" w:date="2026-02-12T09:17:00Z"/>
        </w:rPr>
      </w:pPr>
      <w:del w:id="2897" w:author="Author" w:date="2026-02-12T09:17:00Z">
        <w:r>
          <w:sym w:font="Symbol" w:char="F0B7"/>
        </w:r>
        <w:r>
          <w:tab/>
          <w:delText>Riziko gastrointestinálnej perforácie, zvlášť u pacientov s anamnézou divertikulitídy alebo intestinálnych vredov</w:delText>
        </w:r>
      </w:del>
    </w:p>
    <w:p w14:paraId="02E9B469" w14:textId="77777777" w:rsidR="009700E5" w:rsidRDefault="002C033C">
      <w:pPr>
        <w:ind w:left="924" w:hanging="567"/>
        <w:rPr>
          <w:del w:id="2898" w:author="Author" w:date="2026-02-12T09:17:00Z"/>
        </w:rPr>
      </w:pPr>
      <w:del w:id="2899" w:author="Author" w:date="2026-02-12T09:17:00Z">
        <w:r>
          <w:sym w:font="Symbol" w:char="F0B7"/>
        </w:r>
        <w:r>
          <w:tab/>
          <w:delText xml:space="preserve">Podrobnosti o tom, ako hlásiť závažné nežiaduce reakcie na liek </w:delText>
        </w:r>
      </w:del>
    </w:p>
    <w:p w14:paraId="5ABAD3FE" w14:textId="77777777" w:rsidR="009700E5" w:rsidRDefault="002C033C">
      <w:pPr>
        <w:ind w:left="924" w:hanging="567"/>
        <w:rPr>
          <w:del w:id="2900" w:author="Author" w:date="2026-02-12T09:17:00Z"/>
        </w:rPr>
      </w:pPr>
      <w:del w:id="2901" w:author="Author" w:date="2026-02-12T09:17:00Z">
        <w:r>
          <w:sym w:font="Symbol" w:char="F0B7"/>
        </w:r>
        <w:r>
          <w:tab/>
          <w:delText>Informačné balíčky pre pacientov (ktoré majú lekári dať pacientom)</w:delText>
        </w:r>
      </w:del>
    </w:p>
    <w:p w14:paraId="4C63ABCA" w14:textId="77777777" w:rsidR="009700E5" w:rsidRDefault="002C033C">
      <w:pPr>
        <w:ind w:left="924" w:hanging="567"/>
        <w:rPr>
          <w:del w:id="2902" w:author="Author" w:date="2026-02-12T09:17:00Z"/>
        </w:rPr>
      </w:pPr>
      <w:del w:id="2903" w:author="Author" w:date="2026-02-12T09:17:00Z">
        <w:r>
          <w:sym w:font="Symbol" w:char="F0B7"/>
        </w:r>
        <w:r>
          <w:tab/>
          <w:delText>Pokyny na diagnostiku syndrómu aktivácie makrofágov u pacientov so sJIA</w:delText>
        </w:r>
      </w:del>
    </w:p>
    <w:p w14:paraId="26C2402C" w14:textId="77777777" w:rsidR="009700E5" w:rsidRDefault="002C033C">
      <w:pPr>
        <w:ind w:left="924" w:hanging="567"/>
        <w:rPr>
          <w:del w:id="2904" w:author="Author" w:date="2026-02-12T09:17:00Z"/>
        </w:rPr>
      </w:pPr>
      <w:del w:id="2905" w:author="Author" w:date="2026-02-12T09:17:00Z">
        <w:r>
          <w:sym w:font="Symbol" w:char="F0B7"/>
        </w:r>
        <w:r>
          <w:tab/>
          <w:delText>Odporúčania na prerušenie dávky u pacientov so sJIA a s pJIA</w:delText>
        </w:r>
      </w:del>
    </w:p>
    <w:p w14:paraId="05249F05" w14:textId="77777777" w:rsidR="009700E5" w:rsidRDefault="009700E5">
      <w:pPr>
        <w:rPr>
          <w:del w:id="2906" w:author="Author" w:date="2026-02-12T09:17:00Z"/>
        </w:rPr>
      </w:pPr>
    </w:p>
    <w:p w14:paraId="68F53DC8" w14:textId="77777777" w:rsidR="009700E5" w:rsidRDefault="002C033C">
      <w:pPr>
        <w:rPr>
          <w:del w:id="2907" w:author="Author" w:date="2026-02-12T09:17:00Z"/>
        </w:rPr>
      </w:pPr>
      <w:del w:id="2908" w:author="Author" w:date="2026-02-12T09:17:00Z">
        <w:r>
          <w:delText>Informačný balíček pre zdravotné sestry má obsahovať tieto základné súčasti:</w:delText>
        </w:r>
      </w:del>
    </w:p>
    <w:p w14:paraId="23501FFD" w14:textId="77777777" w:rsidR="009700E5" w:rsidRDefault="002C033C">
      <w:pPr>
        <w:ind w:left="924" w:hanging="567"/>
        <w:rPr>
          <w:del w:id="2909" w:author="Author" w:date="2026-02-12T09:17:00Z"/>
        </w:rPr>
      </w:pPr>
      <w:del w:id="2910" w:author="Author" w:date="2026-02-12T09:17:00Z">
        <w:r>
          <w:sym w:font="Symbol" w:char="F0B7"/>
        </w:r>
        <w:r>
          <w:tab/>
          <w:delText>Ako zabrániť chybám pri podávaní lieku a reakciám súvisiacim s injekciou/infúziou</w:delText>
        </w:r>
      </w:del>
    </w:p>
    <w:p w14:paraId="53E7E9D3" w14:textId="77777777" w:rsidR="009700E5" w:rsidRDefault="002C033C">
      <w:pPr>
        <w:ind w:left="1418" w:hanging="284"/>
        <w:rPr>
          <w:del w:id="2911" w:author="Author" w:date="2026-02-12T09:17:00Z"/>
        </w:rPr>
      </w:pPr>
      <w:del w:id="2912" w:author="Author" w:date="2026-02-12T09:17:00Z">
        <w:r>
          <w:sym w:font="Symbol" w:char="F0B7"/>
        </w:r>
        <w:r>
          <w:tab/>
          <w:delText>príprava injekcie/infúzie</w:delText>
        </w:r>
      </w:del>
    </w:p>
    <w:p w14:paraId="03023758" w14:textId="77777777" w:rsidR="009700E5" w:rsidRDefault="002C033C">
      <w:pPr>
        <w:ind w:left="1418" w:hanging="284"/>
        <w:rPr>
          <w:del w:id="2913" w:author="Author" w:date="2026-02-12T09:17:00Z"/>
        </w:rPr>
      </w:pPr>
      <w:del w:id="2914" w:author="Author" w:date="2026-02-12T09:17:00Z">
        <w:r>
          <w:sym w:font="Symbol" w:char="F0B7"/>
        </w:r>
        <w:r>
          <w:tab/>
          <w:delText>rýchlosť podávania infúzie</w:delText>
        </w:r>
      </w:del>
    </w:p>
    <w:p w14:paraId="0711EFD5" w14:textId="77777777" w:rsidR="009700E5" w:rsidRDefault="002C033C">
      <w:pPr>
        <w:ind w:left="924" w:hanging="567"/>
        <w:rPr>
          <w:del w:id="2915" w:author="Author" w:date="2026-02-12T09:17:00Z"/>
        </w:rPr>
      </w:pPr>
      <w:del w:id="2916" w:author="Author" w:date="2026-02-12T09:17:00Z">
        <w:r>
          <w:sym w:font="Symbol" w:char="F0B7"/>
        </w:r>
        <w:r>
          <w:tab/>
          <w:delText>Monitorovanie reakcie pacienta na reakcie súvisiace s injekciou/infúziou</w:delText>
        </w:r>
      </w:del>
    </w:p>
    <w:p w14:paraId="562A6F15" w14:textId="77777777" w:rsidR="009700E5" w:rsidRDefault="002C033C">
      <w:pPr>
        <w:ind w:left="924" w:hanging="567"/>
        <w:rPr>
          <w:del w:id="2917" w:author="Author" w:date="2026-02-12T09:17:00Z"/>
        </w:rPr>
      </w:pPr>
      <w:del w:id="2918" w:author="Author" w:date="2026-02-12T09:17:00Z">
        <w:r>
          <w:sym w:font="Symbol" w:char="F0B7"/>
        </w:r>
        <w:r>
          <w:tab/>
          <w:delText>Podrobnosti o tom, ako hlásiť závažné nežiaduce reakcie</w:delText>
        </w:r>
      </w:del>
    </w:p>
    <w:p w14:paraId="34F46C03" w14:textId="77777777" w:rsidR="009700E5" w:rsidRDefault="009700E5">
      <w:pPr>
        <w:rPr>
          <w:del w:id="2919" w:author="Author" w:date="2026-02-12T09:17:00Z"/>
        </w:rPr>
      </w:pPr>
    </w:p>
    <w:p w14:paraId="1FE06F28" w14:textId="77777777" w:rsidR="009700E5" w:rsidRDefault="002C033C">
      <w:pPr>
        <w:keepNext/>
        <w:keepLines/>
      </w:pPr>
      <w:r>
        <w:t>Informačný balíček pre pacienta má obsahovať tieto základné súčasti:</w:t>
      </w:r>
    </w:p>
    <w:p w14:paraId="001510A0" w14:textId="77777777" w:rsidR="009700E5" w:rsidRDefault="002C033C">
      <w:pPr>
        <w:keepNext/>
        <w:keepLines/>
        <w:ind w:left="924" w:hanging="567"/>
      </w:pPr>
      <w:r>
        <w:sym w:font="Symbol" w:char="F0B7"/>
      </w:r>
      <w:r>
        <w:tab/>
        <w:t>Písomnú informáciu pre používateľa (s návodom na s.c. použite) (napr. link na internetovú stránku EMA)</w:t>
      </w:r>
    </w:p>
    <w:p w14:paraId="432B7B5A" w14:textId="77777777" w:rsidR="009700E5" w:rsidRDefault="002C033C">
      <w:pPr>
        <w:ind w:left="924" w:hanging="567"/>
      </w:pPr>
      <w:r>
        <w:sym w:font="Symbol" w:char="F0B7"/>
      </w:r>
      <w:r>
        <w:tab/>
        <w:t>Kartu pacienta</w:t>
      </w:r>
    </w:p>
    <w:p w14:paraId="7628127F" w14:textId="77777777" w:rsidR="009700E5" w:rsidRDefault="002C033C">
      <w:pPr>
        <w:ind w:left="993" w:hanging="633"/>
        <w:rPr>
          <w:szCs w:val="22"/>
        </w:rPr>
        <w:pPrChange w:id="2920" w:author="Author" w:date="2026-02-18T13:32:00Z">
          <w:pPr>
            <w:ind w:left="792" w:hanging="432"/>
          </w:pPr>
        </w:pPrChange>
      </w:pPr>
      <w:r>
        <w:rPr>
          <w:rFonts w:eastAsia="SimSun"/>
          <w:lang w:eastAsia="zh-CN"/>
        </w:rPr>
        <w:t>-</w:t>
      </w:r>
      <w:r>
        <w:rPr>
          <w:rFonts w:eastAsia="SimSun"/>
          <w:lang w:eastAsia="zh-CN"/>
        </w:rPr>
        <w:tab/>
      </w:r>
      <w:ins w:id="2921" w:author="Author" w:date="2026-02-18T10:30:00Z">
        <w:r>
          <w:rPr>
            <w:rFonts w:eastAsia="SimSun"/>
            <w:lang w:eastAsia="zh-CN"/>
          </w:rPr>
          <w:t>Upozornenie</w:t>
        </w:r>
      </w:ins>
      <w:del w:id="2922" w:author="Author" w:date="2026-02-12T09:24:00Z">
        <w:r>
          <w:rPr>
            <w:rFonts w:eastAsia="SimSun"/>
            <w:lang w:eastAsia="zh-CN"/>
          </w:rPr>
          <w:delText xml:space="preserve">informácia </w:delText>
        </w:r>
      </w:del>
      <w:ins w:id="2923" w:author="Author" w:date="2026-02-12T09:24:00Z">
        <w:r>
          <w:rPr>
            <w:rFonts w:eastAsia="SimSun"/>
            <w:lang w:eastAsia="zh-CN"/>
          </w:rPr>
          <w:t xml:space="preserve"> </w:t>
        </w:r>
      </w:ins>
      <w:del w:id="2924" w:author="Author" w:date="2026-02-16T11:48:00Z">
        <w:r>
          <w:rPr>
            <w:rFonts w:eastAsia="SimSun"/>
            <w:lang w:eastAsia="zh-CN"/>
          </w:rPr>
          <w:delText>o</w:delText>
        </w:r>
        <w:r>
          <w:rPr>
            <w:szCs w:val="22"/>
          </w:rPr>
          <w:delText xml:space="preserve"> </w:delText>
        </w:r>
      </w:del>
      <w:ins w:id="2925" w:author="Author" w:date="2026-02-18T10:30:00Z">
        <w:r>
          <w:rPr>
            <w:szCs w:val="22"/>
          </w:rPr>
          <w:t>na</w:t>
        </w:r>
      </w:ins>
      <w:ins w:id="2926" w:author="Author" w:date="2026-02-16T11:48:00Z">
        <w:r>
          <w:rPr>
            <w:szCs w:val="22"/>
          </w:rPr>
          <w:t xml:space="preserve"> </w:t>
        </w:r>
      </w:ins>
      <w:del w:id="2927" w:author="Author" w:date="2026-02-16T11:48:00Z">
        <w:r>
          <w:rPr>
            <w:szCs w:val="22"/>
          </w:rPr>
          <w:delText xml:space="preserve">riziku </w:delText>
        </w:r>
      </w:del>
      <w:ins w:id="2928" w:author="Author" w:date="2026-02-16T11:48:00Z">
        <w:r>
          <w:rPr>
            <w:szCs w:val="22"/>
          </w:rPr>
          <w:t>rizik</w:t>
        </w:r>
      </w:ins>
      <w:ins w:id="2929" w:author="Author" w:date="2026-02-18T10:30:00Z">
        <w:r>
          <w:rPr>
            <w:szCs w:val="22"/>
          </w:rPr>
          <w:t>o</w:t>
        </w:r>
      </w:ins>
      <w:ins w:id="2930" w:author="Author" w:date="2026-02-16T11:48:00Z">
        <w:r>
          <w:rPr>
            <w:szCs w:val="22"/>
          </w:rPr>
          <w:t xml:space="preserve"> </w:t>
        </w:r>
      </w:ins>
      <w:r>
        <w:rPr>
          <w:szCs w:val="22"/>
        </w:rPr>
        <w:t>vzniku infekcií, ktoré</w:t>
      </w:r>
      <w:ins w:id="2931" w:author="Author" w:date="2026-02-18T13:33:00Z">
        <w:r>
          <w:rPr>
            <w:szCs w:val="22"/>
          </w:rPr>
          <w:t>,</w:t>
        </w:r>
      </w:ins>
      <w:r>
        <w:rPr>
          <w:szCs w:val="22"/>
        </w:rPr>
        <w:t xml:space="preserve"> </w:t>
      </w:r>
      <w:del w:id="2932" w:author="Author" w:date="2026-02-18T13:32:00Z">
        <w:r>
          <w:rPr>
            <w:szCs w:val="22"/>
          </w:rPr>
          <w:delText xml:space="preserve">v prípade, </w:delText>
        </w:r>
      </w:del>
      <w:r>
        <w:rPr>
          <w:szCs w:val="22"/>
        </w:rPr>
        <w:t xml:space="preserve">ak nie sú liečené, môžu </w:t>
      </w:r>
      <w:del w:id="2933" w:author="Author" w:date="2026-02-16T11:48:00Z">
        <w:r>
          <w:rPr>
            <w:szCs w:val="22"/>
          </w:rPr>
          <w:delText>mať závažný</w:delText>
        </w:r>
      </w:del>
      <w:ins w:id="2934" w:author="Author" w:date="2026-02-16T11:48:00Z">
        <w:r>
          <w:rPr>
            <w:szCs w:val="22"/>
          </w:rPr>
          <w:t>byť závažné</w:t>
        </w:r>
      </w:ins>
      <w:del w:id="2935" w:author="Author" w:date="2026-02-16T11:48:00Z">
        <w:r>
          <w:rPr>
            <w:szCs w:val="22"/>
          </w:rPr>
          <w:delText xml:space="preserve"> priebeh</w:delText>
        </w:r>
      </w:del>
      <w:r>
        <w:rPr>
          <w:szCs w:val="22"/>
        </w:rPr>
        <w:t>. Okrem toho sa niektoré infekcie môžu znovu objaviť.</w:t>
      </w:r>
      <w:ins w:id="2936" w:author="Author" w:date="2026-02-12T09:25:00Z">
        <w:r>
          <w:rPr>
            <w:szCs w:val="22"/>
          </w:rPr>
          <w:t xml:space="preserve"> </w:t>
        </w:r>
      </w:ins>
      <w:ins w:id="2937" w:author="Author" w:date="2026-02-18T13:33:00Z">
        <w:r>
          <w:rPr>
            <w:szCs w:val="22"/>
          </w:rPr>
          <w:t xml:space="preserve">Počas plánovanej liečby </w:t>
        </w:r>
      </w:ins>
      <w:ins w:id="2938" w:author="Author" w:date="2026-02-18T13:34:00Z">
        <w:r>
          <w:rPr>
            <w:szCs w:val="22"/>
          </w:rPr>
          <w:t>RoActemrou sa p</w:t>
        </w:r>
      </w:ins>
      <w:ins w:id="2939" w:author="Author" w:date="2026-02-12T09:25:00Z">
        <w:r>
          <w:rPr>
            <w:szCs w:val="22"/>
          </w:rPr>
          <w:t xml:space="preserve">acienti </w:t>
        </w:r>
      </w:ins>
      <w:ins w:id="2940" w:author="Author" w:date="2026-02-16T11:52:00Z">
        <w:r>
          <w:rPr>
            <w:szCs w:val="22"/>
          </w:rPr>
          <w:t xml:space="preserve">majú </w:t>
        </w:r>
      </w:ins>
      <w:ins w:id="2941" w:author="Author" w:date="2026-02-16T11:51:00Z">
        <w:r>
          <w:rPr>
            <w:szCs w:val="22"/>
          </w:rPr>
          <w:t>poradiť so svojím lekárom</w:t>
        </w:r>
      </w:ins>
      <w:ins w:id="2942" w:author="Author" w:date="2026-02-16T11:54:00Z">
        <w:r>
          <w:rPr>
            <w:szCs w:val="22"/>
          </w:rPr>
          <w:t>,</w:t>
        </w:r>
      </w:ins>
      <w:ins w:id="2943" w:author="Author" w:date="2026-02-12T09:30:00Z">
        <w:r>
          <w:rPr>
            <w:szCs w:val="22"/>
          </w:rPr>
          <w:t xml:space="preserve"> ak</w:t>
        </w:r>
      </w:ins>
      <w:ins w:id="2944" w:author="Author" w:date="2026-02-12T09:25:00Z">
        <w:r>
          <w:rPr>
            <w:szCs w:val="22"/>
          </w:rPr>
          <w:t xml:space="preserve"> sa u nich </w:t>
        </w:r>
      </w:ins>
      <w:ins w:id="2945" w:author="Author" w:date="2026-02-12T09:30:00Z">
        <w:r>
          <w:rPr>
            <w:szCs w:val="22"/>
          </w:rPr>
          <w:t>vyskytn</w:t>
        </w:r>
      </w:ins>
      <w:ins w:id="2946" w:author="Author" w:date="2026-02-12T09:33:00Z">
        <w:r>
          <w:rPr>
            <w:szCs w:val="22"/>
          </w:rPr>
          <w:t>e</w:t>
        </w:r>
      </w:ins>
      <w:ins w:id="2947" w:author="Author" w:date="2026-02-12T09:25:00Z">
        <w:r>
          <w:rPr>
            <w:szCs w:val="22"/>
          </w:rPr>
          <w:t xml:space="preserve"> akýkoľvek druh infekcie (dokonca aj prechladnutie)</w:t>
        </w:r>
      </w:ins>
      <w:ins w:id="2948" w:author="Author" w:date="2026-02-18T13:34:00Z">
        <w:r>
          <w:rPr>
            <w:szCs w:val="22"/>
          </w:rPr>
          <w:t>.</w:t>
        </w:r>
      </w:ins>
      <w:ins w:id="2949" w:author="Author" w:date="2026-02-16T11:53:00Z">
        <w:r>
          <w:rPr>
            <w:szCs w:val="22"/>
          </w:rPr>
          <w:t xml:space="preserve"> </w:t>
        </w:r>
      </w:ins>
    </w:p>
    <w:p w14:paraId="7A5A81B4" w14:textId="77777777" w:rsidR="009700E5" w:rsidRDefault="002C033C">
      <w:pPr>
        <w:ind w:left="993" w:hanging="633"/>
        <w:rPr>
          <w:rFonts w:eastAsia="SimSun"/>
          <w:lang w:eastAsia="zh-CN"/>
        </w:rPr>
        <w:pPrChange w:id="2950" w:author="Author" w:date="2026-02-18T13:32:00Z">
          <w:pPr>
            <w:ind w:left="792" w:hanging="432"/>
          </w:pPr>
        </w:pPrChange>
      </w:pPr>
      <w:r>
        <w:rPr>
          <w:rFonts w:eastAsia="SimSun"/>
          <w:lang w:eastAsia="zh-CN"/>
        </w:rPr>
        <w:t>-</w:t>
      </w:r>
      <w:r>
        <w:rPr>
          <w:rFonts w:eastAsia="SimSun"/>
          <w:lang w:eastAsia="zh-CN"/>
        </w:rPr>
        <w:tab/>
      </w:r>
      <w:ins w:id="2951" w:author="Author" w:date="2026-02-18T10:30:00Z">
        <w:r>
          <w:rPr>
            <w:rFonts w:eastAsia="SimSun"/>
            <w:lang w:eastAsia="zh-CN"/>
          </w:rPr>
          <w:t xml:space="preserve">Upozornenie </w:t>
        </w:r>
        <w:r>
          <w:rPr>
            <w:szCs w:val="22"/>
          </w:rPr>
          <w:t>na</w:t>
        </w:r>
        <w:r>
          <w:rPr>
            <w:rFonts w:eastAsia="SimSun"/>
            <w:lang w:eastAsia="zh-CN"/>
          </w:rPr>
          <w:t xml:space="preserve"> </w:t>
        </w:r>
      </w:ins>
      <w:del w:id="2952" w:author="Author" w:date="2026-02-12T09:37:00Z">
        <w:r>
          <w:rPr>
            <w:rFonts w:eastAsia="SimSun"/>
            <w:lang w:eastAsia="zh-CN"/>
          </w:rPr>
          <w:delText>i</w:delText>
        </w:r>
      </w:del>
      <w:del w:id="2953" w:author="Author" w:date="2026-02-18T10:30:00Z">
        <w:r>
          <w:rPr>
            <w:rFonts w:eastAsia="SimSun"/>
            <w:lang w:eastAsia="zh-CN"/>
          </w:rPr>
          <w:delText>nformáci</w:delText>
        </w:r>
      </w:del>
      <w:del w:id="2954" w:author="Author" w:date="2026-02-16T11:55:00Z">
        <w:r>
          <w:rPr>
            <w:rFonts w:eastAsia="SimSun"/>
            <w:lang w:eastAsia="zh-CN"/>
          </w:rPr>
          <w:delText>a</w:delText>
        </w:r>
      </w:del>
      <w:del w:id="2955" w:author="Author" w:date="2026-02-18T10:30:00Z">
        <w:r>
          <w:rPr>
            <w:rFonts w:eastAsia="SimSun"/>
            <w:lang w:eastAsia="zh-CN"/>
          </w:rPr>
          <w:delText xml:space="preserve"> o </w:delText>
        </w:r>
      </w:del>
      <w:r>
        <w:rPr>
          <w:rFonts w:eastAsia="SimSun"/>
          <w:lang w:eastAsia="zh-CN"/>
        </w:rPr>
        <w:t>rizik</w:t>
      </w:r>
      <w:del w:id="2956" w:author="Author" w:date="2026-02-18T10:30:00Z">
        <w:r>
          <w:rPr>
            <w:rFonts w:eastAsia="SimSun"/>
            <w:lang w:eastAsia="zh-CN"/>
          </w:rPr>
          <w:delText>u</w:delText>
        </w:r>
      </w:del>
      <w:ins w:id="2957" w:author="Author" w:date="2026-02-18T10:30:00Z">
        <w:r>
          <w:rPr>
            <w:rFonts w:eastAsia="SimSun"/>
            <w:lang w:eastAsia="zh-CN"/>
          </w:rPr>
          <w:t>o</w:t>
        </w:r>
      </w:ins>
      <w:r>
        <w:rPr>
          <w:rFonts w:eastAsia="SimSun"/>
          <w:lang w:eastAsia="zh-CN"/>
        </w:rPr>
        <w:t>, že u pacientov, ktorí dostávajú RoActemru, môžu nastať komplikácie divertikulitídy, ktoré v prípade, ak nie sú liečené, môžu byť závažné.</w:t>
      </w:r>
      <w:ins w:id="2958" w:author="Author" w:date="2026-02-12T09:38:00Z">
        <w:r>
          <w:rPr>
            <w:rFonts w:ascii="Roboto" w:hAnsi="Roboto"/>
            <w:color w:val="1F1F1F"/>
            <w:sz w:val="21"/>
            <w:szCs w:val="21"/>
            <w:shd w:val="clear" w:color="auto" w:fill="FFFFFF"/>
          </w:rPr>
          <w:t xml:space="preserve"> </w:t>
        </w:r>
        <w:r>
          <w:rPr>
            <w:rFonts w:eastAsia="SimSun"/>
            <w:lang w:eastAsia="zh-CN"/>
          </w:rPr>
          <w:t>Pacienti majú okamžite informovať svojho lekára, ak pociťujú bolesti brucha alebo koliky so zmenou vo vyprázdňovaní</w:t>
        </w:r>
      </w:ins>
      <w:ins w:id="2959" w:author="Author" w:date="2026-02-19T09:17:00Z">
        <w:r>
          <w:rPr>
            <w:rFonts w:eastAsia="SimSun"/>
            <w:lang w:eastAsia="zh-CN"/>
          </w:rPr>
          <w:t xml:space="preserve"> stolice</w:t>
        </w:r>
      </w:ins>
      <w:ins w:id="2960" w:author="Author" w:date="2026-02-12T09:38:00Z">
        <w:r>
          <w:rPr>
            <w:rFonts w:eastAsia="SimSun"/>
            <w:lang w:eastAsia="zh-CN"/>
          </w:rPr>
          <w:t xml:space="preserve">, alebo </w:t>
        </w:r>
      </w:ins>
      <w:ins w:id="2961" w:author="Author" w:date="2026-02-12T09:41:00Z">
        <w:r>
          <w:rPr>
            <w:rFonts w:eastAsia="SimSun"/>
            <w:lang w:eastAsia="zh-CN"/>
          </w:rPr>
          <w:t>ak spozorujú</w:t>
        </w:r>
      </w:ins>
      <w:ins w:id="2962" w:author="Author" w:date="2026-02-12T09:38:00Z">
        <w:r>
          <w:rPr>
            <w:rFonts w:eastAsia="SimSun"/>
            <w:lang w:eastAsia="zh-CN"/>
          </w:rPr>
          <w:t xml:space="preserve"> krv v stolici. Pacient má informovať zdravotníckeho pracovníka, ak má alebo mal črevné ulcerácie alebo divertikulitídu (zápal v častiach hrubého čreva).</w:t>
        </w:r>
      </w:ins>
    </w:p>
    <w:p w14:paraId="7D2EC20F" w14:textId="77777777" w:rsidR="009700E5" w:rsidRDefault="002C033C">
      <w:pPr>
        <w:tabs>
          <w:tab w:val="left" w:pos="6379"/>
        </w:tabs>
        <w:ind w:left="993" w:hanging="633"/>
        <w:rPr>
          <w:rFonts w:eastAsia="SimSun"/>
          <w:lang w:eastAsia="zh-CN"/>
        </w:rPr>
        <w:pPrChange w:id="2963" w:author="Author" w:date="2026-02-18T13:32:00Z">
          <w:pPr>
            <w:tabs>
              <w:tab w:val="left" w:pos="6379"/>
            </w:tabs>
            <w:ind w:left="792" w:hanging="432"/>
          </w:pPr>
        </w:pPrChange>
      </w:pPr>
      <w:r>
        <w:rPr>
          <w:rFonts w:eastAsia="SimSun"/>
          <w:lang w:eastAsia="zh-CN"/>
        </w:rPr>
        <w:t>-</w:t>
      </w:r>
      <w:r>
        <w:rPr>
          <w:rFonts w:eastAsia="SimSun"/>
          <w:lang w:eastAsia="zh-CN"/>
        </w:rPr>
        <w:tab/>
      </w:r>
      <w:ins w:id="2964" w:author="Author" w:date="2026-02-18T10:31:00Z">
        <w:r>
          <w:rPr>
            <w:rFonts w:eastAsia="SimSun"/>
            <w:lang w:eastAsia="zh-CN"/>
          </w:rPr>
          <w:t xml:space="preserve">Upozornenie </w:t>
        </w:r>
        <w:r>
          <w:rPr>
            <w:szCs w:val="22"/>
          </w:rPr>
          <w:t>na</w:t>
        </w:r>
        <w:r>
          <w:rPr>
            <w:rFonts w:eastAsia="SimSun"/>
            <w:lang w:eastAsia="zh-CN"/>
          </w:rPr>
          <w:t xml:space="preserve"> riziko</w:t>
        </w:r>
      </w:ins>
      <w:del w:id="2965" w:author="Author" w:date="2026-02-12T09:42:00Z">
        <w:r>
          <w:rPr>
            <w:rFonts w:eastAsia="SimSun"/>
            <w:lang w:eastAsia="zh-CN"/>
          </w:rPr>
          <w:delText xml:space="preserve">informácia </w:delText>
        </w:r>
      </w:del>
      <w:del w:id="2966" w:author="Author" w:date="2026-02-18T10:31:00Z">
        <w:r>
          <w:rPr>
            <w:rFonts w:eastAsia="SimSun"/>
            <w:lang w:eastAsia="zh-CN"/>
          </w:rPr>
          <w:delText>o riziku</w:delText>
        </w:r>
      </w:del>
      <w:r>
        <w:rPr>
          <w:rFonts w:eastAsia="SimSun"/>
          <w:lang w:eastAsia="zh-CN"/>
        </w:rPr>
        <w:t xml:space="preserve">, že u pacientov, ktorí dostávajú RoActemru, môže nastať závažné poškodenie pečene. </w:t>
      </w:r>
      <w:ins w:id="2967" w:author="Author" w:date="2026-02-16T12:02:00Z">
        <w:r>
          <w:rPr>
            <w:rFonts w:eastAsia="SimSun"/>
            <w:lang w:eastAsia="zh-CN"/>
          </w:rPr>
          <w:t>Počas liečby Ro</w:t>
        </w:r>
      </w:ins>
      <w:ins w:id="2968" w:author="Author" w:date="2026-02-18T13:36:00Z">
        <w:r>
          <w:rPr>
            <w:rFonts w:eastAsia="SimSun"/>
            <w:lang w:eastAsia="zh-CN"/>
          </w:rPr>
          <w:t>A</w:t>
        </w:r>
      </w:ins>
      <w:ins w:id="2969" w:author="Author" w:date="2026-02-16T12:02:00Z">
        <w:r>
          <w:rPr>
            <w:rFonts w:eastAsia="SimSun"/>
            <w:lang w:eastAsia="zh-CN"/>
          </w:rPr>
          <w:t xml:space="preserve">ctemrou </w:t>
        </w:r>
      </w:ins>
      <w:ins w:id="2970" w:author="Author" w:date="2026-02-16T12:03:00Z">
        <w:r>
          <w:rPr>
            <w:rFonts w:eastAsia="SimSun"/>
            <w:lang w:eastAsia="zh-CN"/>
          </w:rPr>
          <w:t>sa má sledovať f</w:t>
        </w:r>
      </w:ins>
      <w:ins w:id="2971" w:author="Author" w:date="2026-02-12T10:28:00Z">
        <w:r>
          <w:rPr>
            <w:rFonts w:eastAsia="SimSun"/>
            <w:lang w:eastAsia="zh-CN"/>
          </w:rPr>
          <w:t>unkcia pečene</w:t>
        </w:r>
      </w:ins>
      <w:ins w:id="2972" w:author="Author" w:date="2026-02-12T10:29:00Z">
        <w:r>
          <w:rPr>
            <w:rFonts w:eastAsia="SimSun"/>
            <w:lang w:eastAsia="zh-CN"/>
          </w:rPr>
          <w:t xml:space="preserve"> </w:t>
        </w:r>
      </w:ins>
      <w:ins w:id="2973" w:author="Author" w:date="2026-02-12T10:43:00Z">
        <w:r>
          <w:rPr>
            <w:rFonts w:eastAsia="SimSun"/>
            <w:lang w:eastAsia="zh-CN"/>
          </w:rPr>
          <w:t xml:space="preserve">pacienta </w:t>
        </w:r>
      </w:ins>
      <w:ins w:id="2974" w:author="Author" w:date="2026-02-16T12:04:00Z">
        <w:r>
          <w:rPr>
            <w:rFonts w:eastAsia="SimSun"/>
            <w:lang w:eastAsia="zh-CN"/>
          </w:rPr>
          <w:t xml:space="preserve">a to </w:t>
        </w:r>
      </w:ins>
      <w:ins w:id="2975" w:author="Author" w:date="2026-02-12T10:45:00Z">
        <w:r>
          <w:rPr>
            <w:rFonts w:eastAsia="SimSun"/>
            <w:lang w:eastAsia="zh-CN"/>
          </w:rPr>
          <w:t xml:space="preserve">prostredníctvom pečeňových testov </w:t>
        </w:r>
      </w:ins>
      <w:del w:id="2976" w:author="Author" w:date="2026-02-12T10:29:00Z">
        <w:r>
          <w:rPr>
            <w:rFonts w:eastAsia="SimSun"/>
            <w:lang w:eastAsia="zh-CN"/>
          </w:rPr>
          <w:delText>U</w:delText>
        </w:r>
      </w:del>
      <w:del w:id="2977" w:author="Author" w:date="2026-02-12T10:43:00Z">
        <w:r>
          <w:rPr>
            <w:rFonts w:eastAsia="SimSun"/>
            <w:lang w:eastAsia="zh-CN"/>
          </w:rPr>
          <w:delText> </w:delText>
        </w:r>
      </w:del>
      <w:ins w:id="2978" w:author="Author" w:date="2026-02-16T12:04:00Z">
        <w:r>
          <w:rPr>
            <w:rFonts w:eastAsia="SimSun"/>
            <w:lang w:eastAsia="zh-CN"/>
          </w:rPr>
          <w:t xml:space="preserve">zameraných na </w:t>
        </w:r>
      </w:ins>
      <w:ins w:id="2979" w:author="Author" w:date="2026-02-12T10:40:00Z">
        <w:r>
          <w:rPr>
            <w:rFonts w:eastAsia="SimSun"/>
            <w:lang w:eastAsia="zh-CN"/>
          </w:rPr>
          <w:t>zm</w:t>
        </w:r>
      </w:ins>
      <w:ins w:id="2980" w:author="Author" w:date="2026-02-16T12:05:00Z">
        <w:r>
          <w:rPr>
            <w:rFonts w:eastAsia="SimSun"/>
            <w:lang w:eastAsia="zh-CN"/>
          </w:rPr>
          <w:t>eny</w:t>
        </w:r>
      </w:ins>
      <w:ins w:id="2981" w:author="Author" w:date="2026-02-12T10:40:00Z">
        <w:r>
          <w:rPr>
            <w:rFonts w:eastAsia="SimSun"/>
            <w:lang w:eastAsia="zh-CN"/>
          </w:rPr>
          <w:t xml:space="preserve"> v hladinách pečeňových enzýmov</w:t>
        </w:r>
      </w:ins>
      <w:del w:id="2982" w:author="Author" w:date="2026-02-12T10:46:00Z">
        <w:r>
          <w:rPr>
            <w:rFonts w:eastAsia="SimSun"/>
            <w:lang w:eastAsia="zh-CN"/>
          </w:rPr>
          <w:delText>pacientov sa budú sledovať výsledky vyšetrení funkcie pečene</w:delText>
        </w:r>
      </w:del>
      <w:r>
        <w:rPr>
          <w:rFonts w:eastAsia="SimSun"/>
          <w:lang w:eastAsia="zh-CN"/>
        </w:rPr>
        <w:t>. Pacienti majú okamžite informovať svojho lekára, ak sa u nich vyskytnú prejavy a príznaky pečeňovej toxicity vrátane únavy,</w:t>
      </w:r>
      <w:ins w:id="2983" w:author="Author" w:date="2026-02-16T12:06:00Z">
        <w:r>
          <w:rPr>
            <w:rFonts w:eastAsia="SimSun"/>
            <w:lang w:eastAsia="zh-CN"/>
          </w:rPr>
          <w:t xml:space="preserve"> </w:t>
        </w:r>
      </w:ins>
      <w:ins w:id="2984" w:author="Author" w:date="2026-02-16T12:08:00Z">
        <w:r>
          <w:rPr>
            <w:rFonts w:eastAsia="SimSun"/>
            <w:lang w:eastAsia="zh-CN"/>
          </w:rPr>
          <w:t>zmä</w:t>
        </w:r>
      </w:ins>
      <w:ins w:id="2985" w:author="Author" w:date="2026-02-16T12:09:00Z">
        <w:r>
          <w:rPr>
            <w:rFonts w:eastAsia="SimSun"/>
            <w:lang w:eastAsia="zh-CN"/>
          </w:rPr>
          <w:t>tenosti</w:t>
        </w:r>
      </w:ins>
      <w:ins w:id="2986" w:author="Author" w:date="2026-02-16T12:06:00Z">
        <w:r>
          <w:rPr>
            <w:rFonts w:eastAsia="SimSun"/>
            <w:lang w:eastAsia="zh-CN"/>
          </w:rPr>
          <w:t>,</w:t>
        </w:r>
      </w:ins>
      <w:r>
        <w:rPr>
          <w:rFonts w:eastAsia="SimSun"/>
          <w:lang w:eastAsia="zh-CN"/>
        </w:rPr>
        <w:t xml:space="preserve"> bolesti brucha</w:t>
      </w:r>
      <w:ins w:id="2987" w:author="Author" w:date="2026-02-16T12:06:00Z">
        <w:r>
          <w:rPr>
            <w:rFonts w:eastAsia="SimSun"/>
            <w:lang w:eastAsia="zh-CN"/>
          </w:rPr>
          <w:t xml:space="preserve">, </w:t>
        </w:r>
      </w:ins>
      <w:ins w:id="2988" w:author="Author" w:date="2026-02-16T12:09:00Z">
        <w:r>
          <w:rPr>
            <w:rFonts w:eastAsia="SimSun"/>
            <w:lang w:eastAsia="zh-CN"/>
          </w:rPr>
          <w:t xml:space="preserve">bolesti alebo opuchu v pravej hornej </w:t>
        </w:r>
      </w:ins>
      <w:ins w:id="2989" w:author="Author" w:date="2026-02-16T12:10:00Z">
        <w:r>
          <w:rPr>
            <w:rFonts w:eastAsia="SimSun"/>
            <w:lang w:eastAsia="zh-CN"/>
          </w:rPr>
          <w:t>oblasti žalúdka</w:t>
        </w:r>
      </w:ins>
      <w:r>
        <w:rPr>
          <w:rFonts w:eastAsia="SimSun"/>
          <w:lang w:eastAsia="zh-CN"/>
        </w:rPr>
        <w:t xml:space="preserve"> a</w:t>
      </w:r>
      <w:del w:id="2990" w:author="Author" w:date="2026-02-16T12:11:00Z">
        <w:r>
          <w:rPr>
            <w:rFonts w:eastAsia="SimSun"/>
            <w:lang w:eastAsia="zh-CN"/>
          </w:rPr>
          <w:delText xml:space="preserve"> </w:delText>
        </w:r>
      </w:del>
      <w:ins w:id="2991" w:author="Author" w:date="2026-02-16T12:11:00Z">
        <w:r>
          <w:rPr>
            <w:rFonts w:eastAsia="SimSun"/>
            <w:lang w:eastAsia="zh-CN"/>
          </w:rPr>
          <w:t> </w:t>
        </w:r>
      </w:ins>
      <w:r>
        <w:rPr>
          <w:rFonts w:eastAsia="SimSun"/>
          <w:lang w:eastAsia="zh-CN"/>
        </w:rPr>
        <w:t>žltačky</w:t>
      </w:r>
      <w:ins w:id="2992" w:author="Author" w:date="2026-02-16T12:11:00Z">
        <w:r>
          <w:rPr>
            <w:rFonts w:eastAsia="SimSun"/>
            <w:lang w:eastAsia="zh-CN"/>
          </w:rPr>
          <w:t xml:space="preserve"> (žlté sfarbenie kože a</w:t>
        </w:r>
      </w:ins>
      <w:ins w:id="2993" w:author="Author" w:date="2026-02-16T12:12:00Z">
        <w:r>
          <w:rPr>
            <w:rFonts w:eastAsia="SimSun"/>
            <w:lang w:eastAsia="zh-CN"/>
          </w:rPr>
          <w:t> očí a tmavohnedo sfarbený moč)</w:t>
        </w:r>
      </w:ins>
      <w:r>
        <w:rPr>
          <w:rFonts w:eastAsia="SimSun"/>
          <w:lang w:eastAsia="zh-CN"/>
        </w:rPr>
        <w:t>.</w:t>
      </w:r>
    </w:p>
    <w:p w14:paraId="05D7BA68" w14:textId="77777777" w:rsidR="009700E5" w:rsidRDefault="009700E5">
      <w:pPr>
        <w:ind w:left="993" w:hanging="633"/>
        <w:rPr>
          <w:rFonts w:eastAsia="SimSun"/>
          <w:lang w:eastAsia="zh-CN"/>
        </w:rPr>
        <w:pPrChange w:id="2994" w:author="Author" w:date="2026-02-18T13:32:00Z">
          <w:pPr>
            <w:ind w:left="562" w:hanging="562"/>
          </w:pPr>
        </w:pPrChange>
      </w:pPr>
    </w:p>
    <w:p w14:paraId="4016CC1F" w14:textId="77777777" w:rsidR="009700E5" w:rsidRDefault="002C033C">
      <w:pPr>
        <w:ind w:right="566"/>
        <w:rPr>
          <w:szCs w:val="22"/>
        </w:rPr>
      </w:pPr>
      <w:r>
        <w:rPr>
          <w:szCs w:val="22"/>
        </w:rPr>
        <w:br w:type="page"/>
      </w:r>
    </w:p>
    <w:p w14:paraId="45A19EC6" w14:textId="77777777" w:rsidR="009700E5" w:rsidRDefault="009700E5"/>
    <w:p w14:paraId="6454DFC7" w14:textId="77777777" w:rsidR="009700E5" w:rsidRDefault="009700E5"/>
    <w:p w14:paraId="2719CAEF" w14:textId="77777777" w:rsidR="009700E5" w:rsidRDefault="009700E5"/>
    <w:p w14:paraId="238AED0C" w14:textId="77777777" w:rsidR="009700E5" w:rsidRDefault="009700E5"/>
    <w:p w14:paraId="23B49E02" w14:textId="77777777" w:rsidR="009700E5" w:rsidRDefault="009700E5"/>
    <w:p w14:paraId="631E727D" w14:textId="77777777" w:rsidR="009700E5" w:rsidRDefault="009700E5"/>
    <w:p w14:paraId="221B155B" w14:textId="77777777" w:rsidR="009700E5" w:rsidRDefault="009700E5"/>
    <w:p w14:paraId="040F05C6" w14:textId="77777777" w:rsidR="009700E5" w:rsidRDefault="009700E5"/>
    <w:p w14:paraId="4F5D3BDE" w14:textId="77777777" w:rsidR="009700E5" w:rsidRDefault="009700E5"/>
    <w:p w14:paraId="46CEA3AB" w14:textId="77777777" w:rsidR="009700E5" w:rsidRDefault="009700E5"/>
    <w:p w14:paraId="00699FCE" w14:textId="77777777" w:rsidR="009700E5" w:rsidRDefault="009700E5"/>
    <w:p w14:paraId="6F245CA7" w14:textId="77777777" w:rsidR="009700E5" w:rsidRDefault="009700E5"/>
    <w:p w14:paraId="6103630F" w14:textId="77777777" w:rsidR="009700E5" w:rsidRDefault="009700E5"/>
    <w:p w14:paraId="59FC305B" w14:textId="77777777" w:rsidR="009700E5" w:rsidRDefault="009700E5"/>
    <w:p w14:paraId="3AD80134" w14:textId="77777777" w:rsidR="009700E5" w:rsidRDefault="009700E5"/>
    <w:p w14:paraId="0BB3022F" w14:textId="77777777" w:rsidR="009700E5" w:rsidRDefault="009700E5"/>
    <w:p w14:paraId="6D6773D4" w14:textId="77777777" w:rsidR="009700E5" w:rsidRDefault="009700E5"/>
    <w:p w14:paraId="34D3730B" w14:textId="77777777" w:rsidR="009700E5" w:rsidRDefault="009700E5"/>
    <w:p w14:paraId="2EF13D8C" w14:textId="77777777" w:rsidR="009700E5" w:rsidRDefault="009700E5"/>
    <w:p w14:paraId="77D2E173" w14:textId="77777777" w:rsidR="009700E5" w:rsidRDefault="009700E5"/>
    <w:p w14:paraId="701FDE74" w14:textId="77777777" w:rsidR="009700E5" w:rsidRDefault="009700E5"/>
    <w:p w14:paraId="11A5F4B7" w14:textId="77777777" w:rsidR="009700E5" w:rsidRDefault="009700E5"/>
    <w:p w14:paraId="26A9CB9A" w14:textId="77777777" w:rsidR="009700E5" w:rsidRDefault="009700E5"/>
    <w:p w14:paraId="5AF4927C" w14:textId="77777777" w:rsidR="009700E5" w:rsidRDefault="002C033C">
      <w:pPr>
        <w:jc w:val="center"/>
        <w:outlineLvl w:val="0"/>
        <w:rPr>
          <w:b/>
        </w:rPr>
      </w:pPr>
      <w:r>
        <w:rPr>
          <w:b/>
        </w:rPr>
        <w:t>PRÍLOHA III</w:t>
      </w:r>
    </w:p>
    <w:p w14:paraId="73A47A15" w14:textId="77777777" w:rsidR="009700E5" w:rsidRDefault="009700E5">
      <w:pPr>
        <w:jc w:val="center"/>
        <w:rPr>
          <w:b/>
        </w:rPr>
      </w:pPr>
    </w:p>
    <w:p w14:paraId="07EC6C12" w14:textId="77777777" w:rsidR="009700E5" w:rsidRDefault="002C033C">
      <w:pPr>
        <w:jc w:val="center"/>
        <w:rPr>
          <w:b/>
          <w:bCs/>
        </w:rPr>
      </w:pPr>
      <w:r>
        <w:rPr>
          <w:b/>
          <w:bCs/>
        </w:rPr>
        <w:t>OZNAČENIE OBALU A PÍSOMNÁ INFORMÁCIA PRE POUŽÍVATEĽA</w:t>
      </w:r>
    </w:p>
    <w:p w14:paraId="13FAAC82" w14:textId="77777777" w:rsidR="009700E5" w:rsidRDefault="002C033C">
      <w:pPr>
        <w:jc w:val="center"/>
      </w:pPr>
      <w:r>
        <w:br w:type="page"/>
      </w:r>
    </w:p>
    <w:p w14:paraId="12B8B306" w14:textId="77777777" w:rsidR="009700E5" w:rsidRDefault="009700E5">
      <w:pPr>
        <w:jc w:val="center"/>
      </w:pPr>
    </w:p>
    <w:p w14:paraId="52B89EB5" w14:textId="77777777" w:rsidR="009700E5" w:rsidRDefault="009700E5">
      <w:pPr>
        <w:jc w:val="center"/>
      </w:pPr>
    </w:p>
    <w:p w14:paraId="0FAD6212" w14:textId="77777777" w:rsidR="009700E5" w:rsidRDefault="009700E5">
      <w:pPr>
        <w:jc w:val="center"/>
      </w:pPr>
    </w:p>
    <w:p w14:paraId="0997F7A0" w14:textId="77777777" w:rsidR="009700E5" w:rsidRDefault="009700E5">
      <w:pPr>
        <w:jc w:val="center"/>
      </w:pPr>
    </w:p>
    <w:p w14:paraId="2603799D" w14:textId="77777777" w:rsidR="009700E5" w:rsidRDefault="009700E5">
      <w:pPr>
        <w:jc w:val="center"/>
      </w:pPr>
    </w:p>
    <w:p w14:paraId="6E5D3042" w14:textId="77777777" w:rsidR="009700E5" w:rsidRDefault="009700E5">
      <w:pPr>
        <w:jc w:val="center"/>
      </w:pPr>
    </w:p>
    <w:p w14:paraId="081144F9" w14:textId="77777777" w:rsidR="009700E5" w:rsidRDefault="009700E5">
      <w:pPr>
        <w:jc w:val="center"/>
      </w:pPr>
    </w:p>
    <w:p w14:paraId="198FB4A3" w14:textId="77777777" w:rsidR="009700E5" w:rsidRDefault="009700E5">
      <w:pPr>
        <w:jc w:val="center"/>
      </w:pPr>
    </w:p>
    <w:p w14:paraId="3911A330" w14:textId="77777777" w:rsidR="009700E5" w:rsidRDefault="009700E5">
      <w:pPr>
        <w:jc w:val="center"/>
      </w:pPr>
    </w:p>
    <w:p w14:paraId="74AE3756" w14:textId="77777777" w:rsidR="009700E5" w:rsidRDefault="009700E5">
      <w:pPr>
        <w:jc w:val="center"/>
      </w:pPr>
    </w:p>
    <w:p w14:paraId="5A8DC258" w14:textId="77777777" w:rsidR="009700E5" w:rsidRDefault="009700E5">
      <w:pPr>
        <w:jc w:val="center"/>
      </w:pPr>
    </w:p>
    <w:p w14:paraId="0B659D96" w14:textId="77777777" w:rsidR="009700E5" w:rsidRDefault="009700E5">
      <w:pPr>
        <w:jc w:val="center"/>
      </w:pPr>
    </w:p>
    <w:p w14:paraId="545B4162" w14:textId="77777777" w:rsidR="009700E5" w:rsidRDefault="009700E5">
      <w:pPr>
        <w:jc w:val="center"/>
      </w:pPr>
    </w:p>
    <w:p w14:paraId="4BE827CA" w14:textId="77777777" w:rsidR="009700E5" w:rsidRDefault="009700E5">
      <w:pPr>
        <w:jc w:val="center"/>
      </w:pPr>
    </w:p>
    <w:p w14:paraId="244B4C66" w14:textId="77777777" w:rsidR="009700E5" w:rsidRDefault="009700E5">
      <w:pPr>
        <w:jc w:val="center"/>
      </w:pPr>
    </w:p>
    <w:p w14:paraId="77BE9AA0" w14:textId="77777777" w:rsidR="009700E5" w:rsidRDefault="009700E5">
      <w:pPr>
        <w:jc w:val="center"/>
      </w:pPr>
    </w:p>
    <w:p w14:paraId="663EE774" w14:textId="77777777" w:rsidR="009700E5" w:rsidRDefault="009700E5">
      <w:pPr>
        <w:jc w:val="center"/>
      </w:pPr>
    </w:p>
    <w:p w14:paraId="16424CBF" w14:textId="77777777" w:rsidR="009700E5" w:rsidRDefault="009700E5">
      <w:pPr>
        <w:jc w:val="center"/>
      </w:pPr>
    </w:p>
    <w:p w14:paraId="0886FBAE" w14:textId="77777777" w:rsidR="009700E5" w:rsidRDefault="009700E5">
      <w:pPr>
        <w:jc w:val="center"/>
      </w:pPr>
    </w:p>
    <w:p w14:paraId="3D71EFD8" w14:textId="77777777" w:rsidR="009700E5" w:rsidRDefault="009700E5">
      <w:pPr>
        <w:jc w:val="center"/>
      </w:pPr>
    </w:p>
    <w:p w14:paraId="570AFCB2" w14:textId="77777777" w:rsidR="009700E5" w:rsidRDefault="009700E5">
      <w:pPr>
        <w:jc w:val="center"/>
      </w:pPr>
    </w:p>
    <w:p w14:paraId="5B8D2097" w14:textId="77777777" w:rsidR="009700E5" w:rsidRDefault="009700E5">
      <w:pPr>
        <w:jc w:val="center"/>
      </w:pPr>
    </w:p>
    <w:p w14:paraId="50281839" w14:textId="77777777" w:rsidR="009700E5" w:rsidRDefault="009700E5">
      <w:pPr>
        <w:jc w:val="center"/>
      </w:pPr>
    </w:p>
    <w:p w14:paraId="2D36149B" w14:textId="77777777" w:rsidR="009700E5" w:rsidRDefault="002C033C">
      <w:pPr>
        <w:pStyle w:val="Annex"/>
      </w:pPr>
      <w:r>
        <w:t>A. OZNAČENIE OBALU</w:t>
      </w:r>
    </w:p>
    <w:p w14:paraId="0EC1463E" w14:textId="77777777" w:rsidR="009700E5" w:rsidRDefault="002C033C">
      <w:pPr>
        <w:shd w:val="clear" w:color="auto" w:fill="FFFFFF"/>
      </w:pPr>
      <w:r>
        <w:br w:type="page"/>
      </w:r>
    </w:p>
    <w:p w14:paraId="27B07A63" w14:textId="77777777" w:rsidR="009700E5" w:rsidRDefault="002C033C">
      <w:pPr>
        <w:pBdr>
          <w:top w:val="single" w:sz="4" w:space="1" w:color="auto"/>
          <w:left w:val="single" w:sz="4" w:space="4" w:color="auto"/>
          <w:bottom w:val="single" w:sz="4" w:space="1" w:color="auto"/>
          <w:right w:val="single" w:sz="4" w:space="4" w:color="auto"/>
        </w:pBdr>
        <w:rPr>
          <w:b/>
        </w:rPr>
      </w:pPr>
      <w:r>
        <w:rPr>
          <w:b/>
        </w:rPr>
        <w:lastRenderedPageBreak/>
        <w:t>ÚDAJE, KTORÉ MAJÚ BYŤ UVEDENÉ NA VONKAJŠOM OBALE</w:t>
      </w:r>
    </w:p>
    <w:p w14:paraId="3853F4D8" w14:textId="77777777" w:rsidR="009700E5" w:rsidRDefault="009700E5">
      <w:pPr>
        <w:pBdr>
          <w:top w:val="single" w:sz="4" w:space="1" w:color="auto"/>
          <w:left w:val="single" w:sz="4" w:space="4" w:color="auto"/>
          <w:bottom w:val="single" w:sz="4" w:space="1" w:color="auto"/>
          <w:right w:val="single" w:sz="4" w:space="4" w:color="auto"/>
        </w:pBdr>
        <w:rPr>
          <w:bCs/>
        </w:rPr>
      </w:pPr>
    </w:p>
    <w:p w14:paraId="07E4C3E3" w14:textId="77777777" w:rsidR="009700E5" w:rsidRDefault="002C033C">
      <w:pPr>
        <w:pBdr>
          <w:top w:val="single" w:sz="4" w:space="1" w:color="auto"/>
          <w:left w:val="single" w:sz="4" w:space="4" w:color="auto"/>
          <w:bottom w:val="single" w:sz="4" w:space="1" w:color="auto"/>
          <w:right w:val="single" w:sz="4" w:space="4" w:color="auto"/>
        </w:pBdr>
        <w:rPr>
          <w:bCs/>
        </w:rPr>
      </w:pPr>
      <w:r>
        <w:rPr>
          <w:b/>
          <w:caps/>
        </w:rPr>
        <w:t>škatuľa</w:t>
      </w:r>
    </w:p>
    <w:p w14:paraId="6E3B7E87" w14:textId="77777777" w:rsidR="009700E5" w:rsidRDefault="009700E5"/>
    <w:p w14:paraId="7B72018B" w14:textId="77777777" w:rsidR="009700E5" w:rsidRDefault="009700E5"/>
    <w:p w14:paraId="5FB21F1D" w14:textId="77777777" w:rsidR="009700E5" w:rsidRDefault="002C033C">
      <w:pPr>
        <w:pBdr>
          <w:top w:val="single" w:sz="4" w:space="1" w:color="auto"/>
          <w:left w:val="single" w:sz="4" w:space="4" w:color="auto"/>
          <w:bottom w:val="single" w:sz="4" w:space="1" w:color="auto"/>
          <w:right w:val="single" w:sz="4" w:space="4" w:color="auto"/>
        </w:pBdr>
        <w:outlineLvl w:val="0"/>
      </w:pPr>
      <w:r>
        <w:rPr>
          <w:b/>
        </w:rPr>
        <w:t>1.</w:t>
      </w:r>
      <w:r>
        <w:rPr>
          <w:b/>
        </w:rPr>
        <w:tab/>
        <w:t>NÁZOV LIEKU</w:t>
      </w:r>
    </w:p>
    <w:p w14:paraId="4F6091D9" w14:textId="77777777" w:rsidR="009700E5" w:rsidRDefault="009700E5"/>
    <w:p w14:paraId="46C80467" w14:textId="77777777" w:rsidR="009700E5" w:rsidRDefault="002C033C">
      <w:r>
        <w:t xml:space="preserve">RoActemra 20 mg/ml </w:t>
      </w:r>
      <w:r>
        <w:rPr>
          <w:rStyle w:val="cf01"/>
          <w:rFonts w:ascii="Times New Roman" w:hAnsi="Times New Roman" w:cs="Times New Roman"/>
          <w:sz w:val="22"/>
          <w:szCs w:val="22"/>
        </w:rPr>
        <w:t>koncentrát na infúzny roztok</w:t>
      </w:r>
    </w:p>
    <w:p w14:paraId="025DC3B4" w14:textId="77777777" w:rsidR="009700E5" w:rsidRDefault="002C033C">
      <w:r>
        <w:t>tocilizumab</w:t>
      </w:r>
    </w:p>
    <w:p w14:paraId="62299386" w14:textId="77777777" w:rsidR="009700E5" w:rsidRDefault="009700E5"/>
    <w:p w14:paraId="700D724A" w14:textId="77777777" w:rsidR="009700E5" w:rsidRDefault="009700E5"/>
    <w:p w14:paraId="4EE68654" w14:textId="77777777" w:rsidR="009700E5" w:rsidRDefault="002C033C">
      <w:pPr>
        <w:pBdr>
          <w:top w:val="single" w:sz="4" w:space="1" w:color="auto"/>
          <w:left w:val="single" w:sz="4" w:space="4" w:color="auto"/>
          <w:bottom w:val="single" w:sz="4" w:space="1" w:color="auto"/>
          <w:right w:val="single" w:sz="4" w:space="4" w:color="auto"/>
        </w:pBdr>
        <w:outlineLvl w:val="0"/>
        <w:rPr>
          <w:b/>
        </w:rPr>
      </w:pPr>
      <w:r>
        <w:rPr>
          <w:b/>
        </w:rPr>
        <w:t>2.</w:t>
      </w:r>
      <w:r>
        <w:rPr>
          <w:b/>
        </w:rPr>
        <w:tab/>
      </w:r>
      <w:r w:rsidRPr="00723DEA">
        <w:rPr>
          <w:b/>
        </w:rPr>
        <w:t>LIEČIVO</w:t>
      </w:r>
    </w:p>
    <w:p w14:paraId="7CBC31AF" w14:textId="77777777" w:rsidR="009700E5" w:rsidRDefault="009700E5"/>
    <w:p w14:paraId="5ACAF95D" w14:textId="77777777" w:rsidR="009700E5" w:rsidRDefault="002C033C">
      <w:r>
        <w:t>1 injekčná liekovka obsahuje 80 mg tocilizumabu.</w:t>
      </w:r>
    </w:p>
    <w:p w14:paraId="37CD491D" w14:textId="77777777" w:rsidR="009700E5" w:rsidRDefault="002C033C">
      <w:pPr>
        <w:rPr>
          <w:highlight w:val="lightGray"/>
        </w:rPr>
      </w:pPr>
      <w:r>
        <w:rPr>
          <w:highlight w:val="lightGray"/>
        </w:rPr>
        <w:t>1 injekčná liekovka obsahuje 200 mg tocilizumabu.</w:t>
      </w:r>
    </w:p>
    <w:p w14:paraId="597ABFB1" w14:textId="77777777" w:rsidR="009700E5" w:rsidRDefault="002C033C">
      <w:r>
        <w:rPr>
          <w:highlight w:val="lightGray"/>
        </w:rPr>
        <w:t>1 injekčná liekovka obsahuje 400 mg tocilizumabu.</w:t>
      </w:r>
    </w:p>
    <w:p w14:paraId="5518C131" w14:textId="77777777" w:rsidR="009700E5" w:rsidRDefault="009700E5"/>
    <w:p w14:paraId="31B8511D" w14:textId="77777777" w:rsidR="009700E5" w:rsidRDefault="009700E5"/>
    <w:p w14:paraId="070C96FC" w14:textId="77777777" w:rsidR="009700E5" w:rsidRDefault="002C033C">
      <w:pPr>
        <w:pBdr>
          <w:top w:val="single" w:sz="4" w:space="1" w:color="auto"/>
          <w:left w:val="single" w:sz="4" w:space="4" w:color="auto"/>
          <w:bottom w:val="single" w:sz="4" w:space="1" w:color="auto"/>
          <w:right w:val="single" w:sz="4" w:space="4" w:color="auto"/>
        </w:pBdr>
        <w:outlineLvl w:val="0"/>
      </w:pPr>
      <w:r>
        <w:rPr>
          <w:b/>
        </w:rPr>
        <w:t>3.</w:t>
      </w:r>
      <w:r>
        <w:rPr>
          <w:b/>
        </w:rPr>
        <w:tab/>
        <w:t>ZOZNAM POMOCNÝCH LÁTOK</w:t>
      </w:r>
    </w:p>
    <w:p w14:paraId="09090609" w14:textId="77777777" w:rsidR="009700E5" w:rsidRDefault="009700E5"/>
    <w:p w14:paraId="3A393B7F" w14:textId="77777777" w:rsidR="009700E5" w:rsidRDefault="002C033C">
      <w:r>
        <w:rPr>
          <w:bCs/>
        </w:rPr>
        <w:t xml:space="preserve">Tiež obsahuje: polysorbát 80, sacharózu, dodekahydrát hydrogenfosforečnanu sodného, dihydrát dihydrogenfosforečnanu sodného a vodu na injekcie. </w:t>
      </w:r>
      <w:r>
        <w:t>Ďalšie informácie si pozrite v písomnej informácii pre používateľa.</w:t>
      </w:r>
    </w:p>
    <w:p w14:paraId="40AC41C4" w14:textId="77777777" w:rsidR="009700E5" w:rsidRDefault="009700E5"/>
    <w:p w14:paraId="2B63D2BF" w14:textId="77777777" w:rsidR="009700E5" w:rsidRDefault="009700E5"/>
    <w:p w14:paraId="2F98BB5C" w14:textId="77777777" w:rsidR="009700E5" w:rsidRDefault="002C033C">
      <w:pPr>
        <w:pBdr>
          <w:top w:val="single" w:sz="4" w:space="1" w:color="auto"/>
          <w:left w:val="single" w:sz="4" w:space="4" w:color="auto"/>
          <w:bottom w:val="single" w:sz="4" w:space="1" w:color="auto"/>
          <w:right w:val="single" w:sz="4" w:space="4" w:color="auto"/>
        </w:pBdr>
        <w:outlineLvl w:val="0"/>
      </w:pPr>
      <w:r>
        <w:rPr>
          <w:b/>
        </w:rPr>
        <w:t>4.</w:t>
      </w:r>
      <w:r>
        <w:rPr>
          <w:b/>
        </w:rPr>
        <w:tab/>
        <w:t>LIEKOVÁ FORMA A OBSAH</w:t>
      </w:r>
    </w:p>
    <w:p w14:paraId="11588753" w14:textId="77777777" w:rsidR="009700E5" w:rsidRDefault="009700E5"/>
    <w:p w14:paraId="0C4C38E6" w14:textId="77777777" w:rsidR="009700E5" w:rsidRDefault="002C033C">
      <w:r>
        <w:rPr>
          <w:rStyle w:val="cf01"/>
          <w:rFonts w:ascii="Times New Roman" w:hAnsi="Times New Roman" w:cs="Times New Roman"/>
          <w:sz w:val="22"/>
          <w:szCs w:val="22"/>
          <w:highlight w:val="lightGray"/>
        </w:rPr>
        <w:t>Koncentrát na infúzny roztok</w:t>
      </w:r>
    </w:p>
    <w:p w14:paraId="632F7671" w14:textId="77777777" w:rsidR="009700E5" w:rsidRDefault="002C033C">
      <w:r>
        <w:t>80 mg/4 ml</w:t>
      </w:r>
    </w:p>
    <w:p w14:paraId="2EDFB14E" w14:textId="77777777" w:rsidR="009700E5" w:rsidRDefault="002C033C">
      <w:r>
        <w:t>1 injekčná liekovka s objemom 4 ml</w:t>
      </w:r>
    </w:p>
    <w:p w14:paraId="56A1D886" w14:textId="77777777" w:rsidR="009700E5" w:rsidRDefault="002C033C">
      <w:r>
        <w:rPr>
          <w:highlight w:val="lightGray"/>
        </w:rPr>
        <w:t>4 injekčné liekovky s objemom 4 ml</w:t>
      </w:r>
    </w:p>
    <w:p w14:paraId="19FC68B2" w14:textId="77777777" w:rsidR="009700E5" w:rsidRDefault="009700E5"/>
    <w:p w14:paraId="03492A3E" w14:textId="77777777" w:rsidR="009700E5" w:rsidRDefault="002C033C">
      <w:pPr>
        <w:rPr>
          <w:highlight w:val="lightGray"/>
        </w:rPr>
      </w:pPr>
      <w:r>
        <w:rPr>
          <w:highlight w:val="lightGray"/>
        </w:rPr>
        <w:t>200 mg/10 ml</w:t>
      </w:r>
    </w:p>
    <w:p w14:paraId="28E63B21" w14:textId="77777777" w:rsidR="009700E5" w:rsidRDefault="002C033C">
      <w:r>
        <w:rPr>
          <w:highlight w:val="lightGray"/>
        </w:rPr>
        <w:t>1 injekčná liekovka s objemom 10 ml</w:t>
      </w:r>
    </w:p>
    <w:p w14:paraId="23773A15" w14:textId="77777777" w:rsidR="009700E5" w:rsidRDefault="002C033C">
      <w:r>
        <w:rPr>
          <w:highlight w:val="lightGray"/>
        </w:rPr>
        <w:t>4 injekčné liekovky s objemom 10 ml</w:t>
      </w:r>
    </w:p>
    <w:p w14:paraId="2FFC00FC" w14:textId="77777777" w:rsidR="009700E5" w:rsidRDefault="009700E5"/>
    <w:p w14:paraId="71BE96B7" w14:textId="77777777" w:rsidR="009700E5" w:rsidRDefault="002C033C">
      <w:pPr>
        <w:rPr>
          <w:highlight w:val="lightGray"/>
        </w:rPr>
      </w:pPr>
      <w:r>
        <w:rPr>
          <w:highlight w:val="lightGray"/>
        </w:rPr>
        <w:t>400 mg/20 ml</w:t>
      </w:r>
    </w:p>
    <w:p w14:paraId="37A8DC26" w14:textId="77777777" w:rsidR="009700E5" w:rsidRDefault="002C033C">
      <w:r>
        <w:rPr>
          <w:highlight w:val="lightGray"/>
        </w:rPr>
        <w:t>1 injekčná liekovka s objemom 20 ml</w:t>
      </w:r>
    </w:p>
    <w:p w14:paraId="64126669" w14:textId="77777777" w:rsidR="009700E5" w:rsidRDefault="002C033C">
      <w:r>
        <w:rPr>
          <w:highlight w:val="lightGray"/>
        </w:rPr>
        <w:t>4 injekčné liekovky s objemom 20 ml</w:t>
      </w:r>
    </w:p>
    <w:p w14:paraId="30EFA45C" w14:textId="77777777" w:rsidR="009700E5" w:rsidRDefault="009700E5"/>
    <w:p w14:paraId="74812B92" w14:textId="77777777" w:rsidR="009700E5" w:rsidRDefault="009700E5"/>
    <w:p w14:paraId="1A716B30" w14:textId="77777777" w:rsidR="009700E5" w:rsidRDefault="002C033C">
      <w:pPr>
        <w:pBdr>
          <w:top w:val="single" w:sz="4" w:space="1" w:color="auto"/>
          <w:left w:val="single" w:sz="4" w:space="4" w:color="auto"/>
          <w:bottom w:val="single" w:sz="4" w:space="1" w:color="auto"/>
          <w:right w:val="single" w:sz="4" w:space="4" w:color="auto"/>
        </w:pBdr>
        <w:outlineLvl w:val="0"/>
      </w:pPr>
      <w:r>
        <w:rPr>
          <w:b/>
        </w:rPr>
        <w:t>5.</w:t>
      </w:r>
      <w:r>
        <w:rPr>
          <w:b/>
        </w:rPr>
        <w:tab/>
        <w:t>SPÔSOB A CESTA PODÁVANIA</w:t>
      </w:r>
    </w:p>
    <w:p w14:paraId="0C29E0B0" w14:textId="77777777" w:rsidR="009700E5" w:rsidRDefault="009700E5">
      <w:pPr>
        <w:rPr>
          <w:i/>
        </w:rPr>
      </w:pPr>
    </w:p>
    <w:p w14:paraId="3D9D8805" w14:textId="77777777" w:rsidR="009700E5" w:rsidRDefault="002C033C">
      <w:pPr>
        <w:outlineLvl w:val="0"/>
      </w:pPr>
      <w:r>
        <w:t>Na intravenóznu infúziu po zriedení</w:t>
      </w:r>
    </w:p>
    <w:p w14:paraId="5F77F79D" w14:textId="77777777" w:rsidR="009700E5" w:rsidRDefault="002C033C">
      <w:r>
        <w:t>Zriedený liek sa má použiť ihneď</w:t>
      </w:r>
    </w:p>
    <w:p w14:paraId="18632D09" w14:textId="77777777" w:rsidR="009700E5" w:rsidRDefault="002C033C">
      <w:pPr>
        <w:rPr>
          <w:szCs w:val="22"/>
        </w:rPr>
      </w:pPr>
      <w:r>
        <w:rPr>
          <w:szCs w:val="22"/>
        </w:rPr>
        <w:t>Pred použitím si prečítajte písomnú informáciu pre používateľa</w:t>
      </w:r>
    </w:p>
    <w:p w14:paraId="2FC3746F" w14:textId="77777777" w:rsidR="009700E5" w:rsidRDefault="009700E5"/>
    <w:p w14:paraId="785688B5" w14:textId="77777777" w:rsidR="009700E5" w:rsidRDefault="009700E5"/>
    <w:p w14:paraId="2AC78569" w14:textId="77777777" w:rsidR="009700E5" w:rsidRDefault="002C033C">
      <w:pPr>
        <w:pBdr>
          <w:top w:val="single" w:sz="4" w:space="1" w:color="auto"/>
          <w:left w:val="single" w:sz="4" w:space="4" w:color="auto"/>
          <w:bottom w:val="single" w:sz="4" w:space="1" w:color="auto"/>
          <w:right w:val="single" w:sz="4" w:space="4" w:color="auto"/>
        </w:pBdr>
        <w:ind w:left="567" w:hanging="567"/>
        <w:outlineLvl w:val="0"/>
      </w:pPr>
      <w:r>
        <w:rPr>
          <w:b/>
        </w:rPr>
        <w:t>6.</w:t>
      </w:r>
      <w:r>
        <w:rPr>
          <w:b/>
        </w:rPr>
        <w:tab/>
        <w:t>ŠPECIÁLNE UPOZORNENIE, ŽE LIEK SA MUSÍ UCHOVÁVAŤ MIMO DOHĽADU A DOSAHU DETÍ</w:t>
      </w:r>
    </w:p>
    <w:p w14:paraId="4355D826" w14:textId="77777777" w:rsidR="009700E5" w:rsidRDefault="009700E5"/>
    <w:p w14:paraId="4F51FCD3" w14:textId="77777777" w:rsidR="009700E5" w:rsidRDefault="002C033C">
      <w:pPr>
        <w:outlineLvl w:val="0"/>
        <w:rPr>
          <w:szCs w:val="22"/>
        </w:rPr>
      </w:pPr>
      <w:r>
        <w:rPr>
          <w:szCs w:val="22"/>
        </w:rPr>
        <w:t>Uchovávajte mimo dohľadu a dosahu detí</w:t>
      </w:r>
    </w:p>
    <w:p w14:paraId="175D0E62" w14:textId="77777777" w:rsidR="009700E5" w:rsidRDefault="009700E5"/>
    <w:p w14:paraId="67FD965F" w14:textId="77777777" w:rsidR="009700E5" w:rsidRDefault="009700E5"/>
    <w:p w14:paraId="067EB360" w14:textId="77777777" w:rsidR="009700E5" w:rsidRDefault="002C033C">
      <w:pPr>
        <w:keepNext/>
        <w:keepLines/>
        <w:pBdr>
          <w:top w:val="single" w:sz="4" w:space="1" w:color="auto"/>
          <w:left w:val="single" w:sz="4" w:space="4" w:color="auto"/>
          <w:bottom w:val="single" w:sz="4" w:space="1" w:color="auto"/>
          <w:right w:val="single" w:sz="4" w:space="4" w:color="auto"/>
        </w:pBdr>
        <w:ind w:left="567" w:hanging="567"/>
        <w:outlineLvl w:val="0"/>
      </w:pPr>
      <w:r>
        <w:rPr>
          <w:b/>
        </w:rPr>
        <w:lastRenderedPageBreak/>
        <w:t>7.</w:t>
      </w:r>
      <w:r>
        <w:rPr>
          <w:b/>
        </w:rPr>
        <w:tab/>
        <w:t>INÉ ŠPECIÁLNE UPOZORNENIE, AK JE TO POTREBNÉ</w:t>
      </w:r>
    </w:p>
    <w:p w14:paraId="45B41CD4" w14:textId="77777777" w:rsidR="009700E5" w:rsidRDefault="009700E5">
      <w:pPr>
        <w:keepNext/>
        <w:keepLines/>
      </w:pPr>
    </w:p>
    <w:p w14:paraId="29C2B846" w14:textId="77777777" w:rsidR="009700E5" w:rsidRDefault="009700E5">
      <w:pPr>
        <w:keepNext/>
        <w:keepLines/>
      </w:pPr>
    </w:p>
    <w:p w14:paraId="2E24254E" w14:textId="77777777" w:rsidR="009700E5" w:rsidRDefault="002C033C">
      <w:pPr>
        <w:pBdr>
          <w:top w:val="single" w:sz="4" w:space="1" w:color="auto"/>
          <w:left w:val="single" w:sz="4" w:space="4" w:color="auto"/>
          <w:bottom w:val="single" w:sz="4" w:space="1" w:color="auto"/>
          <w:right w:val="single" w:sz="4" w:space="4" w:color="auto"/>
        </w:pBdr>
        <w:outlineLvl w:val="0"/>
      </w:pPr>
      <w:r>
        <w:rPr>
          <w:b/>
        </w:rPr>
        <w:t>8.</w:t>
      </w:r>
      <w:r>
        <w:rPr>
          <w:b/>
        </w:rPr>
        <w:tab/>
        <w:t>DÁTUM EXSPIRÁCIE</w:t>
      </w:r>
    </w:p>
    <w:p w14:paraId="3BB7ECF0" w14:textId="77777777" w:rsidR="009700E5" w:rsidRDefault="009700E5"/>
    <w:p w14:paraId="1A099798" w14:textId="77777777" w:rsidR="009700E5" w:rsidRDefault="002C033C">
      <w:r>
        <w:t>EXP</w:t>
      </w:r>
    </w:p>
    <w:p w14:paraId="7D0964FA" w14:textId="77777777" w:rsidR="009700E5" w:rsidRDefault="009700E5"/>
    <w:p w14:paraId="6C73C4F3" w14:textId="77777777" w:rsidR="009700E5" w:rsidRDefault="009700E5"/>
    <w:p w14:paraId="3057A17A" w14:textId="77777777" w:rsidR="009700E5" w:rsidRDefault="002C033C">
      <w:pPr>
        <w:keepNext/>
        <w:keepLines/>
        <w:pBdr>
          <w:top w:val="single" w:sz="4" w:space="1" w:color="auto"/>
          <w:left w:val="single" w:sz="4" w:space="4" w:color="auto"/>
          <w:bottom w:val="single" w:sz="4" w:space="1" w:color="auto"/>
          <w:right w:val="single" w:sz="4" w:space="4" w:color="auto"/>
        </w:pBdr>
        <w:outlineLvl w:val="0"/>
      </w:pPr>
      <w:r>
        <w:rPr>
          <w:b/>
        </w:rPr>
        <w:t>9.</w:t>
      </w:r>
      <w:r>
        <w:rPr>
          <w:b/>
        </w:rPr>
        <w:tab/>
        <w:t>ŠPECIÁLNE PODMIENKY NA UCHOVÁVANIE</w:t>
      </w:r>
    </w:p>
    <w:p w14:paraId="2CDAA142" w14:textId="77777777" w:rsidR="009700E5" w:rsidRDefault="009700E5">
      <w:pPr>
        <w:keepNext/>
        <w:ind w:left="567" w:hanging="567"/>
      </w:pPr>
    </w:p>
    <w:p w14:paraId="5A6935F2" w14:textId="77777777" w:rsidR="009700E5" w:rsidRDefault="002C033C">
      <w:r>
        <w:t>Uchovávajte v chladničke</w:t>
      </w:r>
    </w:p>
    <w:p w14:paraId="11475E02" w14:textId="77777777" w:rsidR="009700E5" w:rsidRDefault="002C033C">
      <w:r>
        <w:t>Neuchovávajte v mrazničke</w:t>
      </w:r>
    </w:p>
    <w:p w14:paraId="79EE2513" w14:textId="77777777" w:rsidR="009700E5" w:rsidRDefault="002C033C">
      <w:r>
        <w:t>Injekčnú liekovku uchovávajte v škatuli na ochranu pred svetlom</w:t>
      </w:r>
    </w:p>
    <w:p w14:paraId="40114C81" w14:textId="77777777" w:rsidR="009700E5" w:rsidRDefault="009700E5">
      <w:pPr>
        <w:ind w:left="567" w:hanging="567"/>
      </w:pPr>
    </w:p>
    <w:p w14:paraId="72B0BB6A" w14:textId="77777777" w:rsidR="009700E5" w:rsidRDefault="009700E5">
      <w:pPr>
        <w:ind w:left="567" w:hanging="567"/>
      </w:pPr>
    </w:p>
    <w:p w14:paraId="0112C773" w14:textId="77777777" w:rsidR="009700E5" w:rsidRDefault="002C033C">
      <w:pPr>
        <w:pBdr>
          <w:top w:val="single" w:sz="4" w:space="1" w:color="auto"/>
          <w:left w:val="single" w:sz="4" w:space="4" w:color="auto"/>
          <w:bottom w:val="single" w:sz="4" w:space="1" w:color="auto"/>
          <w:right w:val="single" w:sz="4" w:space="4" w:color="auto"/>
        </w:pBdr>
        <w:ind w:left="567" w:hanging="567"/>
        <w:outlineLvl w:val="0"/>
        <w:rPr>
          <w:b/>
        </w:rPr>
      </w:pPr>
      <w:r>
        <w:rPr>
          <w:b/>
        </w:rPr>
        <w:t>10.</w:t>
      </w:r>
      <w:r>
        <w:rPr>
          <w:b/>
        </w:rPr>
        <w:tab/>
        <w:t>ŠPECIÁLNE UPOZORNENIA NA LIKVIDÁCIU NEPOUŽITÝCH LIEKOV ALEBO ODPADOV Z NICH VZNIKNUTÝCH, AK JE TO VHODNÉ</w:t>
      </w:r>
    </w:p>
    <w:p w14:paraId="487A36A8" w14:textId="77777777" w:rsidR="009700E5" w:rsidRDefault="009700E5"/>
    <w:p w14:paraId="138FA77F" w14:textId="77777777" w:rsidR="009700E5" w:rsidRDefault="009700E5"/>
    <w:p w14:paraId="091977A0" w14:textId="77777777" w:rsidR="009700E5" w:rsidRDefault="002C033C">
      <w:pPr>
        <w:pBdr>
          <w:top w:val="single" w:sz="4" w:space="1" w:color="auto"/>
          <w:left w:val="single" w:sz="4" w:space="4" w:color="auto"/>
          <w:bottom w:val="single" w:sz="4" w:space="1" w:color="auto"/>
          <w:right w:val="single" w:sz="4" w:space="4" w:color="auto"/>
        </w:pBdr>
        <w:outlineLvl w:val="0"/>
        <w:rPr>
          <w:b/>
        </w:rPr>
      </w:pPr>
      <w:r>
        <w:rPr>
          <w:b/>
        </w:rPr>
        <w:t>11.</w:t>
      </w:r>
      <w:r>
        <w:rPr>
          <w:b/>
        </w:rPr>
        <w:tab/>
        <w:t>NÁZOV A ADRESA DRŽITEĽA ROZHODNUTIA O REGISTRÁCII</w:t>
      </w:r>
    </w:p>
    <w:p w14:paraId="310EE95A" w14:textId="77777777" w:rsidR="009700E5" w:rsidRDefault="009700E5"/>
    <w:p w14:paraId="241AEC53" w14:textId="77777777" w:rsidR="009700E5" w:rsidRDefault="002C033C">
      <w:r>
        <w:t xml:space="preserve">Roche Registration GmbH </w:t>
      </w:r>
    </w:p>
    <w:p w14:paraId="37E902B2" w14:textId="77777777" w:rsidR="009700E5" w:rsidRDefault="002C033C">
      <w:r>
        <w:t>Emil-Barell-Strasse 1</w:t>
      </w:r>
    </w:p>
    <w:p w14:paraId="011938A4" w14:textId="77777777" w:rsidR="009700E5" w:rsidRDefault="002C033C">
      <w:r>
        <w:t>79639 Grenzach-Wyhlen</w:t>
      </w:r>
    </w:p>
    <w:p w14:paraId="3F9E941D" w14:textId="77777777" w:rsidR="009700E5" w:rsidRDefault="002C033C">
      <w:r>
        <w:t>Nemecko</w:t>
      </w:r>
    </w:p>
    <w:p w14:paraId="41A500A4" w14:textId="77777777" w:rsidR="009700E5" w:rsidRDefault="009700E5"/>
    <w:p w14:paraId="72166C4A" w14:textId="77777777" w:rsidR="009700E5" w:rsidRDefault="009700E5"/>
    <w:p w14:paraId="6145557B" w14:textId="77777777" w:rsidR="009700E5" w:rsidRDefault="002C033C">
      <w:pPr>
        <w:pBdr>
          <w:top w:val="single" w:sz="4" w:space="1" w:color="auto"/>
          <w:left w:val="single" w:sz="4" w:space="4" w:color="auto"/>
          <w:bottom w:val="single" w:sz="4" w:space="1" w:color="auto"/>
          <w:right w:val="single" w:sz="4" w:space="4" w:color="auto"/>
        </w:pBdr>
        <w:ind w:left="567" w:hanging="567"/>
        <w:outlineLvl w:val="0"/>
      </w:pPr>
      <w:r>
        <w:rPr>
          <w:b/>
        </w:rPr>
        <w:t>12.</w:t>
      </w:r>
      <w:r>
        <w:rPr>
          <w:b/>
        </w:rPr>
        <w:tab/>
        <w:t>REGISTRAČNÉ ČÍSLO</w:t>
      </w:r>
    </w:p>
    <w:p w14:paraId="3BED409A" w14:textId="77777777" w:rsidR="009700E5" w:rsidRDefault="009700E5"/>
    <w:p w14:paraId="17D42386" w14:textId="77777777" w:rsidR="009700E5" w:rsidRDefault="002C033C">
      <w:pPr>
        <w:rPr>
          <w:highlight w:val="lightGray"/>
        </w:rPr>
      </w:pPr>
      <w:r>
        <w:t xml:space="preserve">EU/1/08/492/001 </w:t>
      </w:r>
      <w:r>
        <w:rPr>
          <w:highlight w:val="lightGray"/>
        </w:rPr>
        <w:t>1 injekčná liekovka s objemom 4 ml</w:t>
      </w:r>
    </w:p>
    <w:p w14:paraId="40637B69" w14:textId="77777777" w:rsidR="009700E5" w:rsidRDefault="002C033C">
      <w:pPr>
        <w:rPr>
          <w:highlight w:val="lightGray"/>
        </w:rPr>
      </w:pPr>
      <w:r>
        <w:rPr>
          <w:highlight w:val="lightGray"/>
        </w:rPr>
        <w:t>EU/1/08/492/002 4 injekčné liekovky s objemom 4 ml</w:t>
      </w:r>
    </w:p>
    <w:p w14:paraId="438239AB" w14:textId="77777777" w:rsidR="009700E5" w:rsidRDefault="002C033C">
      <w:pPr>
        <w:rPr>
          <w:highlight w:val="lightGray"/>
        </w:rPr>
      </w:pPr>
      <w:r>
        <w:rPr>
          <w:highlight w:val="lightGray"/>
        </w:rPr>
        <w:t>EU/1/08/492/003 1 injekčná liekovka s objemom 10 ml</w:t>
      </w:r>
    </w:p>
    <w:p w14:paraId="75EB3CBE" w14:textId="77777777" w:rsidR="009700E5" w:rsidRDefault="002C033C">
      <w:pPr>
        <w:rPr>
          <w:highlight w:val="lightGray"/>
        </w:rPr>
      </w:pPr>
      <w:r>
        <w:rPr>
          <w:highlight w:val="lightGray"/>
        </w:rPr>
        <w:t>EU/1/08/492/004 4 injekčné liekovky s objemom 10 ml</w:t>
      </w:r>
    </w:p>
    <w:p w14:paraId="5C864D3E" w14:textId="77777777" w:rsidR="009700E5" w:rsidRDefault="002C033C">
      <w:pPr>
        <w:rPr>
          <w:highlight w:val="lightGray"/>
        </w:rPr>
      </w:pPr>
      <w:r>
        <w:rPr>
          <w:highlight w:val="lightGray"/>
        </w:rPr>
        <w:t>EU/1/08/492/005 1 injekčná liekovka s objemom 20 ml</w:t>
      </w:r>
    </w:p>
    <w:p w14:paraId="274E260E" w14:textId="77777777" w:rsidR="009700E5" w:rsidRDefault="002C033C">
      <w:r>
        <w:rPr>
          <w:highlight w:val="lightGray"/>
        </w:rPr>
        <w:t>EU/1/08/492/006 4 injekčné liekovky s objemom 20 ml</w:t>
      </w:r>
    </w:p>
    <w:p w14:paraId="7C16BB74" w14:textId="77777777" w:rsidR="009700E5" w:rsidRDefault="009700E5"/>
    <w:p w14:paraId="0F223F37" w14:textId="77777777" w:rsidR="009700E5" w:rsidRDefault="009700E5"/>
    <w:p w14:paraId="2FDFCE04" w14:textId="77777777" w:rsidR="009700E5" w:rsidRDefault="002C033C">
      <w:pPr>
        <w:pBdr>
          <w:top w:val="single" w:sz="4" w:space="1" w:color="auto"/>
          <w:left w:val="single" w:sz="4" w:space="4" w:color="auto"/>
          <w:bottom w:val="single" w:sz="4" w:space="1" w:color="auto"/>
          <w:right w:val="single" w:sz="4" w:space="4" w:color="auto"/>
        </w:pBdr>
        <w:ind w:left="567" w:hanging="567"/>
        <w:outlineLvl w:val="0"/>
      </w:pPr>
      <w:r>
        <w:rPr>
          <w:b/>
        </w:rPr>
        <w:t>13.</w:t>
      </w:r>
      <w:r>
        <w:rPr>
          <w:b/>
        </w:rPr>
        <w:tab/>
        <w:t>ČÍSLO VÝROBNEJ ŠARŽE</w:t>
      </w:r>
    </w:p>
    <w:p w14:paraId="37EF294C" w14:textId="77777777" w:rsidR="009700E5" w:rsidRDefault="009700E5"/>
    <w:p w14:paraId="6D102B23" w14:textId="77777777" w:rsidR="009700E5" w:rsidRDefault="002C033C">
      <w:r>
        <w:t>Lot</w:t>
      </w:r>
    </w:p>
    <w:p w14:paraId="2053D873" w14:textId="77777777" w:rsidR="009700E5" w:rsidRDefault="009700E5"/>
    <w:p w14:paraId="4BA37BA2" w14:textId="77777777" w:rsidR="009700E5" w:rsidRDefault="009700E5"/>
    <w:p w14:paraId="59CAD71B" w14:textId="77777777" w:rsidR="009700E5" w:rsidRDefault="002C033C">
      <w:pPr>
        <w:pBdr>
          <w:top w:val="single" w:sz="4" w:space="1" w:color="auto"/>
          <w:left w:val="single" w:sz="4" w:space="4" w:color="auto"/>
          <w:bottom w:val="single" w:sz="4" w:space="1" w:color="auto"/>
          <w:right w:val="single" w:sz="4" w:space="4" w:color="auto"/>
        </w:pBdr>
        <w:outlineLvl w:val="0"/>
      </w:pPr>
      <w:r>
        <w:rPr>
          <w:b/>
        </w:rPr>
        <w:t>14.</w:t>
      </w:r>
      <w:r>
        <w:rPr>
          <w:b/>
        </w:rPr>
        <w:tab/>
        <w:t>ZATRIEDENIE LIEKU PODĽA SPÔSOBU VÝDAJA</w:t>
      </w:r>
    </w:p>
    <w:p w14:paraId="55AB1E2B" w14:textId="77777777" w:rsidR="009700E5" w:rsidRDefault="009700E5"/>
    <w:p w14:paraId="20B13F06" w14:textId="77777777" w:rsidR="009700E5" w:rsidRDefault="009700E5"/>
    <w:p w14:paraId="4ACB9621" w14:textId="77777777" w:rsidR="009700E5" w:rsidRDefault="002C033C">
      <w:pPr>
        <w:pBdr>
          <w:top w:val="single" w:sz="4" w:space="1" w:color="auto"/>
          <w:left w:val="single" w:sz="4" w:space="4" w:color="auto"/>
          <w:bottom w:val="single" w:sz="4" w:space="1" w:color="auto"/>
          <w:right w:val="single" w:sz="4" w:space="4" w:color="auto"/>
        </w:pBdr>
        <w:ind w:left="567" w:hanging="567"/>
        <w:outlineLvl w:val="0"/>
      </w:pPr>
      <w:r>
        <w:rPr>
          <w:b/>
        </w:rPr>
        <w:t>15.</w:t>
      </w:r>
      <w:r>
        <w:rPr>
          <w:b/>
        </w:rPr>
        <w:tab/>
        <w:t>POKYNY NA POUŽITIE</w:t>
      </w:r>
    </w:p>
    <w:p w14:paraId="7F4B5EBB" w14:textId="77777777" w:rsidR="009700E5" w:rsidRDefault="009700E5"/>
    <w:p w14:paraId="097E179C" w14:textId="77777777" w:rsidR="009700E5" w:rsidRDefault="009700E5"/>
    <w:p w14:paraId="455C6FE6" w14:textId="77777777" w:rsidR="009700E5" w:rsidRDefault="002C033C">
      <w:pPr>
        <w:pBdr>
          <w:top w:val="single" w:sz="4" w:space="1" w:color="auto"/>
          <w:left w:val="single" w:sz="4" w:space="4" w:color="auto"/>
          <w:bottom w:val="single" w:sz="4" w:space="1" w:color="auto"/>
          <w:right w:val="single" w:sz="4" w:space="4" w:color="auto"/>
        </w:pBdr>
        <w:ind w:left="567" w:hanging="567"/>
        <w:outlineLvl w:val="0"/>
      </w:pPr>
      <w:r>
        <w:rPr>
          <w:b/>
        </w:rPr>
        <w:t>16.</w:t>
      </w:r>
      <w:r>
        <w:rPr>
          <w:b/>
        </w:rPr>
        <w:tab/>
        <w:t>INFORMÁCIE V BRAILLOVOM PÍSME</w:t>
      </w:r>
    </w:p>
    <w:p w14:paraId="063D9530" w14:textId="77777777" w:rsidR="009700E5" w:rsidRDefault="009700E5"/>
    <w:p w14:paraId="0391029F" w14:textId="77777777" w:rsidR="009700E5" w:rsidRDefault="002C033C">
      <w:r>
        <w:rPr>
          <w:highlight w:val="lightGray"/>
        </w:rPr>
        <w:t>Zdôvodnenie neuvádzať informáciu v Braillovom písme sa akceptuje.</w:t>
      </w:r>
    </w:p>
    <w:p w14:paraId="6D1E395E" w14:textId="77777777" w:rsidR="009700E5" w:rsidRDefault="009700E5">
      <w:pPr>
        <w:rPr>
          <w:szCs w:val="22"/>
        </w:rPr>
      </w:pPr>
    </w:p>
    <w:p w14:paraId="3B8BC069" w14:textId="77777777" w:rsidR="009700E5" w:rsidRDefault="009700E5">
      <w:pPr>
        <w:rPr>
          <w:szCs w:val="22"/>
        </w:rPr>
      </w:pPr>
    </w:p>
    <w:p w14:paraId="7B616052" w14:textId="77777777" w:rsidR="009700E5" w:rsidRDefault="002C033C">
      <w:pPr>
        <w:keepNext/>
        <w:keepLines/>
        <w:pBdr>
          <w:top w:val="single" w:sz="4" w:space="2" w:color="auto"/>
          <w:left w:val="single" w:sz="4" w:space="4" w:color="auto"/>
          <w:bottom w:val="single" w:sz="4" w:space="0" w:color="auto"/>
          <w:right w:val="single" w:sz="4" w:space="4" w:color="auto"/>
        </w:pBdr>
        <w:rPr>
          <w:b/>
        </w:rPr>
      </w:pPr>
      <w:r>
        <w:rPr>
          <w:b/>
        </w:rPr>
        <w:lastRenderedPageBreak/>
        <w:t>17.</w:t>
      </w:r>
      <w:r>
        <w:rPr>
          <w:b/>
        </w:rPr>
        <w:tab/>
        <w:t>ŠPECIFICKÝ IDENTIFIKÁTOR – DVOJROZMERNÝ ČIAROVÝ KÓD</w:t>
      </w:r>
    </w:p>
    <w:p w14:paraId="61B9245F" w14:textId="77777777" w:rsidR="009700E5" w:rsidRDefault="009700E5">
      <w:pPr>
        <w:keepNext/>
        <w:keepLines/>
      </w:pPr>
    </w:p>
    <w:p w14:paraId="16B530A6" w14:textId="77777777" w:rsidR="009700E5" w:rsidRDefault="002C033C">
      <w:pPr>
        <w:keepNext/>
        <w:keepLines/>
        <w:rPr>
          <w:szCs w:val="22"/>
          <w:shd w:val="clear" w:color="auto" w:fill="CCCCCC"/>
        </w:rPr>
      </w:pPr>
      <w:r>
        <w:rPr>
          <w:highlight w:val="lightGray"/>
        </w:rPr>
        <w:t>Dvojrozmerný čiarový kód so špecifickým identifikátorom.</w:t>
      </w:r>
    </w:p>
    <w:p w14:paraId="40180581" w14:textId="77777777" w:rsidR="009700E5" w:rsidRDefault="009700E5">
      <w:pPr>
        <w:keepNext/>
        <w:keepLines/>
      </w:pPr>
    </w:p>
    <w:p w14:paraId="7497FE5A" w14:textId="77777777" w:rsidR="009700E5" w:rsidRDefault="009700E5"/>
    <w:p w14:paraId="0605B065" w14:textId="77777777" w:rsidR="009700E5" w:rsidRDefault="002C033C">
      <w:pPr>
        <w:pBdr>
          <w:top w:val="single" w:sz="4" w:space="2" w:color="auto"/>
          <w:left w:val="single" w:sz="4" w:space="4" w:color="auto"/>
          <w:bottom w:val="single" w:sz="4" w:space="0" w:color="auto"/>
          <w:right w:val="single" w:sz="4" w:space="4" w:color="auto"/>
        </w:pBdr>
        <w:rPr>
          <w:b/>
        </w:rPr>
      </w:pPr>
      <w:r>
        <w:rPr>
          <w:b/>
        </w:rPr>
        <w:t>18.</w:t>
      </w:r>
      <w:r>
        <w:rPr>
          <w:b/>
        </w:rPr>
        <w:tab/>
        <w:t>ŠPECIFICKÝ IDENTIFIKÁTOR – ÚDAJE ČITATEĽNÉ ĽUDSKÝM OKOM</w:t>
      </w:r>
    </w:p>
    <w:p w14:paraId="234CC32C" w14:textId="77777777" w:rsidR="009700E5" w:rsidRDefault="009700E5"/>
    <w:p w14:paraId="52E83677" w14:textId="77777777" w:rsidR="009700E5" w:rsidRDefault="002C033C">
      <w:pPr>
        <w:rPr>
          <w:szCs w:val="22"/>
        </w:rPr>
      </w:pPr>
      <w:r>
        <w:t>PC</w:t>
      </w:r>
    </w:p>
    <w:p w14:paraId="317E5803" w14:textId="77777777" w:rsidR="009700E5" w:rsidRDefault="002C033C">
      <w:pPr>
        <w:rPr>
          <w:szCs w:val="22"/>
        </w:rPr>
      </w:pPr>
      <w:r>
        <w:t>SN</w:t>
      </w:r>
    </w:p>
    <w:p w14:paraId="57032A54" w14:textId="77777777" w:rsidR="009700E5" w:rsidRDefault="002C033C">
      <w:pPr>
        <w:rPr>
          <w:szCs w:val="22"/>
        </w:rPr>
      </w:pPr>
      <w:r>
        <w:t>NN</w:t>
      </w:r>
    </w:p>
    <w:p w14:paraId="2F7BBE0B" w14:textId="77777777" w:rsidR="009700E5" w:rsidRDefault="002C033C">
      <w:pPr>
        <w:rPr>
          <w:b/>
        </w:rPr>
      </w:pPr>
      <w:r>
        <w:rPr>
          <w:b/>
        </w:rPr>
        <w:br w:type="page"/>
      </w:r>
    </w:p>
    <w:p w14:paraId="39368A8E" w14:textId="77777777" w:rsidR="009700E5" w:rsidRDefault="002C033C">
      <w:pPr>
        <w:pBdr>
          <w:top w:val="single" w:sz="4" w:space="1" w:color="auto"/>
          <w:left w:val="single" w:sz="4" w:space="4" w:color="auto"/>
          <w:bottom w:val="single" w:sz="4" w:space="1" w:color="auto"/>
          <w:right w:val="single" w:sz="4" w:space="4" w:color="auto"/>
        </w:pBdr>
        <w:rPr>
          <w:b/>
        </w:rPr>
      </w:pPr>
      <w:r>
        <w:rPr>
          <w:b/>
        </w:rPr>
        <w:lastRenderedPageBreak/>
        <w:t>MINIMÁLNE ÚDAJE, KTORÉ MAJÚ BYŤ UVEDENÉ NA MALOM VNÚTORNOM OBALE</w:t>
      </w:r>
    </w:p>
    <w:p w14:paraId="7C6E4C43" w14:textId="77777777" w:rsidR="009700E5" w:rsidRDefault="009700E5">
      <w:pPr>
        <w:pBdr>
          <w:top w:val="single" w:sz="4" w:space="1" w:color="auto"/>
          <w:left w:val="single" w:sz="4" w:space="4" w:color="auto"/>
          <w:bottom w:val="single" w:sz="4" w:space="1" w:color="auto"/>
          <w:right w:val="single" w:sz="4" w:space="4" w:color="auto"/>
        </w:pBdr>
        <w:rPr>
          <w:b/>
        </w:rPr>
      </w:pPr>
    </w:p>
    <w:p w14:paraId="2E70AF03" w14:textId="77777777" w:rsidR="009700E5" w:rsidRDefault="002C033C">
      <w:pPr>
        <w:pBdr>
          <w:top w:val="single" w:sz="4" w:space="1" w:color="auto"/>
          <w:left w:val="single" w:sz="4" w:space="4" w:color="auto"/>
          <w:bottom w:val="single" w:sz="4" w:space="1" w:color="auto"/>
          <w:right w:val="single" w:sz="4" w:space="4" w:color="auto"/>
        </w:pBdr>
        <w:rPr>
          <w:b/>
        </w:rPr>
      </w:pPr>
      <w:r>
        <w:rPr>
          <w:b/>
          <w:caps/>
        </w:rPr>
        <w:t>injekčná liekovka</w:t>
      </w:r>
    </w:p>
    <w:p w14:paraId="33F6C58E" w14:textId="77777777" w:rsidR="009700E5" w:rsidRDefault="009700E5"/>
    <w:p w14:paraId="1D05ACA8" w14:textId="77777777" w:rsidR="009700E5" w:rsidRDefault="009700E5"/>
    <w:p w14:paraId="7DBD7B39" w14:textId="77777777" w:rsidR="009700E5" w:rsidRDefault="002C033C">
      <w:pPr>
        <w:pBdr>
          <w:top w:val="single" w:sz="4" w:space="1" w:color="auto"/>
          <w:left w:val="single" w:sz="4" w:space="4" w:color="auto"/>
          <w:bottom w:val="single" w:sz="4" w:space="1" w:color="auto"/>
          <w:right w:val="single" w:sz="4" w:space="4" w:color="auto"/>
        </w:pBdr>
        <w:outlineLvl w:val="0"/>
        <w:rPr>
          <w:b/>
        </w:rPr>
      </w:pPr>
      <w:r>
        <w:rPr>
          <w:b/>
        </w:rPr>
        <w:t>1.</w:t>
      </w:r>
      <w:r>
        <w:rPr>
          <w:b/>
        </w:rPr>
        <w:tab/>
        <w:t>NÁZOV LIEKU A CESTA PODÁVANIA</w:t>
      </w:r>
    </w:p>
    <w:p w14:paraId="692D43DF" w14:textId="77777777" w:rsidR="009700E5" w:rsidRDefault="009700E5"/>
    <w:p w14:paraId="0891C01F" w14:textId="77777777" w:rsidR="009700E5" w:rsidRDefault="002C033C">
      <w:r>
        <w:t>RoActemra 20 mg/ml sterilný koncentrát</w:t>
      </w:r>
    </w:p>
    <w:p w14:paraId="5A840D46" w14:textId="77777777" w:rsidR="009700E5" w:rsidRDefault="002C033C">
      <w:r>
        <w:t>tocilizumab</w:t>
      </w:r>
    </w:p>
    <w:p w14:paraId="16FE101F" w14:textId="77777777" w:rsidR="009700E5" w:rsidRDefault="002C033C">
      <w:r>
        <w:t>i.v.</w:t>
      </w:r>
    </w:p>
    <w:p w14:paraId="2BBD3900" w14:textId="77777777" w:rsidR="009700E5" w:rsidRDefault="009700E5"/>
    <w:p w14:paraId="15407045" w14:textId="77777777" w:rsidR="009700E5" w:rsidRDefault="009700E5"/>
    <w:p w14:paraId="641FD48A" w14:textId="77777777" w:rsidR="009700E5" w:rsidRDefault="002C033C">
      <w:pPr>
        <w:pBdr>
          <w:top w:val="single" w:sz="4" w:space="1" w:color="auto"/>
          <w:left w:val="single" w:sz="4" w:space="4" w:color="auto"/>
          <w:bottom w:val="single" w:sz="4" w:space="1" w:color="auto"/>
          <w:right w:val="single" w:sz="4" w:space="4" w:color="auto"/>
        </w:pBdr>
        <w:outlineLvl w:val="0"/>
        <w:rPr>
          <w:b/>
        </w:rPr>
      </w:pPr>
      <w:r>
        <w:rPr>
          <w:b/>
        </w:rPr>
        <w:t>2.</w:t>
      </w:r>
      <w:r>
        <w:rPr>
          <w:b/>
        </w:rPr>
        <w:tab/>
        <w:t>SPÔSOB PODÁVANIA</w:t>
      </w:r>
    </w:p>
    <w:p w14:paraId="3429AB4B" w14:textId="77777777" w:rsidR="009700E5" w:rsidRDefault="009700E5"/>
    <w:p w14:paraId="3D9D2B12" w14:textId="77777777" w:rsidR="009700E5" w:rsidRDefault="002C033C">
      <w:r>
        <w:t>i.v. infúzia</w:t>
      </w:r>
    </w:p>
    <w:p w14:paraId="518A2EAD" w14:textId="77777777" w:rsidR="009700E5" w:rsidRDefault="009700E5"/>
    <w:p w14:paraId="3D2D7438" w14:textId="77777777" w:rsidR="009700E5" w:rsidRDefault="009700E5"/>
    <w:p w14:paraId="13D06C3A" w14:textId="77777777" w:rsidR="009700E5" w:rsidRDefault="002C033C">
      <w:pPr>
        <w:pBdr>
          <w:top w:val="single" w:sz="4" w:space="1" w:color="auto"/>
          <w:left w:val="single" w:sz="4" w:space="4" w:color="auto"/>
          <w:bottom w:val="single" w:sz="4" w:space="1" w:color="auto"/>
          <w:right w:val="single" w:sz="4" w:space="4" w:color="auto"/>
        </w:pBdr>
        <w:outlineLvl w:val="0"/>
        <w:rPr>
          <w:b/>
        </w:rPr>
      </w:pPr>
      <w:r>
        <w:rPr>
          <w:b/>
        </w:rPr>
        <w:t>3.</w:t>
      </w:r>
      <w:r>
        <w:rPr>
          <w:b/>
        </w:rPr>
        <w:tab/>
        <w:t>DÁTUM EXSPIRÁCIE</w:t>
      </w:r>
    </w:p>
    <w:p w14:paraId="3DD4A56B" w14:textId="77777777" w:rsidR="009700E5" w:rsidRDefault="009700E5"/>
    <w:p w14:paraId="21DAC421" w14:textId="77777777" w:rsidR="009700E5" w:rsidRDefault="002C033C">
      <w:r>
        <w:t>EXP</w:t>
      </w:r>
    </w:p>
    <w:p w14:paraId="60A2D9B0" w14:textId="77777777" w:rsidR="009700E5" w:rsidRDefault="009700E5"/>
    <w:p w14:paraId="62861B83" w14:textId="77777777" w:rsidR="009700E5" w:rsidRDefault="009700E5"/>
    <w:p w14:paraId="4DDA63FB" w14:textId="77777777" w:rsidR="009700E5" w:rsidRDefault="002C033C">
      <w:pPr>
        <w:pBdr>
          <w:top w:val="single" w:sz="4" w:space="1" w:color="auto"/>
          <w:left w:val="single" w:sz="4" w:space="4" w:color="auto"/>
          <w:bottom w:val="single" w:sz="4" w:space="1" w:color="auto"/>
          <w:right w:val="single" w:sz="4" w:space="4" w:color="auto"/>
        </w:pBdr>
        <w:outlineLvl w:val="0"/>
        <w:rPr>
          <w:b/>
        </w:rPr>
      </w:pPr>
      <w:r>
        <w:rPr>
          <w:b/>
        </w:rPr>
        <w:t>4.</w:t>
      </w:r>
      <w:r>
        <w:rPr>
          <w:b/>
        </w:rPr>
        <w:tab/>
        <w:t>ČÍSLO VÝROBNEJ ŠARŽE</w:t>
      </w:r>
    </w:p>
    <w:p w14:paraId="4E3A6388" w14:textId="77777777" w:rsidR="009700E5" w:rsidRDefault="009700E5"/>
    <w:p w14:paraId="31093FF5" w14:textId="77777777" w:rsidR="009700E5" w:rsidRDefault="002C033C">
      <w:r>
        <w:t>Lot</w:t>
      </w:r>
    </w:p>
    <w:p w14:paraId="4AE774E4" w14:textId="77777777" w:rsidR="009700E5" w:rsidRDefault="009700E5"/>
    <w:p w14:paraId="2C7C3555" w14:textId="77777777" w:rsidR="009700E5" w:rsidRDefault="009700E5"/>
    <w:p w14:paraId="3416C3F0" w14:textId="77777777" w:rsidR="009700E5" w:rsidRDefault="002C033C">
      <w:pPr>
        <w:pBdr>
          <w:top w:val="single" w:sz="4" w:space="1" w:color="auto"/>
          <w:left w:val="single" w:sz="4" w:space="4" w:color="auto"/>
          <w:bottom w:val="single" w:sz="4" w:space="1" w:color="auto"/>
          <w:right w:val="single" w:sz="4" w:space="4" w:color="auto"/>
        </w:pBdr>
        <w:ind w:left="567" w:hanging="567"/>
        <w:outlineLvl w:val="0"/>
        <w:rPr>
          <w:b/>
        </w:rPr>
      </w:pPr>
      <w:r>
        <w:rPr>
          <w:b/>
        </w:rPr>
        <w:t>5.</w:t>
      </w:r>
      <w:r>
        <w:rPr>
          <w:b/>
        </w:rPr>
        <w:tab/>
        <w:t>OBSAH V HMOTNOSTNÝCH, OBJEMOVÝCH ALEBO KUSOVÝCH JEDNOTKÁCH</w:t>
      </w:r>
    </w:p>
    <w:p w14:paraId="6867A1A8" w14:textId="77777777" w:rsidR="009700E5" w:rsidRDefault="009700E5">
      <w:pPr>
        <w:ind w:right="113"/>
      </w:pPr>
    </w:p>
    <w:p w14:paraId="6AB19135" w14:textId="77777777" w:rsidR="009700E5" w:rsidRDefault="002C033C">
      <w:pPr>
        <w:ind w:right="113"/>
        <w:rPr>
          <w:szCs w:val="22"/>
        </w:rPr>
      </w:pPr>
      <w:r>
        <w:rPr>
          <w:szCs w:val="22"/>
        </w:rPr>
        <w:t>80 mg/4 ml</w:t>
      </w:r>
    </w:p>
    <w:p w14:paraId="391C7CAA" w14:textId="77777777" w:rsidR="009700E5" w:rsidRDefault="002C033C">
      <w:pPr>
        <w:ind w:right="113"/>
        <w:rPr>
          <w:szCs w:val="22"/>
          <w:highlight w:val="lightGray"/>
        </w:rPr>
      </w:pPr>
      <w:r>
        <w:rPr>
          <w:szCs w:val="22"/>
          <w:highlight w:val="lightGray"/>
        </w:rPr>
        <w:t>200 mg/10 ml</w:t>
      </w:r>
    </w:p>
    <w:p w14:paraId="14E75A81" w14:textId="77777777" w:rsidR="009700E5" w:rsidRDefault="002C033C">
      <w:pPr>
        <w:ind w:right="113"/>
      </w:pPr>
      <w:r>
        <w:rPr>
          <w:szCs w:val="22"/>
          <w:highlight w:val="lightGray"/>
        </w:rPr>
        <w:t>400 mg/20 ml</w:t>
      </w:r>
    </w:p>
    <w:p w14:paraId="0A87CB0D" w14:textId="77777777" w:rsidR="009700E5" w:rsidRDefault="009700E5">
      <w:pPr>
        <w:ind w:right="113"/>
      </w:pPr>
    </w:p>
    <w:p w14:paraId="16857071" w14:textId="77777777" w:rsidR="009700E5" w:rsidRDefault="009700E5">
      <w:pPr>
        <w:ind w:right="113"/>
      </w:pPr>
    </w:p>
    <w:p w14:paraId="183753CE" w14:textId="77777777" w:rsidR="009700E5" w:rsidRDefault="002C033C">
      <w:pPr>
        <w:pBdr>
          <w:top w:val="single" w:sz="4" w:space="1" w:color="auto"/>
          <w:left w:val="single" w:sz="4" w:space="4" w:color="auto"/>
          <w:bottom w:val="single" w:sz="4" w:space="1" w:color="auto"/>
          <w:right w:val="single" w:sz="4" w:space="4" w:color="auto"/>
        </w:pBdr>
        <w:outlineLvl w:val="0"/>
        <w:rPr>
          <w:b/>
        </w:rPr>
      </w:pPr>
      <w:r>
        <w:rPr>
          <w:b/>
        </w:rPr>
        <w:t>6.</w:t>
      </w:r>
      <w:r>
        <w:rPr>
          <w:b/>
        </w:rPr>
        <w:tab/>
      </w:r>
      <w:r>
        <w:rPr>
          <w:b/>
          <w:caps/>
        </w:rPr>
        <w:t>iné</w:t>
      </w:r>
    </w:p>
    <w:p w14:paraId="1D96B485" w14:textId="77777777" w:rsidR="009700E5" w:rsidRDefault="002C033C">
      <w:pPr>
        <w:shd w:val="clear" w:color="auto" w:fill="FFFFFF"/>
      </w:pPr>
      <w:r>
        <w:br w:type="page"/>
      </w:r>
    </w:p>
    <w:p w14:paraId="39980C03" w14:textId="77777777" w:rsidR="009700E5" w:rsidRDefault="002C033C">
      <w:pPr>
        <w:pBdr>
          <w:top w:val="single" w:sz="4" w:space="1" w:color="auto"/>
          <w:left w:val="single" w:sz="4" w:space="4" w:color="auto"/>
          <w:bottom w:val="single" w:sz="4" w:space="1" w:color="auto"/>
          <w:right w:val="single" w:sz="4" w:space="4" w:color="auto"/>
        </w:pBdr>
        <w:rPr>
          <w:b/>
        </w:rPr>
      </w:pPr>
      <w:r>
        <w:rPr>
          <w:b/>
        </w:rPr>
        <w:lastRenderedPageBreak/>
        <w:t>ÚDAJE, KTORÉ MAJÚ BYŤ UVEDENÉ NA VONKAJŠOM OBALE</w:t>
      </w:r>
    </w:p>
    <w:p w14:paraId="1911A3B0" w14:textId="77777777" w:rsidR="009700E5" w:rsidRDefault="009700E5">
      <w:pPr>
        <w:pBdr>
          <w:top w:val="single" w:sz="4" w:space="1" w:color="auto"/>
          <w:left w:val="single" w:sz="4" w:space="4" w:color="auto"/>
          <w:bottom w:val="single" w:sz="4" w:space="1" w:color="auto"/>
          <w:right w:val="single" w:sz="4" w:space="4" w:color="auto"/>
        </w:pBdr>
        <w:rPr>
          <w:bCs/>
        </w:rPr>
      </w:pPr>
    </w:p>
    <w:p w14:paraId="54C14D2F" w14:textId="77777777" w:rsidR="009700E5" w:rsidRDefault="002C033C">
      <w:pPr>
        <w:pBdr>
          <w:top w:val="single" w:sz="4" w:space="1" w:color="auto"/>
          <w:left w:val="single" w:sz="4" w:space="4" w:color="auto"/>
          <w:bottom w:val="single" w:sz="4" w:space="1" w:color="auto"/>
          <w:right w:val="single" w:sz="4" w:space="4" w:color="auto"/>
        </w:pBdr>
        <w:rPr>
          <w:bCs/>
        </w:rPr>
      </w:pPr>
      <w:r>
        <w:rPr>
          <w:b/>
          <w:caps/>
        </w:rPr>
        <w:t>škatuľa</w:t>
      </w:r>
    </w:p>
    <w:p w14:paraId="16BAF166" w14:textId="77777777" w:rsidR="009700E5" w:rsidRDefault="009700E5"/>
    <w:p w14:paraId="1CCB8A0F" w14:textId="77777777" w:rsidR="009700E5" w:rsidRDefault="009700E5"/>
    <w:p w14:paraId="477C172C" w14:textId="77777777" w:rsidR="009700E5" w:rsidRDefault="002C033C">
      <w:pPr>
        <w:pBdr>
          <w:top w:val="single" w:sz="4" w:space="1" w:color="auto"/>
          <w:left w:val="single" w:sz="4" w:space="4" w:color="auto"/>
          <w:bottom w:val="single" w:sz="4" w:space="1" w:color="auto"/>
          <w:right w:val="single" w:sz="4" w:space="4" w:color="auto"/>
        </w:pBdr>
        <w:outlineLvl w:val="0"/>
      </w:pPr>
      <w:r>
        <w:rPr>
          <w:b/>
        </w:rPr>
        <w:t>1.</w:t>
      </w:r>
      <w:r>
        <w:rPr>
          <w:b/>
        </w:rPr>
        <w:tab/>
        <w:t>NÁZOV LIEKU</w:t>
      </w:r>
    </w:p>
    <w:p w14:paraId="7E91D5E3" w14:textId="77777777" w:rsidR="009700E5" w:rsidRDefault="009700E5"/>
    <w:p w14:paraId="3BC75CAD" w14:textId="77777777" w:rsidR="009700E5" w:rsidRDefault="002C033C">
      <w:pPr>
        <w:rPr>
          <w:iCs/>
        </w:rPr>
      </w:pPr>
      <w:r>
        <w:t xml:space="preserve">RoActemra </w:t>
      </w:r>
      <w:r>
        <w:rPr>
          <w:iCs/>
        </w:rPr>
        <w:t>162 mg injekčný roztok v naplnenej injekčnej striekačke</w:t>
      </w:r>
    </w:p>
    <w:p w14:paraId="6A3B3262" w14:textId="77777777" w:rsidR="009700E5" w:rsidRDefault="002C033C">
      <w:r>
        <w:t>tocilizumab</w:t>
      </w:r>
    </w:p>
    <w:p w14:paraId="7C08DC20" w14:textId="77777777" w:rsidR="009700E5" w:rsidRDefault="009700E5"/>
    <w:p w14:paraId="7AF1A17F" w14:textId="77777777" w:rsidR="009700E5" w:rsidRDefault="009700E5"/>
    <w:p w14:paraId="22CD784E" w14:textId="77777777" w:rsidR="009700E5" w:rsidRDefault="002C033C">
      <w:pPr>
        <w:pBdr>
          <w:top w:val="single" w:sz="4" w:space="1" w:color="auto"/>
          <w:left w:val="single" w:sz="4" w:space="4" w:color="auto"/>
          <w:bottom w:val="single" w:sz="4" w:space="1" w:color="auto"/>
          <w:right w:val="single" w:sz="4" w:space="4" w:color="auto"/>
        </w:pBdr>
        <w:outlineLvl w:val="0"/>
        <w:rPr>
          <w:b/>
        </w:rPr>
      </w:pPr>
      <w:r>
        <w:rPr>
          <w:b/>
        </w:rPr>
        <w:t>2.</w:t>
      </w:r>
      <w:r>
        <w:rPr>
          <w:b/>
        </w:rPr>
        <w:tab/>
      </w:r>
      <w:r w:rsidRPr="00723DEA">
        <w:rPr>
          <w:b/>
        </w:rPr>
        <w:t>LIEČIVO</w:t>
      </w:r>
    </w:p>
    <w:p w14:paraId="3F8D02DB" w14:textId="77777777" w:rsidR="009700E5" w:rsidRDefault="009700E5"/>
    <w:p w14:paraId="1FB36014" w14:textId="77777777" w:rsidR="009700E5" w:rsidRDefault="002C033C">
      <w:r>
        <w:t>1 naplnená injekčná striekačka obsahuje 162 mg tocilizumabu.</w:t>
      </w:r>
    </w:p>
    <w:p w14:paraId="3F79B4E9" w14:textId="77777777" w:rsidR="009700E5" w:rsidRDefault="009700E5"/>
    <w:p w14:paraId="3B1E19B9" w14:textId="77777777" w:rsidR="009700E5" w:rsidRDefault="009700E5"/>
    <w:p w14:paraId="0CCDA833" w14:textId="77777777" w:rsidR="009700E5" w:rsidRDefault="002C033C">
      <w:pPr>
        <w:pBdr>
          <w:top w:val="single" w:sz="4" w:space="1" w:color="auto"/>
          <w:left w:val="single" w:sz="4" w:space="4" w:color="auto"/>
          <w:bottom w:val="single" w:sz="4" w:space="1" w:color="auto"/>
          <w:right w:val="single" w:sz="4" w:space="4" w:color="auto"/>
        </w:pBdr>
        <w:outlineLvl w:val="0"/>
      </w:pPr>
      <w:r>
        <w:rPr>
          <w:b/>
        </w:rPr>
        <w:t>3.</w:t>
      </w:r>
      <w:r>
        <w:rPr>
          <w:b/>
        </w:rPr>
        <w:tab/>
        <w:t>ZOZNAM POMOCNÝCH LÁTOK</w:t>
      </w:r>
    </w:p>
    <w:p w14:paraId="48BA65C6" w14:textId="77777777" w:rsidR="009700E5" w:rsidRDefault="009700E5"/>
    <w:p w14:paraId="31DF2E14" w14:textId="77777777" w:rsidR="009700E5" w:rsidRDefault="002C033C">
      <w:pPr>
        <w:outlineLvl w:val="0"/>
        <w:rPr>
          <w:bCs/>
          <w:szCs w:val="22"/>
        </w:rPr>
      </w:pPr>
      <w:r>
        <w:rPr>
          <w:bCs/>
          <w:szCs w:val="22"/>
        </w:rPr>
        <w:t xml:space="preserve">Tiež obsahuje: histidín, monohydrát histidíniumchloridu, </w:t>
      </w:r>
      <w:r>
        <w:rPr>
          <w:bCs/>
          <w:szCs w:val="22"/>
          <w:highlight w:val="lightGray"/>
        </w:rPr>
        <w:t>arginín/</w:t>
      </w:r>
      <w:r>
        <w:rPr>
          <w:bCs/>
          <w:szCs w:val="22"/>
        </w:rPr>
        <w:t xml:space="preserve">arginíniumchlorid, metionín, polysorbát 80, vodu na injekcie. </w:t>
      </w:r>
      <w:r>
        <w:rPr>
          <w:highlight w:val="lightGray"/>
        </w:rPr>
        <w:t>Ďalšie informácie si pozrite v písomnej informácii pre používateľa.</w:t>
      </w:r>
    </w:p>
    <w:p w14:paraId="59F7843D" w14:textId="77777777" w:rsidR="009700E5" w:rsidRDefault="009700E5"/>
    <w:p w14:paraId="0799033D" w14:textId="77777777" w:rsidR="009700E5" w:rsidRDefault="009700E5"/>
    <w:p w14:paraId="141DDDEE" w14:textId="77777777" w:rsidR="009700E5" w:rsidRDefault="002C033C">
      <w:pPr>
        <w:pBdr>
          <w:top w:val="single" w:sz="4" w:space="1" w:color="auto"/>
          <w:left w:val="single" w:sz="4" w:space="4" w:color="auto"/>
          <w:bottom w:val="single" w:sz="4" w:space="1" w:color="auto"/>
          <w:right w:val="single" w:sz="4" w:space="4" w:color="auto"/>
        </w:pBdr>
        <w:outlineLvl w:val="0"/>
      </w:pPr>
      <w:r>
        <w:rPr>
          <w:b/>
        </w:rPr>
        <w:t>4.</w:t>
      </w:r>
      <w:r>
        <w:rPr>
          <w:b/>
        </w:rPr>
        <w:tab/>
        <w:t>LIEKOVÁ FORMA A OBSAH</w:t>
      </w:r>
    </w:p>
    <w:p w14:paraId="58D7B1BA" w14:textId="77777777" w:rsidR="009700E5" w:rsidRDefault="009700E5"/>
    <w:p w14:paraId="65CA043C" w14:textId="77777777" w:rsidR="009700E5" w:rsidRDefault="002C033C">
      <w:r>
        <w:rPr>
          <w:highlight w:val="lightGray"/>
        </w:rPr>
        <w:t>Injekčný roztok</w:t>
      </w:r>
    </w:p>
    <w:p w14:paraId="12115F92" w14:textId="77777777" w:rsidR="009700E5" w:rsidRDefault="002C033C">
      <w:pPr>
        <w:tabs>
          <w:tab w:val="left" w:pos="284"/>
          <w:tab w:val="left" w:pos="567"/>
        </w:tabs>
      </w:pPr>
      <w:r>
        <w:t>4 naplnené injekčné striekačky</w:t>
      </w:r>
    </w:p>
    <w:p w14:paraId="3F8C1B7D" w14:textId="77777777" w:rsidR="009700E5" w:rsidRDefault="002C033C">
      <w:pPr>
        <w:tabs>
          <w:tab w:val="left" w:pos="284"/>
          <w:tab w:val="left" w:pos="567"/>
        </w:tabs>
      </w:pPr>
      <w:r>
        <w:rPr>
          <w:highlight w:val="lightGray"/>
        </w:rPr>
        <w:t>Spoločné balenie: 12 (3 balenia x 4) naplnených injekčných striekačiek</w:t>
      </w:r>
    </w:p>
    <w:p w14:paraId="7D074DC4" w14:textId="77777777" w:rsidR="009700E5" w:rsidRDefault="002C033C">
      <w:r>
        <w:t>162 mg/0,9 ml</w:t>
      </w:r>
    </w:p>
    <w:p w14:paraId="1C3F63B9" w14:textId="77777777" w:rsidR="009700E5" w:rsidRDefault="009700E5"/>
    <w:p w14:paraId="46E16C13" w14:textId="77777777" w:rsidR="009700E5" w:rsidRDefault="009700E5"/>
    <w:p w14:paraId="50FBF3C3" w14:textId="77777777" w:rsidR="009700E5" w:rsidRDefault="002C033C">
      <w:pPr>
        <w:pBdr>
          <w:top w:val="single" w:sz="4" w:space="1" w:color="auto"/>
          <w:left w:val="single" w:sz="4" w:space="4" w:color="auto"/>
          <w:bottom w:val="single" w:sz="4" w:space="1" w:color="auto"/>
          <w:right w:val="single" w:sz="4" w:space="4" w:color="auto"/>
        </w:pBdr>
        <w:outlineLvl w:val="0"/>
      </w:pPr>
      <w:r>
        <w:rPr>
          <w:b/>
        </w:rPr>
        <w:t>5.</w:t>
      </w:r>
      <w:r>
        <w:rPr>
          <w:b/>
        </w:rPr>
        <w:tab/>
        <w:t>SPÔSOB A CESTA PODÁVANIA</w:t>
      </w:r>
    </w:p>
    <w:p w14:paraId="6CC35807" w14:textId="77777777" w:rsidR="009700E5" w:rsidRDefault="009700E5">
      <w:pPr>
        <w:rPr>
          <w:i/>
        </w:rPr>
      </w:pPr>
    </w:p>
    <w:p w14:paraId="1D14FCBB" w14:textId="77777777" w:rsidR="009700E5" w:rsidRDefault="002C033C">
      <w:pPr>
        <w:tabs>
          <w:tab w:val="left" w:pos="284"/>
          <w:tab w:val="left" w:pos="567"/>
        </w:tabs>
        <w:outlineLvl w:val="0"/>
      </w:pPr>
      <w:r>
        <w:t>Subkutánne použitie</w:t>
      </w:r>
    </w:p>
    <w:p w14:paraId="493052E5" w14:textId="77777777" w:rsidR="009700E5" w:rsidRDefault="002C033C">
      <w:pPr>
        <w:rPr>
          <w:szCs w:val="22"/>
        </w:rPr>
      </w:pPr>
      <w:r>
        <w:rPr>
          <w:szCs w:val="22"/>
        </w:rPr>
        <w:t>Pred použitím si prečítajte písomnú informáciu pre používateľa</w:t>
      </w:r>
    </w:p>
    <w:p w14:paraId="5DE90789" w14:textId="77777777" w:rsidR="009700E5" w:rsidRDefault="009700E5"/>
    <w:p w14:paraId="4FD305A2" w14:textId="77777777" w:rsidR="009700E5" w:rsidRDefault="009700E5"/>
    <w:p w14:paraId="6D8C0325" w14:textId="77777777" w:rsidR="009700E5" w:rsidRDefault="002C033C">
      <w:pPr>
        <w:pBdr>
          <w:top w:val="single" w:sz="4" w:space="1" w:color="auto"/>
          <w:left w:val="single" w:sz="4" w:space="4" w:color="auto"/>
          <w:bottom w:val="single" w:sz="4" w:space="1" w:color="auto"/>
          <w:right w:val="single" w:sz="4" w:space="4" w:color="auto"/>
        </w:pBdr>
        <w:ind w:left="567" w:hanging="567"/>
        <w:outlineLvl w:val="0"/>
      </w:pPr>
      <w:r>
        <w:rPr>
          <w:b/>
        </w:rPr>
        <w:t>6.</w:t>
      </w:r>
      <w:r>
        <w:rPr>
          <w:b/>
        </w:rPr>
        <w:tab/>
        <w:t>ŠPECIÁLNE UPOZORNENIE, ŽE LIEK SA MUSÍ UCHOVÁVAŤ MIMO DOHĽADU A DOSAHU DETÍ</w:t>
      </w:r>
    </w:p>
    <w:p w14:paraId="2F61A6D7" w14:textId="77777777" w:rsidR="009700E5" w:rsidRDefault="009700E5"/>
    <w:p w14:paraId="504A5E72" w14:textId="77777777" w:rsidR="009700E5" w:rsidRDefault="002C033C">
      <w:pPr>
        <w:outlineLvl w:val="0"/>
        <w:rPr>
          <w:szCs w:val="22"/>
        </w:rPr>
      </w:pPr>
      <w:r>
        <w:rPr>
          <w:szCs w:val="22"/>
        </w:rPr>
        <w:t>Uchovávajte mimo dohľadu a dosahu detí.</w:t>
      </w:r>
    </w:p>
    <w:p w14:paraId="50161B2C" w14:textId="77777777" w:rsidR="009700E5" w:rsidRDefault="009700E5"/>
    <w:p w14:paraId="7B1D4611" w14:textId="77777777" w:rsidR="009700E5" w:rsidRDefault="009700E5"/>
    <w:p w14:paraId="2D15E746" w14:textId="77777777" w:rsidR="009700E5" w:rsidRDefault="002C033C">
      <w:pPr>
        <w:pBdr>
          <w:top w:val="single" w:sz="4" w:space="1" w:color="auto"/>
          <w:left w:val="single" w:sz="4" w:space="4" w:color="auto"/>
          <w:bottom w:val="single" w:sz="4" w:space="1" w:color="auto"/>
          <w:right w:val="single" w:sz="4" w:space="4" w:color="auto"/>
        </w:pBdr>
        <w:ind w:left="567" w:hanging="567"/>
        <w:outlineLvl w:val="0"/>
      </w:pPr>
      <w:r>
        <w:rPr>
          <w:b/>
        </w:rPr>
        <w:t>7.</w:t>
      </w:r>
      <w:r>
        <w:rPr>
          <w:b/>
        </w:rPr>
        <w:tab/>
        <w:t>INÉ ŠPECIÁLNE UPOZORNENIE, AK JE TO POTREBNÉ</w:t>
      </w:r>
    </w:p>
    <w:p w14:paraId="3C562DE4" w14:textId="77777777" w:rsidR="009700E5" w:rsidRDefault="009700E5"/>
    <w:p w14:paraId="512B45EA" w14:textId="77777777" w:rsidR="009700E5" w:rsidRDefault="002C033C">
      <w:r>
        <w:t>Pred použitím nechajte injekčnú striekačku vybratú zo škatule stáť pri izbovej teplote 25 až 30 minút</w:t>
      </w:r>
    </w:p>
    <w:p w14:paraId="042603CB" w14:textId="77777777" w:rsidR="009700E5" w:rsidRDefault="009700E5"/>
    <w:p w14:paraId="416C37CC" w14:textId="77777777" w:rsidR="009700E5" w:rsidRDefault="009700E5"/>
    <w:p w14:paraId="6FA557A9" w14:textId="77777777" w:rsidR="009700E5" w:rsidRDefault="002C033C">
      <w:pPr>
        <w:pBdr>
          <w:top w:val="single" w:sz="4" w:space="1" w:color="auto"/>
          <w:left w:val="single" w:sz="4" w:space="4" w:color="auto"/>
          <w:bottom w:val="single" w:sz="4" w:space="1" w:color="auto"/>
          <w:right w:val="single" w:sz="4" w:space="4" w:color="auto"/>
        </w:pBdr>
        <w:outlineLvl w:val="0"/>
      </w:pPr>
      <w:r>
        <w:rPr>
          <w:b/>
        </w:rPr>
        <w:t>8.</w:t>
      </w:r>
      <w:r>
        <w:rPr>
          <w:b/>
        </w:rPr>
        <w:tab/>
        <w:t>DÁTUM EXSPIRÁCIE</w:t>
      </w:r>
    </w:p>
    <w:p w14:paraId="3520E455" w14:textId="77777777" w:rsidR="009700E5" w:rsidRDefault="009700E5"/>
    <w:p w14:paraId="49E4671F" w14:textId="77777777" w:rsidR="009700E5" w:rsidRDefault="002C033C">
      <w:r>
        <w:t>EXP</w:t>
      </w:r>
    </w:p>
    <w:p w14:paraId="5A54ECB9" w14:textId="77777777" w:rsidR="009700E5" w:rsidRDefault="009700E5"/>
    <w:p w14:paraId="070A5498" w14:textId="77777777" w:rsidR="009700E5" w:rsidRDefault="009700E5"/>
    <w:p w14:paraId="325C0776" w14:textId="77777777" w:rsidR="009700E5" w:rsidRDefault="002C033C">
      <w:pPr>
        <w:keepNext/>
        <w:keepLines/>
        <w:pBdr>
          <w:top w:val="single" w:sz="4" w:space="1" w:color="auto"/>
          <w:left w:val="single" w:sz="4" w:space="4" w:color="auto"/>
          <w:bottom w:val="single" w:sz="4" w:space="1" w:color="auto"/>
          <w:right w:val="single" w:sz="4" w:space="4" w:color="auto"/>
        </w:pBdr>
        <w:outlineLvl w:val="0"/>
      </w:pPr>
      <w:r>
        <w:rPr>
          <w:b/>
        </w:rPr>
        <w:lastRenderedPageBreak/>
        <w:t>9.</w:t>
      </w:r>
      <w:r>
        <w:rPr>
          <w:b/>
        </w:rPr>
        <w:tab/>
        <w:t>ŠPECIÁLNE PODMIENKY NA UCHOVÁVANIE</w:t>
      </w:r>
    </w:p>
    <w:p w14:paraId="0F971535" w14:textId="77777777" w:rsidR="009700E5" w:rsidRDefault="009700E5">
      <w:pPr>
        <w:keepNext/>
        <w:keepLines/>
        <w:ind w:left="567" w:hanging="567"/>
      </w:pPr>
    </w:p>
    <w:p w14:paraId="321555D7" w14:textId="77777777" w:rsidR="009700E5" w:rsidRDefault="002C033C">
      <w:pPr>
        <w:keepNext/>
        <w:keepLines/>
      </w:pPr>
      <w:r>
        <w:t>Uchovávajte v chladničke</w:t>
      </w:r>
    </w:p>
    <w:p w14:paraId="778AECCC" w14:textId="77777777" w:rsidR="009700E5" w:rsidRDefault="002C033C">
      <w:pPr>
        <w:keepNext/>
        <w:keepLines/>
      </w:pPr>
      <w:r>
        <w:t>Neuchovávajte v mrazničke</w:t>
      </w:r>
    </w:p>
    <w:p w14:paraId="27AB4A31" w14:textId="77777777" w:rsidR="009700E5" w:rsidRDefault="002C033C">
      <w:pPr>
        <w:keepNext/>
        <w:keepLines/>
      </w:pPr>
      <w:r>
        <w:t>Po vybratí z chladničky možno naplnenú injekčnú striekačku uchovávať až 2 týždne pri teplote do 30 °C</w:t>
      </w:r>
    </w:p>
    <w:p w14:paraId="714A0BD8" w14:textId="77777777" w:rsidR="009700E5" w:rsidRDefault="002C033C">
      <w:pPr>
        <w:keepNext/>
        <w:keepLines/>
      </w:pPr>
      <w:r>
        <w:t>Naplnenú injekčnú striekačku uchovávajte vo vonkajšom obale na ochranu pred svetlom a vlhkosťou</w:t>
      </w:r>
    </w:p>
    <w:p w14:paraId="40B559B3" w14:textId="77777777" w:rsidR="009700E5" w:rsidRDefault="009700E5">
      <w:pPr>
        <w:ind w:left="567" w:hanging="567"/>
      </w:pPr>
    </w:p>
    <w:p w14:paraId="083F082A" w14:textId="77777777" w:rsidR="009700E5" w:rsidRDefault="009700E5">
      <w:pPr>
        <w:ind w:left="567" w:hanging="567"/>
      </w:pPr>
    </w:p>
    <w:p w14:paraId="7528E874" w14:textId="77777777" w:rsidR="009700E5" w:rsidRDefault="002C033C">
      <w:pPr>
        <w:pBdr>
          <w:top w:val="single" w:sz="4" w:space="1" w:color="auto"/>
          <w:left w:val="single" w:sz="4" w:space="4" w:color="auto"/>
          <w:bottom w:val="single" w:sz="4" w:space="1" w:color="auto"/>
          <w:right w:val="single" w:sz="4" w:space="4" w:color="auto"/>
        </w:pBdr>
        <w:ind w:left="567" w:hanging="567"/>
        <w:outlineLvl w:val="0"/>
        <w:rPr>
          <w:b/>
        </w:rPr>
      </w:pPr>
      <w:r>
        <w:rPr>
          <w:b/>
        </w:rPr>
        <w:t>10.</w:t>
      </w:r>
      <w:r>
        <w:rPr>
          <w:b/>
        </w:rPr>
        <w:tab/>
        <w:t>ŠPECIÁLNE UPOZORNENIA NA LIKVIDÁCIU NEPOUŽITÝCH LIEKOV ALEBO ODPADOV Z NICH VZNIKNUTÝCH, AK JE TO VHODNÉ</w:t>
      </w:r>
    </w:p>
    <w:p w14:paraId="3D6AA8FF" w14:textId="77777777" w:rsidR="009700E5" w:rsidRDefault="009700E5"/>
    <w:p w14:paraId="3FE2060B" w14:textId="77777777" w:rsidR="009700E5" w:rsidRDefault="009700E5"/>
    <w:p w14:paraId="5D0EB1CE" w14:textId="77777777" w:rsidR="009700E5" w:rsidRDefault="002C033C">
      <w:pPr>
        <w:pBdr>
          <w:top w:val="single" w:sz="4" w:space="1" w:color="auto"/>
          <w:left w:val="single" w:sz="4" w:space="4" w:color="auto"/>
          <w:bottom w:val="single" w:sz="4" w:space="1" w:color="auto"/>
          <w:right w:val="single" w:sz="4" w:space="4" w:color="auto"/>
        </w:pBdr>
        <w:outlineLvl w:val="0"/>
        <w:rPr>
          <w:b/>
        </w:rPr>
      </w:pPr>
      <w:r>
        <w:rPr>
          <w:b/>
        </w:rPr>
        <w:t>11.</w:t>
      </w:r>
      <w:r>
        <w:rPr>
          <w:b/>
        </w:rPr>
        <w:tab/>
        <w:t>NÁZOV A ADRESA DRŽITEĽA ROZHODNUTIA O REGISTRÁCII</w:t>
      </w:r>
    </w:p>
    <w:p w14:paraId="17C81590" w14:textId="77777777" w:rsidR="009700E5" w:rsidRDefault="009700E5"/>
    <w:p w14:paraId="71EFF41A" w14:textId="77777777" w:rsidR="009700E5" w:rsidRDefault="002C033C">
      <w:r>
        <w:t xml:space="preserve">Roche Registration GmbH </w:t>
      </w:r>
    </w:p>
    <w:p w14:paraId="1D746B87" w14:textId="77777777" w:rsidR="009700E5" w:rsidRDefault="002C033C">
      <w:r>
        <w:t>Emil-Barell-Strasse 1</w:t>
      </w:r>
    </w:p>
    <w:p w14:paraId="164DEB0B" w14:textId="77777777" w:rsidR="009700E5" w:rsidRDefault="002C033C">
      <w:r>
        <w:t>79639 Grenzach-Wyhlen</w:t>
      </w:r>
    </w:p>
    <w:p w14:paraId="463EC609" w14:textId="77777777" w:rsidR="009700E5" w:rsidRDefault="002C033C">
      <w:r>
        <w:t>Nemecko</w:t>
      </w:r>
    </w:p>
    <w:p w14:paraId="71401438" w14:textId="77777777" w:rsidR="009700E5" w:rsidRDefault="009700E5"/>
    <w:p w14:paraId="42549717" w14:textId="77777777" w:rsidR="009700E5" w:rsidRDefault="009700E5"/>
    <w:p w14:paraId="423512D0" w14:textId="77777777" w:rsidR="009700E5" w:rsidRDefault="002C033C">
      <w:pPr>
        <w:pBdr>
          <w:top w:val="single" w:sz="4" w:space="1" w:color="auto"/>
          <w:left w:val="single" w:sz="4" w:space="4" w:color="auto"/>
          <w:bottom w:val="single" w:sz="4" w:space="1" w:color="auto"/>
          <w:right w:val="single" w:sz="4" w:space="4" w:color="auto"/>
        </w:pBdr>
        <w:ind w:left="567" w:hanging="567"/>
        <w:outlineLvl w:val="0"/>
      </w:pPr>
      <w:r>
        <w:rPr>
          <w:b/>
        </w:rPr>
        <w:t>12.</w:t>
      </w:r>
      <w:r>
        <w:rPr>
          <w:b/>
        </w:rPr>
        <w:tab/>
        <w:t>REGISTRAČNÉ ČÍSLO</w:t>
      </w:r>
    </w:p>
    <w:p w14:paraId="091F9E04" w14:textId="77777777" w:rsidR="009700E5" w:rsidRDefault="009700E5"/>
    <w:p w14:paraId="1CFDBAE0" w14:textId="77777777" w:rsidR="009700E5" w:rsidRDefault="002C033C">
      <w:pPr>
        <w:rPr>
          <w:highlight w:val="lightGray"/>
        </w:rPr>
      </w:pPr>
      <w:r>
        <w:t xml:space="preserve">EU/1/08/492/007 </w:t>
      </w:r>
      <w:r>
        <w:rPr>
          <w:highlight w:val="lightGray"/>
        </w:rPr>
        <w:t>4 naplnené injekčné striekačky</w:t>
      </w:r>
    </w:p>
    <w:p w14:paraId="4CF6D86C" w14:textId="77777777" w:rsidR="009700E5" w:rsidRDefault="002C033C">
      <w:pPr>
        <w:tabs>
          <w:tab w:val="left" w:pos="284"/>
          <w:tab w:val="left" w:pos="567"/>
        </w:tabs>
      </w:pPr>
      <w:r>
        <w:rPr>
          <w:highlight w:val="lightGray"/>
        </w:rPr>
        <w:t>EU/1/08/492/008 Spoločné balenie: 12 (3 balenia x 4) naplnených injekčných striekačiek</w:t>
      </w:r>
    </w:p>
    <w:p w14:paraId="34D99827" w14:textId="77777777" w:rsidR="009700E5" w:rsidRDefault="009700E5"/>
    <w:p w14:paraId="1AAEDFBF" w14:textId="77777777" w:rsidR="009700E5" w:rsidRDefault="009700E5"/>
    <w:p w14:paraId="41CA521E" w14:textId="77777777" w:rsidR="009700E5" w:rsidRDefault="002C033C">
      <w:pPr>
        <w:pBdr>
          <w:top w:val="single" w:sz="4" w:space="1" w:color="auto"/>
          <w:left w:val="single" w:sz="4" w:space="4" w:color="auto"/>
          <w:bottom w:val="single" w:sz="4" w:space="1" w:color="auto"/>
          <w:right w:val="single" w:sz="4" w:space="4" w:color="auto"/>
        </w:pBdr>
        <w:ind w:left="567" w:hanging="567"/>
        <w:outlineLvl w:val="0"/>
      </w:pPr>
      <w:r>
        <w:rPr>
          <w:b/>
        </w:rPr>
        <w:t>13.</w:t>
      </w:r>
      <w:r>
        <w:rPr>
          <w:b/>
        </w:rPr>
        <w:tab/>
        <w:t>ČÍSLO VÝROBNEJ ŠARŽE</w:t>
      </w:r>
    </w:p>
    <w:p w14:paraId="09BD176D" w14:textId="77777777" w:rsidR="009700E5" w:rsidRDefault="009700E5"/>
    <w:p w14:paraId="363871DC" w14:textId="77777777" w:rsidR="009700E5" w:rsidRDefault="002C033C">
      <w:r>
        <w:t>Lot</w:t>
      </w:r>
    </w:p>
    <w:p w14:paraId="2E74E6C8" w14:textId="77777777" w:rsidR="009700E5" w:rsidRDefault="009700E5"/>
    <w:p w14:paraId="55C642AC" w14:textId="77777777" w:rsidR="009700E5" w:rsidRDefault="009700E5"/>
    <w:p w14:paraId="31F8AD48" w14:textId="77777777" w:rsidR="009700E5" w:rsidRDefault="002C033C">
      <w:pPr>
        <w:pBdr>
          <w:top w:val="single" w:sz="4" w:space="1" w:color="auto"/>
          <w:left w:val="single" w:sz="4" w:space="4" w:color="auto"/>
          <w:bottom w:val="single" w:sz="4" w:space="1" w:color="auto"/>
          <w:right w:val="single" w:sz="4" w:space="4" w:color="auto"/>
        </w:pBdr>
        <w:outlineLvl w:val="0"/>
      </w:pPr>
      <w:r>
        <w:rPr>
          <w:b/>
        </w:rPr>
        <w:t>14.</w:t>
      </w:r>
      <w:r>
        <w:rPr>
          <w:b/>
        </w:rPr>
        <w:tab/>
        <w:t>ZATRIEDENIE LIEKU PODĽA SPÔSOBU VÝDAJA</w:t>
      </w:r>
    </w:p>
    <w:p w14:paraId="2C1C731B" w14:textId="77777777" w:rsidR="009700E5" w:rsidRDefault="009700E5"/>
    <w:p w14:paraId="5A78A561" w14:textId="77777777" w:rsidR="009700E5" w:rsidRDefault="009700E5"/>
    <w:p w14:paraId="616D5A85" w14:textId="77777777" w:rsidR="009700E5" w:rsidRDefault="002C033C">
      <w:pPr>
        <w:pBdr>
          <w:top w:val="single" w:sz="4" w:space="1" w:color="auto"/>
          <w:left w:val="single" w:sz="4" w:space="4" w:color="auto"/>
          <w:bottom w:val="single" w:sz="4" w:space="1" w:color="auto"/>
          <w:right w:val="single" w:sz="4" w:space="4" w:color="auto"/>
        </w:pBdr>
        <w:ind w:left="567" w:hanging="567"/>
        <w:outlineLvl w:val="0"/>
      </w:pPr>
      <w:r>
        <w:rPr>
          <w:b/>
        </w:rPr>
        <w:t>15.</w:t>
      </w:r>
      <w:r>
        <w:rPr>
          <w:b/>
        </w:rPr>
        <w:tab/>
        <w:t>POKYNY NA POUŽITIE</w:t>
      </w:r>
    </w:p>
    <w:p w14:paraId="3B3689D1" w14:textId="77777777" w:rsidR="009700E5" w:rsidRDefault="009700E5"/>
    <w:p w14:paraId="3651E72D" w14:textId="77777777" w:rsidR="009700E5" w:rsidRDefault="009700E5"/>
    <w:p w14:paraId="7F1E716D" w14:textId="77777777" w:rsidR="009700E5" w:rsidRDefault="002C033C">
      <w:pPr>
        <w:pBdr>
          <w:top w:val="single" w:sz="4" w:space="1" w:color="auto"/>
          <w:left w:val="single" w:sz="4" w:space="4" w:color="auto"/>
          <w:bottom w:val="single" w:sz="4" w:space="1" w:color="auto"/>
          <w:right w:val="single" w:sz="4" w:space="4" w:color="auto"/>
        </w:pBdr>
        <w:ind w:left="567" w:hanging="567"/>
        <w:outlineLvl w:val="0"/>
      </w:pPr>
      <w:r>
        <w:rPr>
          <w:b/>
        </w:rPr>
        <w:t>16.</w:t>
      </w:r>
      <w:r>
        <w:rPr>
          <w:b/>
        </w:rPr>
        <w:tab/>
        <w:t>INFORMÁCIE V BRAILLOVOM PÍSME</w:t>
      </w:r>
    </w:p>
    <w:p w14:paraId="4DF258C2" w14:textId="77777777" w:rsidR="009700E5" w:rsidRDefault="009700E5"/>
    <w:p w14:paraId="6543F58C" w14:textId="77777777" w:rsidR="009700E5" w:rsidRDefault="002C033C">
      <w:r>
        <w:t>roactemra 162 mg injekčná striekačka</w:t>
      </w:r>
    </w:p>
    <w:p w14:paraId="7B2FEB59" w14:textId="77777777" w:rsidR="009700E5" w:rsidRDefault="009700E5">
      <w:pPr>
        <w:shd w:val="clear" w:color="auto" w:fill="FFFFFF"/>
      </w:pPr>
    </w:p>
    <w:p w14:paraId="7864C052" w14:textId="77777777" w:rsidR="009700E5" w:rsidRDefault="009700E5">
      <w:pPr>
        <w:rPr>
          <w:szCs w:val="22"/>
        </w:rPr>
      </w:pPr>
    </w:p>
    <w:p w14:paraId="4C3307E5" w14:textId="77777777" w:rsidR="009700E5" w:rsidRDefault="002C033C">
      <w:pPr>
        <w:pBdr>
          <w:top w:val="single" w:sz="4" w:space="2" w:color="auto"/>
          <w:left w:val="single" w:sz="4" w:space="4" w:color="auto"/>
          <w:bottom w:val="single" w:sz="4" w:space="0" w:color="auto"/>
          <w:right w:val="single" w:sz="4" w:space="4" w:color="auto"/>
        </w:pBdr>
        <w:rPr>
          <w:b/>
        </w:rPr>
      </w:pPr>
      <w:r>
        <w:rPr>
          <w:b/>
        </w:rPr>
        <w:t>17.</w:t>
      </w:r>
      <w:r>
        <w:rPr>
          <w:b/>
        </w:rPr>
        <w:tab/>
        <w:t>ŠPECIFICKÝ IDENTIFIKÁTOR – DVOJROZMERNÝ ČIAROVÝ KÓD</w:t>
      </w:r>
    </w:p>
    <w:p w14:paraId="5CC2AAA4" w14:textId="77777777" w:rsidR="009700E5" w:rsidRDefault="009700E5"/>
    <w:p w14:paraId="3319363D" w14:textId="77777777" w:rsidR="009700E5" w:rsidRDefault="002C033C">
      <w:pPr>
        <w:rPr>
          <w:szCs w:val="22"/>
          <w:shd w:val="clear" w:color="auto" w:fill="CCCCCC"/>
        </w:rPr>
      </w:pPr>
      <w:r>
        <w:rPr>
          <w:highlight w:val="lightGray"/>
        </w:rPr>
        <w:t>Dvojrozmerný čiarový kód so špecifickým identifikátorom.</w:t>
      </w:r>
    </w:p>
    <w:p w14:paraId="694281C6" w14:textId="77777777" w:rsidR="009700E5" w:rsidRDefault="009700E5"/>
    <w:p w14:paraId="37796AF0" w14:textId="77777777" w:rsidR="009700E5" w:rsidRDefault="009700E5"/>
    <w:p w14:paraId="48084324" w14:textId="77777777" w:rsidR="009700E5" w:rsidRDefault="002C033C">
      <w:pPr>
        <w:pBdr>
          <w:top w:val="single" w:sz="4" w:space="2" w:color="auto"/>
          <w:left w:val="single" w:sz="4" w:space="4" w:color="auto"/>
          <w:bottom w:val="single" w:sz="4" w:space="0" w:color="auto"/>
          <w:right w:val="single" w:sz="4" w:space="4" w:color="auto"/>
        </w:pBdr>
        <w:rPr>
          <w:b/>
        </w:rPr>
      </w:pPr>
      <w:r>
        <w:rPr>
          <w:b/>
        </w:rPr>
        <w:t>18.</w:t>
      </w:r>
      <w:r>
        <w:rPr>
          <w:b/>
        </w:rPr>
        <w:tab/>
        <w:t>ŠPECIFICKÝ IDENTIFIKÁTOR – ÚDAJE ČITATEĽNÉ ĽUDSKÝM OKOM</w:t>
      </w:r>
    </w:p>
    <w:p w14:paraId="0004A0A3" w14:textId="77777777" w:rsidR="009700E5" w:rsidRDefault="009700E5"/>
    <w:p w14:paraId="4C93378D" w14:textId="77777777" w:rsidR="009700E5" w:rsidRDefault="002C033C">
      <w:pPr>
        <w:rPr>
          <w:szCs w:val="22"/>
        </w:rPr>
      </w:pPr>
      <w:r>
        <w:t>PC</w:t>
      </w:r>
    </w:p>
    <w:p w14:paraId="46C6E7C0" w14:textId="77777777" w:rsidR="009700E5" w:rsidRDefault="002C033C">
      <w:pPr>
        <w:rPr>
          <w:szCs w:val="22"/>
        </w:rPr>
      </w:pPr>
      <w:r>
        <w:t>SN</w:t>
      </w:r>
    </w:p>
    <w:p w14:paraId="57B59C0C" w14:textId="77777777" w:rsidR="009700E5" w:rsidRDefault="002C033C">
      <w:pPr>
        <w:rPr>
          <w:szCs w:val="22"/>
        </w:rPr>
      </w:pPr>
      <w:r>
        <w:t>NN</w:t>
      </w:r>
    </w:p>
    <w:p w14:paraId="6D305664" w14:textId="77777777" w:rsidR="009700E5" w:rsidRDefault="002C033C">
      <w:r>
        <w:br w:type="page"/>
      </w:r>
    </w:p>
    <w:p w14:paraId="726F38F4" w14:textId="77777777" w:rsidR="009700E5" w:rsidRDefault="002C033C">
      <w:pPr>
        <w:pBdr>
          <w:top w:val="single" w:sz="4" w:space="1" w:color="auto"/>
          <w:left w:val="single" w:sz="4" w:space="4" w:color="auto"/>
          <w:bottom w:val="single" w:sz="4" w:space="1" w:color="auto"/>
          <w:right w:val="single" w:sz="4" w:space="4" w:color="auto"/>
        </w:pBdr>
        <w:rPr>
          <w:b/>
        </w:rPr>
      </w:pPr>
      <w:r>
        <w:rPr>
          <w:b/>
        </w:rPr>
        <w:lastRenderedPageBreak/>
        <w:t>ÚDAJE, KTORÉ MAJÚ BYŤ UVEDENÉ NA VONKAJŠOM OBALE</w:t>
      </w:r>
    </w:p>
    <w:p w14:paraId="2FE8E7F2" w14:textId="77777777" w:rsidR="009700E5" w:rsidRDefault="009700E5">
      <w:pPr>
        <w:pBdr>
          <w:top w:val="single" w:sz="4" w:space="1" w:color="auto"/>
          <w:left w:val="single" w:sz="4" w:space="4" w:color="auto"/>
          <w:bottom w:val="single" w:sz="4" w:space="1" w:color="auto"/>
          <w:right w:val="single" w:sz="4" w:space="4" w:color="auto"/>
        </w:pBdr>
        <w:rPr>
          <w:bCs/>
        </w:rPr>
      </w:pPr>
    </w:p>
    <w:p w14:paraId="1516F9C5" w14:textId="77777777" w:rsidR="009700E5" w:rsidRDefault="002C033C">
      <w:pPr>
        <w:pBdr>
          <w:top w:val="single" w:sz="4" w:space="1" w:color="auto"/>
          <w:left w:val="single" w:sz="4" w:space="4" w:color="auto"/>
          <w:bottom w:val="single" w:sz="4" w:space="1" w:color="auto"/>
          <w:right w:val="single" w:sz="4" w:space="4" w:color="auto"/>
        </w:pBdr>
        <w:rPr>
          <w:rStyle w:val="Emphasis"/>
        </w:rPr>
      </w:pPr>
      <w:r>
        <w:rPr>
          <w:b/>
          <w:caps/>
        </w:rPr>
        <w:t xml:space="preserve">škatuľKa pre NaplnenÚ injekčnú striekačku (bez blue boxu) - </w:t>
      </w:r>
      <w:r>
        <w:rPr>
          <w:rStyle w:val="Emphasis"/>
        </w:rPr>
        <w:t>Spoločné balenie</w:t>
      </w:r>
    </w:p>
    <w:p w14:paraId="2D78BFA7" w14:textId="77777777" w:rsidR="009700E5" w:rsidRDefault="009700E5"/>
    <w:p w14:paraId="0C5D2F48" w14:textId="77777777" w:rsidR="009700E5" w:rsidRDefault="009700E5"/>
    <w:p w14:paraId="6DEB86D0" w14:textId="77777777" w:rsidR="009700E5" w:rsidRDefault="002C033C">
      <w:pPr>
        <w:pBdr>
          <w:top w:val="single" w:sz="4" w:space="1" w:color="auto"/>
          <w:left w:val="single" w:sz="4" w:space="4" w:color="auto"/>
          <w:bottom w:val="single" w:sz="4" w:space="1" w:color="auto"/>
          <w:right w:val="single" w:sz="4" w:space="4" w:color="auto"/>
        </w:pBdr>
        <w:outlineLvl w:val="0"/>
      </w:pPr>
      <w:r>
        <w:rPr>
          <w:b/>
        </w:rPr>
        <w:t>1.</w:t>
      </w:r>
      <w:r>
        <w:rPr>
          <w:b/>
        </w:rPr>
        <w:tab/>
        <w:t>NÁZOV LIEKU</w:t>
      </w:r>
    </w:p>
    <w:p w14:paraId="7F9FD976" w14:textId="77777777" w:rsidR="009700E5" w:rsidRDefault="009700E5"/>
    <w:p w14:paraId="32668678" w14:textId="77777777" w:rsidR="009700E5" w:rsidRDefault="002C033C">
      <w:pPr>
        <w:rPr>
          <w:iCs/>
        </w:rPr>
      </w:pPr>
      <w:r>
        <w:t xml:space="preserve">RoActemra </w:t>
      </w:r>
      <w:r>
        <w:rPr>
          <w:iCs/>
        </w:rPr>
        <w:t>162 mg injekčný roztok v naplnenej injekčnej striekačke</w:t>
      </w:r>
    </w:p>
    <w:p w14:paraId="22417426" w14:textId="77777777" w:rsidR="009700E5" w:rsidRDefault="002C033C">
      <w:r>
        <w:t>tocilizumab</w:t>
      </w:r>
    </w:p>
    <w:p w14:paraId="4411A561" w14:textId="77777777" w:rsidR="009700E5" w:rsidRDefault="009700E5"/>
    <w:p w14:paraId="74025054" w14:textId="77777777" w:rsidR="009700E5" w:rsidRDefault="009700E5"/>
    <w:p w14:paraId="17D09B68" w14:textId="77777777" w:rsidR="009700E5" w:rsidRDefault="002C033C">
      <w:pPr>
        <w:pBdr>
          <w:top w:val="single" w:sz="4" w:space="1" w:color="auto"/>
          <w:left w:val="single" w:sz="4" w:space="4" w:color="auto"/>
          <w:bottom w:val="single" w:sz="4" w:space="1" w:color="auto"/>
          <w:right w:val="single" w:sz="4" w:space="4" w:color="auto"/>
        </w:pBdr>
        <w:outlineLvl w:val="0"/>
        <w:rPr>
          <w:b/>
        </w:rPr>
      </w:pPr>
      <w:r>
        <w:rPr>
          <w:b/>
        </w:rPr>
        <w:t>2.</w:t>
      </w:r>
      <w:r>
        <w:rPr>
          <w:b/>
        </w:rPr>
        <w:tab/>
      </w:r>
      <w:r w:rsidRPr="00723DEA">
        <w:rPr>
          <w:b/>
        </w:rPr>
        <w:t>LIEČIVO</w:t>
      </w:r>
    </w:p>
    <w:p w14:paraId="38E6A60B" w14:textId="77777777" w:rsidR="009700E5" w:rsidRDefault="009700E5"/>
    <w:p w14:paraId="037CD5DB" w14:textId="77777777" w:rsidR="009700E5" w:rsidRDefault="002C033C">
      <w:r>
        <w:t>1 naplnená injekčná striekačka obsahuje 162 mg tocilizumabu.</w:t>
      </w:r>
    </w:p>
    <w:p w14:paraId="6724EE93" w14:textId="77777777" w:rsidR="009700E5" w:rsidRDefault="009700E5"/>
    <w:p w14:paraId="0EE16A34" w14:textId="77777777" w:rsidR="009700E5" w:rsidRDefault="009700E5"/>
    <w:p w14:paraId="78B3F679" w14:textId="77777777" w:rsidR="009700E5" w:rsidRDefault="002C033C">
      <w:pPr>
        <w:pBdr>
          <w:top w:val="single" w:sz="4" w:space="1" w:color="auto"/>
          <w:left w:val="single" w:sz="4" w:space="4" w:color="auto"/>
          <w:bottom w:val="single" w:sz="4" w:space="1" w:color="auto"/>
          <w:right w:val="single" w:sz="4" w:space="4" w:color="auto"/>
        </w:pBdr>
        <w:outlineLvl w:val="0"/>
      </w:pPr>
      <w:r>
        <w:rPr>
          <w:b/>
        </w:rPr>
        <w:t>3.</w:t>
      </w:r>
      <w:r>
        <w:rPr>
          <w:b/>
        </w:rPr>
        <w:tab/>
        <w:t>ZOZNAM POMOCNÝCH LÁTOK</w:t>
      </w:r>
    </w:p>
    <w:p w14:paraId="2B0378E5" w14:textId="77777777" w:rsidR="009700E5" w:rsidRDefault="009700E5"/>
    <w:p w14:paraId="3F41A343" w14:textId="77777777" w:rsidR="009700E5" w:rsidRDefault="002C033C">
      <w:pPr>
        <w:outlineLvl w:val="0"/>
        <w:rPr>
          <w:bCs/>
          <w:szCs w:val="22"/>
        </w:rPr>
      </w:pPr>
      <w:r>
        <w:rPr>
          <w:bCs/>
          <w:szCs w:val="22"/>
        </w:rPr>
        <w:t xml:space="preserve">Tiež obsahuje: histidín, monohydrát histidíniumchloridu, </w:t>
      </w:r>
      <w:r>
        <w:rPr>
          <w:bCs/>
          <w:szCs w:val="22"/>
          <w:highlight w:val="lightGray"/>
        </w:rPr>
        <w:t>arginín/</w:t>
      </w:r>
      <w:r>
        <w:rPr>
          <w:bCs/>
          <w:szCs w:val="22"/>
        </w:rPr>
        <w:t xml:space="preserve">arginíniumchlorid, metionín, polysorbát 80, vodu na injekcie. </w:t>
      </w:r>
      <w:r>
        <w:rPr>
          <w:highlight w:val="lightGray"/>
        </w:rPr>
        <w:t>Ďalšie informácie si pozrite v písomnej informácii pre používateľa.</w:t>
      </w:r>
    </w:p>
    <w:p w14:paraId="54211269" w14:textId="77777777" w:rsidR="009700E5" w:rsidRDefault="009700E5"/>
    <w:p w14:paraId="13CC3484" w14:textId="77777777" w:rsidR="009700E5" w:rsidRDefault="009700E5"/>
    <w:p w14:paraId="1C0774C9" w14:textId="77777777" w:rsidR="009700E5" w:rsidRDefault="002C033C">
      <w:pPr>
        <w:pBdr>
          <w:top w:val="single" w:sz="4" w:space="1" w:color="auto"/>
          <w:left w:val="single" w:sz="4" w:space="4" w:color="auto"/>
          <w:bottom w:val="single" w:sz="4" w:space="1" w:color="auto"/>
          <w:right w:val="single" w:sz="4" w:space="4" w:color="auto"/>
        </w:pBdr>
        <w:outlineLvl w:val="0"/>
      </w:pPr>
      <w:r>
        <w:rPr>
          <w:b/>
        </w:rPr>
        <w:t>4.</w:t>
      </w:r>
      <w:r>
        <w:rPr>
          <w:b/>
        </w:rPr>
        <w:tab/>
        <w:t>LIEKOVÁ FORMA A OBSAH</w:t>
      </w:r>
    </w:p>
    <w:p w14:paraId="65180BC6" w14:textId="77777777" w:rsidR="009700E5" w:rsidRDefault="009700E5"/>
    <w:p w14:paraId="66889314" w14:textId="77777777" w:rsidR="009700E5" w:rsidRDefault="002C033C">
      <w:r>
        <w:rPr>
          <w:highlight w:val="lightGray"/>
        </w:rPr>
        <w:t>Injekčný roztok</w:t>
      </w:r>
    </w:p>
    <w:p w14:paraId="207F528A" w14:textId="77777777" w:rsidR="009700E5" w:rsidRDefault="002C033C">
      <w:pPr>
        <w:tabs>
          <w:tab w:val="left" w:pos="284"/>
          <w:tab w:val="left" w:pos="567"/>
        </w:tabs>
      </w:pPr>
      <w:r>
        <w:t xml:space="preserve">4 naplnené injekčné striekačky </w:t>
      </w:r>
    </w:p>
    <w:p w14:paraId="4F8E3DAA" w14:textId="77777777" w:rsidR="009700E5" w:rsidRDefault="002C033C">
      <w:pPr>
        <w:tabs>
          <w:tab w:val="left" w:pos="284"/>
          <w:tab w:val="left" w:pos="567"/>
        </w:tabs>
      </w:pPr>
      <w:r>
        <w:t xml:space="preserve">Súčasť spoločného balenia, nemôžu sa predávať oddelene. </w:t>
      </w:r>
    </w:p>
    <w:p w14:paraId="1EE0922E" w14:textId="77777777" w:rsidR="009700E5" w:rsidRDefault="002C033C">
      <w:r>
        <w:t>162 mg/0,9 ml</w:t>
      </w:r>
    </w:p>
    <w:p w14:paraId="2854A603" w14:textId="77777777" w:rsidR="009700E5" w:rsidRDefault="009700E5"/>
    <w:p w14:paraId="52717683" w14:textId="77777777" w:rsidR="009700E5" w:rsidRDefault="009700E5">
      <w:pPr>
        <w:rPr>
          <w:szCs w:val="22"/>
        </w:rPr>
      </w:pPr>
    </w:p>
    <w:p w14:paraId="65DC6CFC" w14:textId="77777777" w:rsidR="009700E5" w:rsidRDefault="002C033C">
      <w:pPr>
        <w:pBdr>
          <w:top w:val="single" w:sz="4" w:space="1" w:color="auto"/>
          <w:left w:val="single" w:sz="4" w:space="4" w:color="auto"/>
          <w:bottom w:val="single" w:sz="4" w:space="1" w:color="auto"/>
          <w:right w:val="single" w:sz="4" w:space="4" w:color="auto"/>
        </w:pBdr>
        <w:outlineLvl w:val="0"/>
      </w:pPr>
      <w:r>
        <w:rPr>
          <w:b/>
        </w:rPr>
        <w:t>5.</w:t>
      </w:r>
      <w:r>
        <w:rPr>
          <w:b/>
        </w:rPr>
        <w:tab/>
        <w:t>SPÔSOB A CESTA PODÁVANIA</w:t>
      </w:r>
    </w:p>
    <w:p w14:paraId="544DE0E1" w14:textId="77777777" w:rsidR="009700E5" w:rsidRDefault="009700E5">
      <w:pPr>
        <w:rPr>
          <w:i/>
        </w:rPr>
      </w:pPr>
    </w:p>
    <w:p w14:paraId="4AB8EFB4" w14:textId="77777777" w:rsidR="009700E5" w:rsidRDefault="002C033C">
      <w:pPr>
        <w:tabs>
          <w:tab w:val="left" w:pos="284"/>
          <w:tab w:val="left" w:pos="567"/>
        </w:tabs>
        <w:outlineLvl w:val="0"/>
      </w:pPr>
      <w:r>
        <w:t>Subkutánne použitie</w:t>
      </w:r>
    </w:p>
    <w:p w14:paraId="33D0AFAC" w14:textId="77777777" w:rsidR="009700E5" w:rsidRDefault="002C033C">
      <w:pPr>
        <w:rPr>
          <w:szCs w:val="22"/>
        </w:rPr>
      </w:pPr>
      <w:r>
        <w:rPr>
          <w:szCs w:val="22"/>
        </w:rPr>
        <w:t>Pred použitím si prečítajte písomnú informáciu pre používateľa</w:t>
      </w:r>
    </w:p>
    <w:p w14:paraId="67F026CF" w14:textId="77777777" w:rsidR="009700E5" w:rsidRDefault="009700E5"/>
    <w:p w14:paraId="030DBE6D" w14:textId="77777777" w:rsidR="009700E5" w:rsidRDefault="009700E5"/>
    <w:p w14:paraId="414F0C4D" w14:textId="77777777" w:rsidR="009700E5" w:rsidRDefault="002C033C">
      <w:pPr>
        <w:pBdr>
          <w:top w:val="single" w:sz="4" w:space="1" w:color="auto"/>
          <w:left w:val="single" w:sz="4" w:space="4" w:color="auto"/>
          <w:bottom w:val="single" w:sz="4" w:space="1" w:color="auto"/>
          <w:right w:val="single" w:sz="4" w:space="4" w:color="auto"/>
        </w:pBdr>
        <w:ind w:left="567" w:hanging="567"/>
        <w:outlineLvl w:val="0"/>
      </w:pPr>
      <w:r>
        <w:rPr>
          <w:b/>
        </w:rPr>
        <w:t>6.</w:t>
      </w:r>
      <w:r>
        <w:rPr>
          <w:b/>
        </w:rPr>
        <w:tab/>
        <w:t>ŠPECIÁLNE UPOZORNENIE, ŽE LIEK SA MUSÍ UCHOVÁVAŤ MIMO DOHĽADU A DOSAHU DETÍ</w:t>
      </w:r>
    </w:p>
    <w:p w14:paraId="1097C25D" w14:textId="77777777" w:rsidR="009700E5" w:rsidRDefault="009700E5"/>
    <w:p w14:paraId="290832D8" w14:textId="77777777" w:rsidR="009700E5" w:rsidRDefault="002C033C">
      <w:pPr>
        <w:outlineLvl w:val="0"/>
        <w:rPr>
          <w:szCs w:val="22"/>
        </w:rPr>
      </w:pPr>
      <w:r>
        <w:rPr>
          <w:szCs w:val="22"/>
        </w:rPr>
        <w:t>Uchovávajte mimo dohľadu a dosahu detí</w:t>
      </w:r>
    </w:p>
    <w:p w14:paraId="3A933FC4" w14:textId="77777777" w:rsidR="009700E5" w:rsidRDefault="009700E5"/>
    <w:p w14:paraId="3E021DFE" w14:textId="77777777" w:rsidR="009700E5" w:rsidRDefault="009700E5"/>
    <w:p w14:paraId="7245604D" w14:textId="77777777" w:rsidR="009700E5" w:rsidRDefault="002C033C">
      <w:pPr>
        <w:pBdr>
          <w:top w:val="single" w:sz="4" w:space="1" w:color="auto"/>
          <w:left w:val="single" w:sz="4" w:space="4" w:color="auto"/>
          <w:bottom w:val="single" w:sz="4" w:space="1" w:color="auto"/>
          <w:right w:val="single" w:sz="4" w:space="4" w:color="auto"/>
        </w:pBdr>
        <w:ind w:left="567" w:hanging="567"/>
        <w:outlineLvl w:val="0"/>
      </w:pPr>
      <w:r>
        <w:rPr>
          <w:b/>
        </w:rPr>
        <w:t>7.</w:t>
      </w:r>
      <w:r>
        <w:rPr>
          <w:b/>
        </w:rPr>
        <w:tab/>
        <w:t>INÉ ŠPECIÁLNE UPOZORNENIE, AK JE TO POTREBNÉ</w:t>
      </w:r>
    </w:p>
    <w:p w14:paraId="6A8C71AA" w14:textId="77777777" w:rsidR="009700E5" w:rsidRDefault="009700E5"/>
    <w:p w14:paraId="28F1852A" w14:textId="77777777" w:rsidR="009700E5" w:rsidRDefault="002C033C">
      <w:r>
        <w:t>Pred použitím nechajte injekčnú striekačku vybratú zo škatule stáť pri izbovej teplote 25 až 30 minút</w:t>
      </w:r>
    </w:p>
    <w:p w14:paraId="548E6024" w14:textId="77777777" w:rsidR="009700E5" w:rsidRDefault="009700E5"/>
    <w:p w14:paraId="750B34A5" w14:textId="77777777" w:rsidR="009700E5" w:rsidRDefault="009700E5"/>
    <w:p w14:paraId="49EF898A" w14:textId="77777777" w:rsidR="009700E5" w:rsidRDefault="002C033C">
      <w:pPr>
        <w:pBdr>
          <w:top w:val="single" w:sz="4" w:space="1" w:color="auto"/>
          <w:left w:val="single" w:sz="4" w:space="4" w:color="auto"/>
          <w:bottom w:val="single" w:sz="4" w:space="1" w:color="auto"/>
          <w:right w:val="single" w:sz="4" w:space="4" w:color="auto"/>
        </w:pBdr>
        <w:outlineLvl w:val="0"/>
      </w:pPr>
      <w:r>
        <w:rPr>
          <w:b/>
        </w:rPr>
        <w:t>8.</w:t>
      </w:r>
      <w:r>
        <w:rPr>
          <w:b/>
        </w:rPr>
        <w:tab/>
        <w:t>DÁTUM EXSPIRÁCIE</w:t>
      </w:r>
    </w:p>
    <w:p w14:paraId="057C46AF" w14:textId="77777777" w:rsidR="009700E5" w:rsidRDefault="009700E5"/>
    <w:p w14:paraId="0BB048FF" w14:textId="77777777" w:rsidR="009700E5" w:rsidRDefault="002C033C">
      <w:r>
        <w:t>EXP</w:t>
      </w:r>
    </w:p>
    <w:p w14:paraId="04ED1291" w14:textId="77777777" w:rsidR="009700E5" w:rsidRDefault="009700E5"/>
    <w:p w14:paraId="15EDF36F" w14:textId="77777777" w:rsidR="009700E5" w:rsidRDefault="009700E5"/>
    <w:p w14:paraId="64A0A9FC" w14:textId="77777777" w:rsidR="009700E5" w:rsidRDefault="002C033C">
      <w:pPr>
        <w:keepNext/>
        <w:keepLines/>
        <w:pBdr>
          <w:top w:val="single" w:sz="4" w:space="1" w:color="auto"/>
          <w:left w:val="single" w:sz="4" w:space="4" w:color="auto"/>
          <w:bottom w:val="single" w:sz="4" w:space="1" w:color="auto"/>
          <w:right w:val="single" w:sz="4" w:space="4" w:color="auto"/>
        </w:pBdr>
        <w:outlineLvl w:val="0"/>
      </w:pPr>
      <w:r>
        <w:rPr>
          <w:b/>
        </w:rPr>
        <w:lastRenderedPageBreak/>
        <w:t>9.</w:t>
      </w:r>
      <w:r>
        <w:rPr>
          <w:b/>
        </w:rPr>
        <w:tab/>
        <w:t>ŠPECIÁLNE PODMIENKY NA UCHOVÁVANIE</w:t>
      </w:r>
    </w:p>
    <w:p w14:paraId="02A61F63" w14:textId="77777777" w:rsidR="009700E5" w:rsidRDefault="009700E5">
      <w:pPr>
        <w:keepNext/>
        <w:keepLines/>
        <w:ind w:left="567" w:hanging="567"/>
      </w:pPr>
    </w:p>
    <w:p w14:paraId="3A0ECF97" w14:textId="77777777" w:rsidR="009700E5" w:rsidRDefault="002C033C">
      <w:pPr>
        <w:keepNext/>
        <w:keepLines/>
      </w:pPr>
      <w:r>
        <w:t>Uchovávajte v chladničke</w:t>
      </w:r>
    </w:p>
    <w:p w14:paraId="653E974B" w14:textId="77777777" w:rsidR="009700E5" w:rsidRDefault="002C033C">
      <w:pPr>
        <w:keepNext/>
        <w:keepLines/>
      </w:pPr>
      <w:r>
        <w:t>Neuchovávajte v mrazničke</w:t>
      </w:r>
    </w:p>
    <w:p w14:paraId="2D3EF502" w14:textId="77777777" w:rsidR="009700E5" w:rsidRDefault="002C033C">
      <w:pPr>
        <w:keepNext/>
        <w:keepLines/>
      </w:pPr>
      <w:r>
        <w:t>Po vybratí z chladničky možno naplnenú injekčnú striekačku uchovávať až 2 týždne pri teplote do 30 °C</w:t>
      </w:r>
    </w:p>
    <w:p w14:paraId="634A229E" w14:textId="77777777" w:rsidR="009700E5" w:rsidRDefault="002C033C">
      <w:pPr>
        <w:keepNext/>
        <w:keepLines/>
      </w:pPr>
      <w:r>
        <w:t>Naplnenú injekčnú striekačku uchovávajte vo vonkajšom obale na ochranu pred svetlom a vlhkosťou</w:t>
      </w:r>
    </w:p>
    <w:p w14:paraId="2E1EFFE2" w14:textId="77777777" w:rsidR="009700E5" w:rsidRDefault="009700E5">
      <w:pPr>
        <w:ind w:left="567" w:hanging="567"/>
      </w:pPr>
    </w:p>
    <w:p w14:paraId="764B5DEF" w14:textId="77777777" w:rsidR="009700E5" w:rsidRDefault="009700E5">
      <w:pPr>
        <w:ind w:left="567" w:hanging="567"/>
      </w:pPr>
    </w:p>
    <w:p w14:paraId="445F9C0D" w14:textId="77777777" w:rsidR="009700E5" w:rsidRDefault="002C033C">
      <w:pPr>
        <w:pBdr>
          <w:top w:val="single" w:sz="4" w:space="1" w:color="auto"/>
          <w:left w:val="single" w:sz="4" w:space="4" w:color="auto"/>
          <w:bottom w:val="single" w:sz="4" w:space="1" w:color="auto"/>
          <w:right w:val="single" w:sz="4" w:space="4" w:color="auto"/>
        </w:pBdr>
        <w:ind w:left="567" w:hanging="567"/>
        <w:outlineLvl w:val="0"/>
        <w:rPr>
          <w:b/>
        </w:rPr>
      </w:pPr>
      <w:r>
        <w:rPr>
          <w:b/>
        </w:rPr>
        <w:t>10.</w:t>
      </w:r>
      <w:r>
        <w:rPr>
          <w:b/>
        </w:rPr>
        <w:tab/>
        <w:t>ŠPECIÁLNE UPOZORNENIA NA LIKVIDÁCIU NEPOUŽITÝCH LIEKOV ALEBO ODPADOV Z NICH VZNIKNUTÝCH, AK JE TO VHODNÉ</w:t>
      </w:r>
    </w:p>
    <w:p w14:paraId="22F26CE0" w14:textId="77777777" w:rsidR="009700E5" w:rsidRDefault="009700E5"/>
    <w:p w14:paraId="49479229" w14:textId="77777777" w:rsidR="009700E5" w:rsidRDefault="009700E5"/>
    <w:p w14:paraId="59BEFEFE" w14:textId="77777777" w:rsidR="009700E5" w:rsidRDefault="002C033C">
      <w:pPr>
        <w:pBdr>
          <w:top w:val="single" w:sz="4" w:space="1" w:color="auto"/>
          <w:left w:val="single" w:sz="4" w:space="4" w:color="auto"/>
          <w:bottom w:val="single" w:sz="4" w:space="1" w:color="auto"/>
          <w:right w:val="single" w:sz="4" w:space="4" w:color="auto"/>
        </w:pBdr>
        <w:outlineLvl w:val="0"/>
        <w:rPr>
          <w:b/>
        </w:rPr>
      </w:pPr>
      <w:r>
        <w:rPr>
          <w:b/>
        </w:rPr>
        <w:t>11.</w:t>
      </w:r>
      <w:r>
        <w:rPr>
          <w:b/>
        </w:rPr>
        <w:tab/>
        <w:t>NÁZOV A ADRESA DRŽITEĽA ROZHODNUTIA O REGISTRÁCII</w:t>
      </w:r>
    </w:p>
    <w:p w14:paraId="0F4936C9" w14:textId="77777777" w:rsidR="009700E5" w:rsidRDefault="009700E5"/>
    <w:p w14:paraId="06C76EB3" w14:textId="77777777" w:rsidR="009700E5" w:rsidRDefault="002C033C">
      <w:r>
        <w:t xml:space="preserve">Roche Registration GmbH </w:t>
      </w:r>
    </w:p>
    <w:p w14:paraId="2BEE8CEA" w14:textId="77777777" w:rsidR="009700E5" w:rsidRDefault="002C033C">
      <w:r>
        <w:t>Emil-Barell-Strasse 1</w:t>
      </w:r>
    </w:p>
    <w:p w14:paraId="79A0B636" w14:textId="77777777" w:rsidR="009700E5" w:rsidRDefault="002C033C">
      <w:r>
        <w:t>79639 Grenzach-Wyhlen</w:t>
      </w:r>
    </w:p>
    <w:p w14:paraId="257B2137" w14:textId="77777777" w:rsidR="009700E5" w:rsidRDefault="002C033C">
      <w:r>
        <w:t>Nemecko</w:t>
      </w:r>
    </w:p>
    <w:p w14:paraId="7FB60E86" w14:textId="77777777" w:rsidR="009700E5" w:rsidRDefault="009700E5"/>
    <w:p w14:paraId="065818D4" w14:textId="77777777" w:rsidR="009700E5" w:rsidRDefault="009700E5"/>
    <w:p w14:paraId="7CBD3116" w14:textId="77777777" w:rsidR="009700E5" w:rsidRDefault="002C033C">
      <w:pPr>
        <w:pBdr>
          <w:top w:val="single" w:sz="4" w:space="1" w:color="auto"/>
          <w:left w:val="single" w:sz="4" w:space="4" w:color="auto"/>
          <w:bottom w:val="single" w:sz="4" w:space="1" w:color="auto"/>
          <w:right w:val="single" w:sz="4" w:space="4" w:color="auto"/>
        </w:pBdr>
        <w:ind w:left="567" w:hanging="567"/>
        <w:outlineLvl w:val="0"/>
      </w:pPr>
      <w:r>
        <w:rPr>
          <w:b/>
        </w:rPr>
        <w:t>12.</w:t>
      </w:r>
      <w:r>
        <w:rPr>
          <w:b/>
        </w:rPr>
        <w:tab/>
        <w:t>REGISTRAČNÉ ČÍSLO</w:t>
      </w:r>
    </w:p>
    <w:p w14:paraId="0111226A" w14:textId="77777777" w:rsidR="009700E5" w:rsidRDefault="009700E5"/>
    <w:p w14:paraId="0961F515" w14:textId="77777777" w:rsidR="009700E5" w:rsidRDefault="002C033C">
      <w:r>
        <w:t>EU/1/08/492/008</w:t>
      </w:r>
    </w:p>
    <w:p w14:paraId="0E03DF6E" w14:textId="77777777" w:rsidR="009700E5" w:rsidRDefault="009700E5"/>
    <w:p w14:paraId="459F31CD" w14:textId="77777777" w:rsidR="009700E5" w:rsidRDefault="009700E5"/>
    <w:p w14:paraId="07465576" w14:textId="77777777" w:rsidR="009700E5" w:rsidRDefault="002C033C">
      <w:pPr>
        <w:pBdr>
          <w:top w:val="single" w:sz="4" w:space="1" w:color="auto"/>
          <w:left w:val="single" w:sz="4" w:space="4" w:color="auto"/>
          <w:bottom w:val="single" w:sz="4" w:space="1" w:color="auto"/>
          <w:right w:val="single" w:sz="4" w:space="4" w:color="auto"/>
        </w:pBdr>
        <w:ind w:left="567" w:hanging="567"/>
        <w:outlineLvl w:val="0"/>
      </w:pPr>
      <w:r>
        <w:rPr>
          <w:b/>
        </w:rPr>
        <w:t>13.</w:t>
      </w:r>
      <w:r>
        <w:rPr>
          <w:b/>
        </w:rPr>
        <w:tab/>
        <w:t>ČÍSLO VÝROBNEJ ŠARŽE</w:t>
      </w:r>
    </w:p>
    <w:p w14:paraId="304952B4" w14:textId="77777777" w:rsidR="009700E5" w:rsidRDefault="009700E5"/>
    <w:p w14:paraId="07F69E22" w14:textId="77777777" w:rsidR="009700E5" w:rsidRDefault="002C033C">
      <w:r>
        <w:t>Lot</w:t>
      </w:r>
    </w:p>
    <w:p w14:paraId="1B1D308E" w14:textId="77777777" w:rsidR="009700E5" w:rsidRDefault="009700E5"/>
    <w:p w14:paraId="49DC85E3" w14:textId="77777777" w:rsidR="009700E5" w:rsidRDefault="009700E5"/>
    <w:p w14:paraId="2C092830" w14:textId="77777777" w:rsidR="009700E5" w:rsidRDefault="002C033C">
      <w:pPr>
        <w:pBdr>
          <w:top w:val="single" w:sz="4" w:space="1" w:color="auto"/>
          <w:left w:val="single" w:sz="4" w:space="4" w:color="auto"/>
          <w:bottom w:val="single" w:sz="4" w:space="1" w:color="auto"/>
          <w:right w:val="single" w:sz="4" w:space="4" w:color="auto"/>
        </w:pBdr>
        <w:outlineLvl w:val="0"/>
      </w:pPr>
      <w:r>
        <w:rPr>
          <w:b/>
        </w:rPr>
        <w:t>14.</w:t>
      </w:r>
      <w:r>
        <w:rPr>
          <w:b/>
        </w:rPr>
        <w:tab/>
        <w:t>ZATRIEDENIE LIEKU PODĽA SPÔSOBU VÝDAJA</w:t>
      </w:r>
    </w:p>
    <w:p w14:paraId="7657814A" w14:textId="77777777" w:rsidR="009700E5" w:rsidRDefault="009700E5"/>
    <w:p w14:paraId="1607FB82" w14:textId="77777777" w:rsidR="009700E5" w:rsidRDefault="009700E5"/>
    <w:p w14:paraId="4B485503" w14:textId="77777777" w:rsidR="009700E5" w:rsidRDefault="002C033C">
      <w:pPr>
        <w:pBdr>
          <w:top w:val="single" w:sz="4" w:space="1" w:color="auto"/>
          <w:left w:val="single" w:sz="4" w:space="4" w:color="auto"/>
          <w:bottom w:val="single" w:sz="4" w:space="1" w:color="auto"/>
          <w:right w:val="single" w:sz="4" w:space="4" w:color="auto"/>
        </w:pBdr>
        <w:ind w:left="567" w:hanging="567"/>
        <w:outlineLvl w:val="0"/>
      </w:pPr>
      <w:r>
        <w:rPr>
          <w:b/>
        </w:rPr>
        <w:t>15.</w:t>
      </w:r>
      <w:r>
        <w:rPr>
          <w:b/>
        </w:rPr>
        <w:tab/>
        <w:t>POKYNY NA POUŽITIE</w:t>
      </w:r>
    </w:p>
    <w:p w14:paraId="30F22311" w14:textId="77777777" w:rsidR="009700E5" w:rsidRDefault="009700E5"/>
    <w:p w14:paraId="543807E2" w14:textId="77777777" w:rsidR="009700E5" w:rsidRDefault="009700E5"/>
    <w:p w14:paraId="04935899" w14:textId="77777777" w:rsidR="009700E5" w:rsidRDefault="002C033C">
      <w:pPr>
        <w:pBdr>
          <w:top w:val="single" w:sz="4" w:space="1" w:color="auto"/>
          <w:left w:val="single" w:sz="4" w:space="4" w:color="auto"/>
          <w:bottom w:val="single" w:sz="4" w:space="1" w:color="auto"/>
          <w:right w:val="single" w:sz="4" w:space="4" w:color="auto"/>
        </w:pBdr>
        <w:ind w:left="567" w:hanging="567"/>
        <w:outlineLvl w:val="0"/>
      </w:pPr>
      <w:r>
        <w:rPr>
          <w:b/>
        </w:rPr>
        <w:t>16.</w:t>
      </w:r>
      <w:r>
        <w:rPr>
          <w:b/>
        </w:rPr>
        <w:tab/>
        <w:t>INFORMÁCIE V BRAILLOVOM PÍSME</w:t>
      </w:r>
    </w:p>
    <w:p w14:paraId="23BAA3D9" w14:textId="77777777" w:rsidR="009700E5" w:rsidRDefault="009700E5"/>
    <w:p w14:paraId="4A2C937F" w14:textId="77777777" w:rsidR="009700E5" w:rsidRDefault="002C033C">
      <w:r>
        <w:t>roactemra 162 mg injekčná striekačka</w:t>
      </w:r>
    </w:p>
    <w:p w14:paraId="2B235CE9" w14:textId="77777777" w:rsidR="009700E5" w:rsidRDefault="009700E5">
      <w:pPr>
        <w:shd w:val="clear" w:color="auto" w:fill="FFFFFF"/>
      </w:pPr>
    </w:p>
    <w:p w14:paraId="06B00E18" w14:textId="77777777" w:rsidR="009700E5" w:rsidRDefault="009700E5">
      <w:pPr>
        <w:rPr>
          <w:szCs w:val="22"/>
        </w:rPr>
      </w:pPr>
    </w:p>
    <w:p w14:paraId="2B197215" w14:textId="77777777" w:rsidR="009700E5" w:rsidRDefault="002C033C">
      <w:pPr>
        <w:pBdr>
          <w:top w:val="single" w:sz="4" w:space="2" w:color="auto"/>
          <w:left w:val="single" w:sz="4" w:space="4" w:color="auto"/>
          <w:bottom w:val="single" w:sz="4" w:space="0" w:color="auto"/>
          <w:right w:val="single" w:sz="4" w:space="4" w:color="auto"/>
        </w:pBdr>
        <w:rPr>
          <w:b/>
        </w:rPr>
      </w:pPr>
      <w:r>
        <w:rPr>
          <w:b/>
        </w:rPr>
        <w:t>17.</w:t>
      </w:r>
      <w:r>
        <w:rPr>
          <w:b/>
        </w:rPr>
        <w:tab/>
        <w:t>ŠPECIFICKÝ IDENTIFIKÁTOR – DVOJROZMERNÝ ČIAROVÝ KÓD</w:t>
      </w:r>
    </w:p>
    <w:p w14:paraId="0A3A4E6C" w14:textId="77777777" w:rsidR="009700E5" w:rsidRDefault="009700E5"/>
    <w:p w14:paraId="79DF40F3" w14:textId="77777777" w:rsidR="009700E5" w:rsidRDefault="009700E5"/>
    <w:p w14:paraId="04CBA191" w14:textId="77777777" w:rsidR="009700E5" w:rsidRDefault="002C033C">
      <w:pPr>
        <w:pBdr>
          <w:top w:val="single" w:sz="4" w:space="2" w:color="auto"/>
          <w:left w:val="single" w:sz="4" w:space="4" w:color="auto"/>
          <w:bottom w:val="single" w:sz="4" w:space="0" w:color="auto"/>
          <w:right w:val="single" w:sz="4" w:space="4" w:color="auto"/>
        </w:pBdr>
        <w:rPr>
          <w:b/>
        </w:rPr>
      </w:pPr>
      <w:r>
        <w:rPr>
          <w:b/>
        </w:rPr>
        <w:t>18.</w:t>
      </w:r>
      <w:r>
        <w:rPr>
          <w:b/>
        </w:rPr>
        <w:tab/>
        <w:t>ŠPECIFICKÝ IDENTIFIKÁTOR – ÚDAJE ČITATEĽNÉ ĽUDSKÝM OKOM</w:t>
      </w:r>
    </w:p>
    <w:p w14:paraId="1301F1C0" w14:textId="77777777" w:rsidR="009700E5" w:rsidRDefault="009700E5"/>
    <w:p w14:paraId="4CA3FD75" w14:textId="77777777" w:rsidR="009700E5" w:rsidRDefault="002C033C">
      <w:r>
        <w:br w:type="page"/>
      </w:r>
    </w:p>
    <w:p w14:paraId="4A3F5FDF" w14:textId="77777777" w:rsidR="009700E5" w:rsidRDefault="002C033C">
      <w:pPr>
        <w:pBdr>
          <w:top w:val="single" w:sz="4" w:space="1" w:color="auto"/>
          <w:left w:val="single" w:sz="4" w:space="4" w:color="auto"/>
          <w:bottom w:val="single" w:sz="4" w:space="1" w:color="auto"/>
          <w:right w:val="single" w:sz="4" w:space="4" w:color="auto"/>
        </w:pBdr>
        <w:rPr>
          <w:b/>
        </w:rPr>
      </w:pPr>
      <w:r>
        <w:rPr>
          <w:b/>
        </w:rPr>
        <w:lastRenderedPageBreak/>
        <w:t>MINIMÁLNE ÚDAJE, KTORÉ MAJÚ BYŤ UVEDENÉ NA MALOM VNÚTORNOM OBALE</w:t>
      </w:r>
    </w:p>
    <w:p w14:paraId="7C4DDD34" w14:textId="77777777" w:rsidR="009700E5" w:rsidRDefault="009700E5">
      <w:pPr>
        <w:pBdr>
          <w:top w:val="single" w:sz="4" w:space="1" w:color="auto"/>
          <w:left w:val="single" w:sz="4" w:space="4" w:color="auto"/>
          <w:bottom w:val="single" w:sz="4" w:space="1" w:color="auto"/>
          <w:right w:val="single" w:sz="4" w:space="4" w:color="auto"/>
        </w:pBdr>
        <w:rPr>
          <w:b/>
        </w:rPr>
      </w:pPr>
    </w:p>
    <w:p w14:paraId="522C0302" w14:textId="77777777" w:rsidR="009700E5" w:rsidRDefault="002C033C">
      <w:pPr>
        <w:pBdr>
          <w:top w:val="single" w:sz="4" w:space="1" w:color="auto"/>
          <w:left w:val="single" w:sz="4" w:space="4" w:color="auto"/>
          <w:bottom w:val="single" w:sz="4" w:space="1" w:color="auto"/>
          <w:right w:val="single" w:sz="4" w:space="4" w:color="auto"/>
        </w:pBdr>
        <w:rPr>
          <w:b/>
        </w:rPr>
      </w:pPr>
      <w:r>
        <w:rPr>
          <w:b/>
          <w:caps/>
        </w:rPr>
        <w:t>OZNAČENIE naplnenEJ injekčnEJ striekačkY</w:t>
      </w:r>
    </w:p>
    <w:p w14:paraId="7D7C4BF3" w14:textId="77777777" w:rsidR="009700E5" w:rsidRDefault="009700E5"/>
    <w:p w14:paraId="247A9C85" w14:textId="77777777" w:rsidR="009700E5" w:rsidRDefault="009700E5"/>
    <w:p w14:paraId="0ED35BE2" w14:textId="77777777" w:rsidR="009700E5" w:rsidRDefault="002C033C">
      <w:pPr>
        <w:pBdr>
          <w:top w:val="single" w:sz="4" w:space="1" w:color="auto"/>
          <w:left w:val="single" w:sz="4" w:space="4" w:color="auto"/>
          <w:bottom w:val="single" w:sz="4" w:space="1" w:color="auto"/>
          <w:right w:val="single" w:sz="4" w:space="4" w:color="auto"/>
        </w:pBdr>
        <w:outlineLvl w:val="0"/>
        <w:rPr>
          <w:b/>
        </w:rPr>
      </w:pPr>
      <w:r>
        <w:rPr>
          <w:b/>
        </w:rPr>
        <w:t>1.</w:t>
      </w:r>
      <w:r>
        <w:rPr>
          <w:b/>
        </w:rPr>
        <w:tab/>
        <w:t>NÁZOV LIEKU A CESTA PODÁVANIA</w:t>
      </w:r>
    </w:p>
    <w:p w14:paraId="5D789E1A" w14:textId="77777777" w:rsidR="009700E5" w:rsidRDefault="009700E5"/>
    <w:p w14:paraId="775643B4" w14:textId="77777777" w:rsidR="009700E5" w:rsidRDefault="002C033C">
      <w:r>
        <w:t>RoActemra 162 mg injekcia</w:t>
      </w:r>
    </w:p>
    <w:p w14:paraId="43703EAF" w14:textId="77777777" w:rsidR="009700E5" w:rsidRDefault="002C033C">
      <w:r>
        <w:t>tocilizumab</w:t>
      </w:r>
    </w:p>
    <w:p w14:paraId="4421A7CD" w14:textId="77777777" w:rsidR="009700E5" w:rsidRDefault="002C033C">
      <w:r>
        <w:t>s.c.</w:t>
      </w:r>
    </w:p>
    <w:p w14:paraId="5A2F3059" w14:textId="77777777" w:rsidR="009700E5" w:rsidRDefault="009700E5"/>
    <w:p w14:paraId="5F5EAE1B" w14:textId="77777777" w:rsidR="009700E5" w:rsidRDefault="009700E5"/>
    <w:p w14:paraId="4E4A319A" w14:textId="77777777" w:rsidR="009700E5" w:rsidRDefault="002C033C">
      <w:pPr>
        <w:pBdr>
          <w:top w:val="single" w:sz="4" w:space="1" w:color="auto"/>
          <w:left w:val="single" w:sz="4" w:space="4" w:color="auto"/>
          <w:bottom w:val="single" w:sz="4" w:space="1" w:color="auto"/>
          <w:right w:val="single" w:sz="4" w:space="4" w:color="auto"/>
        </w:pBdr>
        <w:outlineLvl w:val="0"/>
        <w:rPr>
          <w:b/>
        </w:rPr>
      </w:pPr>
      <w:r>
        <w:rPr>
          <w:b/>
        </w:rPr>
        <w:t>2.</w:t>
      </w:r>
      <w:r>
        <w:rPr>
          <w:b/>
        </w:rPr>
        <w:tab/>
        <w:t>SPÔSOB PODÁVANIA</w:t>
      </w:r>
    </w:p>
    <w:p w14:paraId="0F5DBB16" w14:textId="77777777" w:rsidR="009700E5" w:rsidRDefault="009700E5"/>
    <w:p w14:paraId="19DF022D" w14:textId="77777777" w:rsidR="009700E5" w:rsidRDefault="009700E5"/>
    <w:p w14:paraId="1B634141" w14:textId="77777777" w:rsidR="009700E5" w:rsidRDefault="002C033C">
      <w:pPr>
        <w:pBdr>
          <w:top w:val="single" w:sz="4" w:space="1" w:color="auto"/>
          <w:left w:val="single" w:sz="4" w:space="4" w:color="auto"/>
          <w:bottom w:val="single" w:sz="4" w:space="1" w:color="auto"/>
          <w:right w:val="single" w:sz="4" w:space="4" w:color="auto"/>
        </w:pBdr>
        <w:outlineLvl w:val="0"/>
        <w:rPr>
          <w:b/>
        </w:rPr>
      </w:pPr>
      <w:r>
        <w:rPr>
          <w:b/>
        </w:rPr>
        <w:t>3.</w:t>
      </w:r>
      <w:r>
        <w:rPr>
          <w:b/>
        </w:rPr>
        <w:tab/>
        <w:t>DÁTUM EXSPIRÁCIE</w:t>
      </w:r>
    </w:p>
    <w:p w14:paraId="49CB2A56" w14:textId="77777777" w:rsidR="009700E5" w:rsidRDefault="009700E5"/>
    <w:p w14:paraId="12240946" w14:textId="77777777" w:rsidR="009700E5" w:rsidRDefault="002C033C">
      <w:r>
        <w:t>EXP</w:t>
      </w:r>
    </w:p>
    <w:p w14:paraId="0B8488B7" w14:textId="77777777" w:rsidR="009700E5" w:rsidRDefault="009700E5"/>
    <w:p w14:paraId="767D967D" w14:textId="77777777" w:rsidR="009700E5" w:rsidRDefault="009700E5"/>
    <w:p w14:paraId="4B033A96" w14:textId="77777777" w:rsidR="009700E5" w:rsidRDefault="002C033C">
      <w:pPr>
        <w:pBdr>
          <w:top w:val="single" w:sz="4" w:space="1" w:color="auto"/>
          <w:left w:val="single" w:sz="4" w:space="4" w:color="auto"/>
          <w:bottom w:val="single" w:sz="4" w:space="1" w:color="auto"/>
          <w:right w:val="single" w:sz="4" w:space="4" w:color="auto"/>
        </w:pBdr>
        <w:outlineLvl w:val="0"/>
        <w:rPr>
          <w:b/>
        </w:rPr>
      </w:pPr>
      <w:r>
        <w:rPr>
          <w:b/>
        </w:rPr>
        <w:t>4.</w:t>
      </w:r>
      <w:r>
        <w:rPr>
          <w:b/>
        </w:rPr>
        <w:tab/>
        <w:t>ČÍSLO VÝROBNEJ ŠARŽE</w:t>
      </w:r>
    </w:p>
    <w:p w14:paraId="55EB6C06" w14:textId="77777777" w:rsidR="009700E5" w:rsidRDefault="009700E5"/>
    <w:p w14:paraId="439C12B9" w14:textId="77777777" w:rsidR="009700E5" w:rsidRDefault="002C033C">
      <w:r>
        <w:t>Lot</w:t>
      </w:r>
    </w:p>
    <w:p w14:paraId="5587164D" w14:textId="77777777" w:rsidR="009700E5" w:rsidRDefault="009700E5"/>
    <w:p w14:paraId="3A6F72AC" w14:textId="77777777" w:rsidR="009700E5" w:rsidRDefault="009700E5"/>
    <w:p w14:paraId="608EFD22" w14:textId="77777777" w:rsidR="009700E5" w:rsidRDefault="002C033C">
      <w:pPr>
        <w:pBdr>
          <w:top w:val="single" w:sz="4" w:space="1" w:color="auto"/>
          <w:left w:val="single" w:sz="4" w:space="4" w:color="auto"/>
          <w:bottom w:val="single" w:sz="4" w:space="1" w:color="auto"/>
          <w:right w:val="single" w:sz="4" w:space="4" w:color="auto"/>
        </w:pBdr>
        <w:ind w:left="567" w:hanging="567"/>
        <w:outlineLvl w:val="0"/>
        <w:rPr>
          <w:b/>
        </w:rPr>
      </w:pPr>
      <w:r>
        <w:rPr>
          <w:b/>
        </w:rPr>
        <w:t>5.</w:t>
      </w:r>
      <w:r>
        <w:rPr>
          <w:b/>
        </w:rPr>
        <w:tab/>
        <w:t>OBSAH V HMOTNOSTNÝCH, OBJEMOVÝCH ALEBO KUSOVÝCH JEDNOTKÁCH</w:t>
      </w:r>
    </w:p>
    <w:p w14:paraId="6891FA95" w14:textId="77777777" w:rsidR="009700E5" w:rsidRDefault="009700E5">
      <w:pPr>
        <w:ind w:right="113"/>
      </w:pPr>
    </w:p>
    <w:p w14:paraId="43472249" w14:textId="77777777" w:rsidR="009700E5" w:rsidRDefault="002C033C">
      <w:pPr>
        <w:ind w:right="113"/>
      </w:pPr>
      <w:r>
        <w:rPr>
          <w:szCs w:val="22"/>
        </w:rPr>
        <w:t>162 mg/0,9 ml</w:t>
      </w:r>
    </w:p>
    <w:p w14:paraId="1AFB2389" w14:textId="77777777" w:rsidR="009700E5" w:rsidRDefault="009700E5">
      <w:pPr>
        <w:ind w:right="113"/>
      </w:pPr>
    </w:p>
    <w:p w14:paraId="2F8F1085" w14:textId="77777777" w:rsidR="009700E5" w:rsidRDefault="009700E5">
      <w:pPr>
        <w:ind w:right="113"/>
      </w:pPr>
    </w:p>
    <w:p w14:paraId="1E797850" w14:textId="77777777" w:rsidR="009700E5" w:rsidRDefault="002C033C">
      <w:pPr>
        <w:pBdr>
          <w:top w:val="single" w:sz="4" w:space="1" w:color="auto"/>
          <w:left w:val="single" w:sz="4" w:space="4" w:color="auto"/>
          <w:bottom w:val="single" w:sz="4" w:space="1" w:color="auto"/>
          <w:right w:val="single" w:sz="4" w:space="4" w:color="auto"/>
        </w:pBdr>
        <w:outlineLvl w:val="0"/>
      </w:pPr>
      <w:r>
        <w:rPr>
          <w:b/>
        </w:rPr>
        <w:t>6.</w:t>
      </w:r>
      <w:r>
        <w:rPr>
          <w:b/>
        </w:rPr>
        <w:tab/>
      </w:r>
      <w:r>
        <w:rPr>
          <w:b/>
          <w:caps/>
        </w:rPr>
        <w:t>iné</w:t>
      </w:r>
    </w:p>
    <w:p w14:paraId="35095F2B" w14:textId="77777777" w:rsidR="009700E5" w:rsidRDefault="009700E5"/>
    <w:p w14:paraId="4394C0C0" w14:textId="77777777" w:rsidR="009700E5" w:rsidRDefault="002C033C">
      <w:r>
        <w:br w:type="page"/>
      </w:r>
    </w:p>
    <w:p w14:paraId="3CB34E35" w14:textId="77777777" w:rsidR="009700E5" w:rsidRDefault="002C033C">
      <w:pPr>
        <w:pBdr>
          <w:top w:val="single" w:sz="4" w:space="1" w:color="auto"/>
          <w:left w:val="single" w:sz="4" w:space="4" w:color="auto"/>
          <w:bottom w:val="single" w:sz="4" w:space="1" w:color="auto"/>
          <w:right w:val="single" w:sz="4" w:space="4" w:color="auto"/>
        </w:pBdr>
        <w:rPr>
          <w:b/>
        </w:rPr>
      </w:pPr>
      <w:r>
        <w:rPr>
          <w:b/>
        </w:rPr>
        <w:lastRenderedPageBreak/>
        <w:t>ÚDAJE, KTORÉ MAJÚ BYŤ UVEDENÉ NA VONKAJŠOM OBALE</w:t>
      </w:r>
    </w:p>
    <w:p w14:paraId="45CC1388" w14:textId="77777777" w:rsidR="009700E5" w:rsidRDefault="009700E5">
      <w:pPr>
        <w:pBdr>
          <w:top w:val="single" w:sz="4" w:space="1" w:color="auto"/>
          <w:left w:val="single" w:sz="4" w:space="4" w:color="auto"/>
          <w:bottom w:val="single" w:sz="4" w:space="1" w:color="auto"/>
          <w:right w:val="single" w:sz="4" w:space="4" w:color="auto"/>
        </w:pBdr>
        <w:rPr>
          <w:bCs/>
        </w:rPr>
      </w:pPr>
    </w:p>
    <w:p w14:paraId="41161ECD" w14:textId="77777777" w:rsidR="009700E5" w:rsidRDefault="002C033C">
      <w:pPr>
        <w:pBdr>
          <w:top w:val="single" w:sz="4" w:space="1" w:color="auto"/>
          <w:left w:val="single" w:sz="4" w:space="4" w:color="auto"/>
          <w:bottom w:val="single" w:sz="4" w:space="1" w:color="auto"/>
          <w:right w:val="single" w:sz="4" w:space="4" w:color="auto"/>
        </w:pBdr>
        <w:rPr>
          <w:bCs/>
        </w:rPr>
      </w:pPr>
      <w:r>
        <w:rPr>
          <w:b/>
          <w:caps/>
        </w:rPr>
        <w:t>škatuľa pre Naplnené pero</w:t>
      </w:r>
    </w:p>
    <w:p w14:paraId="08A86283" w14:textId="77777777" w:rsidR="009700E5" w:rsidRDefault="009700E5"/>
    <w:p w14:paraId="3ED7EC5E" w14:textId="77777777" w:rsidR="009700E5" w:rsidRDefault="009700E5"/>
    <w:p w14:paraId="7C93B580" w14:textId="77777777" w:rsidR="009700E5" w:rsidRDefault="002C033C">
      <w:pPr>
        <w:pBdr>
          <w:top w:val="single" w:sz="4" w:space="1" w:color="auto"/>
          <w:left w:val="single" w:sz="4" w:space="4" w:color="auto"/>
          <w:bottom w:val="single" w:sz="4" w:space="1" w:color="auto"/>
          <w:right w:val="single" w:sz="4" w:space="4" w:color="auto"/>
        </w:pBdr>
        <w:outlineLvl w:val="0"/>
      </w:pPr>
      <w:r>
        <w:rPr>
          <w:b/>
        </w:rPr>
        <w:t>1.</w:t>
      </w:r>
      <w:r>
        <w:rPr>
          <w:b/>
        </w:rPr>
        <w:tab/>
        <w:t>NÁZOV LIEKU</w:t>
      </w:r>
    </w:p>
    <w:p w14:paraId="49A6EA28" w14:textId="77777777" w:rsidR="009700E5" w:rsidRDefault="009700E5"/>
    <w:p w14:paraId="2371E7B6" w14:textId="77777777" w:rsidR="009700E5" w:rsidRDefault="002C033C">
      <w:pPr>
        <w:rPr>
          <w:iCs/>
        </w:rPr>
      </w:pPr>
      <w:r>
        <w:t xml:space="preserve">RoActemra </w:t>
      </w:r>
      <w:r>
        <w:rPr>
          <w:iCs/>
        </w:rPr>
        <w:t>162 mg injekčný roztok v naplnenom pere</w:t>
      </w:r>
    </w:p>
    <w:p w14:paraId="63D2E929" w14:textId="77777777" w:rsidR="009700E5" w:rsidRDefault="002C033C">
      <w:r>
        <w:t>tocilizumab</w:t>
      </w:r>
    </w:p>
    <w:p w14:paraId="2D47C501" w14:textId="77777777" w:rsidR="009700E5" w:rsidRDefault="009700E5"/>
    <w:p w14:paraId="355D7B8D" w14:textId="77777777" w:rsidR="009700E5" w:rsidRDefault="009700E5"/>
    <w:p w14:paraId="5E598EF0" w14:textId="77777777" w:rsidR="009700E5" w:rsidRDefault="002C033C">
      <w:pPr>
        <w:pBdr>
          <w:top w:val="single" w:sz="4" w:space="1" w:color="auto"/>
          <w:left w:val="single" w:sz="4" w:space="4" w:color="auto"/>
          <w:bottom w:val="single" w:sz="4" w:space="1" w:color="auto"/>
          <w:right w:val="single" w:sz="4" w:space="4" w:color="auto"/>
        </w:pBdr>
        <w:outlineLvl w:val="0"/>
        <w:rPr>
          <w:b/>
        </w:rPr>
      </w:pPr>
      <w:r>
        <w:rPr>
          <w:b/>
        </w:rPr>
        <w:t>2.</w:t>
      </w:r>
      <w:r>
        <w:rPr>
          <w:b/>
        </w:rPr>
        <w:tab/>
      </w:r>
      <w:r w:rsidRPr="00723DEA">
        <w:rPr>
          <w:b/>
        </w:rPr>
        <w:t>LIEČIVO</w:t>
      </w:r>
    </w:p>
    <w:p w14:paraId="2CCD684D" w14:textId="77777777" w:rsidR="009700E5" w:rsidRDefault="009700E5"/>
    <w:p w14:paraId="5F272704" w14:textId="77777777" w:rsidR="009700E5" w:rsidRDefault="002C033C">
      <w:r>
        <w:t>1 naplnené pero obsahuje 162 mg tocilizumabu.</w:t>
      </w:r>
    </w:p>
    <w:p w14:paraId="7C10A482" w14:textId="77777777" w:rsidR="009700E5" w:rsidRDefault="009700E5"/>
    <w:p w14:paraId="25840A30" w14:textId="77777777" w:rsidR="009700E5" w:rsidRDefault="009700E5"/>
    <w:p w14:paraId="558789C2" w14:textId="77777777" w:rsidR="009700E5" w:rsidRDefault="002C033C">
      <w:pPr>
        <w:pBdr>
          <w:top w:val="single" w:sz="4" w:space="1" w:color="auto"/>
          <w:left w:val="single" w:sz="4" w:space="4" w:color="auto"/>
          <w:bottom w:val="single" w:sz="4" w:space="1" w:color="auto"/>
          <w:right w:val="single" w:sz="4" w:space="4" w:color="auto"/>
        </w:pBdr>
        <w:outlineLvl w:val="0"/>
      </w:pPr>
      <w:r>
        <w:rPr>
          <w:b/>
        </w:rPr>
        <w:t>3.</w:t>
      </w:r>
      <w:r>
        <w:rPr>
          <w:b/>
        </w:rPr>
        <w:tab/>
        <w:t>ZOZNAM POMOCNÝCH LÁTOK</w:t>
      </w:r>
    </w:p>
    <w:p w14:paraId="4BBCCBC4" w14:textId="77777777" w:rsidR="009700E5" w:rsidRDefault="009700E5"/>
    <w:p w14:paraId="24E1F473" w14:textId="77777777" w:rsidR="009700E5" w:rsidRDefault="002C033C">
      <w:pPr>
        <w:outlineLvl w:val="0"/>
        <w:rPr>
          <w:bCs/>
          <w:szCs w:val="22"/>
        </w:rPr>
      </w:pPr>
      <w:r>
        <w:rPr>
          <w:bCs/>
          <w:szCs w:val="22"/>
        </w:rPr>
        <w:t xml:space="preserve">Tiež obsahuje: histidín, monohydrát histidíniumchloridu, </w:t>
      </w:r>
      <w:r>
        <w:rPr>
          <w:bCs/>
          <w:szCs w:val="22"/>
          <w:highlight w:val="lightGray"/>
        </w:rPr>
        <w:t>arginín/</w:t>
      </w:r>
      <w:r>
        <w:rPr>
          <w:bCs/>
          <w:szCs w:val="22"/>
        </w:rPr>
        <w:t xml:space="preserve">arginíniumchlorid, metionín, polysorbát 80, vodu na injekcie. </w:t>
      </w:r>
      <w:r>
        <w:rPr>
          <w:highlight w:val="lightGray"/>
        </w:rPr>
        <w:t>Ďalšie informácie si pozrite v písomnej informácii pre používateľa.</w:t>
      </w:r>
    </w:p>
    <w:p w14:paraId="0B6B95E1" w14:textId="77777777" w:rsidR="009700E5" w:rsidRDefault="009700E5"/>
    <w:p w14:paraId="396191C2" w14:textId="77777777" w:rsidR="009700E5" w:rsidRDefault="009700E5"/>
    <w:p w14:paraId="6F21A214" w14:textId="77777777" w:rsidR="009700E5" w:rsidRDefault="002C033C">
      <w:pPr>
        <w:pBdr>
          <w:top w:val="single" w:sz="4" w:space="1" w:color="auto"/>
          <w:left w:val="single" w:sz="4" w:space="4" w:color="auto"/>
          <w:bottom w:val="single" w:sz="4" w:space="1" w:color="auto"/>
          <w:right w:val="single" w:sz="4" w:space="4" w:color="auto"/>
        </w:pBdr>
        <w:outlineLvl w:val="0"/>
      </w:pPr>
      <w:r>
        <w:rPr>
          <w:b/>
        </w:rPr>
        <w:t>4.</w:t>
      </w:r>
      <w:r>
        <w:rPr>
          <w:b/>
        </w:rPr>
        <w:tab/>
        <w:t>LIEKOVÁ FORMA A OBSAH</w:t>
      </w:r>
    </w:p>
    <w:p w14:paraId="7853DAF7" w14:textId="77777777" w:rsidR="009700E5" w:rsidRDefault="009700E5"/>
    <w:p w14:paraId="44041FC1" w14:textId="77777777" w:rsidR="009700E5" w:rsidRDefault="002C033C">
      <w:r>
        <w:rPr>
          <w:highlight w:val="lightGray"/>
        </w:rPr>
        <w:t>Injekčný roztok</w:t>
      </w:r>
    </w:p>
    <w:p w14:paraId="6D4309D9" w14:textId="77777777" w:rsidR="009700E5" w:rsidRDefault="002C033C">
      <w:pPr>
        <w:tabs>
          <w:tab w:val="left" w:pos="284"/>
          <w:tab w:val="left" w:pos="567"/>
        </w:tabs>
      </w:pPr>
      <w:r>
        <w:t>4 naplnené perá ACTPen</w:t>
      </w:r>
    </w:p>
    <w:p w14:paraId="3FDDC8C3" w14:textId="77777777" w:rsidR="009700E5" w:rsidRDefault="002C033C">
      <w:pPr>
        <w:tabs>
          <w:tab w:val="left" w:pos="284"/>
          <w:tab w:val="left" w:pos="567"/>
        </w:tabs>
      </w:pPr>
      <w:r>
        <w:rPr>
          <w:highlight w:val="lightGray"/>
        </w:rPr>
        <w:t>Spoločné balenie: 12 (3 balenia x 4) naplnených pier ACTPen</w:t>
      </w:r>
    </w:p>
    <w:p w14:paraId="3A6BAF4A" w14:textId="77777777" w:rsidR="009700E5" w:rsidRDefault="002C033C">
      <w:r>
        <w:t>162 mg/0,9 ml</w:t>
      </w:r>
    </w:p>
    <w:p w14:paraId="50308A8A" w14:textId="77777777" w:rsidR="009700E5" w:rsidRDefault="009700E5"/>
    <w:p w14:paraId="713FB61C" w14:textId="77777777" w:rsidR="009700E5" w:rsidRDefault="009700E5"/>
    <w:p w14:paraId="343A322E" w14:textId="77777777" w:rsidR="009700E5" w:rsidRDefault="002C033C">
      <w:pPr>
        <w:pBdr>
          <w:top w:val="single" w:sz="4" w:space="1" w:color="auto"/>
          <w:left w:val="single" w:sz="4" w:space="4" w:color="auto"/>
          <w:bottom w:val="single" w:sz="4" w:space="1" w:color="auto"/>
          <w:right w:val="single" w:sz="4" w:space="4" w:color="auto"/>
        </w:pBdr>
        <w:outlineLvl w:val="0"/>
      </w:pPr>
      <w:r>
        <w:rPr>
          <w:b/>
        </w:rPr>
        <w:t>5.</w:t>
      </w:r>
      <w:r>
        <w:rPr>
          <w:b/>
        </w:rPr>
        <w:tab/>
        <w:t>SPÔSOB A CESTA PODÁVANIA</w:t>
      </w:r>
    </w:p>
    <w:p w14:paraId="37A3D8AA" w14:textId="77777777" w:rsidR="009700E5" w:rsidRDefault="009700E5">
      <w:pPr>
        <w:rPr>
          <w:i/>
        </w:rPr>
      </w:pPr>
    </w:p>
    <w:p w14:paraId="23BBD650" w14:textId="77777777" w:rsidR="009700E5" w:rsidRDefault="002C033C">
      <w:pPr>
        <w:tabs>
          <w:tab w:val="left" w:pos="284"/>
          <w:tab w:val="left" w:pos="567"/>
        </w:tabs>
        <w:outlineLvl w:val="0"/>
      </w:pPr>
      <w:r>
        <w:t>Subkutánne použitie</w:t>
      </w:r>
    </w:p>
    <w:p w14:paraId="78198BC2" w14:textId="77777777" w:rsidR="009700E5" w:rsidRDefault="002C033C">
      <w:pPr>
        <w:rPr>
          <w:szCs w:val="22"/>
        </w:rPr>
      </w:pPr>
      <w:r>
        <w:rPr>
          <w:szCs w:val="22"/>
        </w:rPr>
        <w:t>Pred použitím si prečítajte písomnú informáciu pre používateľa</w:t>
      </w:r>
    </w:p>
    <w:p w14:paraId="0713835F" w14:textId="77777777" w:rsidR="009700E5" w:rsidRDefault="009700E5"/>
    <w:p w14:paraId="12A38A96" w14:textId="77777777" w:rsidR="009700E5" w:rsidRDefault="009700E5"/>
    <w:p w14:paraId="27086360" w14:textId="77777777" w:rsidR="009700E5" w:rsidRDefault="002C033C">
      <w:pPr>
        <w:pBdr>
          <w:top w:val="single" w:sz="4" w:space="1" w:color="auto"/>
          <w:left w:val="single" w:sz="4" w:space="4" w:color="auto"/>
          <w:bottom w:val="single" w:sz="4" w:space="1" w:color="auto"/>
          <w:right w:val="single" w:sz="4" w:space="4" w:color="auto"/>
        </w:pBdr>
        <w:ind w:left="567" w:hanging="567"/>
        <w:outlineLvl w:val="0"/>
      </w:pPr>
      <w:r>
        <w:rPr>
          <w:b/>
        </w:rPr>
        <w:t>6.</w:t>
      </w:r>
      <w:r>
        <w:rPr>
          <w:b/>
        </w:rPr>
        <w:tab/>
        <w:t>ŠPECIÁLNE UPOZORNENIE, ŽE LIEK SA MUSÍ UCHOVÁVAŤ MIMO DOHĽADU A DOSAHU DETÍ</w:t>
      </w:r>
    </w:p>
    <w:p w14:paraId="07D92D46" w14:textId="77777777" w:rsidR="009700E5" w:rsidRDefault="009700E5"/>
    <w:p w14:paraId="31AA9047" w14:textId="77777777" w:rsidR="009700E5" w:rsidRDefault="002C033C">
      <w:pPr>
        <w:outlineLvl w:val="0"/>
        <w:rPr>
          <w:szCs w:val="22"/>
        </w:rPr>
      </w:pPr>
      <w:r>
        <w:rPr>
          <w:szCs w:val="22"/>
        </w:rPr>
        <w:t>Uchovávajte mimo dohľadu a dosahu detí</w:t>
      </w:r>
    </w:p>
    <w:p w14:paraId="776DAFF5" w14:textId="77777777" w:rsidR="009700E5" w:rsidRDefault="009700E5"/>
    <w:p w14:paraId="460444BD" w14:textId="77777777" w:rsidR="009700E5" w:rsidRDefault="009700E5"/>
    <w:p w14:paraId="2CCDCE85" w14:textId="77777777" w:rsidR="009700E5" w:rsidRDefault="002C033C">
      <w:pPr>
        <w:pBdr>
          <w:top w:val="single" w:sz="4" w:space="1" w:color="auto"/>
          <w:left w:val="single" w:sz="4" w:space="4" w:color="auto"/>
          <w:bottom w:val="single" w:sz="4" w:space="1" w:color="auto"/>
          <w:right w:val="single" w:sz="4" w:space="4" w:color="auto"/>
        </w:pBdr>
        <w:ind w:left="567" w:hanging="567"/>
        <w:outlineLvl w:val="0"/>
      </w:pPr>
      <w:r>
        <w:rPr>
          <w:b/>
        </w:rPr>
        <w:t>7.</w:t>
      </w:r>
      <w:r>
        <w:rPr>
          <w:b/>
        </w:rPr>
        <w:tab/>
        <w:t>INÉ ŠPECIÁLNE UPOZORNENIE, AK JE TO POTREBNÉ</w:t>
      </w:r>
    </w:p>
    <w:p w14:paraId="6E787F35" w14:textId="77777777" w:rsidR="009700E5" w:rsidRDefault="009700E5"/>
    <w:p w14:paraId="1FB50B9E" w14:textId="77777777" w:rsidR="009700E5" w:rsidRDefault="002C033C">
      <w:r>
        <w:t>Pred použitím nechajte naplnené pero vybraté zo škatule stáť pri izbovej teplote 45 minút</w:t>
      </w:r>
    </w:p>
    <w:p w14:paraId="7F8B6D82" w14:textId="77777777" w:rsidR="009700E5" w:rsidRDefault="009700E5"/>
    <w:p w14:paraId="22F50E83" w14:textId="77777777" w:rsidR="009700E5" w:rsidRDefault="009700E5"/>
    <w:p w14:paraId="2E3A7BDA" w14:textId="77777777" w:rsidR="009700E5" w:rsidRDefault="002C033C">
      <w:pPr>
        <w:pBdr>
          <w:top w:val="single" w:sz="4" w:space="1" w:color="auto"/>
          <w:left w:val="single" w:sz="4" w:space="4" w:color="auto"/>
          <w:bottom w:val="single" w:sz="4" w:space="1" w:color="auto"/>
          <w:right w:val="single" w:sz="4" w:space="4" w:color="auto"/>
        </w:pBdr>
        <w:outlineLvl w:val="0"/>
      </w:pPr>
      <w:r>
        <w:rPr>
          <w:b/>
        </w:rPr>
        <w:t>8.</w:t>
      </w:r>
      <w:r>
        <w:rPr>
          <w:b/>
        </w:rPr>
        <w:tab/>
        <w:t>DÁTUM EXSPIRÁCIE</w:t>
      </w:r>
    </w:p>
    <w:p w14:paraId="14AE1FE2" w14:textId="77777777" w:rsidR="009700E5" w:rsidRDefault="009700E5"/>
    <w:p w14:paraId="7709D1BA" w14:textId="77777777" w:rsidR="009700E5" w:rsidRDefault="002C033C">
      <w:r>
        <w:t>EXP</w:t>
      </w:r>
    </w:p>
    <w:p w14:paraId="4EBFC85A" w14:textId="77777777" w:rsidR="009700E5" w:rsidRDefault="009700E5"/>
    <w:p w14:paraId="2E76013C" w14:textId="77777777" w:rsidR="009700E5" w:rsidRDefault="009700E5"/>
    <w:p w14:paraId="001A1ACA" w14:textId="77777777" w:rsidR="009700E5" w:rsidRDefault="002C033C">
      <w:pPr>
        <w:keepNext/>
        <w:keepLines/>
        <w:pBdr>
          <w:top w:val="single" w:sz="4" w:space="1" w:color="auto"/>
          <w:left w:val="single" w:sz="4" w:space="4" w:color="auto"/>
          <w:bottom w:val="single" w:sz="4" w:space="1" w:color="auto"/>
          <w:right w:val="single" w:sz="4" w:space="4" w:color="auto"/>
        </w:pBdr>
        <w:outlineLvl w:val="0"/>
      </w:pPr>
      <w:r>
        <w:rPr>
          <w:b/>
        </w:rPr>
        <w:lastRenderedPageBreak/>
        <w:t>9.</w:t>
      </w:r>
      <w:r>
        <w:rPr>
          <w:b/>
        </w:rPr>
        <w:tab/>
        <w:t>ŠPECIÁLNE PODMIENKY NA UCHOVÁVANIE</w:t>
      </w:r>
    </w:p>
    <w:p w14:paraId="04826F82" w14:textId="77777777" w:rsidR="009700E5" w:rsidRDefault="009700E5">
      <w:pPr>
        <w:keepNext/>
        <w:keepLines/>
        <w:ind w:left="567" w:hanging="567"/>
      </w:pPr>
    </w:p>
    <w:p w14:paraId="1AFC8394" w14:textId="77777777" w:rsidR="009700E5" w:rsidRDefault="002C033C">
      <w:pPr>
        <w:keepNext/>
        <w:keepLines/>
      </w:pPr>
      <w:r>
        <w:t>Uchovávajte v chladničke</w:t>
      </w:r>
    </w:p>
    <w:p w14:paraId="64509333" w14:textId="77777777" w:rsidR="009700E5" w:rsidRDefault="002C033C">
      <w:pPr>
        <w:keepNext/>
        <w:keepLines/>
      </w:pPr>
      <w:r>
        <w:t>Neuchovávajte v mrazničke</w:t>
      </w:r>
    </w:p>
    <w:p w14:paraId="022BFBA9" w14:textId="77777777" w:rsidR="009700E5" w:rsidRDefault="002C033C">
      <w:pPr>
        <w:keepNext/>
        <w:keepLines/>
      </w:pPr>
      <w:r>
        <w:t>Po vybratí z chladničky možno naplnené pero uchovávať až 2 týždne pri teplote do 30 °C</w:t>
      </w:r>
    </w:p>
    <w:p w14:paraId="6C624262" w14:textId="77777777" w:rsidR="009700E5" w:rsidRDefault="002C033C">
      <w:pPr>
        <w:keepNext/>
        <w:keepLines/>
      </w:pPr>
      <w:r>
        <w:t>Naplnené pero uchovávajte vo vonkajšom obale na ochranu pred svetlom a vlhkosťou</w:t>
      </w:r>
    </w:p>
    <w:p w14:paraId="10998817" w14:textId="77777777" w:rsidR="009700E5" w:rsidRDefault="009700E5">
      <w:pPr>
        <w:ind w:left="567" w:hanging="567"/>
      </w:pPr>
    </w:p>
    <w:p w14:paraId="6D06A6B4" w14:textId="77777777" w:rsidR="009700E5" w:rsidRDefault="009700E5">
      <w:pPr>
        <w:ind w:left="567" w:hanging="567"/>
      </w:pPr>
    </w:p>
    <w:p w14:paraId="33364B1E" w14:textId="77777777" w:rsidR="009700E5" w:rsidRDefault="002C033C">
      <w:pPr>
        <w:pBdr>
          <w:top w:val="single" w:sz="4" w:space="1" w:color="auto"/>
          <w:left w:val="single" w:sz="4" w:space="4" w:color="auto"/>
          <w:bottom w:val="single" w:sz="4" w:space="1" w:color="auto"/>
          <w:right w:val="single" w:sz="4" w:space="4" w:color="auto"/>
        </w:pBdr>
        <w:ind w:left="567" w:hanging="567"/>
        <w:outlineLvl w:val="0"/>
        <w:rPr>
          <w:b/>
        </w:rPr>
      </w:pPr>
      <w:r>
        <w:rPr>
          <w:b/>
        </w:rPr>
        <w:t>10.</w:t>
      </w:r>
      <w:r>
        <w:rPr>
          <w:b/>
        </w:rPr>
        <w:tab/>
        <w:t>ŠPECIÁLNE UPOZORNENIA NA LIKVIDÁCIU NEPOUŽITÝCH LIEKOV ALEBO ODPADOV Z NICH VZNIKNUTÝCH, AK JE TO VHODNÉ</w:t>
      </w:r>
    </w:p>
    <w:p w14:paraId="44EC7DF6" w14:textId="77777777" w:rsidR="009700E5" w:rsidRDefault="009700E5"/>
    <w:p w14:paraId="3FA92BD2" w14:textId="77777777" w:rsidR="009700E5" w:rsidRDefault="009700E5"/>
    <w:p w14:paraId="5802EEE1" w14:textId="77777777" w:rsidR="009700E5" w:rsidRDefault="002C033C">
      <w:pPr>
        <w:pBdr>
          <w:top w:val="single" w:sz="4" w:space="1" w:color="auto"/>
          <w:left w:val="single" w:sz="4" w:space="4" w:color="auto"/>
          <w:bottom w:val="single" w:sz="4" w:space="1" w:color="auto"/>
          <w:right w:val="single" w:sz="4" w:space="4" w:color="auto"/>
        </w:pBdr>
        <w:outlineLvl w:val="0"/>
        <w:rPr>
          <w:b/>
        </w:rPr>
      </w:pPr>
      <w:r>
        <w:rPr>
          <w:b/>
        </w:rPr>
        <w:t>11.</w:t>
      </w:r>
      <w:r>
        <w:rPr>
          <w:b/>
        </w:rPr>
        <w:tab/>
        <w:t>NÁZOV A ADRESA DRŽITEĽA ROZHODNUTIA O REGISTRÁCII</w:t>
      </w:r>
    </w:p>
    <w:p w14:paraId="0393148B" w14:textId="77777777" w:rsidR="009700E5" w:rsidRDefault="009700E5"/>
    <w:p w14:paraId="3C87D411" w14:textId="77777777" w:rsidR="009700E5" w:rsidRDefault="002C033C">
      <w:r>
        <w:t xml:space="preserve">Roche Registration GmbH </w:t>
      </w:r>
    </w:p>
    <w:p w14:paraId="41DF5329" w14:textId="77777777" w:rsidR="009700E5" w:rsidRDefault="002C033C">
      <w:r>
        <w:t>Emil-Barell-Strasse 1</w:t>
      </w:r>
    </w:p>
    <w:p w14:paraId="2F863492" w14:textId="77777777" w:rsidR="009700E5" w:rsidRDefault="002C033C">
      <w:r>
        <w:t>79639 Grenzach-Wyhlen</w:t>
      </w:r>
    </w:p>
    <w:p w14:paraId="4A9B955D" w14:textId="77777777" w:rsidR="009700E5" w:rsidRDefault="002C033C">
      <w:r>
        <w:t>Nemecko</w:t>
      </w:r>
    </w:p>
    <w:p w14:paraId="4DBDDFD6" w14:textId="77777777" w:rsidR="009700E5" w:rsidRDefault="009700E5"/>
    <w:p w14:paraId="0840E06C" w14:textId="77777777" w:rsidR="009700E5" w:rsidRDefault="009700E5"/>
    <w:p w14:paraId="3BEE543E" w14:textId="77777777" w:rsidR="009700E5" w:rsidRDefault="002C033C">
      <w:pPr>
        <w:pBdr>
          <w:top w:val="single" w:sz="4" w:space="1" w:color="auto"/>
          <w:left w:val="single" w:sz="4" w:space="4" w:color="auto"/>
          <w:bottom w:val="single" w:sz="4" w:space="1" w:color="auto"/>
          <w:right w:val="single" w:sz="4" w:space="4" w:color="auto"/>
        </w:pBdr>
        <w:ind w:left="567" w:hanging="567"/>
        <w:outlineLvl w:val="0"/>
      </w:pPr>
      <w:r>
        <w:rPr>
          <w:b/>
        </w:rPr>
        <w:t>12.</w:t>
      </w:r>
      <w:r>
        <w:rPr>
          <w:b/>
        </w:rPr>
        <w:tab/>
        <w:t>REGISTRAČNÉ ČÍSLO</w:t>
      </w:r>
    </w:p>
    <w:p w14:paraId="4122B387" w14:textId="77777777" w:rsidR="009700E5" w:rsidRDefault="009700E5"/>
    <w:p w14:paraId="6B4E162F" w14:textId="77777777" w:rsidR="009700E5" w:rsidRDefault="002C033C">
      <w:pPr>
        <w:rPr>
          <w:highlight w:val="lightGray"/>
        </w:rPr>
      </w:pPr>
      <w:r>
        <w:t xml:space="preserve">EU/1/08/492/009 </w:t>
      </w:r>
      <w:r>
        <w:rPr>
          <w:highlight w:val="lightGray"/>
        </w:rPr>
        <w:t>4 naplnené perá</w:t>
      </w:r>
    </w:p>
    <w:p w14:paraId="2DB6089B" w14:textId="77777777" w:rsidR="009700E5" w:rsidRDefault="002C033C">
      <w:pPr>
        <w:tabs>
          <w:tab w:val="left" w:pos="284"/>
          <w:tab w:val="left" w:pos="567"/>
        </w:tabs>
      </w:pPr>
      <w:r>
        <w:rPr>
          <w:highlight w:val="lightGray"/>
        </w:rPr>
        <w:t>EU/1/08/492/010 12 (3 balenia x 4) naplnených pier</w:t>
      </w:r>
    </w:p>
    <w:p w14:paraId="3B74DBC7" w14:textId="77777777" w:rsidR="009700E5" w:rsidRDefault="009700E5"/>
    <w:p w14:paraId="0D204759" w14:textId="77777777" w:rsidR="009700E5" w:rsidRDefault="009700E5"/>
    <w:p w14:paraId="2A5DE3F2" w14:textId="77777777" w:rsidR="009700E5" w:rsidRDefault="002C033C">
      <w:pPr>
        <w:pBdr>
          <w:top w:val="single" w:sz="4" w:space="1" w:color="auto"/>
          <w:left w:val="single" w:sz="4" w:space="4" w:color="auto"/>
          <w:bottom w:val="single" w:sz="4" w:space="1" w:color="auto"/>
          <w:right w:val="single" w:sz="4" w:space="4" w:color="auto"/>
        </w:pBdr>
        <w:ind w:left="567" w:hanging="567"/>
        <w:outlineLvl w:val="0"/>
      </w:pPr>
      <w:r>
        <w:rPr>
          <w:b/>
        </w:rPr>
        <w:t>13.</w:t>
      </w:r>
      <w:r>
        <w:rPr>
          <w:b/>
        </w:rPr>
        <w:tab/>
        <w:t>ČÍSLO VÝROBNEJ ŠARŽE</w:t>
      </w:r>
    </w:p>
    <w:p w14:paraId="6EFE80BF" w14:textId="77777777" w:rsidR="009700E5" w:rsidRDefault="009700E5"/>
    <w:p w14:paraId="349E0451" w14:textId="77777777" w:rsidR="009700E5" w:rsidRDefault="002C033C">
      <w:r>
        <w:t>Lot</w:t>
      </w:r>
    </w:p>
    <w:p w14:paraId="2D1864AE" w14:textId="77777777" w:rsidR="009700E5" w:rsidRDefault="009700E5"/>
    <w:p w14:paraId="1BDB251B" w14:textId="77777777" w:rsidR="009700E5" w:rsidRDefault="009700E5"/>
    <w:p w14:paraId="412B31A2" w14:textId="77777777" w:rsidR="009700E5" w:rsidRDefault="002C033C">
      <w:pPr>
        <w:pBdr>
          <w:top w:val="single" w:sz="4" w:space="1" w:color="auto"/>
          <w:left w:val="single" w:sz="4" w:space="4" w:color="auto"/>
          <w:bottom w:val="single" w:sz="4" w:space="1" w:color="auto"/>
          <w:right w:val="single" w:sz="4" w:space="4" w:color="auto"/>
        </w:pBdr>
        <w:outlineLvl w:val="0"/>
      </w:pPr>
      <w:r>
        <w:rPr>
          <w:b/>
        </w:rPr>
        <w:t>14.</w:t>
      </w:r>
      <w:r>
        <w:rPr>
          <w:b/>
        </w:rPr>
        <w:tab/>
        <w:t>ZATRIEDENIE LIEKU PODĽA SPÔSOBU VÝDAJA</w:t>
      </w:r>
    </w:p>
    <w:p w14:paraId="311BEFDD" w14:textId="77777777" w:rsidR="009700E5" w:rsidRDefault="009700E5"/>
    <w:p w14:paraId="17CDCD3A" w14:textId="77777777" w:rsidR="009700E5" w:rsidRDefault="009700E5"/>
    <w:p w14:paraId="4D46D8AD" w14:textId="77777777" w:rsidR="009700E5" w:rsidRDefault="002C033C">
      <w:pPr>
        <w:pBdr>
          <w:top w:val="single" w:sz="4" w:space="1" w:color="auto"/>
          <w:left w:val="single" w:sz="4" w:space="4" w:color="auto"/>
          <w:bottom w:val="single" w:sz="4" w:space="1" w:color="auto"/>
          <w:right w:val="single" w:sz="4" w:space="4" w:color="auto"/>
        </w:pBdr>
        <w:ind w:left="567" w:hanging="567"/>
        <w:outlineLvl w:val="0"/>
      </w:pPr>
      <w:r>
        <w:rPr>
          <w:b/>
        </w:rPr>
        <w:t>15.</w:t>
      </w:r>
      <w:r>
        <w:rPr>
          <w:b/>
        </w:rPr>
        <w:tab/>
        <w:t>POKYNY NA POUŽITIE</w:t>
      </w:r>
    </w:p>
    <w:p w14:paraId="31F33DF0" w14:textId="77777777" w:rsidR="009700E5" w:rsidRDefault="009700E5"/>
    <w:p w14:paraId="5B9BF8E7" w14:textId="77777777" w:rsidR="009700E5" w:rsidRDefault="009700E5"/>
    <w:p w14:paraId="09A89229" w14:textId="77777777" w:rsidR="009700E5" w:rsidRDefault="002C033C">
      <w:pPr>
        <w:pBdr>
          <w:top w:val="single" w:sz="4" w:space="1" w:color="auto"/>
          <w:left w:val="single" w:sz="4" w:space="4" w:color="auto"/>
          <w:bottom w:val="single" w:sz="4" w:space="1" w:color="auto"/>
          <w:right w:val="single" w:sz="4" w:space="4" w:color="auto"/>
        </w:pBdr>
        <w:ind w:left="567" w:hanging="567"/>
        <w:outlineLvl w:val="0"/>
      </w:pPr>
      <w:r>
        <w:rPr>
          <w:b/>
        </w:rPr>
        <w:t>16.</w:t>
      </w:r>
      <w:r>
        <w:rPr>
          <w:b/>
        </w:rPr>
        <w:tab/>
        <w:t>INFORMÁCIE V BRAILLOVOM PÍSME</w:t>
      </w:r>
    </w:p>
    <w:p w14:paraId="22FBD303" w14:textId="77777777" w:rsidR="009700E5" w:rsidRDefault="009700E5"/>
    <w:p w14:paraId="31DAE2B2" w14:textId="77777777" w:rsidR="009700E5" w:rsidRDefault="002C033C">
      <w:r>
        <w:t>roactemra 162 mg pero</w:t>
      </w:r>
    </w:p>
    <w:p w14:paraId="3537A0E1" w14:textId="77777777" w:rsidR="009700E5" w:rsidRDefault="009700E5">
      <w:pPr>
        <w:shd w:val="clear" w:color="auto" w:fill="FFFFFF"/>
      </w:pPr>
    </w:p>
    <w:p w14:paraId="3223A5E4" w14:textId="77777777" w:rsidR="009700E5" w:rsidRDefault="009700E5">
      <w:pPr>
        <w:rPr>
          <w:szCs w:val="22"/>
        </w:rPr>
      </w:pPr>
    </w:p>
    <w:p w14:paraId="1C9FE09D" w14:textId="77777777" w:rsidR="009700E5" w:rsidRDefault="002C033C">
      <w:pPr>
        <w:pBdr>
          <w:top w:val="single" w:sz="4" w:space="2" w:color="auto"/>
          <w:left w:val="single" w:sz="4" w:space="4" w:color="auto"/>
          <w:bottom w:val="single" w:sz="4" w:space="0" w:color="auto"/>
          <w:right w:val="single" w:sz="4" w:space="4" w:color="auto"/>
        </w:pBdr>
        <w:rPr>
          <w:b/>
        </w:rPr>
      </w:pPr>
      <w:r>
        <w:rPr>
          <w:b/>
        </w:rPr>
        <w:t>17.</w:t>
      </w:r>
      <w:r>
        <w:rPr>
          <w:b/>
        </w:rPr>
        <w:tab/>
        <w:t>ŠPECIFICKÝ IDENTIFIKÁTOR – DVOJROZMERNÝ ČIAROVÝ KÓD</w:t>
      </w:r>
    </w:p>
    <w:p w14:paraId="3C78B722" w14:textId="77777777" w:rsidR="009700E5" w:rsidRDefault="009700E5"/>
    <w:p w14:paraId="7E1673DB" w14:textId="77777777" w:rsidR="009700E5" w:rsidRDefault="002C033C">
      <w:pPr>
        <w:rPr>
          <w:szCs w:val="22"/>
          <w:shd w:val="clear" w:color="auto" w:fill="CCCCCC"/>
        </w:rPr>
      </w:pPr>
      <w:r>
        <w:rPr>
          <w:highlight w:val="lightGray"/>
        </w:rPr>
        <w:t>Dvojrozmerný čiarový kód so špecifickým identifikátorom.</w:t>
      </w:r>
    </w:p>
    <w:p w14:paraId="3E6796F7" w14:textId="77777777" w:rsidR="009700E5" w:rsidRDefault="009700E5"/>
    <w:p w14:paraId="271745B1" w14:textId="77777777" w:rsidR="009700E5" w:rsidRDefault="009700E5"/>
    <w:p w14:paraId="42D96779" w14:textId="77777777" w:rsidR="009700E5" w:rsidRDefault="002C033C">
      <w:pPr>
        <w:pBdr>
          <w:top w:val="single" w:sz="4" w:space="2" w:color="auto"/>
          <w:left w:val="single" w:sz="4" w:space="4" w:color="auto"/>
          <w:bottom w:val="single" w:sz="4" w:space="0" w:color="auto"/>
          <w:right w:val="single" w:sz="4" w:space="4" w:color="auto"/>
        </w:pBdr>
        <w:rPr>
          <w:b/>
        </w:rPr>
      </w:pPr>
      <w:r>
        <w:rPr>
          <w:b/>
        </w:rPr>
        <w:t>18.</w:t>
      </w:r>
      <w:r>
        <w:rPr>
          <w:b/>
        </w:rPr>
        <w:tab/>
        <w:t>ŠPECIFICKÝ IDENTIFIKÁTOR – ÚDAJE ČITATEĽNÉ ĽUDSKÝM OKOM</w:t>
      </w:r>
    </w:p>
    <w:p w14:paraId="2963746F" w14:textId="77777777" w:rsidR="009700E5" w:rsidRDefault="009700E5"/>
    <w:p w14:paraId="67769A3E" w14:textId="77777777" w:rsidR="009700E5" w:rsidRDefault="002C033C">
      <w:pPr>
        <w:rPr>
          <w:szCs w:val="22"/>
        </w:rPr>
      </w:pPr>
      <w:r>
        <w:t>PC</w:t>
      </w:r>
    </w:p>
    <w:p w14:paraId="4C082725" w14:textId="77777777" w:rsidR="009700E5" w:rsidRDefault="002C033C">
      <w:pPr>
        <w:rPr>
          <w:szCs w:val="22"/>
        </w:rPr>
      </w:pPr>
      <w:r>
        <w:t>SN</w:t>
      </w:r>
    </w:p>
    <w:p w14:paraId="6FD2A27C" w14:textId="77777777" w:rsidR="009700E5" w:rsidRDefault="002C033C">
      <w:pPr>
        <w:rPr>
          <w:szCs w:val="22"/>
        </w:rPr>
      </w:pPr>
      <w:r>
        <w:t>NN</w:t>
      </w:r>
    </w:p>
    <w:p w14:paraId="7EB06C66" w14:textId="77777777" w:rsidR="009700E5" w:rsidRDefault="002C033C">
      <w:r>
        <w:br w:type="page"/>
      </w:r>
    </w:p>
    <w:p w14:paraId="513B80E9" w14:textId="77777777" w:rsidR="009700E5" w:rsidRDefault="002C033C">
      <w:pPr>
        <w:pBdr>
          <w:top w:val="single" w:sz="4" w:space="1" w:color="auto"/>
          <w:left w:val="single" w:sz="4" w:space="4" w:color="auto"/>
          <w:bottom w:val="single" w:sz="4" w:space="1" w:color="auto"/>
          <w:right w:val="single" w:sz="4" w:space="4" w:color="auto"/>
        </w:pBdr>
        <w:rPr>
          <w:b/>
        </w:rPr>
      </w:pPr>
      <w:r>
        <w:rPr>
          <w:b/>
        </w:rPr>
        <w:lastRenderedPageBreak/>
        <w:t>ÚDAJE, KTORÉ MAJÚ BYŤ UVEDENÉ NA VONKAJŠOM OBALE</w:t>
      </w:r>
    </w:p>
    <w:p w14:paraId="72CD4E39" w14:textId="77777777" w:rsidR="009700E5" w:rsidRDefault="009700E5">
      <w:pPr>
        <w:pBdr>
          <w:top w:val="single" w:sz="4" w:space="1" w:color="auto"/>
          <w:left w:val="single" w:sz="4" w:space="4" w:color="auto"/>
          <w:bottom w:val="single" w:sz="4" w:space="1" w:color="auto"/>
          <w:right w:val="single" w:sz="4" w:space="4" w:color="auto"/>
        </w:pBdr>
        <w:rPr>
          <w:bCs/>
        </w:rPr>
      </w:pPr>
    </w:p>
    <w:p w14:paraId="493EC9E8" w14:textId="77777777" w:rsidR="009700E5" w:rsidRDefault="002C033C">
      <w:pPr>
        <w:pBdr>
          <w:top w:val="single" w:sz="4" w:space="1" w:color="auto"/>
          <w:left w:val="single" w:sz="4" w:space="4" w:color="auto"/>
          <w:bottom w:val="single" w:sz="4" w:space="1" w:color="auto"/>
          <w:right w:val="single" w:sz="4" w:space="4" w:color="auto"/>
        </w:pBdr>
        <w:rPr>
          <w:bCs/>
        </w:rPr>
      </w:pPr>
      <w:r>
        <w:rPr>
          <w:b/>
          <w:caps/>
        </w:rPr>
        <w:t xml:space="preserve">škatuľa pre Naplnené pero (bez blue boxu) - </w:t>
      </w:r>
      <w:r>
        <w:rPr>
          <w:rStyle w:val="Emphasis"/>
        </w:rPr>
        <w:t>Spoločné balenie</w:t>
      </w:r>
    </w:p>
    <w:p w14:paraId="08D4A406" w14:textId="77777777" w:rsidR="009700E5" w:rsidRDefault="009700E5"/>
    <w:p w14:paraId="60A52C61" w14:textId="77777777" w:rsidR="009700E5" w:rsidRDefault="009700E5"/>
    <w:p w14:paraId="3BA479E7" w14:textId="77777777" w:rsidR="009700E5" w:rsidRDefault="002C033C">
      <w:pPr>
        <w:pBdr>
          <w:top w:val="single" w:sz="4" w:space="1" w:color="auto"/>
          <w:left w:val="single" w:sz="4" w:space="4" w:color="auto"/>
          <w:bottom w:val="single" w:sz="4" w:space="1" w:color="auto"/>
          <w:right w:val="single" w:sz="4" w:space="4" w:color="auto"/>
        </w:pBdr>
        <w:outlineLvl w:val="0"/>
      </w:pPr>
      <w:r>
        <w:rPr>
          <w:b/>
        </w:rPr>
        <w:t>1.</w:t>
      </w:r>
      <w:r>
        <w:rPr>
          <w:b/>
        </w:rPr>
        <w:tab/>
        <w:t>NÁZOV LIEKU</w:t>
      </w:r>
    </w:p>
    <w:p w14:paraId="2FE565A4" w14:textId="77777777" w:rsidR="009700E5" w:rsidRDefault="009700E5"/>
    <w:p w14:paraId="0E790C70" w14:textId="77777777" w:rsidR="009700E5" w:rsidRDefault="002C033C">
      <w:pPr>
        <w:rPr>
          <w:iCs/>
        </w:rPr>
      </w:pPr>
      <w:r>
        <w:t xml:space="preserve">RoActemra </w:t>
      </w:r>
      <w:r>
        <w:rPr>
          <w:iCs/>
        </w:rPr>
        <w:t>162 mg injekčný roztok v naplnenom pere</w:t>
      </w:r>
    </w:p>
    <w:p w14:paraId="54DEDF95" w14:textId="77777777" w:rsidR="009700E5" w:rsidRDefault="002C033C">
      <w:r>
        <w:t>tocilizumab</w:t>
      </w:r>
    </w:p>
    <w:p w14:paraId="05342821" w14:textId="77777777" w:rsidR="009700E5" w:rsidRDefault="009700E5"/>
    <w:p w14:paraId="3CF43B07" w14:textId="77777777" w:rsidR="009700E5" w:rsidRDefault="009700E5"/>
    <w:p w14:paraId="00894880" w14:textId="77777777" w:rsidR="009700E5" w:rsidRDefault="002C033C">
      <w:pPr>
        <w:pBdr>
          <w:top w:val="single" w:sz="4" w:space="1" w:color="auto"/>
          <w:left w:val="single" w:sz="4" w:space="4" w:color="auto"/>
          <w:bottom w:val="single" w:sz="4" w:space="1" w:color="auto"/>
          <w:right w:val="single" w:sz="4" w:space="4" w:color="auto"/>
        </w:pBdr>
        <w:outlineLvl w:val="0"/>
        <w:rPr>
          <w:b/>
        </w:rPr>
      </w:pPr>
      <w:r>
        <w:rPr>
          <w:b/>
        </w:rPr>
        <w:t>2.</w:t>
      </w:r>
      <w:r>
        <w:rPr>
          <w:b/>
        </w:rPr>
        <w:tab/>
      </w:r>
      <w:r w:rsidRPr="00723DEA">
        <w:rPr>
          <w:b/>
        </w:rPr>
        <w:t>LIEČIVO</w:t>
      </w:r>
    </w:p>
    <w:p w14:paraId="2DAEF885" w14:textId="77777777" w:rsidR="009700E5" w:rsidRDefault="009700E5"/>
    <w:p w14:paraId="2C80CBA1" w14:textId="77777777" w:rsidR="009700E5" w:rsidRDefault="002C033C">
      <w:r>
        <w:t>1 naplnené pero obsahuje 162 mg tocilizumabu.</w:t>
      </w:r>
    </w:p>
    <w:p w14:paraId="64109F23" w14:textId="77777777" w:rsidR="009700E5" w:rsidRDefault="009700E5"/>
    <w:p w14:paraId="6CB5FA62" w14:textId="77777777" w:rsidR="009700E5" w:rsidRDefault="009700E5"/>
    <w:p w14:paraId="1C538315" w14:textId="77777777" w:rsidR="009700E5" w:rsidRDefault="002C033C">
      <w:pPr>
        <w:pBdr>
          <w:top w:val="single" w:sz="4" w:space="1" w:color="auto"/>
          <w:left w:val="single" w:sz="4" w:space="4" w:color="auto"/>
          <w:bottom w:val="single" w:sz="4" w:space="1" w:color="auto"/>
          <w:right w:val="single" w:sz="4" w:space="4" w:color="auto"/>
        </w:pBdr>
        <w:outlineLvl w:val="0"/>
      </w:pPr>
      <w:r>
        <w:rPr>
          <w:b/>
        </w:rPr>
        <w:t>3.</w:t>
      </w:r>
      <w:r>
        <w:rPr>
          <w:b/>
        </w:rPr>
        <w:tab/>
        <w:t>ZOZNAM POMOCNÝCH LÁTOK</w:t>
      </w:r>
    </w:p>
    <w:p w14:paraId="4AD86B4F" w14:textId="77777777" w:rsidR="009700E5" w:rsidRDefault="009700E5"/>
    <w:p w14:paraId="6B9995C1" w14:textId="77777777" w:rsidR="009700E5" w:rsidRDefault="002C033C">
      <w:pPr>
        <w:outlineLvl w:val="0"/>
        <w:rPr>
          <w:bCs/>
          <w:szCs w:val="22"/>
        </w:rPr>
      </w:pPr>
      <w:r>
        <w:rPr>
          <w:bCs/>
          <w:szCs w:val="22"/>
        </w:rPr>
        <w:t xml:space="preserve">Tiež obsahuje: histidín, monohydrát histidíniumchloridu, </w:t>
      </w:r>
      <w:r>
        <w:rPr>
          <w:bCs/>
          <w:szCs w:val="22"/>
          <w:highlight w:val="lightGray"/>
        </w:rPr>
        <w:t>arginín/</w:t>
      </w:r>
      <w:r>
        <w:rPr>
          <w:bCs/>
          <w:szCs w:val="22"/>
        </w:rPr>
        <w:t xml:space="preserve">arginíniumchlorid, metionín, polysorbát 80, vodu na injekcie. </w:t>
      </w:r>
      <w:r>
        <w:rPr>
          <w:highlight w:val="lightGray"/>
        </w:rPr>
        <w:t>Ďalšie informácie si pozrite v písomnej informácii pre používateľa.</w:t>
      </w:r>
    </w:p>
    <w:p w14:paraId="7E130811" w14:textId="77777777" w:rsidR="009700E5" w:rsidRDefault="009700E5"/>
    <w:p w14:paraId="3B29773A" w14:textId="77777777" w:rsidR="009700E5" w:rsidRDefault="009700E5"/>
    <w:p w14:paraId="40CFBA12" w14:textId="77777777" w:rsidR="009700E5" w:rsidRDefault="002C033C">
      <w:pPr>
        <w:pBdr>
          <w:top w:val="single" w:sz="4" w:space="1" w:color="auto"/>
          <w:left w:val="single" w:sz="4" w:space="4" w:color="auto"/>
          <w:bottom w:val="single" w:sz="4" w:space="1" w:color="auto"/>
          <w:right w:val="single" w:sz="4" w:space="4" w:color="auto"/>
        </w:pBdr>
        <w:outlineLvl w:val="0"/>
      </w:pPr>
      <w:r>
        <w:rPr>
          <w:b/>
        </w:rPr>
        <w:t>4.</w:t>
      </w:r>
      <w:r>
        <w:rPr>
          <w:b/>
        </w:rPr>
        <w:tab/>
        <w:t>LIEKOVÁ FORMA A OBSAH</w:t>
      </w:r>
    </w:p>
    <w:p w14:paraId="7C2221BF" w14:textId="77777777" w:rsidR="009700E5" w:rsidRDefault="009700E5"/>
    <w:p w14:paraId="44759B17" w14:textId="77777777" w:rsidR="009700E5" w:rsidRDefault="002C033C">
      <w:r>
        <w:rPr>
          <w:highlight w:val="lightGray"/>
        </w:rPr>
        <w:t>Injekčný roztok</w:t>
      </w:r>
    </w:p>
    <w:p w14:paraId="6ECBA130" w14:textId="77777777" w:rsidR="009700E5" w:rsidRDefault="002C033C">
      <w:pPr>
        <w:tabs>
          <w:tab w:val="left" w:pos="284"/>
          <w:tab w:val="left" w:pos="567"/>
        </w:tabs>
      </w:pPr>
      <w:r>
        <w:t>4 naplnené perá ACTPen. Súčasť spoločného balenia, nemôžu sa predávať oddelene</w:t>
      </w:r>
    </w:p>
    <w:p w14:paraId="14F3947E" w14:textId="77777777" w:rsidR="009700E5" w:rsidRDefault="002C033C">
      <w:r>
        <w:t>162 mg/0,9 ml</w:t>
      </w:r>
    </w:p>
    <w:p w14:paraId="5F946888" w14:textId="77777777" w:rsidR="009700E5" w:rsidRDefault="009700E5"/>
    <w:p w14:paraId="5B7B238A" w14:textId="77777777" w:rsidR="009700E5" w:rsidRDefault="009700E5">
      <w:pPr>
        <w:rPr>
          <w:szCs w:val="22"/>
        </w:rPr>
      </w:pPr>
    </w:p>
    <w:p w14:paraId="1E0F41D2" w14:textId="77777777" w:rsidR="009700E5" w:rsidRDefault="002C033C">
      <w:pPr>
        <w:pBdr>
          <w:top w:val="single" w:sz="4" w:space="1" w:color="auto"/>
          <w:left w:val="single" w:sz="4" w:space="4" w:color="auto"/>
          <w:bottom w:val="single" w:sz="4" w:space="1" w:color="auto"/>
          <w:right w:val="single" w:sz="4" w:space="4" w:color="auto"/>
        </w:pBdr>
        <w:outlineLvl w:val="0"/>
      </w:pPr>
      <w:r>
        <w:rPr>
          <w:b/>
        </w:rPr>
        <w:t>5.</w:t>
      </w:r>
      <w:r>
        <w:rPr>
          <w:b/>
        </w:rPr>
        <w:tab/>
        <w:t>SPÔSOB A CESTA PODÁVANIA</w:t>
      </w:r>
    </w:p>
    <w:p w14:paraId="4A5CE337" w14:textId="77777777" w:rsidR="009700E5" w:rsidRDefault="009700E5">
      <w:pPr>
        <w:rPr>
          <w:i/>
        </w:rPr>
      </w:pPr>
    </w:p>
    <w:p w14:paraId="68858B39" w14:textId="77777777" w:rsidR="009700E5" w:rsidRDefault="002C033C">
      <w:pPr>
        <w:tabs>
          <w:tab w:val="left" w:pos="284"/>
          <w:tab w:val="left" w:pos="567"/>
        </w:tabs>
        <w:outlineLvl w:val="0"/>
      </w:pPr>
      <w:r>
        <w:t>Subkutánne použitie.</w:t>
      </w:r>
    </w:p>
    <w:p w14:paraId="663AE62B" w14:textId="77777777" w:rsidR="009700E5" w:rsidRDefault="002C033C">
      <w:pPr>
        <w:rPr>
          <w:szCs w:val="22"/>
        </w:rPr>
      </w:pPr>
      <w:r>
        <w:rPr>
          <w:szCs w:val="22"/>
        </w:rPr>
        <w:t>Pred použitím si prečítajte písomnú informáciu pre používateľa</w:t>
      </w:r>
    </w:p>
    <w:p w14:paraId="7C9CDF00" w14:textId="77777777" w:rsidR="009700E5" w:rsidRDefault="009700E5"/>
    <w:p w14:paraId="29240BF8" w14:textId="77777777" w:rsidR="009700E5" w:rsidRDefault="009700E5"/>
    <w:p w14:paraId="66EC046E" w14:textId="77777777" w:rsidR="009700E5" w:rsidRDefault="002C033C">
      <w:pPr>
        <w:pBdr>
          <w:top w:val="single" w:sz="4" w:space="1" w:color="auto"/>
          <w:left w:val="single" w:sz="4" w:space="4" w:color="auto"/>
          <w:bottom w:val="single" w:sz="4" w:space="1" w:color="auto"/>
          <w:right w:val="single" w:sz="4" w:space="4" w:color="auto"/>
        </w:pBdr>
        <w:ind w:left="567" w:hanging="567"/>
        <w:outlineLvl w:val="0"/>
      </w:pPr>
      <w:r>
        <w:rPr>
          <w:b/>
        </w:rPr>
        <w:t>6.</w:t>
      </w:r>
      <w:r>
        <w:rPr>
          <w:b/>
        </w:rPr>
        <w:tab/>
        <w:t>ŠPECIÁLNE UPOZORNENIE, ŽE LIEK SA MUSÍ UCHOVÁVAŤ MIMO DOHĽADU A DOSAHU DETÍ</w:t>
      </w:r>
    </w:p>
    <w:p w14:paraId="0772D9EA" w14:textId="77777777" w:rsidR="009700E5" w:rsidRDefault="009700E5"/>
    <w:p w14:paraId="5C1E9357" w14:textId="77777777" w:rsidR="009700E5" w:rsidRDefault="002C033C">
      <w:pPr>
        <w:outlineLvl w:val="0"/>
        <w:rPr>
          <w:szCs w:val="22"/>
        </w:rPr>
      </w:pPr>
      <w:r>
        <w:rPr>
          <w:szCs w:val="22"/>
        </w:rPr>
        <w:t>Uchovávajte mimo dohľadu a dosahu detí</w:t>
      </w:r>
    </w:p>
    <w:p w14:paraId="1C074653" w14:textId="77777777" w:rsidR="009700E5" w:rsidRDefault="009700E5"/>
    <w:p w14:paraId="5E21B033" w14:textId="77777777" w:rsidR="009700E5" w:rsidRDefault="009700E5"/>
    <w:p w14:paraId="4D716A65" w14:textId="77777777" w:rsidR="009700E5" w:rsidRDefault="002C033C">
      <w:pPr>
        <w:pBdr>
          <w:top w:val="single" w:sz="4" w:space="1" w:color="auto"/>
          <w:left w:val="single" w:sz="4" w:space="4" w:color="auto"/>
          <w:bottom w:val="single" w:sz="4" w:space="1" w:color="auto"/>
          <w:right w:val="single" w:sz="4" w:space="4" w:color="auto"/>
        </w:pBdr>
        <w:ind w:left="567" w:hanging="567"/>
        <w:outlineLvl w:val="0"/>
      </w:pPr>
      <w:r>
        <w:rPr>
          <w:b/>
        </w:rPr>
        <w:t>7.</w:t>
      </w:r>
      <w:r>
        <w:rPr>
          <w:b/>
        </w:rPr>
        <w:tab/>
        <w:t>INÉ ŠPECIÁLNE UPOZORNENIE, AK JE TO POTREBNÉ</w:t>
      </w:r>
    </w:p>
    <w:p w14:paraId="130B84AD" w14:textId="77777777" w:rsidR="009700E5" w:rsidRDefault="009700E5"/>
    <w:p w14:paraId="3BEDAE79" w14:textId="77777777" w:rsidR="009700E5" w:rsidRDefault="002C033C">
      <w:r>
        <w:t>Pred použitím nechajte naplnené pero vybraté zo škatule stáť pri izbovej teplote 45 minút</w:t>
      </w:r>
    </w:p>
    <w:p w14:paraId="284B38B1" w14:textId="77777777" w:rsidR="009700E5" w:rsidRDefault="009700E5"/>
    <w:p w14:paraId="68CAA4E2" w14:textId="77777777" w:rsidR="009700E5" w:rsidRDefault="009700E5"/>
    <w:p w14:paraId="41244FFD" w14:textId="77777777" w:rsidR="009700E5" w:rsidRDefault="002C033C">
      <w:pPr>
        <w:pBdr>
          <w:top w:val="single" w:sz="4" w:space="1" w:color="auto"/>
          <w:left w:val="single" w:sz="4" w:space="4" w:color="auto"/>
          <w:bottom w:val="single" w:sz="4" w:space="1" w:color="auto"/>
          <w:right w:val="single" w:sz="4" w:space="4" w:color="auto"/>
        </w:pBdr>
        <w:outlineLvl w:val="0"/>
      </w:pPr>
      <w:r>
        <w:rPr>
          <w:b/>
        </w:rPr>
        <w:t>8.</w:t>
      </w:r>
      <w:r>
        <w:rPr>
          <w:b/>
        </w:rPr>
        <w:tab/>
        <w:t>DÁTUM EXSPIRÁCIE</w:t>
      </w:r>
    </w:p>
    <w:p w14:paraId="291D673E" w14:textId="77777777" w:rsidR="009700E5" w:rsidRDefault="009700E5"/>
    <w:p w14:paraId="680E7031" w14:textId="77777777" w:rsidR="009700E5" w:rsidRDefault="002C033C">
      <w:r>
        <w:t>EXP</w:t>
      </w:r>
    </w:p>
    <w:p w14:paraId="0CF2EA43" w14:textId="77777777" w:rsidR="009700E5" w:rsidRDefault="009700E5"/>
    <w:p w14:paraId="5E11B360" w14:textId="77777777" w:rsidR="009700E5" w:rsidRDefault="009700E5"/>
    <w:p w14:paraId="681B5C10" w14:textId="77777777" w:rsidR="009700E5" w:rsidRDefault="002C033C">
      <w:pPr>
        <w:keepNext/>
        <w:keepLines/>
        <w:pBdr>
          <w:top w:val="single" w:sz="4" w:space="1" w:color="auto"/>
          <w:left w:val="single" w:sz="4" w:space="4" w:color="auto"/>
          <w:bottom w:val="single" w:sz="4" w:space="1" w:color="auto"/>
          <w:right w:val="single" w:sz="4" w:space="4" w:color="auto"/>
        </w:pBdr>
        <w:outlineLvl w:val="0"/>
      </w:pPr>
      <w:r>
        <w:rPr>
          <w:b/>
        </w:rPr>
        <w:lastRenderedPageBreak/>
        <w:t>9.</w:t>
      </w:r>
      <w:r>
        <w:rPr>
          <w:b/>
        </w:rPr>
        <w:tab/>
        <w:t>ŠPECIÁLNE PODMIENKY NA UCHOVÁVANIE</w:t>
      </w:r>
    </w:p>
    <w:p w14:paraId="7CA7CB1E" w14:textId="77777777" w:rsidR="009700E5" w:rsidRDefault="009700E5">
      <w:pPr>
        <w:keepNext/>
        <w:keepLines/>
        <w:ind w:left="567" w:hanging="567"/>
      </w:pPr>
    </w:p>
    <w:p w14:paraId="4C284106" w14:textId="77777777" w:rsidR="009700E5" w:rsidRDefault="002C033C">
      <w:pPr>
        <w:keepNext/>
        <w:keepLines/>
      </w:pPr>
      <w:r>
        <w:t>Uchovávajte v chladničke</w:t>
      </w:r>
    </w:p>
    <w:p w14:paraId="3F535839" w14:textId="77777777" w:rsidR="009700E5" w:rsidRDefault="002C033C">
      <w:pPr>
        <w:keepNext/>
        <w:keepLines/>
      </w:pPr>
      <w:r>
        <w:t>Neuchovávajte v mrazničke</w:t>
      </w:r>
    </w:p>
    <w:p w14:paraId="7B6C62C3" w14:textId="77777777" w:rsidR="009700E5" w:rsidRDefault="002C033C">
      <w:pPr>
        <w:keepNext/>
        <w:keepLines/>
      </w:pPr>
      <w:r>
        <w:t>Po vybratí z chladničky možno naplnené pero uchovávať až 2 týždne pri teplote do 30 °C</w:t>
      </w:r>
    </w:p>
    <w:p w14:paraId="0815CDCD" w14:textId="77777777" w:rsidR="009700E5" w:rsidRDefault="002C033C">
      <w:pPr>
        <w:keepNext/>
        <w:keepLines/>
      </w:pPr>
      <w:r>
        <w:t>Naplnené pero uchovávajte vo vonkajšom obale na ochranu pred svetlom a vlhkosťou</w:t>
      </w:r>
    </w:p>
    <w:p w14:paraId="4784E7CC" w14:textId="77777777" w:rsidR="009700E5" w:rsidRDefault="009700E5">
      <w:pPr>
        <w:ind w:left="567" w:hanging="567"/>
      </w:pPr>
    </w:p>
    <w:p w14:paraId="50BD4B09" w14:textId="77777777" w:rsidR="009700E5" w:rsidRDefault="009700E5">
      <w:pPr>
        <w:ind w:left="567" w:hanging="567"/>
      </w:pPr>
    </w:p>
    <w:p w14:paraId="08F46E84" w14:textId="77777777" w:rsidR="009700E5" w:rsidRDefault="002C033C">
      <w:pPr>
        <w:pBdr>
          <w:top w:val="single" w:sz="4" w:space="1" w:color="auto"/>
          <w:left w:val="single" w:sz="4" w:space="4" w:color="auto"/>
          <w:bottom w:val="single" w:sz="4" w:space="1" w:color="auto"/>
          <w:right w:val="single" w:sz="4" w:space="4" w:color="auto"/>
        </w:pBdr>
        <w:ind w:left="567" w:hanging="567"/>
        <w:outlineLvl w:val="0"/>
        <w:rPr>
          <w:b/>
        </w:rPr>
      </w:pPr>
      <w:r>
        <w:rPr>
          <w:b/>
        </w:rPr>
        <w:t>10.</w:t>
      </w:r>
      <w:r>
        <w:rPr>
          <w:b/>
        </w:rPr>
        <w:tab/>
        <w:t>ŠPECIÁLNE UPOZORNENIA NA LIKVIDÁCIU NEPOUŽITÝCH LIEKOV ALEBO ODPADOV Z NICH VZNIKNUTÝCH, AK JE TO VHODNÉ</w:t>
      </w:r>
    </w:p>
    <w:p w14:paraId="2440740E" w14:textId="77777777" w:rsidR="009700E5" w:rsidRDefault="009700E5"/>
    <w:p w14:paraId="57B0F61B" w14:textId="77777777" w:rsidR="009700E5" w:rsidRDefault="009700E5"/>
    <w:p w14:paraId="3ADE4C6A" w14:textId="77777777" w:rsidR="009700E5" w:rsidRDefault="002C033C">
      <w:pPr>
        <w:pBdr>
          <w:top w:val="single" w:sz="4" w:space="1" w:color="auto"/>
          <w:left w:val="single" w:sz="4" w:space="4" w:color="auto"/>
          <w:bottom w:val="single" w:sz="4" w:space="1" w:color="auto"/>
          <w:right w:val="single" w:sz="4" w:space="4" w:color="auto"/>
        </w:pBdr>
        <w:outlineLvl w:val="0"/>
        <w:rPr>
          <w:b/>
        </w:rPr>
      </w:pPr>
      <w:r>
        <w:rPr>
          <w:b/>
        </w:rPr>
        <w:t>11.</w:t>
      </w:r>
      <w:r>
        <w:rPr>
          <w:b/>
        </w:rPr>
        <w:tab/>
        <w:t>NÁZOV A ADRESA DRŽITEĽA ROZHODNUTIA O REGISTRÁCII</w:t>
      </w:r>
    </w:p>
    <w:p w14:paraId="7D2659D8" w14:textId="77777777" w:rsidR="009700E5" w:rsidRDefault="009700E5"/>
    <w:p w14:paraId="43519D6B" w14:textId="77777777" w:rsidR="009700E5" w:rsidRDefault="002C033C">
      <w:r>
        <w:t xml:space="preserve">Roche Registration GmbH </w:t>
      </w:r>
    </w:p>
    <w:p w14:paraId="2D10E5B8" w14:textId="77777777" w:rsidR="009700E5" w:rsidRDefault="002C033C">
      <w:r>
        <w:t>Emil-Barell-Strasse 1</w:t>
      </w:r>
    </w:p>
    <w:p w14:paraId="7C498122" w14:textId="77777777" w:rsidR="009700E5" w:rsidRDefault="002C033C">
      <w:r>
        <w:t>79639 Grenzach-Wyhlen</w:t>
      </w:r>
    </w:p>
    <w:p w14:paraId="2AEBE585" w14:textId="77777777" w:rsidR="009700E5" w:rsidRDefault="002C033C">
      <w:r>
        <w:t>Nemecko</w:t>
      </w:r>
    </w:p>
    <w:p w14:paraId="36D0F602" w14:textId="77777777" w:rsidR="009700E5" w:rsidRDefault="009700E5"/>
    <w:p w14:paraId="097A8AA3" w14:textId="77777777" w:rsidR="009700E5" w:rsidRDefault="009700E5"/>
    <w:p w14:paraId="3D2555DF" w14:textId="77777777" w:rsidR="009700E5" w:rsidRDefault="002C033C">
      <w:pPr>
        <w:pBdr>
          <w:top w:val="single" w:sz="4" w:space="1" w:color="auto"/>
          <w:left w:val="single" w:sz="4" w:space="4" w:color="auto"/>
          <w:bottom w:val="single" w:sz="4" w:space="1" w:color="auto"/>
          <w:right w:val="single" w:sz="4" w:space="4" w:color="auto"/>
        </w:pBdr>
        <w:ind w:left="567" w:hanging="567"/>
        <w:outlineLvl w:val="0"/>
      </w:pPr>
      <w:r>
        <w:rPr>
          <w:b/>
        </w:rPr>
        <w:t>12.</w:t>
      </w:r>
      <w:r>
        <w:rPr>
          <w:b/>
        </w:rPr>
        <w:tab/>
        <w:t>REGISTRAČNÉ ČÍSLO</w:t>
      </w:r>
    </w:p>
    <w:p w14:paraId="5C5C30DD" w14:textId="77777777" w:rsidR="009700E5" w:rsidRDefault="009700E5"/>
    <w:p w14:paraId="57CB7ADB" w14:textId="77777777" w:rsidR="009700E5" w:rsidRDefault="002C033C">
      <w:r>
        <w:t>EU/1/08/492/010</w:t>
      </w:r>
    </w:p>
    <w:p w14:paraId="343504F7" w14:textId="77777777" w:rsidR="009700E5" w:rsidRDefault="009700E5"/>
    <w:p w14:paraId="710C56A9" w14:textId="77777777" w:rsidR="009700E5" w:rsidRDefault="009700E5"/>
    <w:p w14:paraId="016596EC" w14:textId="77777777" w:rsidR="009700E5" w:rsidRDefault="002C033C">
      <w:pPr>
        <w:pBdr>
          <w:top w:val="single" w:sz="4" w:space="1" w:color="auto"/>
          <w:left w:val="single" w:sz="4" w:space="4" w:color="auto"/>
          <w:bottom w:val="single" w:sz="4" w:space="1" w:color="auto"/>
          <w:right w:val="single" w:sz="4" w:space="4" w:color="auto"/>
        </w:pBdr>
        <w:ind w:left="567" w:hanging="567"/>
        <w:outlineLvl w:val="0"/>
      </w:pPr>
      <w:r>
        <w:rPr>
          <w:b/>
        </w:rPr>
        <w:t>13.</w:t>
      </w:r>
      <w:r>
        <w:rPr>
          <w:b/>
        </w:rPr>
        <w:tab/>
        <w:t>ČÍSLO VÝROBNEJ ŠARŽE</w:t>
      </w:r>
    </w:p>
    <w:p w14:paraId="315B8339" w14:textId="77777777" w:rsidR="009700E5" w:rsidRDefault="009700E5"/>
    <w:p w14:paraId="1EC5F0FC" w14:textId="77777777" w:rsidR="009700E5" w:rsidRDefault="002C033C">
      <w:r>
        <w:t>Lot</w:t>
      </w:r>
    </w:p>
    <w:p w14:paraId="2ABAB945" w14:textId="77777777" w:rsidR="009700E5" w:rsidRDefault="009700E5"/>
    <w:p w14:paraId="5862535C" w14:textId="77777777" w:rsidR="009700E5" w:rsidRDefault="009700E5"/>
    <w:p w14:paraId="4F24D6F6" w14:textId="77777777" w:rsidR="009700E5" w:rsidRDefault="002C033C">
      <w:pPr>
        <w:pBdr>
          <w:top w:val="single" w:sz="4" w:space="1" w:color="auto"/>
          <w:left w:val="single" w:sz="4" w:space="4" w:color="auto"/>
          <w:bottom w:val="single" w:sz="4" w:space="1" w:color="auto"/>
          <w:right w:val="single" w:sz="4" w:space="4" w:color="auto"/>
        </w:pBdr>
        <w:outlineLvl w:val="0"/>
      </w:pPr>
      <w:r>
        <w:rPr>
          <w:b/>
        </w:rPr>
        <w:t>14.</w:t>
      </w:r>
      <w:r>
        <w:rPr>
          <w:b/>
        </w:rPr>
        <w:tab/>
        <w:t>ZATRIEDENIE LIEKU PODĽA SPÔSOBU VÝDAJA</w:t>
      </w:r>
    </w:p>
    <w:p w14:paraId="53577821" w14:textId="77777777" w:rsidR="009700E5" w:rsidRDefault="009700E5"/>
    <w:p w14:paraId="5DA85EE1" w14:textId="77777777" w:rsidR="009700E5" w:rsidRDefault="009700E5"/>
    <w:p w14:paraId="1F4CD63A" w14:textId="77777777" w:rsidR="009700E5" w:rsidRDefault="002C033C">
      <w:pPr>
        <w:pBdr>
          <w:top w:val="single" w:sz="4" w:space="1" w:color="auto"/>
          <w:left w:val="single" w:sz="4" w:space="4" w:color="auto"/>
          <w:bottom w:val="single" w:sz="4" w:space="1" w:color="auto"/>
          <w:right w:val="single" w:sz="4" w:space="4" w:color="auto"/>
        </w:pBdr>
        <w:ind w:left="567" w:hanging="567"/>
        <w:outlineLvl w:val="0"/>
      </w:pPr>
      <w:r>
        <w:rPr>
          <w:b/>
        </w:rPr>
        <w:t>15.</w:t>
      </w:r>
      <w:r>
        <w:rPr>
          <w:b/>
        </w:rPr>
        <w:tab/>
        <w:t>POKYNY NA POUŽITIE</w:t>
      </w:r>
    </w:p>
    <w:p w14:paraId="61C3258B" w14:textId="77777777" w:rsidR="009700E5" w:rsidRDefault="009700E5"/>
    <w:p w14:paraId="1684215C" w14:textId="77777777" w:rsidR="009700E5" w:rsidRDefault="009700E5"/>
    <w:p w14:paraId="6600946C" w14:textId="77777777" w:rsidR="009700E5" w:rsidRDefault="002C033C">
      <w:pPr>
        <w:pBdr>
          <w:top w:val="single" w:sz="4" w:space="1" w:color="auto"/>
          <w:left w:val="single" w:sz="4" w:space="4" w:color="auto"/>
          <w:bottom w:val="single" w:sz="4" w:space="1" w:color="auto"/>
          <w:right w:val="single" w:sz="4" w:space="4" w:color="auto"/>
        </w:pBdr>
        <w:ind w:left="567" w:hanging="567"/>
        <w:outlineLvl w:val="0"/>
      </w:pPr>
      <w:r>
        <w:rPr>
          <w:b/>
        </w:rPr>
        <w:t>16.</w:t>
      </w:r>
      <w:r>
        <w:rPr>
          <w:b/>
        </w:rPr>
        <w:tab/>
        <w:t>INFORMÁCIE V BRAILLOVOM PÍSME</w:t>
      </w:r>
    </w:p>
    <w:p w14:paraId="3F4AD072" w14:textId="77777777" w:rsidR="009700E5" w:rsidRDefault="009700E5"/>
    <w:p w14:paraId="342B7DC1" w14:textId="77777777" w:rsidR="009700E5" w:rsidRDefault="002C033C">
      <w:r>
        <w:t>roactemra 162 mg pero</w:t>
      </w:r>
    </w:p>
    <w:p w14:paraId="038434E0" w14:textId="77777777" w:rsidR="009700E5" w:rsidRDefault="009700E5">
      <w:pPr>
        <w:shd w:val="clear" w:color="auto" w:fill="FFFFFF"/>
      </w:pPr>
    </w:p>
    <w:p w14:paraId="01ED2E1A" w14:textId="77777777" w:rsidR="009700E5" w:rsidRDefault="009700E5">
      <w:pPr>
        <w:rPr>
          <w:szCs w:val="22"/>
        </w:rPr>
      </w:pPr>
    </w:p>
    <w:p w14:paraId="030E3BD2" w14:textId="77777777" w:rsidR="009700E5" w:rsidRDefault="002C033C">
      <w:pPr>
        <w:pBdr>
          <w:top w:val="single" w:sz="4" w:space="2" w:color="auto"/>
          <w:left w:val="single" w:sz="4" w:space="4" w:color="auto"/>
          <w:bottom w:val="single" w:sz="4" w:space="0" w:color="auto"/>
          <w:right w:val="single" w:sz="4" w:space="4" w:color="auto"/>
        </w:pBdr>
        <w:rPr>
          <w:b/>
        </w:rPr>
      </w:pPr>
      <w:r>
        <w:rPr>
          <w:b/>
        </w:rPr>
        <w:t>17.</w:t>
      </w:r>
      <w:r>
        <w:rPr>
          <w:b/>
        </w:rPr>
        <w:tab/>
        <w:t>ŠPECIFICKÝ IDENTIFIKÁTOR – DVOJROZMERNÝ ČIAROVÝ KÓD</w:t>
      </w:r>
    </w:p>
    <w:p w14:paraId="54198663" w14:textId="77777777" w:rsidR="009700E5" w:rsidRDefault="009700E5"/>
    <w:p w14:paraId="72455D0C" w14:textId="77777777" w:rsidR="009700E5" w:rsidRDefault="009700E5"/>
    <w:p w14:paraId="6A0F8CCB" w14:textId="77777777" w:rsidR="009700E5" w:rsidRDefault="002C033C">
      <w:pPr>
        <w:pBdr>
          <w:top w:val="single" w:sz="4" w:space="2" w:color="auto"/>
          <w:left w:val="single" w:sz="4" w:space="4" w:color="auto"/>
          <w:bottom w:val="single" w:sz="4" w:space="0" w:color="auto"/>
          <w:right w:val="single" w:sz="4" w:space="4" w:color="auto"/>
        </w:pBdr>
        <w:rPr>
          <w:b/>
        </w:rPr>
      </w:pPr>
      <w:r>
        <w:rPr>
          <w:b/>
        </w:rPr>
        <w:t>18.</w:t>
      </w:r>
      <w:r>
        <w:rPr>
          <w:b/>
        </w:rPr>
        <w:tab/>
        <w:t>ŠPECIFICKÝ IDENTIFIKÁTOR – ÚDAJE ČITATEĽNÉ ĽUDSKÝM OKOM</w:t>
      </w:r>
    </w:p>
    <w:p w14:paraId="71993643" w14:textId="77777777" w:rsidR="009700E5" w:rsidRDefault="009700E5"/>
    <w:p w14:paraId="1DC3A579" w14:textId="77777777" w:rsidR="009700E5" w:rsidRDefault="002C033C">
      <w:r>
        <w:br w:type="page"/>
      </w:r>
    </w:p>
    <w:p w14:paraId="75AFD39E" w14:textId="77777777" w:rsidR="009700E5" w:rsidRDefault="002C033C">
      <w:pPr>
        <w:pBdr>
          <w:top w:val="single" w:sz="4" w:space="1" w:color="auto"/>
          <w:left w:val="single" w:sz="4" w:space="4" w:color="auto"/>
          <w:bottom w:val="single" w:sz="4" w:space="1" w:color="auto"/>
          <w:right w:val="single" w:sz="4" w:space="4" w:color="auto"/>
        </w:pBdr>
        <w:rPr>
          <w:b/>
        </w:rPr>
      </w:pPr>
      <w:r>
        <w:rPr>
          <w:b/>
        </w:rPr>
        <w:lastRenderedPageBreak/>
        <w:t>MINIMÁLNE ÚDAJE, KTORÉ MAJÚ BYŤ UVEDENÉ NA MALOM VNÚTORNOM OBALE</w:t>
      </w:r>
    </w:p>
    <w:p w14:paraId="75564B3B" w14:textId="77777777" w:rsidR="009700E5" w:rsidRDefault="009700E5">
      <w:pPr>
        <w:pBdr>
          <w:top w:val="single" w:sz="4" w:space="1" w:color="auto"/>
          <w:left w:val="single" w:sz="4" w:space="4" w:color="auto"/>
          <w:bottom w:val="single" w:sz="4" w:space="1" w:color="auto"/>
          <w:right w:val="single" w:sz="4" w:space="4" w:color="auto"/>
        </w:pBdr>
        <w:rPr>
          <w:b/>
        </w:rPr>
      </w:pPr>
    </w:p>
    <w:p w14:paraId="0A9119F0" w14:textId="77777777" w:rsidR="009700E5" w:rsidRDefault="002C033C">
      <w:pPr>
        <w:pBdr>
          <w:top w:val="single" w:sz="4" w:space="1" w:color="auto"/>
          <w:left w:val="single" w:sz="4" w:space="4" w:color="auto"/>
          <w:bottom w:val="single" w:sz="4" w:space="1" w:color="auto"/>
          <w:right w:val="single" w:sz="4" w:space="4" w:color="auto"/>
        </w:pBdr>
        <w:rPr>
          <w:b/>
        </w:rPr>
      </w:pPr>
      <w:r>
        <w:rPr>
          <w:b/>
          <w:caps/>
        </w:rPr>
        <w:t>OZNAČENIE naplneného pera</w:t>
      </w:r>
    </w:p>
    <w:p w14:paraId="7B9CB745" w14:textId="77777777" w:rsidR="009700E5" w:rsidRDefault="009700E5"/>
    <w:p w14:paraId="462FBCEA" w14:textId="77777777" w:rsidR="009700E5" w:rsidRDefault="009700E5"/>
    <w:p w14:paraId="306F37BF" w14:textId="77777777" w:rsidR="009700E5" w:rsidRDefault="002C033C">
      <w:pPr>
        <w:pBdr>
          <w:top w:val="single" w:sz="4" w:space="1" w:color="auto"/>
          <w:left w:val="single" w:sz="4" w:space="4" w:color="auto"/>
          <w:bottom w:val="single" w:sz="4" w:space="1" w:color="auto"/>
          <w:right w:val="single" w:sz="4" w:space="4" w:color="auto"/>
        </w:pBdr>
        <w:outlineLvl w:val="0"/>
        <w:rPr>
          <w:b/>
        </w:rPr>
      </w:pPr>
      <w:r>
        <w:rPr>
          <w:b/>
        </w:rPr>
        <w:t>1.</w:t>
      </w:r>
      <w:r>
        <w:rPr>
          <w:b/>
        </w:rPr>
        <w:tab/>
        <w:t>NÁZOV LIEKU A CESTA PODÁVANIA</w:t>
      </w:r>
    </w:p>
    <w:p w14:paraId="35BA72F4" w14:textId="77777777" w:rsidR="009700E5" w:rsidRDefault="009700E5"/>
    <w:p w14:paraId="4CD8C8F1" w14:textId="77777777" w:rsidR="009700E5" w:rsidRDefault="002C033C">
      <w:r>
        <w:t>RoActemra 162 mg injekcia</w:t>
      </w:r>
    </w:p>
    <w:p w14:paraId="33A19846" w14:textId="77777777" w:rsidR="009700E5" w:rsidRDefault="002C033C">
      <w:r>
        <w:t>tocilizumab</w:t>
      </w:r>
    </w:p>
    <w:p w14:paraId="595B7D49" w14:textId="77777777" w:rsidR="009700E5" w:rsidRDefault="002C033C">
      <w:r>
        <w:t>s.c.</w:t>
      </w:r>
    </w:p>
    <w:p w14:paraId="25E23AC7" w14:textId="77777777" w:rsidR="009700E5" w:rsidRDefault="009700E5"/>
    <w:p w14:paraId="72F5B54A" w14:textId="77777777" w:rsidR="009700E5" w:rsidRDefault="009700E5"/>
    <w:p w14:paraId="5738BF48" w14:textId="77777777" w:rsidR="009700E5" w:rsidRDefault="002C033C">
      <w:pPr>
        <w:pBdr>
          <w:top w:val="single" w:sz="4" w:space="1" w:color="auto"/>
          <w:left w:val="single" w:sz="4" w:space="4" w:color="auto"/>
          <w:bottom w:val="single" w:sz="4" w:space="1" w:color="auto"/>
          <w:right w:val="single" w:sz="4" w:space="4" w:color="auto"/>
        </w:pBdr>
        <w:outlineLvl w:val="0"/>
        <w:rPr>
          <w:b/>
        </w:rPr>
      </w:pPr>
      <w:r>
        <w:rPr>
          <w:b/>
        </w:rPr>
        <w:t>2.</w:t>
      </w:r>
      <w:r>
        <w:rPr>
          <w:b/>
        </w:rPr>
        <w:tab/>
        <w:t>SPÔSOB PODÁVANIA</w:t>
      </w:r>
    </w:p>
    <w:p w14:paraId="370F2079" w14:textId="77777777" w:rsidR="009700E5" w:rsidRDefault="009700E5"/>
    <w:p w14:paraId="5A5D8A56" w14:textId="77777777" w:rsidR="009700E5" w:rsidRDefault="009700E5"/>
    <w:p w14:paraId="5190F0EA" w14:textId="77777777" w:rsidR="009700E5" w:rsidRDefault="002C033C">
      <w:pPr>
        <w:pBdr>
          <w:top w:val="single" w:sz="4" w:space="1" w:color="auto"/>
          <w:left w:val="single" w:sz="4" w:space="4" w:color="auto"/>
          <w:bottom w:val="single" w:sz="4" w:space="1" w:color="auto"/>
          <w:right w:val="single" w:sz="4" w:space="4" w:color="auto"/>
        </w:pBdr>
        <w:outlineLvl w:val="0"/>
        <w:rPr>
          <w:b/>
        </w:rPr>
      </w:pPr>
      <w:r>
        <w:rPr>
          <w:b/>
        </w:rPr>
        <w:t>3.</w:t>
      </w:r>
      <w:r>
        <w:rPr>
          <w:b/>
        </w:rPr>
        <w:tab/>
        <w:t>DÁTUM EXSPIRÁCIE</w:t>
      </w:r>
    </w:p>
    <w:p w14:paraId="40771B86" w14:textId="77777777" w:rsidR="009700E5" w:rsidRDefault="009700E5"/>
    <w:p w14:paraId="3467A757" w14:textId="77777777" w:rsidR="009700E5" w:rsidRDefault="002C033C">
      <w:r>
        <w:t>EXP</w:t>
      </w:r>
    </w:p>
    <w:p w14:paraId="078B8F46" w14:textId="77777777" w:rsidR="009700E5" w:rsidRDefault="009700E5"/>
    <w:p w14:paraId="10041BAB" w14:textId="77777777" w:rsidR="009700E5" w:rsidRDefault="009700E5"/>
    <w:p w14:paraId="08A61B2F" w14:textId="77777777" w:rsidR="009700E5" w:rsidRDefault="002C033C">
      <w:pPr>
        <w:pBdr>
          <w:top w:val="single" w:sz="4" w:space="1" w:color="auto"/>
          <w:left w:val="single" w:sz="4" w:space="4" w:color="auto"/>
          <w:bottom w:val="single" w:sz="4" w:space="1" w:color="auto"/>
          <w:right w:val="single" w:sz="4" w:space="4" w:color="auto"/>
        </w:pBdr>
        <w:outlineLvl w:val="0"/>
        <w:rPr>
          <w:b/>
        </w:rPr>
      </w:pPr>
      <w:r>
        <w:rPr>
          <w:b/>
        </w:rPr>
        <w:t>4.</w:t>
      </w:r>
      <w:r>
        <w:rPr>
          <w:b/>
        </w:rPr>
        <w:tab/>
        <w:t>ČÍSLO VÝROBNEJ ŠARŽE</w:t>
      </w:r>
    </w:p>
    <w:p w14:paraId="676D860E" w14:textId="77777777" w:rsidR="009700E5" w:rsidRDefault="009700E5"/>
    <w:p w14:paraId="6FBCB8D3" w14:textId="77777777" w:rsidR="009700E5" w:rsidRDefault="002C033C">
      <w:r>
        <w:t>Lot</w:t>
      </w:r>
    </w:p>
    <w:p w14:paraId="360B6C84" w14:textId="77777777" w:rsidR="009700E5" w:rsidRDefault="009700E5"/>
    <w:p w14:paraId="6F4ED326" w14:textId="77777777" w:rsidR="009700E5" w:rsidRDefault="009700E5"/>
    <w:p w14:paraId="3E0758C8" w14:textId="77777777" w:rsidR="009700E5" w:rsidRDefault="002C033C">
      <w:pPr>
        <w:pBdr>
          <w:top w:val="single" w:sz="4" w:space="1" w:color="auto"/>
          <w:left w:val="single" w:sz="4" w:space="4" w:color="auto"/>
          <w:bottom w:val="single" w:sz="4" w:space="1" w:color="auto"/>
          <w:right w:val="single" w:sz="4" w:space="4" w:color="auto"/>
        </w:pBdr>
        <w:ind w:left="567" w:hanging="567"/>
        <w:outlineLvl w:val="0"/>
        <w:rPr>
          <w:b/>
        </w:rPr>
      </w:pPr>
      <w:r>
        <w:rPr>
          <w:b/>
        </w:rPr>
        <w:t>5.</w:t>
      </w:r>
      <w:r>
        <w:rPr>
          <w:b/>
        </w:rPr>
        <w:tab/>
        <w:t>OBSAH V HMOTNOSTNÝCH, OBJEMOVÝCH ALEBO KUSOVÝCH JEDNOTKÁCH</w:t>
      </w:r>
    </w:p>
    <w:p w14:paraId="3AE5D3C9" w14:textId="77777777" w:rsidR="009700E5" w:rsidRDefault="009700E5">
      <w:pPr>
        <w:ind w:right="113"/>
      </w:pPr>
    </w:p>
    <w:p w14:paraId="1DFAABC6" w14:textId="77777777" w:rsidR="009700E5" w:rsidRDefault="002C033C">
      <w:pPr>
        <w:ind w:right="113"/>
      </w:pPr>
      <w:r>
        <w:rPr>
          <w:szCs w:val="22"/>
        </w:rPr>
        <w:t>162 mg/0,9 ml</w:t>
      </w:r>
    </w:p>
    <w:p w14:paraId="349C9808" w14:textId="77777777" w:rsidR="009700E5" w:rsidRDefault="009700E5">
      <w:pPr>
        <w:ind w:right="113"/>
      </w:pPr>
    </w:p>
    <w:p w14:paraId="76814138" w14:textId="77777777" w:rsidR="009700E5" w:rsidRDefault="009700E5">
      <w:pPr>
        <w:ind w:right="113"/>
      </w:pPr>
    </w:p>
    <w:p w14:paraId="57B00B23" w14:textId="77777777" w:rsidR="009700E5" w:rsidRDefault="002C033C">
      <w:pPr>
        <w:pBdr>
          <w:top w:val="single" w:sz="4" w:space="1" w:color="auto"/>
          <w:left w:val="single" w:sz="4" w:space="4" w:color="auto"/>
          <w:bottom w:val="single" w:sz="4" w:space="1" w:color="auto"/>
          <w:right w:val="single" w:sz="4" w:space="4" w:color="auto"/>
        </w:pBdr>
        <w:outlineLvl w:val="0"/>
      </w:pPr>
      <w:r>
        <w:rPr>
          <w:b/>
        </w:rPr>
        <w:t>6.</w:t>
      </w:r>
      <w:r>
        <w:rPr>
          <w:b/>
        </w:rPr>
        <w:tab/>
      </w:r>
      <w:r>
        <w:rPr>
          <w:b/>
          <w:caps/>
        </w:rPr>
        <w:t>iné</w:t>
      </w:r>
    </w:p>
    <w:p w14:paraId="17A8190E" w14:textId="77777777" w:rsidR="009700E5" w:rsidRDefault="009700E5"/>
    <w:p w14:paraId="26D5F1AC" w14:textId="77777777" w:rsidR="009700E5" w:rsidRDefault="002C033C">
      <w:r>
        <w:br w:type="page"/>
      </w:r>
    </w:p>
    <w:p w14:paraId="78A5272D" w14:textId="77777777" w:rsidR="009700E5" w:rsidRDefault="009700E5"/>
    <w:p w14:paraId="72DCE56D" w14:textId="77777777" w:rsidR="009700E5" w:rsidRDefault="009700E5"/>
    <w:p w14:paraId="1F5A7F02" w14:textId="77777777" w:rsidR="009700E5" w:rsidRDefault="009700E5"/>
    <w:p w14:paraId="6DC745AB" w14:textId="77777777" w:rsidR="009700E5" w:rsidRDefault="009700E5"/>
    <w:p w14:paraId="10C89813" w14:textId="77777777" w:rsidR="009700E5" w:rsidRDefault="009700E5"/>
    <w:p w14:paraId="7A7EDA8E" w14:textId="77777777" w:rsidR="009700E5" w:rsidRDefault="009700E5"/>
    <w:p w14:paraId="6F9368A1" w14:textId="77777777" w:rsidR="009700E5" w:rsidRDefault="009700E5"/>
    <w:p w14:paraId="0521C9D3" w14:textId="77777777" w:rsidR="009700E5" w:rsidRDefault="009700E5"/>
    <w:p w14:paraId="7C485554" w14:textId="77777777" w:rsidR="009700E5" w:rsidRDefault="009700E5"/>
    <w:p w14:paraId="7DFE61C3" w14:textId="77777777" w:rsidR="009700E5" w:rsidRDefault="009700E5"/>
    <w:p w14:paraId="22F9658F" w14:textId="77777777" w:rsidR="009700E5" w:rsidRDefault="009700E5"/>
    <w:p w14:paraId="54B9F232" w14:textId="77777777" w:rsidR="009700E5" w:rsidRDefault="009700E5"/>
    <w:p w14:paraId="7C8D3A6F" w14:textId="77777777" w:rsidR="009700E5" w:rsidRDefault="009700E5"/>
    <w:p w14:paraId="51079F19" w14:textId="77777777" w:rsidR="009700E5" w:rsidRDefault="009700E5"/>
    <w:p w14:paraId="2C6F55C7" w14:textId="77777777" w:rsidR="009700E5" w:rsidRDefault="009700E5"/>
    <w:p w14:paraId="463A8903" w14:textId="77777777" w:rsidR="009700E5" w:rsidRDefault="009700E5"/>
    <w:p w14:paraId="4EA70A23" w14:textId="77777777" w:rsidR="009700E5" w:rsidRDefault="009700E5"/>
    <w:p w14:paraId="793CB694" w14:textId="77777777" w:rsidR="009700E5" w:rsidRDefault="009700E5"/>
    <w:p w14:paraId="2935521D" w14:textId="77777777" w:rsidR="009700E5" w:rsidRDefault="009700E5"/>
    <w:p w14:paraId="7D9BF03B" w14:textId="77777777" w:rsidR="009700E5" w:rsidRDefault="009700E5"/>
    <w:p w14:paraId="625C157F" w14:textId="77777777" w:rsidR="009700E5" w:rsidRDefault="009700E5"/>
    <w:p w14:paraId="01B191F7" w14:textId="77777777" w:rsidR="009700E5" w:rsidRDefault="009700E5"/>
    <w:p w14:paraId="143968A1" w14:textId="77777777" w:rsidR="009700E5" w:rsidRDefault="009700E5"/>
    <w:p w14:paraId="796FAF4B" w14:textId="77777777" w:rsidR="009700E5" w:rsidRDefault="002C033C">
      <w:pPr>
        <w:pStyle w:val="Annex"/>
      </w:pPr>
      <w:r>
        <w:t>B. PÍSOMNÁ INFORMÁCIA PRE POUŽÍVATEĽA</w:t>
      </w:r>
    </w:p>
    <w:p w14:paraId="4CA4DA0A" w14:textId="77777777" w:rsidR="009700E5" w:rsidRDefault="009700E5">
      <w:pPr>
        <w:jc w:val="center"/>
      </w:pPr>
    </w:p>
    <w:p w14:paraId="6B4D8CF8" w14:textId="77777777" w:rsidR="009700E5" w:rsidRDefault="002C033C">
      <w:pPr>
        <w:jc w:val="center"/>
        <w:outlineLvl w:val="0"/>
        <w:rPr>
          <w:b/>
        </w:rPr>
      </w:pPr>
      <w:r>
        <w:rPr>
          <w:b/>
        </w:rPr>
        <w:br w:type="page"/>
      </w:r>
      <w:r>
        <w:rPr>
          <w:b/>
        </w:rPr>
        <w:lastRenderedPageBreak/>
        <w:t>Písomná informácia pre používateľa</w:t>
      </w:r>
    </w:p>
    <w:p w14:paraId="1925F00C" w14:textId="77777777" w:rsidR="009700E5" w:rsidRDefault="009700E5">
      <w:pPr>
        <w:jc w:val="center"/>
        <w:outlineLvl w:val="0"/>
        <w:rPr>
          <w:b/>
        </w:rPr>
      </w:pPr>
    </w:p>
    <w:p w14:paraId="5F76A9D7" w14:textId="77777777" w:rsidR="009700E5" w:rsidRDefault="002C033C">
      <w:pPr>
        <w:jc w:val="center"/>
        <w:outlineLvl w:val="0"/>
        <w:rPr>
          <w:b/>
          <w:bCs/>
        </w:rPr>
      </w:pPr>
      <w:r>
        <w:rPr>
          <w:b/>
          <w:bCs/>
        </w:rPr>
        <w:t xml:space="preserve">RoActemra 20 mg/ml </w:t>
      </w:r>
      <w:r>
        <w:rPr>
          <w:rStyle w:val="cf01"/>
          <w:rFonts w:ascii="Times New Roman" w:hAnsi="Times New Roman" w:cs="Times New Roman"/>
          <w:b/>
          <w:bCs/>
          <w:sz w:val="22"/>
          <w:szCs w:val="22"/>
        </w:rPr>
        <w:t>koncentrát na infúzny roztok</w:t>
      </w:r>
    </w:p>
    <w:p w14:paraId="665E80C2" w14:textId="77777777" w:rsidR="009700E5" w:rsidRDefault="002C033C">
      <w:pPr>
        <w:jc w:val="center"/>
      </w:pPr>
      <w:r>
        <w:t>tocilizumab</w:t>
      </w:r>
    </w:p>
    <w:p w14:paraId="527E82A5" w14:textId="77777777" w:rsidR="009700E5" w:rsidRDefault="009700E5"/>
    <w:p w14:paraId="5A66CA8F" w14:textId="77777777" w:rsidR="009700E5" w:rsidRDefault="002C033C">
      <w:pPr>
        <w:rPr>
          <w:b/>
        </w:rPr>
      </w:pPr>
      <w:r>
        <w:rPr>
          <w:b/>
        </w:rPr>
        <w:t>Pozorne si prečítajte celú písomnú informáciu predtým, ako začnete používať tento liek, pretože obsahuje pre vás dôležité informácie.</w:t>
      </w:r>
    </w:p>
    <w:p w14:paraId="3475A8E4" w14:textId="77777777" w:rsidR="009700E5" w:rsidRDefault="002C033C">
      <w:pPr>
        <w:ind w:left="567" w:hanging="567"/>
      </w:pPr>
      <w:r>
        <w:rPr>
          <w:szCs w:val="22"/>
        </w:rPr>
        <w:sym w:font="Symbol" w:char="F0B7"/>
      </w:r>
      <w:r>
        <w:tab/>
        <w:t>Túto písomnú informáciu si uschovajte. Možno bude potrebné, aby ste si ju znovu prečítali.</w:t>
      </w:r>
    </w:p>
    <w:p w14:paraId="20DCFD9C" w14:textId="77777777" w:rsidR="009700E5" w:rsidRDefault="002C033C">
      <w:pPr>
        <w:ind w:left="567" w:hanging="567"/>
      </w:pPr>
      <w:r>
        <w:rPr>
          <w:szCs w:val="22"/>
        </w:rPr>
        <w:sym w:font="Symbol" w:char="F0B7"/>
      </w:r>
      <w:r>
        <w:tab/>
        <w:t>Ak máte akékoľvek ďalšie otázky, obráťte sa na svojho lekára alebo zdravotnú sestru.</w:t>
      </w:r>
    </w:p>
    <w:p w14:paraId="58FA07C9" w14:textId="77777777" w:rsidR="009700E5" w:rsidRDefault="002C033C">
      <w:pPr>
        <w:ind w:left="567" w:hanging="567"/>
      </w:pPr>
      <w:r>
        <w:rPr>
          <w:szCs w:val="22"/>
        </w:rPr>
        <w:sym w:font="Symbol" w:char="F0B7"/>
      </w:r>
      <w:r>
        <w:tab/>
        <w:t>Ak sa u vás vyskytne akýkoľvek vedľajší účinok, obráťte sa na svojho lekára alebo zdravotnú sestru. To sa týka aj akýchkoľvek vedľajších účinkov, ktoré nie sú uvedené v tejto písomnej informácii.</w:t>
      </w:r>
      <w:r>
        <w:rPr>
          <w:szCs w:val="22"/>
        </w:rPr>
        <w:t xml:space="preserve"> Pozri časť 4.</w:t>
      </w:r>
    </w:p>
    <w:p w14:paraId="0B099A1E" w14:textId="77777777" w:rsidR="009700E5" w:rsidRDefault="009700E5"/>
    <w:p w14:paraId="0A6A1A30" w14:textId="77777777" w:rsidR="009700E5" w:rsidRDefault="002C033C">
      <w:r>
        <w:t xml:space="preserve">K tejto písomnej informácii vám bude poskytnutá i </w:t>
      </w:r>
      <w:r>
        <w:rPr>
          <w:b/>
          <w:bCs/>
        </w:rPr>
        <w:t>karta pacienta</w:t>
      </w:r>
      <w:r>
        <w:t>, obsahujúca dôležité bezpečnostné informácie, ktoré treba vziať do úvahy pred a počas liečby RoActemrou.</w:t>
      </w:r>
    </w:p>
    <w:p w14:paraId="237B5A23" w14:textId="77777777" w:rsidR="009700E5" w:rsidRDefault="009700E5"/>
    <w:p w14:paraId="4E3DBB1E" w14:textId="77777777" w:rsidR="009700E5" w:rsidRDefault="002C033C">
      <w:r>
        <w:rPr>
          <w:b/>
        </w:rPr>
        <w:t>V tejto písomnej informácii sa dozviete</w:t>
      </w:r>
      <w:r>
        <w:rPr>
          <w:b/>
          <w:bCs/>
        </w:rPr>
        <w:t>:</w:t>
      </w:r>
    </w:p>
    <w:p w14:paraId="314055E6" w14:textId="77777777" w:rsidR="009700E5" w:rsidRDefault="002C033C">
      <w:r>
        <w:t>1.</w:t>
      </w:r>
      <w:r>
        <w:tab/>
        <w:t>Čo je RoActemra a na čo sa používa</w:t>
      </w:r>
    </w:p>
    <w:p w14:paraId="0C2C36E5" w14:textId="77777777" w:rsidR="009700E5" w:rsidRDefault="002C033C">
      <w:r>
        <w:t>2.</w:t>
      </w:r>
      <w:r>
        <w:tab/>
        <w:t>Čo potrebujete vedieť predtým, ako vám podajú RoActemru</w:t>
      </w:r>
    </w:p>
    <w:p w14:paraId="1742969B" w14:textId="77777777" w:rsidR="009700E5" w:rsidRDefault="002C033C">
      <w:r>
        <w:t>3.</w:t>
      </w:r>
      <w:r>
        <w:tab/>
        <w:t>Ako sa podáva RoActemra</w:t>
      </w:r>
    </w:p>
    <w:p w14:paraId="7098809D" w14:textId="77777777" w:rsidR="009700E5" w:rsidRDefault="002C033C">
      <w:r>
        <w:t>4.</w:t>
      </w:r>
      <w:r>
        <w:tab/>
        <w:t>Možné vedľajšie účinky</w:t>
      </w:r>
    </w:p>
    <w:p w14:paraId="258AEBBE" w14:textId="77777777" w:rsidR="009700E5" w:rsidRDefault="002C033C">
      <w:r>
        <w:t>5.</w:t>
      </w:r>
      <w:r>
        <w:tab/>
        <w:t>Ako uchovávať RoActemru</w:t>
      </w:r>
    </w:p>
    <w:p w14:paraId="5D82904B" w14:textId="77777777" w:rsidR="009700E5" w:rsidRDefault="002C033C">
      <w:r>
        <w:t>6.</w:t>
      </w:r>
      <w:r>
        <w:tab/>
        <w:t>Obsah balenia a ďalšie informácie</w:t>
      </w:r>
    </w:p>
    <w:p w14:paraId="74E676E4" w14:textId="77777777" w:rsidR="009700E5" w:rsidRDefault="009700E5"/>
    <w:p w14:paraId="486C0D60" w14:textId="77777777" w:rsidR="009700E5" w:rsidRDefault="009700E5"/>
    <w:p w14:paraId="744A0226" w14:textId="77777777" w:rsidR="009700E5" w:rsidRDefault="002C033C">
      <w:pPr>
        <w:rPr>
          <w:b/>
          <w:szCs w:val="22"/>
        </w:rPr>
      </w:pPr>
      <w:r>
        <w:rPr>
          <w:b/>
          <w:szCs w:val="22"/>
        </w:rPr>
        <w:t>1.</w:t>
      </w:r>
      <w:r>
        <w:rPr>
          <w:b/>
          <w:szCs w:val="22"/>
        </w:rPr>
        <w:tab/>
        <w:t xml:space="preserve">Čo je </w:t>
      </w:r>
      <w:r>
        <w:rPr>
          <w:b/>
          <w:caps/>
          <w:szCs w:val="22"/>
        </w:rPr>
        <w:t>r</w:t>
      </w:r>
      <w:r>
        <w:rPr>
          <w:b/>
          <w:szCs w:val="22"/>
        </w:rPr>
        <w:t>o</w:t>
      </w:r>
      <w:r>
        <w:rPr>
          <w:b/>
          <w:caps/>
          <w:szCs w:val="22"/>
        </w:rPr>
        <w:t>a</w:t>
      </w:r>
      <w:r>
        <w:rPr>
          <w:b/>
          <w:szCs w:val="22"/>
        </w:rPr>
        <w:t>ctemra a na čo sa používa</w:t>
      </w:r>
    </w:p>
    <w:p w14:paraId="564169AF" w14:textId="77777777" w:rsidR="009700E5" w:rsidRDefault="009700E5"/>
    <w:p w14:paraId="26803E69" w14:textId="77777777" w:rsidR="009700E5" w:rsidRDefault="002C033C">
      <w:r>
        <w:t>RoActemra obsahuje liečivo tocilizumab, monoklonálnu protilátku, čo je bielkovina vyrobená zo špeciálnych imunitných buniek (monoklonálna protilátka), ktorá blokuje účinok špecifickej bielkoviny (cytokínu) nazývanej interleukín</w:t>
      </w:r>
      <w:r>
        <w:noBreakHyphen/>
        <w:t>6. Táto bielkovina sa podieľa na zápalových procesoch tela a jej blokovaním sa môže zmierniť zápal v tele. RoActemra napomáha zmierňovať príznaky, ako bolesť a opuch kĺbov, a taktiež dokáže zlepšovať vykonávanie každodenných činností. Dokázalo sa, že RoActemra spomaľuje poškodzovanie chrupavky a kostí v kĺboch, ktoré je spôsobené ochorením a zlepšuje schopnosť vykonávať každodenné činnosti.</w:t>
      </w:r>
    </w:p>
    <w:p w14:paraId="20E701D6" w14:textId="77777777" w:rsidR="009700E5" w:rsidRDefault="009700E5"/>
    <w:p w14:paraId="593E315A" w14:textId="77777777" w:rsidR="009700E5" w:rsidRDefault="002C033C">
      <w:pPr>
        <w:ind w:left="567" w:hanging="567"/>
      </w:pPr>
      <w:r>
        <w:rPr>
          <w:szCs w:val="22"/>
        </w:rPr>
        <w:sym w:font="Symbol" w:char="F0B7"/>
      </w:r>
      <w:r>
        <w:tab/>
      </w:r>
      <w:r>
        <w:rPr>
          <w:b/>
        </w:rPr>
        <w:t>RoActemra sa používa na liečbu dospelých</w:t>
      </w:r>
      <w:r>
        <w:t xml:space="preserve"> so stredne ťažkou až ťažkou aktívnou reumatoidnou artritídou (RA), autoimunitného ochorenia, ak predchádzajúce terapie neboli dostatočne účinné. RoActemra sa zvyčajne podáva v kombinácii s metotrexátom. RoActemra sa však môže podávať samostatne, ak váš lekár rozhodne, že metotrexát pre vás nie je vhodný.</w:t>
      </w:r>
    </w:p>
    <w:p w14:paraId="41F835E4" w14:textId="77777777" w:rsidR="009700E5" w:rsidRDefault="009700E5">
      <w:pPr>
        <w:ind w:left="567" w:hanging="567"/>
      </w:pPr>
    </w:p>
    <w:p w14:paraId="6A3850C1" w14:textId="77777777" w:rsidR="009700E5" w:rsidRDefault="002C033C">
      <w:pPr>
        <w:ind w:left="567" w:hanging="567"/>
      </w:pPr>
      <w:r>
        <w:rPr>
          <w:szCs w:val="22"/>
        </w:rPr>
        <w:sym w:font="Symbol" w:char="F0B7"/>
      </w:r>
      <w:r>
        <w:tab/>
        <w:t>RoActemra sa môže používať aj u dospelých, ktorí doteraz neboli liečení metotrexátom, ak majú ťažkú, aktívnu a progresívnu reumatoidnú artritídu.</w:t>
      </w:r>
    </w:p>
    <w:p w14:paraId="0D7EEFA8" w14:textId="77777777" w:rsidR="009700E5" w:rsidRDefault="009700E5">
      <w:pPr>
        <w:ind w:left="567" w:hanging="567"/>
      </w:pPr>
    </w:p>
    <w:p w14:paraId="59BCB6F4" w14:textId="77777777" w:rsidR="009700E5" w:rsidRDefault="002C033C">
      <w:pPr>
        <w:ind w:left="567" w:hanging="567"/>
      </w:pPr>
      <w:r>
        <w:rPr>
          <w:szCs w:val="22"/>
        </w:rPr>
        <w:sym w:font="Symbol" w:char="F0B7"/>
      </w:r>
      <w:r>
        <w:tab/>
      </w:r>
      <w:r>
        <w:rPr>
          <w:b/>
        </w:rPr>
        <w:t>RoActemra sa používa na liečbu detí so sJIA.</w:t>
      </w:r>
      <w:r>
        <w:t xml:space="preserve"> RoActemra sa používa u detí vo veku od 2 rokov a starších, ktoré majú </w:t>
      </w:r>
      <w:r>
        <w:rPr>
          <w:b/>
          <w:i/>
          <w:iCs/>
        </w:rPr>
        <w:t>aktívnu systémovú juvenilnú idiopatickú artritídu (sJIA)</w:t>
      </w:r>
      <w:r>
        <w:t>, zápalové ochorenie, ktoré spôsobuje bolesť a opuchy v jednom alebo viacerých kĺboch, ako aj horúčku a vyrážku. RoActemra sa používa na zlepšenie príznakov sJIA a môže sa podávať v kombinácii s metotrexátom alebo samostatne.</w:t>
      </w:r>
    </w:p>
    <w:p w14:paraId="37C38DF3" w14:textId="77777777" w:rsidR="009700E5" w:rsidRDefault="009700E5">
      <w:pPr>
        <w:ind w:left="567" w:hanging="567"/>
      </w:pPr>
    </w:p>
    <w:p w14:paraId="64297EEA" w14:textId="77777777" w:rsidR="009700E5" w:rsidRDefault="002C033C">
      <w:pPr>
        <w:keepNext/>
        <w:keepLines/>
        <w:ind w:left="567" w:hanging="567"/>
      </w:pPr>
      <w:r>
        <w:rPr>
          <w:szCs w:val="22"/>
        </w:rPr>
        <w:lastRenderedPageBreak/>
        <w:sym w:font="Symbol" w:char="F0B7"/>
      </w:r>
      <w:r>
        <w:tab/>
      </w:r>
      <w:r>
        <w:rPr>
          <w:b/>
        </w:rPr>
        <w:t>RoActemra sa používa na liečbu detí s pJIA.</w:t>
      </w:r>
      <w:r>
        <w:t xml:space="preserve"> RoActemra sa používa u detí od 2 rokov s aktívnou </w:t>
      </w:r>
      <w:r>
        <w:rPr>
          <w:b/>
          <w:i/>
        </w:rPr>
        <w:t>polyartikulárnou juvenilnou idiopatickou artritídou (pJIA)</w:t>
      </w:r>
      <w:r>
        <w:t>, zápalovým ochorením, ktoré spôsobuje bolesť a svrbenie v jednom alebo viacerých kĺboch. RoActemra sa používa na zlepšenie príznakov pJIA a môže sa podávať v kombinácii s metotrexátom alebo samostatne.</w:t>
      </w:r>
    </w:p>
    <w:p w14:paraId="26F6B678" w14:textId="77777777" w:rsidR="009700E5" w:rsidRDefault="009700E5">
      <w:pPr>
        <w:keepNext/>
        <w:keepLines/>
        <w:ind w:left="567" w:hanging="567"/>
      </w:pPr>
    </w:p>
    <w:p w14:paraId="61C2DCCD" w14:textId="77777777" w:rsidR="009700E5" w:rsidRDefault="002C033C">
      <w:pPr>
        <w:keepNext/>
        <w:keepLines/>
        <w:ind w:left="567" w:hanging="567"/>
      </w:pPr>
      <w:r>
        <w:rPr>
          <w:szCs w:val="22"/>
        </w:rPr>
        <w:sym w:font="Symbol" w:char="F0B7"/>
      </w:r>
      <w:r>
        <w:tab/>
      </w:r>
      <w:r>
        <w:rPr>
          <w:b/>
        </w:rPr>
        <w:t xml:space="preserve">RoActemra sa používa na liečbu dospelých a detí </w:t>
      </w:r>
      <w:r>
        <w:t>vo veku</w:t>
      </w:r>
      <w:r>
        <w:rPr>
          <w:b/>
        </w:rPr>
        <w:t xml:space="preserve"> </w:t>
      </w:r>
      <w:r>
        <w:t xml:space="preserve">od 2 rokov so závažným alebo život ohrozujúcim </w:t>
      </w:r>
      <w:r>
        <w:rPr>
          <w:b/>
        </w:rPr>
        <w:t xml:space="preserve">syndrómom uvoľnenia cytokínov (CRS), </w:t>
      </w:r>
      <w:r>
        <w:t>ako vedľajším účinkom u pacientov, ktorí sú liečení</w:t>
      </w:r>
      <w:r>
        <w:rPr>
          <w:b/>
        </w:rPr>
        <w:t xml:space="preserve"> </w:t>
      </w:r>
      <w:r>
        <w:t>T</w:t>
      </w:r>
      <w:r>
        <w:noBreakHyphen/>
        <w:t>lymfocytmi exprimujúcimi chimérický antigénny receptor (</w:t>
      </w:r>
      <w:r>
        <w:rPr>
          <w:szCs w:val="22"/>
        </w:rPr>
        <w:t xml:space="preserve">chimeric antigen receptor, </w:t>
      </w:r>
      <w:r>
        <w:t>CAR), používaných v liečbe určitých druhov rakoviny.</w:t>
      </w:r>
    </w:p>
    <w:p w14:paraId="0B9DA20E" w14:textId="77777777" w:rsidR="009700E5" w:rsidRDefault="009700E5">
      <w:pPr>
        <w:keepNext/>
        <w:keepLines/>
        <w:ind w:left="567" w:hanging="567"/>
      </w:pPr>
      <w:bookmarkStart w:id="2995" w:name="_Hlk88035696"/>
    </w:p>
    <w:p w14:paraId="395EB70C" w14:textId="77777777" w:rsidR="009700E5" w:rsidRDefault="002C033C">
      <w:pPr>
        <w:keepNext/>
        <w:keepLines/>
        <w:ind w:left="567" w:hanging="567"/>
        <w:rPr>
          <w:bCs/>
        </w:rPr>
      </w:pPr>
      <w:r>
        <w:rPr>
          <w:szCs w:val="22"/>
        </w:rPr>
        <w:sym w:font="Symbol" w:char="F0B7"/>
      </w:r>
      <w:r>
        <w:tab/>
      </w:r>
      <w:r>
        <w:rPr>
          <w:b/>
        </w:rPr>
        <w:t xml:space="preserve">RoActemra sa používa na liečbu dospelých </w:t>
      </w:r>
      <w:r>
        <w:rPr>
          <w:bCs/>
        </w:rPr>
        <w:t>s ochorením COVID</w:t>
      </w:r>
      <w:r>
        <w:rPr>
          <w:bCs/>
        </w:rPr>
        <w:noBreakHyphen/>
        <w:t xml:space="preserve">19 (z anglického </w:t>
      </w:r>
      <w:r>
        <w:rPr>
          <w:b/>
        </w:rPr>
        <w:t>Co</w:t>
      </w:r>
      <w:r>
        <w:rPr>
          <w:bCs/>
        </w:rPr>
        <w:t>rona</w:t>
      </w:r>
      <w:r>
        <w:rPr>
          <w:b/>
        </w:rPr>
        <w:t>vi</w:t>
      </w:r>
      <w:r>
        <w:rPr>
          <w:bCs/>
        </w:rPr>
        <w:t xml:space="preserve">rus </w:t>
      </w:r>
      <w:r>
        <w:rPr>
          <w:b/>
        </w:rPr>
        <w:t>D</w:t>
      </w:r>
      <w:r>
        <w:rPr>
          <w:bCs/>
        </w:rPr>
        <w:t>isease 20</w:t>
      </w:r>
      <w:r>
        <w:rPr>
          <w:b/>
        </w:rPr>
        <w:t>19</w:t>
      </w:r>
      <w:r>
        <w:rPr>
          <w:bCs/>
        </w:rPr>
        <w:t>), ktorí dostávajú systémové kortikosteroidy a potrebujú doplnkovú liečbu kyslíkom alebo mechanickú ventiláciu.</w:t>
      </w:r>
    </w:p>
    <w:bookmarkEnd w:id="2995"/>
    <w:p w14:paraId="01A11789" w14:textId="77777777" w:rsidR="009700E5" w:rsidRDefault="009700E5"/>
    <w:p w14:paraId="1C10A3E2" w14:textId="77777777" w:rsidR="009700E5" w:rsidRDefault="009700E5"/>
    <w:p w14:paraId="456BE906" w14:textId="77777777" w:rsidR="009700E5" w:rsidRDefault="002C033C">
      <w:pPr>
        <w:keepNext/>
        <w:keepLines/>
        <w:rPr>
          <w:b/>
          <w:szCs w:val="22"/>
        </w:rPr>
      </w:pPr>
      <w:r>
        <w:rPr>
          <w:b/>
          <w:szCs w:val="22"/>
        </w:rPr>
        <w:t>2.</w:t>
      </w:r>
      <w:r>
        <w:rPr>
          <w:b/>
          <w:szCs w:val="22"/>
        </w:rPr>
        <w:tab/>
        <w:t>Čo potrebujete vedieť predtým, ako vám podajú RoActemru</w:t>
      </w:r>
    </w:p>
    <w:p w14:paraId="57D75AF1" w14:textId="77777777" w:rsidR="009700E5" w:rsidRDefault="009700E5">
      <w:pPr>
        <w:keepNext/>
        <w:keepLines/>
      </w:pPr>
    </w:p>
    <w:p w14:paraId="7BC8A3EB" w14:textId="77777777" w:rsidR="009700E5" w:rsidRDefault="002C033C">
      <w:pPr>
        <w:keepNext/>
        <w:keepLines/>
        <w:rPr>
          <w:bCs/>
          <w:szCs w:val="22"/>
        </w:rPr>
      </w:pPr>
      <w:r>
        <w:rPr>
          <w:b/>
          <w:szCs w:val="22"/>
        </w:rPr>
        <w:t>Nepodávajte RoActemru</w:t>
      </w:r>
    </w:p>
    <w:p w14:paraId="5B455C70" w14:textId="77777777" w:rsidR="009700E5" w:rsidRDefault="002C033C">
      <w:pPr>
        <w:pStyle w:val="ListParagraph"/>
        <w:numPr>
          <w:ilvl w:val="0"/>
          <w:numId w:val="248"/>
        </w:numPr>
        <w:ind w:left="567" w:hanging="567"/>
        <w:pPrChange w:id="2996" w:author="Author" w:date="2026-02-18T13:51:00Z">
          <w:pPr>
            <w:ind w:left="567" w:hanging="567"/>
          </w:pPr>
        </w:pPrChange>
      </w:pPr>
      <w:del w:id="2997" w:author="Author" w:date="2026-02-18T13:50:00Z">
        <w:r>
          <w:delText>•</w:delText>
        </w:r>
        <w:r>
          <w:tab/>
        </w:r>
      </w:del>
      <w:r>
        <w:t>ak</w:t>
      </w:r>
      <w:r>
        <w:rPr>
          <w:bCs/>
        </w:rPr>
        <w:t xml:space="preserve"> ste </w:t>
      </w:r>
      <w:r>
        <w:rPr>
          <w:b/>
          <w:bCs/>
        </w:rPr>
        <w:t xml:space="preserve">alergický </w:t>
      </w:r>
      <w:r>
        <w:rPr>
          <w:bCs/>
        </w:rPr>
        <w:t xml:space="preserve">na </w:t>
      </w:r>
      <w:r>
        <w:t xml:space="preserve">tocilizumab alebo na </w:t>
      </w:r>
      <w:r>
        <w:rPr>
          <w:szCs w:val="22"/>
        </w:rPr>
        <w:t>ktorúkoľvek z ďalších zložiek tohto lieku</w:t>
      </w:r>
      <w:r>
        <w:t xml:space="preserve"> (uvedených v časti 6).</w:t>
      </w:r>
    </w:p>
    <w:p w14:paraId="0EF82E73" w14:textId="77777777" w:rsidR="009700E5" w:rsidRDefault="002C033C">
      <w:pPr>
        <w:pStyle w:val="ListParagraph"/>
        <w:numPr>
          <w:ilvl w:val="0"/>
          <w:numId w:val="248"/>
        </w:numPr>
        <w:ind w:left="0" w:firstLine="0"/>
        <w:pPrChange w:id="2998" w:author="Author" w:date="2026-02-18T13:51:00Z">
          <w:pPr>
            <w:ind w:left="567" w:hanging="567"/>
          </w:pPr>
        </w:pPrChange>
      </w:pPr>
      <w:del w:id="2999" w:author="Author" w:date="2026-02-18T13:50:00Z">
        <w:r>
          <w:delText>•</w:delText>
        </w:r>
        <w:r>
          <w:tab/>
        </w:r>
      </w:del>
      <w:r>
        <w:t>ak máte aktívnu, závažnú infekciu (okrem COVID</w:t>
      </w:r>
      <w:r>
        <w:noBreakHyphen/>
        <w:t>19).</w:t>
      </w:r>
    </w:p>
    <w:p w14:paraId="621AAB9F" w14:textId="77777777" w:rsidR="009700E5" w:rsidRDefault="002C033C">
      <w:pPr>
        <w:ind w:left="285" w:hanging="285"/>
      </w:pPr>
      <w:r>
        <w:t>Ak sa vás niektoré týka, oznámte to lekárovi alebo zdravotnej sestre, ktorá vám podáva infúziu.</w:t>
      </w:r>
    </w:p>
    <w:p w14:paraId="3436D54B" w14:textId="77777777" w:rsidR="009700E5" w:rsidRDefault="009700E5">
      <w:pPr>
        <w:ind w:left="285" w:hanging="285"/>
      </w:pPr>
    </w:p>
    <w:p w14:paraId="36A1729E" w14:textId="77777777" w:rsidR="009700E5" w:rsidRDefault="002C033C">
      <w:pPr>
        <w:ind w:left="567" w:hanging="567"/>
        <w:rPr>
          <w:b/>
          <w:szCs w:val="22"/>
        </w:rPr>
        <w:pPrChange w:id="3000" w:author="Author" w:date="2026-02-18T13:52:00Z">
          <w:pPr>
            <w:ind w:left="285" w:hanging="285"/>
          </w:pPr>
        </w:pPrChange>
      </w:pPr>
      <w:r>
        <w:rPr>
          <w:b/>
          <w:szCs w:val="22"/>
        </w:rPr>
        <w:t>Upozornenia a opatrenia</w:t>
      </w:r>
    </w:p>
    <w:p w14:paraId="6AB6DF1A" w14:textId="77777777" w:rsidR="009700E5" w:rsidRDefault="002C033C">
      <w:pPr>
        <w:ind w:left="567" w:hanging="567"/>
        <w:pPrChange w:id="3001" w:author="Author" w:date="2026-02-18T13:52:00Z">
          <w:pPr>
            <w:ind w:left="285" w:hanging="285"/>
          </w:pPr>
        </w:pPrChange>
      </w:pPr>
      <w:r>
        <w:t>Obráťte sa na svojho lekára alebo zdravotnú sestru predtým, ako vám podajú RoActemru.</w:t>
      </w:r>
    </w:p>
    <w:p w14:paraId="0499E222" w14:textId="77777777" w:rsidR="009700E5" w:rsidRDefault="009700E5">
      <w:pPr>
        <w:ind w:left="567" w:hanging="567"/>
        <w:pPrChange w:id="3002" w:author="Author" w:date="2026-02-18T13:52:00Z">
          <w:pPr>
            <w:ind w:hanging="278"/>
          </w:pPr>
        </w:pPrChange>
      </w:pPr>
    </w:p>
    <w:p w14:paraId="1E84E53B" w14:textId="77777777" w:rsidR="009700E5" w:rsidRDefault="002C033C">
      <w:pPr>
        <w:pStyle w:val="ListParagraph"/>
        <w:numPr>
          <w:ilvl w:val="0"/>
          <w:numId w:val="212"/>
        </w:numPr>
        <w:ind w:left="567" w:hanging="567"/>
        <w:rPr>
          <w:ins w:id="3003" w:author="Author" w:date="2025-07-20T21:13:00Z"/>
        </w:rPr>
        <w:pPrChange w:id="3004" w:author="Author" w:date="2026-02-18T13:52:00Z">
          <w:pPr>
            <w:ind w:left="567" w:hanging="425"/>
          </w:pPr>
        </w:pPrChange>
      </w:pPr>
      <w:del w:id="3005" w:author="Author" w:date="2026-02-18T10:43:00Z">
        <w:r>
          <w:delText>•</w:delText>
        </w:r>
        <w:r>
          <w:tab/>
        </w:r>
      </w:del>
      <w:r>
        <w:rPr>
          <w:bCs/>
        </w:rPr>
        <w:t xml:space="preserve">Ak sa u vás vyskytnú </w:t>
      </w:r>
      <w:r>
        <w:rPr>
          <w:b/>
          <w:bCs/>
        </w:rPr>
        <w:t>alergické reakcie</w:t>
      </w:r>
      <w:r>
        <w:rPr>
          <w:bCs/>
        </w:rPr>
        <w:t xml:space="preserve">, </w:t>
      </w:r>
      <w:r>
        <w:t xml:space="preserve">napríklad pocit zovretia v hrudníku, pískavé dýchanie, silné závraty alebo slabý pocit točenia hlavy, opuch pier alebo kožné vyrážky počas podávania infúzie alebo po jej podaní, </w:t>
      </w:r>
      <w:r>
        <w:rPr>
          <w:b/>
          <w:bCs/>
        </w:rPr>
        <w:t>ihneď to povedzte svojmu lekárovi</w:t>
      </w:r>
      <w:r>
        <w:t>.</w:t>
      </w:r>
    </w:p>
    <w:p w14:paraId="6B5AC8B8" w14:textId="77777777" w:rsidR="009700E5" w:rsidRDefault="009700E5">
      <w:pPr>
        <w:ind w:left="567" w:hanging="567"/>
      </w:pPr>
    </w:p>
    <w:p w14:paraId="14D33534" w14:textId="77777777" w:rsidR="009700E5" w:rsidRDefault="009700E5">
      <w:pPr>
        <w:pStyle w:val="ListParagraph"/>
        <w:numPr>
          <w:ilvl w:val="0"/>
          <w:numId w:val="214"/>
        </w:numPr>
        <w:ind w:left="567" w:hanging="567"/>
        <w:rPr>
          <w:del w:id="3006" w:author="Author" w:date="2025-07-20T21:13:00Z"/>
          <w:bCs/>
        </w:rPr>
        <w:pPrChange w:id="3007" w:author="Author" w:date="2026-02-18T13:52:00Z">
          <w:pPr>
            <w:ind w:left="567" w:hanging="567"/>
          </w:pPr>
        </w:pPrChange>
      </w:pPr>
    </w:p>
    <w:p w14:paraId="05ACD733" w14:textId="77777777" w:rsidR="009700E5" w:rsidRDefault="002C033C">
      <w:pPr>
        <w:pStyle w:val="ListParagraph"/>
        <w:numPr>
          <w:ilvl w:val="0"/>
          <w:numId w:val="214"/>
        </w:numPr>
        <w:ind w:left="567" w:hanging="567"/>
        <w:rPr>
          <w:ins w:id="3008" w:author="Author" w:date="2025-07-20T21:14:00Z"/>
        </w:rPr>
        <w:pPrChange w:id="3009" w:author="Author" w:date="2026-02-18T13:52:00Z">
          <w:pPr>
            <w:ind w:left="567" w:hanging="425"/>
          </w:pPr>
        </w:pPrChange>
      </w:pPr>
      <w:del w:id="3010" w:author="Author" w:date="2026-02-18T10:43:00Z">
        <w:r>
          <w:delText>•</w:delText>
        </w:r>
        <w:r>
          <w:tab/>
        </w:r>
      </w:del>
      <w:moveToRangeStart w:id="3011" w:author="Author" w:date="2025-07-20T21:13:00Z" w:name="move203938276"/>
      <w:moveTo w:id="3012" w:author="Author" w:date="2025-07-20T21:13:00Z">
        <w:r>
          <w:t xml:space="preserve">Ak máte akýkoľvek druh </w:t>
        </w:r>
        <w:r>
          <w:rPr>
            <w:b/>
          </w:rPr>
          <w:t>infekcie</w:t>
        </w:r>
        <w:r>
          <w:t xml:space="preserve">, krátkotrvajúcu alebo dlhotrvajúcu, alebo ak mávate časté infekcie. Ak sa necítite dobre, </w:t>
        </w:r>
        <w:r>
          <w:rPr>
            <w:b/>
          </w:rPr>
          <w:t>ihneď to povedzte svojmu lekárovi</w:t>
        </w:r>
        <w:r>
          <w:t>. RoActemra môže znížiť obranyschopnosť organizmu proti infekciám a môže zhoršiť jestvujúcu infekciu alebo zvýšiť pravdepodobnosť vzniku novej infekcie.</w:t>
        </w:r>
      </w:moveTo>
    </w:p>
    <w:p w14:paraId="52C861B2" w14:textId="77777777" w:rsidR="009700E5" w:rsidRDefault="009700E5">
      <w:pPr>
        <w:ind w:left="567" w:hanging="567"/>
        <w:rPr>
          <w:moveTo w:id="3013" w:author="Author" w:date="2025-07-20T21:13:00Z"/>
          <w:bCs/>
        </w:rPr>
        <w:pPrChange w:id="3014" w:author="Author" w:date="2026-02-18T13:52:00Z">
          <w:pPr/>
        </w:pPrChange>
      </w:pPr>
    </w:p>
    <w:p w14:paraId="6C58BCE8" w14:textId="77777777" w:rsidR="009700E5" w:rsidRDefault="002C033C">
      <w:pPr>
        <w:pStyle w:val="ListParagraph"/>
        <w:numPr>
          <w:ilvl w:val="0"/>
          <w:numId w:val="216"/>
        </w:numPr>
        <w:ind w:left="567" w:hanging="567"/>
        <w:rPr>
          <w:del w:id="3015" w:author="Author" w:date="2025-07-20T21:13:00Z"/>
        </w:rPr>
        <w:pPrChange w:id="3016" w:author="Author" w:date="2026-02-18T13:52:00Z">
          <w:pPr>
            <w:ind w:left="567" w:hanging="567"/>
          </w:pPr>
        </w:pPrChange>
      </w:pPr>
      <w:moveFromRangeStart w:id="3017" w:author="Author" w:date="2025-07-20T21:13:00Z" w:name="move203938276"/>
      <w:moveToRangeEnd w:id="3011"/>
      <w:moveFrom w:id="3018" w:author="Author" w:date="2025-07-20T21:13:00Z">
        <w:del w:id="3019" w:author="Author" w:date="2025-07-20T21:13:00Z">
          <w:r>
            <w:rPr>
              <w:bCs/>
            </w:rPr>
            <w:delText xml:space="preserve">Ak máte akýkoľvek druh </w:delText>
          </w:r>
          <w:r>
            <w:rPr>
              <w:b/>
              <w:bCs/>
            </w:rPr>
            <w:delText>infekcie</w:delText>
          </w:r>
          <w:r>
            <w:delText>,</w:delText>
          </w:r>
          <w:r>
            <w:rPr>
              <w:bCs/>
            </w:rPr>
            <w:delText xml:space="preserve"> </w:delText>
          </w:r>
          <w:r>
            <w:delText xml:space="preserve">krátkotrvajúcu alebo dlhotrvajúcu, alebo ak mávate časté infekcie. Ak sa necítite dobre, </w:delText>
          </w:r>
          <w:r>
            <w:rPr>
              <w:b/>
            </w:rPr>
            <w:delText>ihneď to povedzte svojmu lekárovi</w:delText>
          </w:r>
          <w:r>
            <w:delText>. RoActemra môže znížiť obranyschopnosť organizmu proti infekciám a môže zhoršiť jestvujúcu infekciu alebo zvýšiť pravdepodobnosť vzniku novej infekcie.</w:delText>
          </w:r>
        </w:del>
      </w:moveFrom>
      <w:moveFromRangeEnd w:id="3017"/>
    </w:p>
    <w:p w14:paraId="235408EB" w14:textId="77777777" w:rsidR="009700E5" w:rsidRDefault="009700E5">
      <w:pPr>
        <w:pStyle w:val="ListParagraph"/>
        <w:numPr>
          <w:ilvl w:val="0"/>
          <w:numId w:val="217"/>
        </w:numPr>
        <w:ind w:hanging="567"/>
        <w:rPr>
          <w:del w:id="3020" w:author="Author" w:date="2025-07-20T21:13:00Z"/>
        </w:rPr>
        <w:pPrChange w:id="3021" w:author="Author" w:date="2026-02-18T13:52:00Z">
          <w:pPr>
            <w:ind w:left="567" w:hanging="567"/>
          </w:pPr>
        </w:pPrChange>
      </w:pPr>
    </w:p>
    <w:p w14:paraId="69E6E3EE" w14:textId="77777777" w:rsidR="009700E5" w:rsidRDefault="002C033C">
      <w:pPr>
        <w:pStyle w:val="ListParagraph"/>
        <w:numPr>
          <w:ilvl w:val="0"/>
          <w:numId w:val="216"/>
        </w:numPr>
        <w:ind w:left="567" w:hanging="567"/>
        <w:rPr>
          <w:szCs w:val="22"/>
        </w:rPr>
        <w:pPrChange w:id="3022" w:author="Author" w:date="2026-02-18T13:52:00Z">
          <w:pPr>
            <w:ind w:left="567" w:hanging="567"/>
          </w:pPr>
        </w:pPrChange>
      </w:pPr>
      <w:del w:id="3023" w:author="Author" w:date="2026-02-18T10:43:00Z">
        <w:r>
          <w:delText>•</w:delText>
        </w:r>
        <w:r>
          <w:tab/>
        </w:r>
      </w:del>
      <w:r>
        <w:rPr>
          <w:bCs/>
        </w:rPr>
        <w:t xml:space="preserve">Ak ste mali </w:t>
      </w:r>
      <w:r>
        <w:rPr>
          <w:b/>
          <w:bCs/>
        </w:rPr>
        <w:t>tuberkulózu</w:t>
      </w:r>
      <w:r>
        <w:t xml:space="preserve">, povedzte to svojmu lekárovi. Lekár vás pred tým, než začnete liečbu RoActemrou, vyšetrí na prítomnosť prejavov a príznakov tuberkulózy. </w:t>
      </w:r>
      <w:r>
        <w:rPr>
          <w:iCs/>
          <w:szCs w:val="22"/>
        </w:rPr>
        <w:t>Ak sa objavia príznaky tuberkulózy (pretrvávajúci kašeľ, úbytok telesnej hmotnosti, apatia, mierna horúčka) alebo iné infekcie počas alebo po liečbe, ihneď to povedzte lekárovi.</w:t>
      </w:r>
    </w:p>
    <w:p w14:paraId="59C30304" w14:textId="77777777" w:rsidR="009700E5" w:rsidRDefault="009700E5">
      <w:pPr>
        <w:ind w:left="567" w:hanging="567"/>
        <w:rPr>
          <w:szCs w:val="22"/>
        </w:rPr>
      </w:pPr>
    </w:p>
    <w:p w14:paraId="29579D53" w14:textId="77777777" w:rsidR="009700E5" w:rsidRDefault="002C033C">
      <w:pPr>
        <w:pStyle w:val="ListParagraph"/>
        <w:numPr>
          <w:ilvl w:val="0"/>
          <w:numId w:val="218"/>
        </w:numPr>
        <w:ind w:left="567" w:hanging="567"/>
        <w:pPrChange w:id="3024" w:author="Author" w:date="2026-02-18T13:52:00Z">
          <w:pPr>
            <w:ind w:left="567" w:hanging="567"/>
          </w:pPr>
        </w:pPrChange>
      </w:pPr>
      <w:del w:id="3025" w:author="Author" w:date="2026-02-18T10:43:00Z">
        <w:r>
          <w:delText>•</w:delText>
        </w:r>
        <w:r>
          <w:tab/>
        </w:r>
      </w:del>
      <w:r>
        <w:rPr>
          <w:bCs/>
        </w:rPr>
        <w:t xml:space="preserve">Ak ste mali </w:t>
      </w:r>
      <w:r>
        <w:rPr>
          <w:b/>
          <w:bCs/>
        </w:rPr>
        <w:t>vredy čreva</w:t>
      </w:r>
      <w:r>
        <w:rPr>
          <w:bCs/>
        </w:rPr>
        <w:t xml:space="preserve"> alebo </w:t>
      </w:r>
      <w:r>
        <w:rPr>
          <w:b/>
          <w:bCs/>
        </w:rPr>
        <w:t>divertikulitídu</w:t>
      </w:r>
      <w:r>
        <w:rPr>
          <w:bCs/>
        </w:rPr>
        <w:t>,</w:t>
      </w:r>
      <w:r>
        <w:t xml:space="preserve"> povedzte to svojmu lekárovi. Medzi príznaky týchto ochorení patria bolesť brucha a nevysvetliteľné zmeny vo vyprázdňovaní stolice sprevádzané horúčkou.</w:t>
      </w:r>
    </w:p>
    <w:p w14:paraId="213B5012" w14:textId="77777777" w:rsidR="009700E5" w:rsidRDefault="009700E5">
      <w:pPr>
        <w:ind w:left="567" w:hanging="567"/>
      </w:pPr>
    </w:p>
    <w:p w14:paraId="7B7B90FC" w14:textId="77777777" w:rsidR="009700E5" w:rsidRDefault="002C033C">
      <w:pPr>
        <w:pStyle w:val="ListParagraph"/>
        <w:numPr>
          <w:ilvl w:val="0"/>
          <w:numId w:val="221"/>
        </w:numPr>
        <w:ind w:left="567" w:hanging="567"/>
        <w:pPrChange w:id="3026" w:author="Author" w:date="2026-02-18T13:52:00Z">
          <w:pPr>
            <w:ind w:left="567" w:hanging="567"/>
          </w:pPr>
        </w:pPrChange>
      </w:pPr>
      <w:del w:id="3027" w:author="Author" w:date="2026-02-18T10:43:00Z">
        <w:r>
          <w:delText>•</w:delText>
        </w:r>
        <w:r>
          <w:tab/>
        </w:r>
      </w:del>
      <w:r>
        <w:t xml:space="preserve">Ak máte </w:t>
      </w:r>
      <w:r>
        <w:rPr>
          <w:b/>
        </w:rPr>
        <w:t>ochorenie pečene</w:t>
      </w:r>
      <w:r>
        <w:rPr>
          <w:bCs/>
        </w:rPr>
        <w:t>,</w:t>
      </w:r>
      <w:r>
        <w:t xml:space="preserve"> povedzte to svojmu lekárovi. Pred použitím RoActemry vám lekár môže urobiť krvné testy na vyšetrenie funkcie pečene.</w:t>
      </w:r>
    </w:p>
    <w:p w14:paraId="4E761A91" w14:textId="77777777" w:rsidR="009700E5" w:rsidRDefault="009700E5">
      <w:pPr>
        <w:ind w:left="567" w:hanging="567"/>
      </w:pPr>
    </w:p>
    <w:p w14:paraId="23E612CE" w14:textId="77777777" w:rsidR="009700E5" w:rsidRDefault="002C033C">
      <w:pPr>
        <w:pStyle w:val="ListParagraph"/>
        <w:numPr>
          <w:ilvl w:val="0"/>
          <w:numId w:val="223"/>
        </w:numPr>
        <w:ind w:left="567" w:hanging="567"/>
        <w:pPrChange w:id="3028" w:author="Author" w:date="2026-02-18T13:52:00Z">
          <w:pPr>
            <w:ind w:left="567" w:hanging="567"/>
          </w:pPr>
        </w:pPrChange>
      </w:pPr>
      <w:del w:id="3029" w:author="Author" w:date="2026-02-18T10:44:00Z">
        <w:r>
          <w:delText>•</w:delText>
        </w:r>
        <w:r>
          <w:tab/>
        </w:r>
      </w:del>
      <w:r>
        <w:rPr>
          <w:bCs/>
        </w:rPr>
        <w:t xml:space="preserve">Ak </w:t>
      </w:r>
      <w:r>
        <w:rPr>
          <w:b/>
          <w:bCs/>
        </w:rPr>
        <w:t>bol akýkoľvek pacient</w:t>
      </w:r>
      <w:r>
        <w:rPr>
          <w:bCs/>
        </w:rPr>
        <w:t xml:space="preserve"> </w:t>
      </w:r>
      <w:r>
        <w:rPr>
          <w:b/>
          <w:bCs/>
        </w:rPr>
        <w:t>nedávno zaočkovaný</w:t>
      </w:r>
      <w:r>
        <w:rPr>
          <w:bCs/>
        </w:rPr>
        <w:t xml:space="preserve"> alebo ak plánuje zaočkovanie (dospelý alebo dieťa),</w:t>
      </w:r>
      <w:r>
        <w:t xml:space="preserve"> povedzte to svojmu lekárovi. Všetci pacienti, predovšetkým deti, majú mať </w:t>
      </w:r>
      <w:r>
        <w:lastRenderedPageBreak/>
        <w:t>pred začiatkom liečby RoActemrou absolvované všetky očkovania, pokiaľ nie je potrebné začať urgentnú liečbu. Niektoré druhy očkovaní sa nemajú aplikovať počas podávania RoActemry.</w:t>
      </w:r>
    </w:p>
    <w:p w14:paraId="4C6C326A" w14:textId="77777777" w:rsidR="009700E5" w:rsidRDefault="009700E5">
      <w:pPr>
        <w:ind w:left="567" w:hanging="567"/>
      </w:pPr>
    </w:p>
    <w:p w14:paraId="6DD6F495" w14:textId="77777777" w:rsidR="009700E5" w:rsidRDefault="002C033C">
      <w:pPr>
        <w:pStyle w:val="ListParagraph"/>
        <w:numPr>
          <w:ilvl w:val="0"/>
          <w:numId w:val="225"/>
        </w:numPr>
        <w:ind w:left="567" w:hanging="567"/>
        <w:pPrChange w:id="3030" w:author="Author" w:date="2026-02-18T13:52:00Z">
          <w:pPr>
            <w:ind w:left="567" w:hanging="567"/>
          </w:pPr>
        </w:pPrChange>
      </w:pPr>
      <w:del w:id="3031" w:author="Author" w:date="2026-02-18T10:44:00Z">
        <w:r>
          <w:delText>•</w:delText>
        </w:r>
        <w:r>
          <w:tab/>
        </w:r>
      </w:del>
      <w:r>
        <w:t xml:space="preserve">Ak máte </w:t>
      </w:r>
      <w:r>
        <w:rPr>
          <w:b/>
        </w:rPr>
        <w:t>rakovinu</w:t>
      </w:r>
      <w:r>
        <w:t>, povedzte to svojmu lekárovi. Váš lekár bude musieť rozhodnúť, či napriek tomu RoActemru môžete dostať.</w:t>
      </w:r>
    </w:p>
    <w:p w14:paraId="6A71DD6E" w14:textId="77777777" w:rsidR="009700E5" w:rsidRDefault="009700E5">
      <w:pPr>
        <w:ind w:left="567" w:hanging="567"/>
      </w:pPr>
    </w:p>
    <w:p w14:paraId="2D48B4FB" w14:textId="77777777" w:rsidR="009700E5" w:rsidRDefault="002C033C">
      <w:pPr>
        <w:pStyle w:val="ListParagraph"/>
        <w:numPr>
          <w:ilvl w:val="0"/>
          <w:numId w:val="227"/>
        </w:numPr>
        <w:ind w:left="709" w:hanging="567"/>
        <w:pPrChange w:id="3032" w:author="Author" w:date="2026-02-18T10:46:00Z">
          <w:pPr>
            <w:ind w:left="567" w:hanging="567"/>
          </w:pPr>
        </w:pPrChange>
      </w:pPr>
      <w:del w:id="3033" w:author="Author" w:date="2026-02-18T10:44:00Z">
        <w:r>
          <w:delText>•</w:delText>
        </w:r>
        <w:r>
          <w:tab/>
        </w:r>
      </w:del>
      <w:r>
        <w:t xml:space="preserve">Ak máte </w:t>
      </w:r>
      <w:r>
        <w:rPr>
          <w:b/>
        </w:rPr>
        <w:t>rizikové faktory pre srdcovocievne ochorenia</w:t>
      </w:r>
      <w:r>
        <w:t>, napríklad zvýšený krvný tlak a zvýšené hladiny cholesterolu, povedzte to svojmu lekárovi. Tieto faktory treba počas liečby RoActemrou kontrolovať.</w:t>
      </w:r>
    </w:p>
    <w:p w14:paraId="5953C9DD" w14:textId="77777777" w:rsidR="009700E5" w:rsidRDefault="009700E5">
      <w:pPr>
        <w:ind w:left="709" w:hanging="567"/>
        <w:pPrChange w:id="3034" w:author="Author" w:date="2026-02-18T10:46:00Z">
          <w:pPr>
            <w:ind w:left="567" w:hanging="567"/>
          </w:pPr>
        </w:pPrChange>
      </w:pPr>
    </w:p>
    <w:p w14:paraId="7E740477" w14:textId="77777777" w:rsidR="009700E5" w:rsidRDefault="002C033C">
      <w:pPr>
        <w:pStyle w:val="ListParagraph"/>
        <w:numPr>
          <w:ilvl w:val="0"/>
          <w:numId w:val="229"/>
        </w:numPr>
        <w:ind w:left="709" w:hanging="567"/>
        <w:pPrChange w:id="3035" w:author="Author" w:date="2026-02-18T10:46:00Z">
          <w:pPr>
            <w:ind w:left="567" w:hanging="567"/>
          </w:pPr>
        </w:pPrChange>
      </w:pPr>
      <w:del w:id="3036" w:author="Author" w:date="2026-02-18T10:44:00Z">
        <w:r>
          <w:delText>•</w:delText>
        </w:r>
        <w:r>
          <w:tab/>
        </w:r>
      </w:del>
      <w:r>
        <w:t xml:space="preserve">Ak máte mierne až ťažké </w:t>
      </w:r>
      <w:r>
        <w:rPr>
          <w:b/>
        </w:rPr>
        <w:t>problémy s funkciou obličiek</w:t>
      </w:r>
      <w:r>
        <w:t>, lekár vás bude kontrolovať.</w:t>
      </w:r>
    </w:p>
    <w:p w14:paraId="43DC399F" w14:textId="77777777" w:rsidR="009700E5" w:rsidRDefault="009700E5">
      <w:pPr>
        <w:ind w:left="709" w:hanging="567"/>
        <w:pPrChange w:id="3037" w:author="Author" w:date="2026-02-18T10:46:00Z">
          <w:pPr>
            <w:ind w:left="567" w:hanging="567"/>
          </w:pPr>
        </w:pPrChange>
      </w:pPr>
    </w:p>
    <w:p w14:paraId="729B7448" w14:textId="77777777" w:rsidR="009700E5" w:rsidRDefault="002C033C">
      <w:pPr>
        <w:pStyle w:val="ListParagraph"/>
        <w:numPr>
          <w:ilvl w:val="0"/>
          <w:numId w:val="231"/>
        </w:numPr>
        <w:ind w:left="709" w:hanging="567"/>
        <w:rPr>
          <w:b/>
        </w:rPr>
        <w:pPrChange w:id="3038" w:author="Author" w:date="2026-02-18T10:46:00Z">
          <w:pPr>
            <w:ind w:left="567" w:hanging="567"/>
          </w:pPr>
        </w:pPrChange>
      </w:pPr>
      <w:del w:id="3039" w:author="Author" w:date="2026-02-18T10:45:00Z">
        <w:r>
          <w:delText>•</w:delText>
        </w:r>
        <w:r>
          <w:tab/>
        </w:r>
      </w:del>
      <w:r>
        <w:t xml:space="preserve">Ak máte pretrvávajúcu </w:t>
      </w:r>
      <w:r>
        <w:rPr>
          <w:b/>
        </w:rPr>
        <w:t>bolesť hlavy</w:t>
      </w:r>
      <w:r>
        <w:rPr>
          <w:bCs/>
        </w:rPr>
        <w:t>.</w:t>
      </w:r>
    </w:p>
    <w:p w14:paraId="50C8E118" w14:textId="77777777" w:rsidR="009700E5" w:rsidRDefault="009700E5"/>
    <w:p w14:paraId="45704822" w14:textId="77777777" w:rsidR="009700E5" w:rsidRDefault="002C033C">
      <w:r>
        <w:t>Lekár vám urobí krvné vyšetrenia skôr, ako vám podajú RoActemru, a počas liečby, aby zistil, či nemáte nízky počet bielych krviniek, nízky počet krvných doštičiek alebo vysoké hladiny pečeňových enzýmov.</w:t>
      </w:r>
    </w:p>
    <w:p w14:paraId="7F8C2833" w14:textId="77777777" w:rsidR="009700E5" w:rsidRDefault="009700E5">
      <w:pPr>
        <w:rPr>
          <w:bCs/>
        </w:rPr>
      </w:pPr>
    </w:p>
    <w:p w14:paraId="3EEF234A" w14:textId="77777777" w:rsidR="009700E5" w:rsidRDefault="002C033C">
      <w:pPr>
        <w:keepNext/>
        <w:keepLines/>
        <w:rPr>
          <w:b/>
          <w:szCs w:val="22"/>
        </w:rPr>
      </w:pPr>
      <w:r>
        <w:rPr>
          <w:b/>
          <w:szCs w:val="22"/>
        </w:rPr>
        <w:t>Deti a dospievajúci</w:t>
      </w:r>
    </w:p>
    <w:p w14:paraId="7729A3F9" w14:textId="77777777" w:rsidR="009700E5" w:rsidRDefault="002C033C">
      <w:pPr>
        <w:keepNext/>
        <w:keepLines/>
        <w:rPr>
          <w:bCs/>
        </w:rPr>
      </w:pPr>
      <w:r>
        <w:t>RoActemra sa neodporúča používať u detí mladších ako 2 roky.</w:t>
      </w:r>
    </w:p>
    <w:p w14:paraId="13847C59" w14:textId="77777777" w:rsidR="009700E5" w:rsidRDefault="009700E5"/>
    <w:p w14:paraId="5CA32398" w14:textId="77777777" w:rsidR="009700E5" w:rsidRDefault="002C033C">
      <w:r>
        <w:t xml:space="preserve">Ak malo dieťa v minulosti </w:t>
      </w:r>
      <w:r>
        <w:rPr>
          <w:b/>
          <w:i/>
        </w:rPr>
        <w:t>syndróm aktivácie makrofágov</w:t>
      </w:r>
      <w:r>
        <w:t xml:space="preserve"> (aktivácia a nekontrolované delenie určitých buniek krvi), povedzte to vášmu lekárovi. Váš lekár rozhodne, či napriek tomu môže RoActemru dostať.</w:t>
      </w:r>
    </w:p>
    <w:p w14:paraId="79996012" w14:textId="77777777" w:rsidR="009700E5" w:rsidRDefault="009700E5">
      <w:pPr>
        <w:rPr>
          <w:bCs/>
        </w:rPr>
      </w:pPr>
    </w:p>
    <w:p w14:paraId="0C079B49" w14:textId="77777777" w:rsidR="009700E5" w:rsidRDefault="002C033C">
      <w:pPr>
        <w:rPr>
          <w:szCs w:val="22"/>
        </w:rPr>
      </w:pPr>
      <w:r>
        <w:rPr>
          <w:b/>
          <w:szCs w:val="22"/>
        </w:rPr>
        <w:t xml:space="preserve">Iné lieky a </w:t>
      </w:r>
      <w:r>
        <w:rPr>
          <w:b/>
          <w:bCs/>
          <w:szCs w:val="22"/>
        </w:rPr>
        <w:t>RoActemra</w:t>
      </w:r>
    </w:p>
    <w:p w14:paraId="1ADD0608" w14:textId="77777777" w:rsidR="009700E5" w:rsidRDefault="002C033C">
      <w:pPr>
        <w:rPr>
          <w:b/>
        </w:rPr>
      </w:pPr>
      <w:r>
        <w:t xml:space="preserve">Ak teraz užívate (alebo vaše dieťa, ak je pacientom) akékoľvek iné lieky, alebo ste ich v poslednom čase užívali, povedzte to svojmu lekárovi. To zahŕňa aj lieky bez predpisu. RoActemra môže ovplyvniť spôsob účinku niektorých liekov a môže byť potrebná úprava dávky týchto liekov. Ak užívate lieky obsahujúce ktorékoľvek z nasledujúcich liečiv, </w:t>
      </w:r>
      <w:r>
        <w:rPr>
          <w:b/>
        </w:rPr>
        <w:t>povedzte to vášmu lekárovi:</w:t>
      </w:r>
    </w:p>
    <w:p w14:paraId="2C3D1176" w14:textId="77777777" w:rsidR="009700E5" w:rsidRDefault="009700E5"/>
    <w:p w14:paraId="3DD3AA51" w14:textId="77777777" w:rsidR="009700E5" w:rsidRDefault="002C033C">
      <w:pPr>
        <w:pStyle w:val="ListParagraph"/>
        <w:keepNext/>
        <w:keepLines/>
        <w:numPr>
          <w:ilvl w:val="1"/>
          <w:numId w:val="233"/>
        </w:numPr>
        <w:ind w:left="567" w:hanging="567"/>
        <w:pPrChange w:id="3040" w:author="Author" w:date="2026-02-18T10:46:00Z">
          <w:pPr>
            <w:keepNext/>
            <w:keepLines/>
            <w:ind w:left="567" w:hanging="567"/>
          </w:pPr>
        </w:pPrChange>
      </w:pPr>
      <w:del w:id="3041" w:author="Author" w:date="2026-02-18T10:46:00Z">
        <w:r>
          <w:delText>•</w:delText>
        </w:r>
        <w:r>
          <w:tab/>
        </w:r>
      </w:del>
      <w:r>
        <w:t xml:space="preserve">metylprednizolón, dexametazón, používajú sa na zmiernenie </w:t>
      </w:r>
      <w:r>
        <w:rPr>
          <w:b/>
          <w:bCs/>
        </w:rPr>
        <w:t>zápalu</w:t>
      </w:r>
    </w:p>
    <w:p w14:paraId="7C39C614" w14:textId="77777777" w:rsidR="009700E5" w:rsidRDefault="002C033C">
      <w:pPr>
        <w:pStyle w:val="ListParagraph"/>
        <w:numPr>
          <w:ilvl w:val="1"/>
          <w:numId w:val="233"/>
        </w:numPr>
        <w:ind w:left="567" w:hanging="567"/>
        <w:pPrChange w:id="3042" w:author="Author" w:date="2026-02-18T10:46:00Z">
          <w:pPr>
            <w:ind w:left="567" w:hanging="567"/>
          </w:pPr>
        </w:pPrChange>
      </w:pPr>
      <w:del w:id="3043" w:author="Author" w:date="2026-02-18T10:46:00Z">
        <w:r>
          <w:delText>•</w:delText>
        </w:r>
        <w:r>
          <w:tab/>
        </w:r>
      </w:del>
      <w:r>
        <w:t xml:space="preserve">simvastatín alebo atorvastatín, používajú sa na zníženie </w:t>
      </w:r>
      <w:r>
        <w:rPr>
          <w:b/>
        </w:rPr>
        <w:t>hladín cholesterolu</w:t>
      </w:r>
    </w:p>
    <w:p w14:paraId="4F70F99B" w14:textId="77777777" w:rsidR="009700E5" w:rsidRDefault="002C033C">
      <w:pPr>
        <w:pStyle w:val="ListParagraph"/>
        <w:numPr>
          <w:ilvl w:val="1"/>
          <w:numId w:val="233"/>
        </w:numPr>
        <w:ind w:left="567" w:hanging="567"/>
        <w:pPrChange w:id="3044" w:author="Author" w:date="2026-02-18T10:46:00Z">
          <w:pPr>
            <w:ind w:left="567" w:hanging="567"/>
          </w:pPr>
        </w:pPrChange>
      </w:pPr>
      <w:del w:id="3045" w:author="Author" w:date="2026-02-18T10:46:00Z">
        <w:r>
          <w:delText>•</w:delText>
        </w:r>
        <w:r>
          <w:tab/>
        </w:r>
      </w:del>
      <w:r>
        <w:t xml:space="preserve">blokátory kalciového kanála (napr. amlodipín), používajú sa na liečbu </w:t>
      </w:r>
      <w:r>
        <w:rPr>
          <w:b/>
        </w:rPr>
        <w:t>zvýšeného krvného tlaku</w:t>
      </w:r>
    </w:p>
    <w:p w14:paraId="3C249164" w14:textId="77777777" w:rsidR="009700E5" w:rsidRDefault="002C033C">
      <w:pPr>
        <w:pStyle w:val="ListParagraph"/>
        <w:numPr>
          <w:ilvl w:val="1"/>
          <w:numId w:val="233"/>
        </w:numPr>
        <w:ind w:left="567" w:hanging="567"/>
        <w:pPrChange w:id="3046" w:author="Author" w:date="2026-02-18T10:46:00Z">
          <w:pPr>
            <w:ind w:left="567" w:hanging="567"/>
          </w:pPr>
        </w:pPrChange>
      </w:pPr>
      <w:del w:id="3047" w:author="Author" w:date="2026-02-18T10:46:00Z">
        <w:r>
          <w:delText>•</w:delText>
        </w:r>
        <w:r>
          <w:tab/>
        </w:r>
      </w:del>
      <w:r>
        <w:t xml:space="preserve">teofylín, používa sa na liečbu </w:t>
      </w:r>
      <w:r>
        <w:rPr>
          <w:b/>
        </w:rPr>
        <w:t>astmy</w:t>
      </w:r>
    </w:p>
    <w:p w14:paraId="61EA7A40" w14:textId="77777777" w:rsidR="009700E5" w:rsidRDefault="002C033C">
      <w:pPr>
        <w:pStyle w:val="ListParagraph"/>
        <w:numPr>
          <w:ilvl w:val="1"/>
          <w:numId w:val="233"/>
        </w:numPr>
        <w:ind w:left="567" w:hanging="567"/>
        <w:pPrChange w:id="3048" w:author="Author" w:date="2026-02-18T10:46:00Z">
          <w:pPr>
            <w:ind w:left="567" w:hanging="567"/>
          </w:pPr>
        </w:pPrChange>
      </w:pPr>
      <w:del w:id="3049" w:author="Author" w:date="2026-02-18T10:46:00Z">
        <w:r>
          <w:delText>•</w:delText>
        </w:r>
        <w:r>
          <w:tab/>
        </w:r>
      </w:del>
      <w:r>
        <w:t xml:space="preserve">warfarín alebo fenprokumón, používajú sa ako látky </w:t>
      </w:r>
      <w:r>
        <w:rPr>
          <w:b/>
        </w:rPr>
        <w:t>na zriedenie krvi</w:t>
      </w:r>
    </w:p>
    <w:p w14:paraId="7B60C9AE" w14:textId="77777777" w:rsidR="009700E5" w:rsidRDefault="002C033C">
      <w:pPr>
        <w:pStyle w:val="ListParagraph"/>
        <w:numPr>
          <w:ilvl w:val="1"/>
          <w:numId w:val="233"/>
        </w:numPr>
        <w:ind w:left="567" w:hanging="567"/>
        <w:pPrChange w:id="3050" w:author="Author" w:date="2026-02-18T10:46:00Z">
          <w:pPr>
            <w:ind w:left="567" w:hanging="567"/>
          </w:pPr>
        </w:pPrChange>
      </w:pPr>
      <w:del w:id="3051" w:author="Author" w:date="2026-02-18T10:46:00Z">
        <w:r>
          <w:delText>•</w:delText>
        </w:r>
        <w:r>
          <w:tab/>
        </w:r>
      </w:del>
      <w:r>
        <w:t xml:space="preserve">fenytoín, používa sa na liečbu </w:t>
      </w:r>
      <w:r>
        <w:rPr>
          <w:b/>
        </w:rPr>
        <w:t>kŕčov</w:t>
      </w:r>
    </w:p>
    <w:p w14:paraId="4B260FA5" w14:textId="77777777" w:rsidR="009700E5" w:rsidRDefault="002C033C">
      <w:pPr>
        <w:pStyle w:val="ListParagraph"/>
        <w:numPr>
          <w:ilvl w:val="1"/>
          <w:numId w:val="233"/>
        </w:numPr>
        <w:ind w:left="567" w:hanging="567"/>
        <w:pPrChange w:id="3052" w:author="Author" w:date="2026-02-18T10:46:00Z">
          <w:pPr>
            <w:ind w:left="567" w:hanging="567"/>
          </w:pPr>
        </w:pPrChange>
      </w:pPr>
      <w:del w:id="3053" w:author="Author" w:date="2026-02-18T10:46:00Z">
        <w:r>
          <w:delText>•</w:delText>
        </w:r>
        <w:r>
          <w:tab/>
        </w:r>
      </w:del>
      <w:r>
        <w:t xml:space="preserve">cyklosporín, používa sa na </w:t>
      </w:r>
      <w:r>
        <w:rPr>
          <w:b/>
        </w:rPr>
        <w:t>potlačenie reakcie imunitného systému</w:t>
      </w:r>
      <w:r>
        <w:t xml:space="preserve"> počas transplantácie orgánov</w:t>
      </w:r>
    </w:p>
    <w:p w14:paraId="0E331B77" w14:textId="77777777" w:rsidR="009700E5" w:rsidRDefault="002C033C">
      <w:pPr>
        <w:pStyle w:val="ListParagraph"/>
        <w:numPr>
          <w:ilvl w:val="1"/>
          <w:numId w:val="233"/>
        </w:numPr>
        <w:ind w:left="567" w:hanging="567"/>
        <w:pPrChange w:id="3054" w:author="Author" w:date="2026-02-18T10:46:00Z">
          <w:pPr>
            <w:ind w:left="567" w:hanging="567"/>
          </w:pPr>
        </w:pPrChange>
      </w:pPr>
      <w:del w:id="3055" w:author="Author" w:date="2026-02-18T10:46:00Z">
        <w:r>
          <w:delText>•</w:delText>
        </w:r>
        <w:r>
          <w:tab/>
        </w:r>
      </w:del>
      <w:r>
        <w:t xml:space="preserve">benzodiazepíny (napr. temazepam), používajú sa na </w:t>
      </w:r>
      <w:r>
        <w:rPr>
          <w:b/>
        </w:rPr>
        <w:t>zmiernenie úzkosti.</w:t>
      </w:r>
    </w:p>
    <w:p w14:paraId="59B154A2" w14:textId="77777777" w:rsidR="009700E5" w:rsidRDefault="009700E5"/>
    <w:p w14:paraId="0308B1BB" w14:textId="77777777" w:rsidR="009700E5" w:rsidRDefault="002C033C">
      <w:r>
        <w:t>Vzhľadom na nedostatok klinických skúsenosti sa neodporúča používať RoActemru s inými biologickými liekmi na liečbu RA, sJIA alebo pJIA.</w:t>
      </w:r>
    </w:p>
    <w:p w14:paraId="7F971577" w14:textId="77777777" w:rsidR="009700E5" w:rsidRDefault="009700E5"/>
    <w:p w14:paraId="621F81D3" w14:textId="77777777" w:rsidR="009700E5" w:rsidRDefault="002C033C">
      <w:pPr>
        <w:rPr>
          <w:b/>
          <w:szCs w:val="22"/>
        </w:rPr>
      </w:pPr>
      <w:r>
        <w:rPr>
          <w:b/>
          <w:szCs w:val="22"/>
        </w:rPr>
        <w:t>Tehotenstvo, dojčenie a plodnosť</w:t>
      </w:r>
    </w:p>
    <w:p w14:paraId="6DC45557" w14:textId="77777777" w:rsidR="009700E5" w:rsidRDefault="002C033C">
      <w:pPr>
        <w:rPr>
          <w:iCs/>
        </w:rPr>
      </w:pPr>
      <w:r>
        <w:rPr>
          <w:b/>
          <w:iCs/>
        </w:rPr>
        <w:t>RoActemra sa môže počas tehotenstva používať</w:t>
      </w:r>
      <w:r>
        <w:rPr>
          <w:iCs/>
        </w:rPr>
        <w:t xml:space="preserve"> iba v nevyhnutných prípadoch. Ak ste tehotná, môžete byť tehotná alebo máte v úmysle otehotnieť, poraďte sa so svojím lekárom.</w:t>
      </w:r>
    </w:p>
    <w:p w14:paraId="200AD4B5" w14:textId="77777777" w:rsidR="009700E5" w:rsidRDefault="009700E5">
      <w:pPr>
        <w:rPr>
          <w:iCs/>
        </w:rPr>
      </w:pPr>
    </w:p>
    <w:p w14:paraId="5A8EDF05" w14:textId="77777777" w:rsidR="009700E5" w:rsidRDefault="002C033C">
      <w:pPr>
        <w:rPr>
          <w:iCs/>
        </w:rPr>
      </w:pPr>
      <w:r>
        <w:rPr>
          <w:b/>
          <w:iCs/>
        </w:rPr>
        <w:t>Ženy v plodnom veku</w:t>
      </w:r>
      <w:r>
        <w:rPr>
          <w:iCs/>
        </w:rPr>
        <w:t xml:space="preserve"> musia používať účinnú antikoncepciu počas liečby a 3 mesiace po ukončení liečby.</w:t>
      </w:r>
    </w:p>
    <w:p w14:paraId="360EB6A8" w14:textId="77777777" w:rsidR="009700E5" w:rsidRDefault="009700E5">
      <w:pPr>
        <w:rPr>
          <w:bCs/>
        </w:rPr>
      </w:pPr>
    </w:p>
    <w:p w14:paraId="6D821DD3" w14:textId="77777777" w:rsidR="009700E5" w:rsidRDefault="002C033C">
      <w:r>
        <w:rPr>
          <w:b/>
        </w:rPr>
        <w:t>Ak sa budete liečiť RoActemrou, prestaňte dojčiť</w:t>
      </w:r>
      <w:r>
        <w:t xml:space="preserve"> a poraďte sa so svojím lekárom. Po poslednej liečbe počkajte minimálne 3 mesiace a potom začnite dojčiť. Nie je známe, či sa RoActemra vylučuje do ľudského mlieka.</w:t>
      </w:r>
    </w:p>
    <w:p w14:paraId="33BF1CD7" w14:textId="77777777" w:rsidR="009700E5" w:rsidRDefault="009700E5"/>
    <w:p w14:paraId="45C2413E" w14:textId="77777777" w:rsidR="009700E5" w:rsidRDefault="002C033C">
      <w:r>
        <w:lastRenderedPageBreak/>
        <w:t>Dostupné doterajšie údaje z tejto liečby nenaznačujú žiaden vplyv na plodnosť.</w:t>
      </w:r>
    </w:p>
    <w:p w14:paraId="484DB8E5" w14:textId="77777777" w:rsidR="009700E5" w:rsidRDefault="009700E5"/>
    <w:p w14:paraId="68BB0D12" w14:textId="77777777" w:rsidR="009700E5" w:rsidRDefault="002C033C">
      <w:pPr>
        <w:keepNext/>
        <w:rPr>
          <w:szCs w:val="22"/>
        </w:rPr>
        <w:pPrChange w:id="3056" w:author="Author" w:date="2025-07-22T18:21:00Z">
          <w:pPr/>
        </w:pPrChange>
      </w:pPr>
      <w:r>
        <w:rPr>
          <w:b/>
          <w:szCs w:val="22"/>
        </w:rPr>
        <w:t>Vedenie vozidiel a obsluha strojov</w:t>
      </w:r>
    </w:p>
    <w:p w14:paraId="6AF14A3F" w14:textId="77777777" w:rsidR="009700E5" w:rsidRDefault="002C033C">
      <w:r>
        <w:t>Tento liek môže spôsobiť závraty. Ak máte závrat, neveďte vozidlo alebo neobsluhujte stroje.</w:t>
      </w:r>
    </w:p>
    <w:p w14:paraId="45BA4381" w14:textId="77777777" w:rsidR="009700E5" w:rsidRDefault="009700E5"/>
    <w:p w14:paraId="15BC8601" w14:textId="77777777" w:rsidR="009700E5" w:rsidRDefault="002C033C">
      <w:pPr>
        <w:keepNext/>
        <w:keepLines/>
        <w:rPr>
          <w:b/>
          <w:szCs w:val="22"/>
        </w:rPr>
      </w:pPr>
      <w:r>
        <w:rPr>
          <w:b/>
          <w:szCs w:val="22"/>
        </w:rPr>
        <w:t>RoActemra obsahuje sodík</w:t>
      </w:r>
    </w:p>
    <w:p w14:paraId="7C6D9B8B" w14:textId="77777777" w:rsidR="009700E5" w:rsidRDefault="002C033C">
      <w:r>
        <w:t xml:space="preserve">Po zriedení 0,9 % injekčným roztokom chloridu sodného obsahuje tento liek 230,6 mg sodíka v maximálnej dávke 800 mg, čo zodpovedá 11,5 % </w:t>
      </w:r>
      <w:r>
        <w:rPr>
          <w:szCs w:val="22"/>
        </w:rPr>
        <w:t>WHO odporúčaného maximálneho denného príjmu 2 g sodíka pre dospelú osobu.</w:t>
      </w:r>
    </w:p>
    <w:p w14:paraId="13F512C5" w14:textId="77777777" w:rsidR="009700E5" w:rsidRDefault="009700E5"/>
    <w:p w14:paraId="3BDDB901" w14:textId="77777777" w:rsidR="009700E5" w:rsidRDefault="002C033C">
      <w:pPr>
        <w:keepNext/>
        <w:keepLines/>
        <w:rPr>
          <w:i/>
          <w:iCs/>
        </w:rPr>
      </w:pPr>
      <w:r>
        <w:rPr>
          <w:b/>
          <w:szCs w:val="22"/>
        </w:rPr>
        <w:t>RoActemra obsahuje p</w:t>
      </w:r>
      <w:r>
        <w:rPr>
          <w:b/>
          <w:bCs/>
        </w:rPr>
        <w:t>olysorbát</w:t>
      </w:r>
      <w:ins w:id="3057" w:author="Author" w:date="2025-07-20T21:15:00Z">
        <w:r>
          <w:rPr>
            <w:b/>
            <w:bCs/>
          </w:rPr>
          <w:t xml:space="preserve"> 80 (E</w:t>
        </w:r>
      </w:ins>
      <w:ins w:id="3058" w:author="Author" w:date="2025-07-21T11:12:00Z">
        <w:r>
          <w:rPr>
            <w:b/>
            <w:bCs/>
          </w:rPr>
          <w:t> </w:t>
        </w:r>
      </w:ins>
      <w:ins w:id="3059" w:author="Author" w:date="2025-07-20T21:15:00Z">
        <w:del w:id="3060" w:author="Author" w:date="2025-07-21T11:12:00Z">
          <w:r>
            <w:rPr>
              <w:b/>
              <w:bCs/>
            </w:rPr>
            <w:delText xml:space="preserve"> </w:delText>
          </w:r>
        </w:del>
        <w:r>
          <w:rPr>
            <w:b/>
            <w:bCs/>
          </w:rPr>
          <w:t>433)</w:t>
        </w:r>
      </w:ins>
    </w:p>
    <w:p w14:paraId="440F1FFF" w14:textId="77777777" w:rsidR="009700E5" w:rsidRDefault="002C033C">
      <w:pPr>
        <w:keepNext/>
        <w:keepLines/>
      </w:pPr>
      <w:r>
        <w:t>Tento liek obsahuje 5 mg polysorbátu 80 v každej 200 mg/10 ml injekčnej liekovke, 10 mg polysorbátu 80 v každej 400 mg/20 ml injekčnej liekovke a 2 mg polysorbátu 80 v každej 80 mg/4 ml injekčnej liekovke, čo zodpovedá 0,5 mg/ml. Polysorbáty môžu vyvolať alergické reakcie. Povedzte vášmu lekárovi, ak vy alebo vaše dieťa máte nejaké známe alergie.</w:t>
      </w:r>
    </w:p>
    <w:p w14:paraId="134B622A" w14:textId="77777777" w:rsidR="009700E5" w:rsidRDefault="009700E5"/>
    <w:p w14:paraId="4E01A7A5" w14:textId="77777777" w:rsidR="009700E5" w:rsidRDefault="009700E5"/>
    <w:p w14:paraId="30893C3C" w14:textId="77777777" w:rsidR="009700E5" w:rsidRDefault="002C033C">
      <w:pPr>
        <w:rPr>
          <w:b/>
          <w:szCs w:val="22"/>
        </w:rPr>
      </w:pPr>
      <w:r>
        <w:rPr>
          <w:b/>
          <w:szCs w:val="22"/>
        </w:rPr>
        <w:t>3.</w:t>
      </w:r>
      <w:r>
        <w:rPr>
          <w:b/>
          <w:szCs w:val="22"/>
        </w:rPr>
        <w:tab/>
        <w:t xml:space="preserve">Ako sa podáva </w:t>
      </w:r>
      <w:r>
        <w:rPr>
          <w:b/>
          <w:caps/>
          <w:szCs w:val="22"/>
        </w:rPr>
        <w:t>r</w:t>
      </w:r>
      <w:r>
        <w:rPr>
          <w:b/>
          <w:szCs w:val="22"/>
        </w:rPr>
        <w:t>o</w:t>
      </w:r>
      <w:r>
        <w:rPr>
          <w:b/>
          <w:caps/>
          <w:szCs w:val="22"/>
        </w:rPr>
        <w:t>a</w:t>
      </w:r>
      <w:r>
        <w:rPr>
          <w:b/>
          <w:szCs w:val="22"/>
        </w:rPr>
        <w:t>ctemra</w:t>
      </w:r>
    </w:p>
    <w:p w14:paraId="1BD894BA" w14:textId="77777777" w:rsidR="009700E5" w:rsidRDefault="009700E5"/>
    <w:p w14:paraId="5ECE6F9F" w14:textId="77777777" w:rsidR="009700E5" w:rsidRDefault="002C033C">
      <w:r>
        <w:t>Výdaj tohto lieku je viazaný na lekársky predpis vášho lekára.</w:t>
      </w:r>
    </w:p>
    <w:p w14:paraId="309D0E9D" w14:textId="77777777" w:rsidR="009700E5" w:rsidRDefault="009700E5"/>
    <w:p w14:paraId="14466D70" w14:textId="77777777" w:rsidR="009700E5" w:rsidRDefault="002C033C">
      <w:r>
        <w:rPr>
          <w:caps/>
        </w:rPr>
        <w:t>r</w:t>
      </w:r>
      <w:r>
        <w:t>o</w:t>
      </w:r>
      <w:r>
        <w:rPr>
          <w:caps/>
        </w:rPr>
        <w:t>a</w:t>
      </w:r>
      <w:r>
        <w:t>ctemru vám bude</w:t>
      </w:r>
      <w:r>
        <w:rPr>
          <w:b/>
        </w:rPr>
        <w:t xml:space="preserve"> podávať lekár alebo zdravotná sestra kvapkovou infúziou. </w:t>
      </w:r>
      <w:r>
        <w:t>Zriedia roztok, zostavia intravenóznu infúziu a budú vás sledovať počas liečby aj po jej skončení.</w:t>
      </w:r>
    </w:p>
    <w:p w14:paraId="6CE11157" w14:textId="77777777" w:rsidR="009700E5" w:rsidRDefault="009700E5"/>
    <w:p w14:paraId="11632487" w14:textId="77777777" w:rsidR="009700E5" w:rsidRDefault="002C033C">
      <w:pPr>
        <w:keepNext/>
        <w:keepLines/>
        <w:rPr>
          <w:b/>
          <w:szCs w:val="22"/>
        </w:rPr>
      </w:pPr>
      <w:r>
        <w:rPr>
          <w:b/>
          <w:szCs w:val="22"/>
        </w:rPr>
        <w:t>Dospelí pacienti s RA</w:t>
      </w:r>
    </w:p>
    <w:p w14:paraId="237D1481" w14:textId="77777777" w:rsidR="009700E5" w:rsidRDefault="002C033C">
      <w:r>
        <w:t>Zvyčajná dávka RoActemry je 8 mg na kg telesnej hmotnosti. V závislosti od vašej reakcie na liečbu vám lekár môže znížiť dávku na 4 mg/kg a potom znovu zvýšiť na 8 mg/kg, ak to bude vhodné.</w:t>
      </w:r>
    </w:p>
    <w:p w14:paraId="10885AF4" w14:textId="77777777" w:rsidR="009700E5" w:rsidRDefault="009700E5"/>
    <w:p w14:paraId="5A15FE0F" w14:textId="77777777" w:rsidR="009700E5" w:rsidRDefault="002C033C">
      <w:r>
        <w:t>RoActemru budú dostávať dospelí raz za 4 týždne infúziou do žily (vnútrožilovou infúziou) trvajúcou jednu hodinu.</w:t>
      </w:r>
    </w:p>
    <w:p w14:paraId="18C060DD" w14:textId="77777777" w:rsidR="009700E5" w:rsidRDefault="009700E5">
      <w:pPr>
        <w:rPr>
          <w:b/>
        </w:rPr>
      </w:pPr>
    </w:p>
    <w:p w14:paraId="2750C8D7" w14:textId="77777777" w:rsidR="009700E5" w:rsidRDefault="002C033C">
      <w:pPr>
        <w:keepNext/>
        <w:keepLines/>
        <w:rPr>
          <w:b/>
          <w:bCs/>
          <w:iCs/>
          <w:szCs w:val="22"/>
        </w:rPr>
      </w:pPr>
      <w:r>
        <w:rPr>
          <w:b/>
          <w:bCs/>
          <w:iCs/>
          <w:szCs w:val="22"/>
        </w:rPr>
        <w:t>Deti so sJIA</w:t>
      </w:r>
      <w:r>
        <w:rPr>
          <w:b/>
          <w:szCs w:val="22"/>
        </w:rPr>
        <w:t xml:space="preserve"> (vek 2 roky a viac)</w:t>
      </w:r>
    </w:p>
    <w:p w14:paraId="6135AFAD" w14:textId="77777777" w:rsidR="009700E5" w:rsidRDefault="002C033C">
      <w:pPr>
        <w:keepNext/>
        <w:keepLines/>
      </w:pPr>
      <w:r>
        <w:t>Zvyčajná dávka RoActemry závisí od vašej telesnej hmotnosti.</w:t>
      </w:r>
    </w:p>
    <w:p w14:paraId="63A17C4D" w14:textId="77777777" w:rsidR="009700E5" w:rsidRDefault="002C033C">
      <w:pPr>
        <w:keepNext/>
        <w:keepLines/>
        <w:ind w:left="567" w:hanging="425"/>
        <w:pPrChange w:id="3061" w:author="Author" w:date="2025-07-20T21:16:00Z">
          <w:pPr>
            <w:keepNext/>
            <w:keepLines/>
            <w:ind w:left="567" w:hanging="567"/>
          </w:pPr>
        </w:pPrChange>
      </w:pPr>
      <w:r>
        <w:t>•</w:t>
      </w:r>
      <w:r>
        <w:tab/>
        <w:t xml:space="preserve">ak vážite menej ako 30 kg: dávka je </w:t>
      </w:r>
      <w:r>
        <w:rPr>
          <w:b/>
        </w:rPr>
        <w:t>12 mg na každý kilogram telesnej hmotnosti</w:t>
      </w:r>
    </w:p>
    <w:p w14:paraId="452A8ADC" w14:textId="77777777" w:rsidR="009700E5" w:rsidRDefault="002C033C">
      <w:pPr>
        <w:keepNext/>
        <w:keepLines/>
        <w:ind w:left="567" w:hanging="425"/>
        <w:pPrChange w:id="3062" w:author="Author" w:date="2025-07-20T21:16:00Z">
          <w:pPr>
            <w:keepNext/>
            <w:keepLines/>
            <w:ind w:left="567" w:hanging="567"/>
          </w:pPr>
        </w:pPrChange>
      </w:pPr>
      <w:r>
        <w:t>•</w:t>
      </w:r>
      <w:r>
        <w:tab/>
        <w:t xml:space="preserve">ak vážite 30 kg alebo viac, dávka je </w:t>
      </w:r>
      <w:r>
        <w:rPr>
          <w:b/>
        </w:rPr>
        <w:t>8 mg na každý kilogram telesnej hmotnosti</w:t>
      </w:r>
    </w:p>
    <w:p w14:paraId="0C1E018D" w14:textId="77777777" w:rsidR="009700E5" w:rsidRDefault="002C033C">
      <w:r>
        <w:t>Dávka sa vypočíta na základe vašej telesnej hmotnosti pri každom podaní.</w:t>
      </w:r>
    </w:p>
    <w:p w14:paraId="762E39B6" w14:textId="77777777" w:rsidR="009700E5" w:rsidRDefault="009700E5"/>
    <w:p w14:paraId="666903DC" w14:textId="77777777" w:rsidR="009700E5" w:rsidRDefault="002C033C">
      <w:r>
        <w:t>Deti so sJIA budú dostávať RoActemru raz za 2 týždne kvapkaním do žily (intravenóznou infúziou) počas jednej hodiny.</w:t>
      </w:r>
    </w:p>
    <w:p w14:paraId="65C5FBCA" w14:textId="77777777" w:rsidR="009700E5" w:rsidRDefault="009700E5"/>
    <w:p w14:paraId="775971A9" w14:textId="77777777" w:rsidR="009700E5" w:rsidRDefault="002C033C">
      <w:pPr>
        <w:rPr>
          <w:b/>
          <w:bCs/>
          <w:iCs/>
          <w:szCs w:val="22"/>
        </w:rPr>
      </w:pPr>
      <w:r>
        <w:rPr>
          <w:b/>
          <w:bCs/>
          <w:iCs/>
          <w:szCs w:val="22"/>
        </w:rPr>
        <w:t>Deti s pJIA</w:t>
      </w:r>
      <w:r>
        <w:rPr>
          <w:b/>
          <w:szCs w:val="22"/>
        </w:rPr>
        <w:t xml:space="preserve"> (vek 2 roky a viac)</w:t>
      </w:r>
    </w:p>
    <w:p w14:paraId="3D6A5535" w14:textId="77777777" w:rsidR="009700E5" w:rsidRDefault="002C033C">
      <w:pPr>
        <w:keepNext/>
        <w:keepLines/>
      </w:pPr>
      <w:r>
        <w:t>Zvyčajná dávka RoActemry závisí od vašej telesnej hmotnosti.</w:t>
      </w:r>
    </w:p>
    <w:p w14:paraId="3353B2FD" w14:textId="77777777" w:rsidR="009700E5" w:rsidRDefault="002C033C">
      <w:pPr>
        <w:keepNext/>
        <w:keepLines/>
        <w:ind w:left="567" w:hanging="425"/>
        <w:pPrChange w:id="3063" w:author="Author" w:date="2025-07-20T21:16:00Z">
          <w:pPr>
            <w:keepNext/>
            <w:keepLines/>
            <w:ind w:left="567" w:hanging="567"/>
          </w:pPr>
        </w:pPrChange>
      </w:pPr>
      <w:r>
        <w:t>•</w:t>
      </w:r>
      <w:r>
        <w:tab/>
        <w:t xml:space="preserve">ak vážite menej ako 30 kg: dávka je </w:t>
      </w:r>
      <w:r>
        <w:rPr>
          <w:b/>
        </w:rPr>
        <w:t>10 mg na každý kilogram telesnej hmotnosti</w:t>
      </w:r>
    </w:p>
    <w:p w14:paraId="2D065A7E" w14:textId="77777777" w:rsidR="009700E5" w:rsidRDefault="002C033C">
      <w:pPr>
        <w:keepNext/>
        <w:keepLines/>
        <w:ind w:left="567" w:hanging="425"/>
        <w:pPrChange w:id="3064" w:author="Author" w:date="2025-07-20T21:16:00Z">
          <w:pPr>
            <w:keepNext/>
            <w:keepLines/>
            <w:ind w:left="567" w:hanging="567"/>
          </w:pPr>
        </w:pPrChange>
      </w:pPr>
      <w:r>
        <w:t>•</w:t>
      </w:r>
      <w:r>
        <w:tab/>
        <w:t xml:space="preserve">ak vážite 30 kg alebo viac, dávka je </w:t>
      </w:r>
      <w:r>
        <w:rPr>
          <w:b/>
        </w:rPr>
        <w:t>8 mg na každý kilogram telesnej hmotnosti</w:t>
      </w:r>
    </w:p>
    <w:p w14:paraId="67CA71A8" w14:textId="77777777" w:rsidR="009700E5" w:rsidRDefault="002C033C">
      <w:r>
        <w:t>Dávka sa vypočíta na základe vašej telesnej hmotnosti pri každom podaní.</w:t>
      </w:r>
    </w:p>
    <w:p w14:paraId="5C772AB9" w14:textId="77777777" w:rsidR="009700E5" w:rsidRDefault="009700E5"/>
    <w:p w14:paraId="62AEDC3D" w14:textId="77777777" w:rsidR="009700E5" w:rsidRDefault="002C033C">
      <w:r>
        <w:t>Deti so pJIA budú dostávať RoActemru raz za 4 týždne kvapkaním do žily (intravenóznou infúziou) počas jednej hodiny.</w:t>
      </w:r>
    </w:p>
    <w:p w14:paraId="6943F29D" w14:textId="77777777" w:rsidR="009700E5" w:rsidRDefault="009700E5"/>
    <w:p w14:paraId="6EBF64CC" w14:textId="77777777" w:rsidR="009700E5" w:rsidRDefault="002C033C">
      <w:pPr>
        <w:rPr>
          <w:b/>
        </w:rPr>
      </w:pPr>
      <w:r>
        <w:rPr>
          <w:b/>
        </w:rPr>
        <w:t>Pacienti s CRS</w:t>
      </w:r>
    </w:p>
    <w:p w14:paraId="3F8AD84D" w14:textId="77777777" w:rsidR="009700E5" w:rsidRDefault="002C033C">
      <w:r>
        <w:t xml:space="preserve">Zvyčajná dávka RoActemry je </w:t>
      </w:r>
      <w:r>
        <w:rPr>
          <w:b/>
        </w:rPr>
        <w:t>8 mg na každý kg telesnej hmotnosti, ak je vaša hmotnosť 30 kg alebo viac</w:t>
      </w:r>
      <w:r>
        <w:t>.</w:t>
      </w:r>
    </w:p>
    <w:p w14:paraId="4C98D4EB" w14:textId="77777777" w:rsidR="009700E5" w:rsidRDefault="002C033C">
      <w:r>
        <w:t xml:space="preserve">Dávka </w:t>
      </w:r>
      <w:r>
        <w:rPr>
          <w:b/>
        </w:rPr>
        <w:t>12 mg na každý kg telesnej hmotnosti</w:t>
      </w:r>
      <w:r>
        <w:t xml:space="preserve"> sa podáva, </w:t>
      </w:r>
      <w:r>
        <w:rPr>
          <w:b/>
        </w:rPr>
        <w:t>ak je vaša hmotnosť menej ako 30</w:t>
      </w:r>
      <w:r>
        <w:t> </w:t>
      </w:r>
      <w:r>
        <w:rPr>
          <w:b/>
        </w:rPr>
        <w:t>kg</w:t>
      </w:r>
      <w:r>
        <w:t>.</w:t>
      </w:r>
    </w:p>
    <w:p w14:paraId="1E2D1822" w14:textId="77777777" w:rsidR="009700E5" w:rsidRDefault="002C033C">
      <w:r>
        <w:t>RoActemra môže byť podávaná samostatne alebo v kombinácii s kortikosteroidmi.</w:t>
      </w:r>
    </w:p>
    <w:p w14:paraId="4303A53F" w14:textId="77777777" w:rsidR="009700E5" w:rsidRDefault="009700E5"/>
    <w:p w14:paraId="7DE73401" w14:textId="77777777" w:rsidR="009700E5" w:rsidRDefault="002C033C">
      <w:pPr>
        <w:rPr>
          <w:b/>
        </w:rPr>
      </w:pPr>
      <w:r>
        <w:rPr>
          <w:b/>
        </w:rPr>
        <w:t>Pacienti s COVID</w:t>
      </w:r>
      <w:r>
        <w:rPr>
          <w:b/>
        </w:rPr>
        <w:noBreakHyphen/>
        <w:t>19</w:t>
      </w:r>
    </w:p>
    <w:p w14:paraId="29C30D90" w14:textId="77777777" w:rsidR="009700E5" w:rsidRDefault="002C033C">
      <w:pPr>
        <w:rPr>
          <w:bCs/>
        </w:rPr>
      </w:pPr>
      <w:r>
        <w:lastRenderedPageBreak/>
        <w:t xml:space="preserve">Zvyčajná dávka RoActemry je </w:t>
      </w:r>
      <w:r>
        <w:rPr>
          <w:b/>
        </w:rPr>
        <w:t>8 mg na každý kg telesnej hmotnosti</w:t>
      </w:r>
      <w:r>
        <w:rPr>
          <w:bCs/>
        </w:rPr>
        <w:t>. Môže byť potrebná druhá dávka.</w:t>
      </w:r>
    </w:p>
    <w:p w14:paraId="3AEC2940" w14:textId="77777777" w:rsidR="009700E5" w:rsidRDefault="009700E5"/>
    <w:p w14:paraId="10F75139" w14:textId="77777777" w:rsidR="009700E5" w:rsidRDefault="002C033C">
      <w:pPr>
        <w:rPr>
          <w:b/>
          <w:szCs w:val="22"/>
        </w:rPr>
      </w:pPr>
      <w:r>
        <w:rPr>
          <w:b/>
          <w:szCs w:val="22"/>
        </w:rPr>
        <w:t>Ak vám podali viac RoActemry, ako mali</w:t>
      </w:r>
    </w:p>
    <w:p w14:paraId="7AF3AA6E" w14:textId="77777777" w:rsidR="009700E5" w:rsidRDefault="002C033C">
      <w:r>
        <w:t>Keďže RoActemru podáva lekár alebo zdravotná sestra, nie je pravdepodobné, že dostanete príliš veľké množstvo. Ak však budete mať akékoľvek obavy, poraďte sa so svojím lekárom.</w:t>
      </w:r>
    </w:p>
    <w:p w14:paraId="70DE3D09" w14:textId="77777777" w:rsidR="009700E5" w:rsidRDefault="009700E5"/>
    <w:p w14:paraId="18D884DF" w14:textId="77777777" w:rsidR="009700E5" w:rsidRDefault="002C033C">
      <w:pPr>
        <w:rPr>
          <w:b/>
          <w:szCs w:val="22"/>
        </w:rPr>
      </w:pPr>
      <w:r>
        <w:rPr>
          <w:b/>
          <w:szCs w:val="22"/>
        </w:rPr>
        <w:t>Ak vynecháte dávku RoActemry</w:t>
      </w:r>
    </w:p>
    <w:p w14:paraId="456E2991" w14:textId="77777777" w:rsidR="009700E5" w:rsidRDefault="002C033C">
      <w:r>
        <w:t>Keďže RoActemru podáva lekár alebo zdravotná sestra, nie je pravdepodobné, že dávku vynecháte. Ak však budete mať akékoľvek obavy, poraďte sa so svojím lekárom alebo zdravotnou sestrou.</w:t>
      </w:r>
    </w:p>
    <w:p w14:paraId="2E3D6F40" w14:textId="77777777" w:rsidR="009700E5" w:rsidRDefault="009700E5"/>
    <w:p w14:paraId="05E1C059" w14:textId="77777777" w:rsidR="009700E5" w:rsidRDefault="002C033C">
      <w:pPr>
        <w:keepNext/>
        <w:keepLines/>
        <w:rPr>
          <w:b/>
          <w:szCs w:val="22"/>
        </w:rPr>
      </w:pPr>
      <w:r>
        <w:rPr>
          <w:b/>
          <w:szCs w:val="22"/>
        </w:rPr>
        <w:t>Ak vám prestanú podávať RoActemru</w:t>
      </w:r>
    </w:p>
    <w:p w14:paraId="409CBE7E" w14:textId="77777777" w:rsidR="009700E5" w:rsidRDefault="002C033C">
      <w:pPr>
        <w:keepNext/>
        <w:keepLines/>
      </w:pPr>
      <w:r>
        <w:t>Neprestaňte používať RoActemru bez toho, že by ste sa o tom najskôr poradili so svojím lekárom.</w:t>
      </w:r>
    </w:p>
    <w:p w14:paraId="5844CF66" w14:textId="77777777" w:rsidR="009700E5" w:rsidRDefault="009700E5"/>
    <w:p w14:paraId="62D55DE9" w14:textId="77777777" w:rsidR="009700E5" w:rsidRDefault="002C033C">
      <w:r>
        <w:t xml:space="preserve">Ak máte akékoľvek ďalšie otázky týkajúce sa použitia tohto lieku, </w:t>
      </w:r>
      <w:r>
        <w:rPr>
          <w:bCs/>
        </w:rPr>
        <w:t>opýtajte sa svojho lekára alebo zdravotnej sestry</w:t>
      </w:r>
      <w:r>
        <w:t>.</w:t>
      </w:r>
    </w:p>
    <w:p w14:paraId="2E809607" w14:textId="77777777" w:rsidR="009700E5" w:rsidRDefault="009700E5"/>
    <w:p w14:paraId="160850FA" w14:textId="77777777" w:rsidR="009700E5" w:rsidRDefault="009700E5"/>
    <w:p w14:paraId="581756C5" w14:textId="77777777" w:rsidR="009700E5" w:rsidRDefault="002C033C">
      <w:pPr>
        <w:keepNext/>
        <w:keepLines/>
        <w:rPr>
          <w:szCs w:val="22"/>
        </w:rPr>
      </w:pPr>
      <w:r>
        <w:rPr>
          <w:b/>
          <w:szCs w:val="22"/>
        </w:rPr>
        <w:t>4.</w:t>
      </w:r>
      <w:r>
        <w:rPr>
          <w:b/>
          <w:szCs w:val="22"/>
        </w:rPr>
        <w:tab/>
        <w:t>Možné vedľajšie účinky</w:t>
      </w:r>
    </w:p>
    <w:p w14:paraId="12689624" w14:textId="77777777" w:rsidR="009700E5" w:rsidRDefault="009700E5">
      <w:pPr>
        <w:keepNext/>
        <w:keepLines/>
      </w:pPr>
    </w:p>
    <w:p w14:paraId="51549CFF" w14:textId="77777777" w:rsidR="009700E5" w:rsidRDefault="002C033C">
      <w:pPr>
        <w:keepNext/>
        <w:keepLines/>
      </w:pPr>
      <w:r>
        <w:t>Tak ako všetky lieky, aj tento liek môže spôsobovať vedľajšie účinky, hoci sa neprejavia u každého.</w:t>
      </w:r>
    </w:p>
    <w:p w14:paraId="3617CC23" w14:textId="77777777" w:rsidR="009700E5" w:rsidRDefault="002C033C">
      <w:r>
        <w:t>Vedľajšie účinky sa môžu vyskytovať ešte do 3 mesiacov po poslednej dávke RoActemry.</w:t>
      </w:r>
    </w:p>
    <w:p w14:paraId="49FF2AF6" w14:textId="77777777" w:rsidR="009700E5" w:rsidRDefault="009700E5"/>
    <w:p w14:paraId="5D200DCF" w14:textId="77777777" w:rsidR="009700E5" w:rsidRDefault="002C033C">
      <w:pPr>
        <w:rPr>
          <w:szCs w:val="22"/>
        </w:rPr>
      </w:pPr>
      <w:r>
        <w:rPr>
          <w:b/>
          <w:bCs/>
          <w:szCs w:val="22"/>
        </w:rPr>
        <w:t>M</w:t>
      </w:r>
      <w:r>
        <w:rPr>
          <w:b/>
          <w:szCs w:val="22"/>
        </w:rPr>
        <w:t>ožné závažné vedľajšie účinky</w:t>
      </w:r>
    </w:p>
    <w:p w14:paraId="31BEB45D" w14:textId="77777777" w:rsidR="009700E5" w:rsidRDefault="002C033C">
      <w:pPr>
        <w:rPr>
          <w:szCs w:val="22"/>
        </w:rPr>
      </w:pPr>
      <w:r>
        <w:rPr>
          <w:b/>
          <w:bCs/>
          <w:szCs w:val="22"/>
        </w:rPr>
        <w:t>Ihneď</w:t>
      </w:r>
      <w:r>
        <w:rPr>
          <w:szCs w:val="22"/>
        </w:rPr>
        <w:t xml:space="preserve"> informujte svojho lekára, ak sa u vás vyskytne ktorýkoľvek z nasledujúcich vedľajších účinkov:</w:t>
      </w:r>
    </w:p>
    <w:p w14:paraId="7C1A186B" w14:textId="77777777" w:rsidR="009700E5" w:rsidRDefault="009700E5">
      <w:pPr>
        <w:rPr>
          <w:szCs w:val="22"/>
        </w:rPr>
      </w:pPr>
    </w:p>
    <w:p w14:paraId="1027A966" w14:textId="77777777" w:rsidR="009700E5" w:rsidRDefault="002C033C">
      <w:pPr>
        <w:rPr>
          <w:i/>
        </w:rPr>
      </w:pPr>
      <w:r>
        <w:rPr>
          <w:i/>
        </w:rPr>
        <w:t>Tieto sú časté: môžu postihovať menej ako 1 z 10 osôb</w:t>
      </w:r>
    </w:p>
    <w:p w14:paraId="5C9A7084" w14:textId="77777777" w:rsidR="009700E5" w:rsidRDefault="009700E5">
      <w:pPr>
        <w:rPr>
          <w:i/>
        </w:rPr>
      </w:pPr>
    </w:p>
    <w:p w14:paraId="2BDB5637" w14:textId="77777777" w:rsidR="009700E5" w:rsidRDefault="002C033C">
      <w:r>
        <w:rPr>
          <w:b/>
        </w:rPr>
        <w:t xml:space="preserve">Alergické reakcie </w:t>
      </w:r>
      <w:r>
        <w:t>počas podávania injekcie alebo po jej podaní:</w:t>
      </w:r>
    </w:p>
    <w:p w14:paraId="188742CA" w14:textId="77777777" w:rsidR="009700E5" w:rsidRDefault="002C033C">
      <w:pPr>
        <w:ind w:left="567" w:hanging="567"/>
      </w:pPr>
      <w:r>
        <w:t>•</w:t>
      </w:r>
      <w:r>
        <w:tab/>
        <w:t>ťažkosti s dýchaním, pocit zovretia v hrudníku alebo pocit točenia hlavy</w:t>
      </w:r>
    </w:p>
    <w:p w14:paraId="181A0BD0" w14:textId="77777777" w:rsidR="009700E5" w:rsidRDefault="002C033C">
      <w:pPr>
        <w:ind w:left="567" w:hanging="567"/>
      </w:pPr>
      <w:r>
        <w:t>•</w:t>
      </w:r>
      <w:r>
        <w:tab/>
        <w:t>vyrážka, svrbenie, žihľavka, opuch pier, jazyka alebo tváre</w:t>
      </w:r>
    </w:p>
    <w:p w14:paraId="3A43E887" w14:textId="77777777" w:rsidR="009700E5" w:rsidRDefault="009700E5"/>
    <w:p w14:paraId="5A3C6533" w14:textId="77777777" w:rsidR="009700E5" w:rsidRDefault="002C033C">
      <w:pPr>
        <w:ind w:left="567" w:hanging="567"/>
        <w:rPr>
          <w:b/>
          <w:bCs/>
          <w:szCs w:val="22"/>
        </w:rPr>
      </w:pPr>
      <w:r>
        <w:rPr>
          <w:b/>
          <w:bCs/>
          <w:szCs w:val="22"/>
        </w:rPr>
        <w:t>Prejavy závažnej infekcie:</w:t>
      </w:r>
    </w:p>
    <w:p w14:paraId="5A032D6B" w14:textId="77777777" w:rsidR="009700E5" w:rsidRDefault="002C033C">
      <w:pPr>
        <w:ind w:left="567" w:hanging="567"/>
      </w:pPr>
      <w:r>
        <w:t>•</w:t>
      </w:r>
      <w:r>
        <w:tab/>
        <w:t>horúčka a triaška</w:t>
      </w:r>
    </w:p>
    <w:p w14:paraId="46F23E2F" w14:textId="77777777" w:rsidR="009700E5" w:rsidRDefault="002C033C">
      <w:pPr>
        <w:ind w:left="567" w:hanging="567"/>
      </w:pPr>
      <w:r>
        <w:t>•</w:t>
      </w:r>
      <w:r>
        <w:tab/>
        <w:t>pľuzgieriky v ústach alebo na koži</w:t>
      </w:r>
    </w:p>
    <w:p w14:paraId="56486285" w14:textId="77777777" w:rsidR="009700E5" w:rsidRDefault="002C033C">
      <w:pPr>
        <w:ind w:left="567" w:hanging="567"/>
      </w:pPr>
      <w:r>
        <w:t>•</w:t>
      </w:r>
      <w:r>
        <w:tab/>
        <w:t>bolesť žalúdka</w:t>
      </w:r>
    </w:p>
    <w:p w14:paraId="31F8732A" w14:textId="77777777" w:rsidR="009700E5" w:rsidRDefault="009700E5">
      <w:pPr>
        <w:ind w:left="562"/>
        <w:pPrChange w:id="3065" w:author="Author" w:date="2026-02-18T13:56:00Z">
          <w:pPr>
            <w:ind w:left="562" w:hanging="562"/>
          </w:pPr>
        </w:pPrChange>
      </w:pPr>
    </w:p>
    <w:p w14:paraId="2366ECD9" w14:textId="77777777" w:rsidR="009700E5" w:rsidRDefault="002C033C">
      <w:pPr>
        <w:ind w:left="567" w:hanging="567"/>
        <w:rPr>
          <w:b/>
          <w:bCs/>
          <w:szCs w:val="22"/>
        </w:rPr>
      </w:pPr>
      <w:r>
        <w:rPr>
          <w:b/>
          <w:bCs/>
          <w:szCs w:val="22"/>
        </w:rPr>
        <w:t>Prejavy a príznaky pečeňovej toxicity:</w:t>
      </w:r>
    </w:p>
    <w:p w14:paraId="3E990B76" w14:textId="77777777" w:rsidR="009700E5" w:rsidRDefault="002C033C">
      <w:pPr>
        <w:ind w:left="567" w:hanging="567"/>
        <w:rPr>
          <w:b/>
          <w:bCs/>
          <w:szCs w:val="22"/>
        </w:rPr>
      </w:pPr>
      <w:r>
        <w:rPr>
          <w:i/>
        </w:rPr>
        <w:t>Tieto sú zriedkavé: môžu postihovať menej ako 1 z 1 000 osôb</w:t>
      </w:r>
    </w:p>
    <w:p w14:paraId="1059846A" w14:textId="77777777" w:rsidR="009700E5" w:rsidRDefault="002C033C">
      <w:pPr>
        <w:ind w:left="567" w:hanging="567"/>
      </w:pPr>
      <w:r>
        <w:t>•</w:t>
      </w:r>
      <w:r>
        <w:tab/>
        <w:t>únava</w:t>
      </w:r>
    </w:p>
    <w:p w14:paraId="5539821D" w14:textId="77777777" w:rsidR="009700E5" w:rsidRDefault="002C033C">
      <w:pPr>
        <w:ind w:left="567" w:hanging="567"/>
      </w:pPr>
      <w:r>
        <w:t>•</w:t>
      </w:r>
      <w:r>
        <w:tab/>
        <w:t>bolesť brucha</w:t>
      </w:r>
    </w:p>
    <w:p w14:paraId="1A4187CD" w14:textId="77777777" w:rsidR="009700E5" w:rsidRDefault="002C033C">
      <w:pPr>
        <w:ind w:left="567" w:hanging="567"/>
      </w:pPr>
      <w:r>
        <w:t>•</w:t>
      </w:r>
      <w:r>
        <w:tab/>
        <w:t>žltačka (žlté sfarbenie kože alebo očí)</w:t>
      </w:r>
    </w:p>
    <w:p w14:paraId="5F038136" w14:textId="77777777" w:rsidR="009700E5" w:rsidRDefault="009700E5"/>
    <w:p w14:paraId="2480E83C" w14:textId="77777777" w:rsidR="009700E5" w:rsidRDefault="002C033C">
      <w:pPr>
        <w:rPr>
          <w:b/>
          <w:bCs/>
        </w:rPr>
      </w:pPr>
      <w:r>
        <w:rPr>
          <w:b/>
          <w:bCs/>
        </w:rPr>
        <w:t>Zoznam ďalších možných vedľajších účinkov</w:t>
      </w:r>
    </w:p>
    <w:p w14:paraId="005A03B1" w14:textId="77777777" w:rsidR="009700E5" w:rsidRDefault="002C033C">
      <w:r>
        <w:t xml:space="preserve">Ak spozorujete ktorýkoľvek z nich, </w:t>
      </w:r>
      <w:r>
        <w:rPr>
          <w:b/>
          <w:bCs/>
        </w:rPr>
        <w:t>čo najskôr</w:t>
      </w:r>
      <w:r>
        <w:t xml:space="preserve"> to oznámte svojmu lekárovi:</w:t>
      </w:r>
    </w:p>
    <w:p w14:paraId="184C5221" w14:textId="77777777" w:rsidR="009700E5" w:rsidRDefault="009700E5">
      <w:pPr>
        <w:rPr>
          <w:bCs/>
        </w:rPr>
      </w:pPr>
    </w:p>
    <w:p w14:paraId="42F771A3" w14:textId="77777777" w:rsidR="009700E5" w:rsidRDefault="002C033C">
      <w:pPr>
        <w:keepNext/>
        <w:keepLines/>
        <w:rPr>
          <w:szCs w:val="22"/>
        </w:rPr>
      </w:pPr>
      <w:r>
        <w:rPr>
          <w:b/>
          <w:szCs w:val="22"/>
        </w:rPr>
        <w:t>Veľmi časté vedľajšie účinky:</w:t>
      </w:r>
    </w:p>
    <w:p w14:paraId="29CF6485" w14:textId="77777777" w:rsidR="009700E5" w:rsidRDefault="002C033C">
      <w:pPr>
        <w:keepNext/>
        <w:keepLines/>
        <w:rPr>
          <w:i/>
        </w:rPr>
      </w:pPr>
      <w:r>
        <w:rPr>
          <w:i/>
        </w:rPr>
        <w:t>Môžu postihovať viac ako 1 z 10 osôb</w:t>
      </w:r>
    </w:p>
    <w:p w14:paraId="14501A5C" w14:textId="77777777" w:rsidR="009700E5" w:rsidRDefault="002C033C">
      <w:pPr>
        <w:keepNext/>
        <w:keepLines/>
        <w:ind w:left="567" w:hanging="567"/>
        <w:rPr>
          <w:bCs/>
        </w:rPr>
      </w:pPr>
      <w:r>
        <w:t>•</w:t>
      </w:r>
      <w:r>
        <w:tab/>
        <w:t>infekcie horných dýchacích ciest s typickými príznakmi ako kašeľ, upchatý nos, nádcha, bolesť v hrdle a bolesť hlavy</w:t>
      </w:r>
    </w:p>
    <w:p w14:paraId="600FFF4E" w14:textId="77777777" w:rsidR="009700E5" w:rsidRDefault="002C033C">
      <w:pPr>
        <w:ind w:left="567" w:hanging="567"/>
        <w:rPr>
          <w:b/>
        </w:rPr>
      </w:pPr>
      <w:r>
        <w:t>•</w:t>
      </w:r>
      <w:r>
        <w:tab/>
      </w:r>
      <w:r>
        <w:rPr>
          <w:szCs w:val="22"/>
        </w:rPr>
        <w:t>vysoké hladiny tukov v krvi (cholesterolu)</w:t>
      </w:r>
    </w:p>
    <w:p w14:paraId="60C242E7" w14:textId="77777777" w:rsidR="009700E5" w:rsidRDefault="009700E5">
      <w:pPr>
        <w:ind w:hanging="567"/>
        <w:pPrChange w:id="3066" w:author="Author" w:date="2026-02-18T13:56:00Z">
          <w:pPr/>
        </w:pPrChange>
      </w:pPr>
    </w:p>
    <w:p w14:paraId="178D8385" w14:textId="77777777" w:rsidR="009700E5" w:rsidRDefault="002C033C">
      <w:pPr>
        <w:keepNext/>
        <w:keepLines/>
        <w:rPr>
          <w:b/>
          <w:szCs w:val="22"/>
        </w:rPr>
      </w:pPr>
      <w:r>
        <w:rPr>
          <w:b/>
          <w:szCs w:val="22"/>
        </w:rPr>
        <w:t>Časté vedľajšie účinky</w:t>
      </w:r>
      <w:r>
        <w:rPr>
          <w:b/>
          <w:bCs/>
          <w:szCs w:val="22"/>
        </w:rPr>
        <w:t>:</w:t>
      </w:r>
    </w:p>
    <w:p w14:paraId="2AFB3280" w14:textId="77777777" w:rsidR="009700E5" w:rsidRDefault="002C033C">
      <w:pPr>
        <w:keepNext/>
        <w:keepLines/>
        <w:rPr>
          <w:i/>
        </w:rPr>
      </w:pPr>
      <w:r>
        <w:rPr>
          <w:i/>
        </w:rPr>
        <w:t>Môžu postihovať menej ako 1 z 10 osôb</w:t>
      </w:r>
    </w:p>
    <w:p w14:paraId="01CD2049" w14:textId="77777777" w:rsidR="009700E5" w:rsidRDefault="002C033C">
      <w:pPr>
        <w:keepNext/>
        <w:keepLines/>
        <w:ind w:left="567" w:hanging="567"/>
      </w:pPr>
      <w:r>
        <w:t>•</w:t>
      </w:r>
      <w:r>
        <w:tab/>
      </w:r>
      <w:r>
        <w:rPr>
          <w:bCs/>
        </w:rPr>
        <w:t xml:space="preserve">pľúcna </w:t>
      </w:r>
      <w:r>
        <w:t>infekcia (pneumónia)</w:t>
      </w:r>
    </w:p>
    <w:p w14:paraId="355C4472" w14:textId="77777777" w:rsidR="009700E5" w:rsidRDefault="002C033C">
      <w:pPr>
        <w:ind w:left="567" w:hanging="567"/>
      </w:pPr>
      <w:r>
        <w:t>•</w:t>
      </w:r>
      <w:r>
        <w:tab/>
        <w:t>pásový opar (herpes zoster)</w:t>
      </w:r>
    </w:p>
    <w:p w14:paraId="2FBA9E89" w14:textId="77777777" w:rsidR="009700E5" w:rsidRDefault="002C033C">
      <w:pPr>
        <w:ind w:left="567" w:hanging="567"/>
      </w:pPr>
      <w:r>
        <w:lastRenderedPageBreak/>
        <w:t>•</w:t>
      </w:r>
      <w:r>
        <w:tab/>
        <w:t>opar (orálny herpes simplex), pľuzgiere</w:t>
      </w:r>
    </w:p>
    <w:p w14:paraId="2560C570" w14:textId="77777777" w:rsidR="009700E5" w:rsidRDefault="002C033C">
      <w:pPr>
        <w:ind w:left="567" w:hanging="567"/>
      </w:pPr>
      <w:r>
        <w:t>•</w:t>
      </w:r>
      <w:r>
        <w:tab/>
        <w:t>kožná infekcia (celulitída) niekedy s horúčkou a triaškou</w:t>
      </w:r>
    </w:p>
    <w:p w14:paraId="0C832119" w14:textId="77777777" w:rsidR="009700E5" w:rsidRDefault="002C033C">
      <w:pPr>
        <w:ind w:left="567" w:hanging="567"/>
      </w:pPr>
      <w:r>
        <w:t>•</w:t>
      </w:r>
      <w:r>
        <w:tab/>
        <w:t>vyrážka a svrbenie, žihľavka</w:t>
      </w:r>
    </w:p>
    <w:p w14:paraId="1D997388" w14:textId="77777777" w:rsidR="009700E5" w:rsidRDefault="002C033C">
      <w:pPr>
        <w:ind w:left="567" w:hanging="567"/>
      </w:pPr>
      <w:r>
        <w:t>•</w:t>
      </w:r>
      <w:r>
        <w:tab/>
        <w:t>alergické reakcie (precitlivenosť)</w:t>
      </w:r>
    </w:p>
    <w:p w14:paraId="22F1EBC5" w14:textId="77777777" w:rsidR="009700E5" w:rsidRDefault="002C033C">
      <w:pPr>
        <w:ind w:left="567" w:hanging="567"/>
      </w:pPr>
      <w:r>
        <w:t>•</w:t>
      </w:r>
      <w:r>
        <w:tab/>
        <w:t>infekcia oka (konjunktivitída)</w:t>
      </w:r>
    </w:p>
    <w:p w14:paraId="35EEA35B" w14:textId="77777777" w:rsidR="009700E5" w:rsidRDefault="002C033C">
      <w:pPr>
        <w:ind w:left="567" w:hanging="567"/>
      </w:pPr>
      <w:r>
        <w:t>•</w:t>
      </w:r>
      <w:r>
        <w:tab/>
        <w:t>bolesť hlavy, závrat, vysoký krvný tlak</w:t>
      </w:r>
    </w:p>
    <w:p w14:paraId="1EFDBC24" w14:textId="77777777" w:rsidR="009700E5" w:rsidRDefault="002C033C">
      <w:pPr>
        <w:ind w:left="567" w:hanging="567"/>
      </w:pPr>
      <w:r>
        <w:t>•</w:t>
      </w:r>
      <w:r>
        <w:tab/>
        <w:t>vriedky v ústnej dutine, bolesť žalúdka</w:t>
      </w:r>
    </w:p>
    <w:p w14:paraId="07278201" w14:textId="77777777" w:rsidR="009700E5" w:rsidRDefault="002C033C">
      <w:pPr>
        <w:ind w:left="567" w:hanging="567"/>
      </w:pPr>
      <w:r>
        <w:t>•</w:t>
      </w:r>
      <w:r>
        <w:tab/>
        <w:t>zadržovanie tekutiny (opuchy) dolných končatín, zvýšenie telesnej hmotnosti</w:t>
      </w:r>
    </w:p>
    <w:p w14:paraId="11B31A70" w14:textId="77777777" w:rsidR="009700E5" w:rsidRDefault="002C033C">
      <w:pPr>
        <w:ind w:left="567" w:hanging="567"/>
      </w:pPr>
      <w:r>
        <w:t>•</w:t>
      </w:r>
      <w:r>
        <w:tab/>
        <w:t>kašeľ, skrátenie dychu</w:t>
      </w:r>
    </w:p>
    <w:p w14:paraId="1F09E566" w14:textId="77777777" w:rsidR="009700E5" w:rsidRDefault="002C033C">
      <w:pPr>
        <w:ind w:left="567" w:hanging="567"/>
      </w:pPr>
      <w:r>
        <w:t>•</w:t>
      </w:r>
      <w:r>
        <w:tab/>
        <w:t>nízky počet bielych krviniek preukázaný krvnými vyšetreniami (neutropénia, leukopénia)</w:t>
      </w:r>
    </w:p>
    <w:p w14:paraId="59B2420F" w14:textId="77777777" w:rsidR="009700E5" w:rsidRDefault="002C033C">
      <w:pPr>
        <w:ind w:left="567" w:hanging="567"/>
      </w:pPr>
      <w:r>
        <w:t>•</w:t>
      </w:r>
      <w:r>
        <w:tab/>
        <w:t>abnormálne hodnoty funkčných vyšetrení pečene (zvýšené transaminázy)</w:t>
      </w:r>
    </w:p>
    <w:p w14:paraId="269D28A5" w14:textId="77777777" w:rsidR="009700E5" w:rsidRDefault="002C033C">
      <w:pPr>
        <w:ind w:left="567" w:hanging="567"/>
        <w:rPr>
          <w:szCs w:val="22"/>
        </w:rPr>
      </w:pPr>
      <w:r>
        <w:t>•</w:t>
      </w:r>
      <w:r>
        <w:tab/>
        <w:t>zvýšený bilirubín</w:t>
      </w:r>
      <w:r>
        <w:rPr>
          <w:szCs w:val="22"/>
        </w:rPr>
        <w:t xml:space="preserve"> preukázaný krvnými vyšetreniami</w:t>
      </w:r>
    </w:p>
    <w:p w14:paraId="762D0AB2" w14:textId="77777777" w:rsidR="009700E5" w:rsidRDefault="002C033C">
      <w:pPr>
        <w:ind w:left="567" w:hanging="567"/>
      </w:pPr>
      <w:r>
        <w:t>•</w:t>
      </w:r>
      <w:r>
        <w:tab/>
        <w:t>nízke hladiny fibrinogénu v krvi (proteín, ktorý sa podieľa na zrážaní krvi)</w:t>
      </w:r>
    </w:p>
    <w:p w14:paraId="390036D1" w14:textId="77777777" w:rsidR="009700E5" w:rsidRDefault="009700E5">
      <w:pPr>
        <w:ind w:hanging="425"/>
        <w:rPr>
          <w:b/>
        </w:rPr>
        <w:pPrChange w:id="3067" w:author="Author" w:date="2025-07-20T21:20:00Z">
          <w:pPr/>
        </w:pPrChange>
      </w:pPr>
    </w:p>
    <w:p w14:paraId="5843B5FC" w14:textId="77777777" w:rsidR="009700E5" w:rsidRDefault="002C033C">
      <w:pPr>
        <w:ind w:right="-29"/>
        <w:outlineLvl w:val="0"/>
        <w:rPr>
          <w:szCs w:val="22"/>
        </w:rPr>
      </w:pPr>
      <w:r>
        <w:rPr>
          <w:b/>
          <w:szCs w:val="22"/>
        </w:rPr>
        <w:t>Menej časté vedľajšie účinky</w:t>
      </w:r>
      <w:r>
        <w:rPr>
          <w:b/>
          <w:bCs/>
          <w:szCs w:val="22"/>
        </w:rPr>
        <w:t>:</w:t>
      </w:r>
    </w:p>
    <w:p w14:paraId="38A95805" w14:textId="77777777" w:rsidR="009700E5" w:rsidRDefault="002C033C">
      <w:pPr>
        <w:rPr>
          <w:i/>
        </w:rPr>
      </w:pPr>
      <w:r>
        <w:rPr>
          <w:i/>
        </w:rPr>
        <w:t>Môžu postihovať menej ako 1 zo 100 osôb</w:t>
      </w:r>
    </w:p>
    <w:p w14:paraId="53A278A1" w14:textId="77777777" w:rsidR="009700E5" w:rsidRDefault="002C033C">
      <w:pPr>
        <w:ind w:left="567" w:hanging="567"/>
      </w:pPr>
      <w:r>
        <w:t>•</w:t>
      </w:r>
      <w:r>
        <w:tab/>
        <w:t>divertikulitída (horúčka, nevoľnosť, hnačka, zápcha, bolesť žalúdka)</w:t>
      </w:r>
    </w:p>
    <w:p w14:paraId="1AFA96E7" w14:textId="77777777" w:rsidR="009700E5" w:rsidRDefault="002C033C">
      <w:pPr>
        <w:ind w:left="567" w:hanging="567"/>
      </w:pPr>
      <w:r>
        <w:t>•</w:t>
      </w:r>
      <w:r>
        <w:tab/>
        <w:t>červené, opuchnuté miesta v ústach</w:t>
      </w:r>
    </w:p>
    <w:p w14:paraId="1A7BCA4D" w14:textId="77777777" w:rsidR="009700E5" w:rsidRDefault="002C033C">
      <w:pPr>
        <w:ind w:left="567" w:hanging="567"/>
      </w:pPr>
      <w:r>
        <w:t>•</w:t>
      </w:r>
      <w:r>
        <w:tab/>
        <w:t>vysoká hladina tukov v krvi (triacylglycerolov)</w:t>
      </w:r>
    </w:p>
    <w:p w14:paraId="1A0CB029" w14:textId="77777777" w:rsidR="009700E5" w:rsidRDefault="002C033C">
      <w:pPr>
        <w:ind w:left="567" w:hanging="567"/>
      </w:pPr>
      <w:r>
        <w:t>•</w:t>
      </w:r>
      <w:r>
        <w:tab/>
        <w:t>žalúdočný vred</w:t>
      </w:r>
    </w:p>
    <w:p w14:paraId="73CED39B" w14:textId="77777777" w:rsidR="009700E5" w:rsidRDefault="002C033C">
      <w:pPr>
        <w:ind w:left="567" w:hanging="567"/>
      </w:pPr>
      <w:r>
        <w:t>•</w:t>
      </w:r>
      <w:r>
        <w:tab/>
        <w:t>obličkové kamene</w:t>
      </w:r>
    </w:p>
    <w:p w14:paraId="6098E2C8" w14:textId="77777777" w:rsidR="009700E5" w:rsidRDefault="002C033C">
      <w:pPr>
        <w:ind w:left="567" w:hanging="567"/>
        <w:outlineLvl w:val="0"/>
      </w:pPr>
      <w:r>
        <w:t>•</w:t>
      </w:r>
      <w:r>
        <w:tab/>
        <w:t>znížená funkcia štítnej žľazy</w:t>
      </w:r>
    </w:p>
    <w:p w14:paraId="64410E10" w14:textId="77777777" w:rsidR="009700E5" w:rsidRDefault="009700E5">
      <w:pPr>
        <w:ind w:right="-29"/>
        <w:outlineLvl w:val="0"/>
      </w:pPr>
    </w:p>
    <w:p w14:paraId="2EC55BDF" w14:textId="77777777" w:rsidR="009700E5" w:rsidRDefault="002C033C">
      <w:pPr>
        <w:keepNext/>
        <w:keepLines/>
        <w:ind w:left="562" w:hanging="562"/>
        <w:rPr>
          <w:b/>
          <w:bCs/>
          <w:szCs w:val="22"/>
        </w:rPr>
      </w:pPr>
      <w:r>
        <w:rPr>
          <w:b/>
          <w:szCs w:val="22"/>
        </w:rPr>
        <w:t>Zriedkavé vedľajšie účinky</w:t>
      </w:r>
      <w:r>
        <w:rPr>
          <w:b/>
          <w:bCs/>
          <w:szCs w:val="22"/>
        </w:rPr>
        <w:t>:</w:t>
      </w:r>
    </w:p>
    <w:p w14:paraId="64624E9B" w14:textId="77777777" w:rsidR="009700E5" w:rsidRDefault="002C033C">
      <w:pPr>
        <w:keepNext/>
        <w:keepLines/>
        <w:ind w:left="562" w:hanging="562"/>
        <w:rPr>
          <w:b/>
          <w:bCs/>
          <w:szCs w:val="22"/>
        </w:rPr>
      </w:pPr>
      <w:r>
        <w:rPr>
          <w:i/>
        </w:rPr>
        <w:t>Môžu postihovať menej ako 1 z 1 000 osôb</w:t>
      </w:r>
    </w:p>
    <w:p w14:paraId="2A6E6CEC" w14:textId="77777777" w:rsidR="009700E5" w:rsidRDefault="002C033C">
      <w:pPr>
        <w:ind w:left="567" w:hanging="567"/>
        <w:rPr>
          <w:color w:val="222222"/>
          <w:szCs w:val="22"/>
          <w:shd w:val="clear" w:color="auto" w:fill="FFFFFF"/>
        </w:rPr>
      </w:pPr>
      <w:r>
        <w:t>•</w:t>
      </w:r>
      <w:r>
        <w:tab/>
        <w:t>Stevensov</w:t>
      </w:r>
      <w:r>
        <w:noBreakHyphen/>
        <w:t xml:space="preserve">Johnsonov syndróm </w:t>
      </w:r>
      <w:r>
        <w:rPr>
          <w:szCs w:val="22"/>
        </w:rPr>
        <w:t>(kožná vyrážka, ktorá môže spôsobiť závažné pálenie a olupovanie kože</w:t>
      </w:r>
      <w:r>
        <w:rPr>
          <w:color w:val="222222"/>
          <w:szCs w:val="22"/>
          <w:shd w:val="clear" w:color="auto" w:fill="FFFFFF"/>
        </w:rPr>
        <w:t>)</w:t>
      </w:r>
    </w:p>
    <w:p w14:paraId="695560B0" w14:textId="77777777" w:rsidR="009700E5" w:rsidRDefault="002C033C">
      <w:pPr>
        <w:ind w:left="567" w:hanging="567"/>
        <w:rPr>
          <w:color w:val="222222"/>
          <w:szCs w:val="22"/>
          <w:shd w:val="clear" w:color="auto" w:fill="FFFFFF"/>
        </w:rPr>
      </w:pPr>
      <w:r>
        <w:t>•</w:t>
      </w:r>
      <w:r>
        <w:tab/>
        <w:t>smrteľné alergické reakcie (anafylaxia)</w:t>
      </w:r>
    </w:p>
    <w:p w14:paraId="0B6B40AB" w14:textId="77777777" w:rsidR="009700E5" w:rsidRDefault="002C033C">
      <w:pPr>
        <w:ind w:left="567" w:hanging="567"/>
      </w:pPr>
      <w:r>
        <w:t>•</w:t>
      </w:r>
      <w:r>
        <w:tab/>
        <w:t>zápal pečene (hepatitída), žltačka</w:t>
      </w:r>
    </w:p>
    <w:p w14:paraId="2C9C95D9" w14:textId="77777777" w:rsidR="009700E5" w:rsidRDefault="009700E5">
      <w:pPr>
        <w:ind w:right="-29"/>
        <w:outlineLvl w:val="0"/>
        <w:rPr>
          <w:szCs w:val="22"/>
        </w:rPr>
      </w:pPr>
    </w:p>
    <w:p w14:paraId="0E2D6261" w14:textId="77777777" w:rsidR="009700E5" w:rsidRDefault="002C033C">
      <w:pPr>
        <w:textAlignment w:val="top"/>
        <w:rPr>
          <w:rFonts w:eastAsia="SimSun"/>
          <w:b/>
          <w:color w:val="000000"/>
          <w:szCs w:val="22"/>
          <w:lang w:eastAsia="zh-CN"/>
        </w:rPr>
      </w:pPr>
      <w:r>
        <w:rPr>
          <w:rFonts w:eastAsia="SimSun"/>
          <w:b/>
          <w:color w:val="000000"/>
          <w:szCs w:val="22"/>
          <w:lang w:eastAsia="zh-CN"/>
        </w:rPr>
        <w:t>Veľmi zriedkavé vedľajšie účinky:</w:t>
      </w:r>
    </w:p>
    <w:p w14:paraId="7E23CDB8" w14:textId="77777777" w:rsidR="009700E5" w:rsidRDefault="002C033C">
      <w:pPr>
        <w:rPr>
          <w:i/>
        </w:rPr>
      </w:pPr>
      <w:r>
        <w:rPr>
          <w:i/>
        </w:rPr>
        <w:t>Môžu postihovať menej ako 1 z 10 000 osôb</w:t>
      </w:r>
    </w:p>
    <w:p w14:paraId="3E980BAC" w14:textId="77777777" w:rsidR="009700E5" w:rsidRDefault="002C033C">
      <w:pPr>
        <w:ind w:left="567" w:hanging="567"/>
      </w:pPr>
      <w:r>
        <w:t>•</w:t>
      </w:r>
      <w:r>
        <w:tab/>
        <w:t>nízke počty bielych krviniek, červených krviniek a krvných doštičiek v krvných vyšetreniach</w:t>
      </w:r>
    </w:p>
    <w:p w14:paraId="6A049AD3" w14:textId="77777777" w:rsidR="009700E5" w:rsidRDefault="002C033C">
      <w:pPr>
        <w:ind w:left="567" w:hanging="567"/>
      </w:pPr>
      <w:r>
        <w:t>•</w:t>
      </w:r>
      <w:r>
        <w:tab/>
        <w:t>zlyhanie pečene</w:t>
      </w:r>
    </w:p>
    <w:p w14:paraId="4DB48C95" w14:textId="77777777" w:rsidR="009700E5" w:rsidRDefault="009700E5">
      <w:pPr>
        <w:ind w:hanging="567"/>
        <w:textAlignment w:val="top"/>
        <w:pPrChange w:id="3068" w:author="Author" w:date="2026-02-18T13:57:00Z">
          <w:pPr>
            <w:textAlignment w:val="top"/>
          </w:pPr>
        </w:pPrChange>
      </w:pPr>
    </w:p>
    <w:p w14:paraId="22821A9B" w14:textId="77777777" w:rsidR="009700E5" w:rsidRDefault="002C033C">
      <w:pPr>
        <w:keepNext/>
        <w:keepLines/>
        <w:numPr>
          <w:ilvl w:val="12"/>
          <w:numId w:val="0"/>
        </w:numPr>
        <w:tabs>
          <w:tab w:val="left" w:pos="720"/>
        </w:tabs>
        <w:rPr>
          <w:b/>
          <w:szCs w:val="22"/>
        </w:rPr>
      </w:pPr>
      <w:r>
        <w:rPr>
          <w:b/>
          <w:szCs w:val="22"/>
        </w:rPr>
        <w:t>Hlásenie vedľajších účinkov</w:t>
      </w:r>
    </w:p>
    <w:p w14:paraId="7443640D" w14:textId="77777777" w:rsidR="009700E5" w:rsidRDefault="002C033C">
      <w:pPr>
        <w:textAlignment w:val="top"/>
      </w:pPr>
      <w:r>
        <w:rPr>
          <w:szCs w:val="22"/>
        </w:rPr>
        <w:t xml:space="preserve">Ak sa u vás vyskytne akýkoľvek vedľajší účinok, obráťte sa na svojho lekára, lekárnika alebo zdravotnú sestru. To sa týka aj akýchkoľvek vedľajších účinkov, ktoré nie sú uvedené v tejto písomnej informácii. Vedľajšie účinky môžete hlásiť aj priamo na </w:t>
      </w:r>
      <w:r>
        <w:rPr>
          <w:szCs w:val="22"/>
          <w:highlight w:val="lightGray"/>
        </w:rPr>
        <w:t>národné centrum hlásenia uvedené v </w:t>
      </w:r>
      <w:hyperlink r:id="rId16" w:history="1">
        <w:r>
          <w:rPr>
            <w:rStyle w:val="Hyperlink"/>
            <w:szCs w:val="22"/>
            <w:highlight w:val="lightGray"/>
          </w:rPr>
          <w:t>P</w:t>
        </w:r>
        <w:r>
          <w:rPr>
            <w:rStyle w:val="Hyperlink"/>
            <w:highlight w:val="lightGray"/>
          </w:rPr>
          <w:t>rílohe V</w:t>
        </w:r>
      </w:hyperlink>
      <w:r>
        <w:rPr>
          <w:szCs w:val="22"/>
        </w:rPr>
        <w:t>. Hlásením vedľajších účinkov môžete prispieť k získaniu ďalších informácií o bezpečnosti tohto lieku.</w:t>
      </w:r>
    </w:p>
    <w:p w14:paraId="58624C52" w14:textId="77777777" w:rsidR="009700E5" w:rsidRDefault="009700E5">
      <w:pPr>
        <w:textAlignment w:val="top"/>
      </w:pPr>
    </w:p>
    <w:p w14:paraId="4E16BA88" w14:textId="77777777" w:rsidR="009700E5" w:rsidRDefault="002C033C">
      <w:pPr>
        <w:keepNext/>
        <w:keepLines/>
        <w:ind w:right="-28"/>
        <w:outlineLvl w:val="0"/>
        <w:rPr>
          <w:b/>
          <w:bCs/>
          <w:szCs w:val="22"/>
        </w:rPr>
      </w:pPr>
      <w:r>
        <w:rPr>
          <w:b/>
          <w:bCs/>
          <w:szCs w:val="22"/>
        </w:rPr>
        <w:t>Deti so sJIA</w:t>
      </w:r>
    </w:p>
    <w:p w14:paraId="58FEDDF4" w14:textId="77777777" w:rsidR="009700E5" w:rsidRDefault="002C033C">
      <w:pPr>
        <w:ind w:right="-29"/>
        <w:outlineLvl w:val="0"/>
      </w:pPr>
      <w:r>
        <w:t>Vo všeobecnosti bol typ vedľajších účinkov u pacientov so sJIA podobný ako typ u dospelých pacientov s RA. Niektoré vedľajšie účinky boli pozorované častejšie: zápal nosovej dutiny a hrdla, hnačka, nižší počet bielych krviniek a zvýšené hodnoty pečeňových enzýmov.</w:t>
      </w:r>
    </w:p>
    <w:p w14:paraId="4495BEB8" w14:textId="77777777" w:rsidR="009700E5" w:rsidRDefault="009700E5"/>
    <w:p w14:paraId="3FC273F5" w14:textId="77777777" w:rsidR="009700E5" w:rsidRDefault="002C033C">
      <w:pPr>
        <w:keepNext/>
        <w:keepLines/>
        <w:ind w:right="-28"/>
        <w:outlineLvl w:val="0"/>
        <w:rPr>
          <w:b/>
          <w:bCs/>
          <w:szCs w:val="22"/>
        </w:rPr>
      </w:pPr>
      <w:r>
        <w:rPr>
          <w:b/>
          <w:bCs/>
          <w:szCs w:val="22"/>
        </w:rPr>
        <w:t>Deti s pJIA</w:t>
      </w:r>
    </w:p>
    <w:p w14:paraId="21E7530D" w14:textId="77777777" w:rsidR="009700E5" w:rsidRDefault="002C033C">
      <w:pPr>
        <w:ind w:right="-29"/>
        <w:outlineLvl w:val="0"/>
      </w:pPr>
      <w:r>
        <w:t>Vo všeobecnosti bol typ vedľajších účinkov u pacientov s pJIA podobný ako typ u dospelých pacientov s RA. Niektoré vedľajšie účinky boli pozorované častejšie: zápal nosovej dutiny a hrdla, bolesti hlavy, pocit nevoľnosti (nauzea) a nižší počet bielych krviniek.</w:t>
      </w:r>
    </w:p>
    <w:p w14:paraId="4269D36B" w14:textId="77777777" w:rsidR="009700E5" w:rsidRDefault="009700E5"/>
    <w:p w14:paraId="70E08476" w14:textId="77777777" w:rsidR="009700E5" w:rsidRDefault="009700E5"/>
    <w:p w14:paraId="7046A5D7" w14:textId="77777777" w:rsidR="009700E5" w:rsidRDefault="002C033C">
      <w:pPr>
        <w:keepNext/>
        <w:keepLines/>
        <w:rPr>
          <w:szCs w:val="22"/>
        </w:rPr>
      </w:pPr>
      <w:r>
        <w:rPr>
          <w:b/>
          <w:szCs w:val="22"/>
        </w:rPr>
        <w:t>5.</w:t>
      </w:r>
      <w:r>
        <w:rPr>
          <w:b/>
          <w:szCs w:val="22"/>
        </w:rPr>
        <w:tab/>
        <w:t xml:space="preserve">Ako uchovávať </w:t>
      </w:r>
      <w:r>
        <w:rPr>
          <w:b/>
          <w:caps/>
          <w:szCs w:val="22"/>
        </w:rPr>
        <w:t>r</w:t>
      </w:r>
      <w:r>
        <w:rPr>
          <w:b/>
          <w:szCs w:val="22"/>
        </w:rPr>
        <w:t>o</w:t>
      </w:r>
      <w:r>
        <w:rPr>
          <w:b/>
          <w:caps/>
          <w:szCs w:val="22"/>
        </w:rPr>
        <w:t>a</w:t>
      </w:r>
      <w:r>
        <w:rPr>
          <w:b/>
          <w:szCs w:val="22"/>
        </w:rPr>
        <w:t>ctemru</w:t>
      </w:r>
    </w:p>
    <w:p w14:paraId="6155166D" w14:textId="77777777" w:rsidR="009700E5" w:rsidRDefault="009700E5">
      <w:pPr>
        <w:keepNext/>
        <w:keepLines/>
      </w:pPr>
    </w:p>
    <w:p w14:paraId="184A2E0A" w14:textId="77777777" w:rsidR="009700E5" w:rsidRDefault="002C033C">
      <w:pPr>
        <w:keepNext/>
        <w:keepLines/>
      </w:pPr>
      <w:r>
        <w:rPr>
          <w:bCs/>
        </w:rPr>
        <w:t>Tento liek</w:t>
      </w:r>
      <w:r>
        <w:t xml:space="preserve"> uchovávajte mimo dohľadu a dosahu detí.</w:t>
      </w:r>
    </w:p>
    <w:p w14:paraId="70D4F252" w14:textId="77777777" w:rsidR="009700E5" w:rsidRDefault="009700E5">
      <w:pPr>
        <w:widowControl w:val="0"/>
      </w:pPr>
    </w:p>
    <w:p w14:paraId="346138F0" w14:textId="77777777" w:rsidR="009700E5" w:rsidRDefault="002C033C">
      <w:pPr>
        <w:keepLines/>
        <w:widowControl w:val="0"/>
      </w:pPr>
      <w:r>
        <w:lastRenderedPageBreak/>
        <w:t>Nepoužívajte tento liek po dátume exspirácie, ktorý je uvedený na škatuli po EXP. Dátum exspirácie sa vzťahuje na posledný deň v danom mesiaci.</w:t>
      </w:r>
    </w:p>
    <w:p w14:paraId="10D2207D" w14:textId="77777777" w:rsidR="009700E5" w:rsidRDefault="009700E5">
      <w:pPr>
        <w:widowControl w:val="0"/>
      </w:pPr>
    </w:p>
    <w:p w14:paraId="683511F5" w14:textId="77777777" w:rsidR="009700E5" w:rsidRDefault="002C033C">
      <w:pPr>
        <w:widowControl w:val="0"/>
      </w:pPr>
      <w:r>
        <w:t>Uchovávajte v chladničke (2 °C </w:t>
      </w:r>
      <w:r>
        <w:noBreakHyphen/>
        <w:t> 8 °C). Neuchovávajte v mrazničke.</w:t>
      </w:r>
    </w:p>
    <w:p w14:paraId="56FEC6D5" w14:textId="77777777" w:rsidR="009700E5" w:rsidRDefault="009700E5">
      <w:pPr>
        <w:widowControl w:val="0"/>
      </w:pPr>
    </w:p>
    <w:p w14:paraId="071EC9A0" w14:textId="77777777" w:rsidR="009700E5" w:rsidRDefault="002C033C">
      <w:pPr>
        <w:keepLines/>
        <w:widowControl w:val="0"/>
      </w:pPr>
      <w:r>
        <w:t>Injekčnú liekovku uchovávajte v škatuli na ochranu pred svetlom.</w:t>
      </w:r>
    </w:p>
    <w:p w14:paraId="4329B659" w14:textId="77777777" w:rsidR="009700E5" w:rsidRDefault="009700E5">
      <w:pPr>
        <w:keepLines/>
        <w:widowControl w:val="0"/>
      </w:pPr>
    </w:p>
    <w:p w14:paraId="32454927" w14:textId="77777777" w:rsidR="009700E5" w:rsidRDefault="009700E5">
      <w:pPr>
        <w:widowControl w:val="0"/>
      </w:pPr>
    </w:p>
    <w:p w14:paraId="27142853" w14:textId="77777777" w:rsidR="009700E5" w:rsidRDefault="002C033C">
      <w:pPr>
        <w:keepNext/>
        <w:keepLines/>
        <w:rPr>
          <w:b/>
          <w:szCs w:val="22"/>
        </w:rPr>
      </w:pPr>
      <w:r>
        <w:rPr>
          <w:b/>
          <w:szCs w:val="22"/>
        </w:rPr>
        <w:t>6.</w:t>
      </w:r>
      <w:r>
        <w:rPr>
          <w:b/>
          <w:szCs w:val="22"/>
        </w:rPr>
        <w:tab/>
        <w:t>Obsah balenia a ďalšie informácie</w:t>
      </w:r>
    </w:p>
    <w:p w14:paraId="4B5BB2BF" w14:textId="77777777" w:rsidR="009700E5" w:rsidRDefault="009700E5">
      <w:pPr>
        <w:keepNext/>
        <w:keepLines/>
        <w:rPr>
          <w:b/>
          <w:bCs/>
        </w:rPr>
      </w:pPr>
    </w:p>
    <w:p w14:paraId="17E524E0" w14:textId="77777777" w:rsidR="009700E5" w:rsidRDefault="002C033C">
      <w:pPr>
        <w:keepNext/>
        <w:keepLines/>
        <w:rPr>
          <w:b/>
          <w:bCs/>
          <w:szCs w:val="22"/>
        </w:rPr>
      </w:pPr>
      <w:r>
        <w:rPr>
          <w:b/>
          <w:bCs/>
          <w:szCs w:val="22"/>
        </w:rPr>
        <w:t>Čo RoActemra obsahuje</w:t>
      </w:r>
    </w:p>
    <w:p w14:paraId="4CC476E6" w14:textId="77777777" w:rsidR="009700E5" w:rsidRDefault="002C033C">
      <w:pPr>
        <w:pStyle w:val="ListParagraph"/>
        <w:keepNext/>
        <w:keepLines/>
        <w:numPr>
          <w:ilvl w:val="1"/>
          <w:numId w:val="251"/>
        </w:numPr>
        <w:tabs>
          <w:tab w:val="left" w:pos="567"/>
        </w:tabs>
        <w:ind w:hanging="1582"/>
        <w:pPrChange w:id="3069" w:author="Author" w:date="2026-02-18T13:59:00Z">
          <w:pPr>
            <w:keepNext/>
            <w:keepLines/>
            <w:tabs>
              <w:tab w:val="left" w:pos="567"/>
            </w:tabs>
            <w:ind w:left="567" w:hanging="567"/>
          </w:pPr>
        </w:pPrChange>
      </w:pPr>
      <w:del w:id="3070" w:author="Author" w:date="2026-02-18T13:59:00Z">
        <w:r>
          <w:delText>•</w:delText>
        </w:r>
        <w:r>
          <w:tab/>
        </w:r>
      </w:del>
      <w:r>
        <w:t>Liečivo je tocilizumab.</w:t>
      </w:r>
    </w:p>
    <w:p w14:paraId="28122102" w14:textId="77777777" w:rsidR="009700E5" w:rsidRDefault="002C033C">
      <w:pPr>
        <w:keepNext/>
        <w:keepLines/>
        <w:tabs>
          <w:tab w:val="left" w:pos="567"/>
        </w:tabs>
        <w:ind w:left="851" w:hanging="567"/>
        <w:pPrChange w:id="3071" w:author="Author" w:date="2026-02-18T13:58:00Z">
          <w:pPr>
            <w:keepNext/>
            <w:keepLines/>
            <w:ind w:left="851" w:hanging="851"/>
          </w:pPr>
        </w:pPrChange>
      </w:pPr>
      <w:r>
        <w:tab/>
        <w:t>Každá 4 ml injekčná liekovka obsahuje 80 mg tocilizumabu (20 mg/ml).</w:t>
      </w:r>
    </w:p>
    <w:p w14:paraId="5A892031" w14:textId="77777777" w:rsidR="009700E5" w:rsidRDefault="002C033C">
      <w:pPr>
        <w:keepNext/>
        <w:keepLines/>
        <w:tabs>
          <w:tab w:val="left" w:pos="567"/>
        </w:tabs>
        <w:ind w:left="851" w:hanging="567"/>
        <w:pPrChange w:id="3072" w:author="Author" w:date="2026-02-18T13:58:00Z">
          <w:pPr>
            <w:keepNext/>
            <w:keepLines/>
            <w:ind w:left="851" w:hanging="851"/>
          </w:pPr>
        </w:pPrChange>
      </w:pPr>
      <w:r>
        <w:tab/>
        <w:t>Každá 10 ml injekčná liekovka obsahuje 200 mg tocilizumabu (20 mg/ml).</w:t>
      </w:r>
    </w:p>
    <w:p w14:paraId="59A4E92B" w14:textId="77777777" w:rsidR="009700E5" w:rsidRDefault="002C033C">
      <w:pPr>
        <w:tabs>
          <w:tab w:val="left" w:pos="567"/>
        </w:tabs>
        <w:ind w:left="851" w:hanging="567"/>
        <w:pPrChange w:id="3073" w:author="Author" w:date="2026-02-18T13:58:00Z">
          <w:pPr>
            <w:ind w:left="851" w:hanging="851"/>
          </w:pPr>
        </w:pPrChange>
      </w:pPr>
      <w:r>
        <w:tab/>
        <w:t>Každá 20 ml injekčná liekovka obsahuje 400 mg tocilizumabu (20 mg/ml).</w:t>
      </w:r>
    </w:p>
    <w:p w14:paraId="2691E9A5" w14:textId="77777777" w:rsidR="009700E5" w:rsidRDefault="009700E5">
      <w:pPr>
        <w:tabs>
          <w:tab w:val="left" w:pos="567"/>
        </w:tabs>
        <w:ind w:left="851" w:hanging="567"/>
        <w:rPr>
          <w:bCs/>
        </w:rPr>
        <w:pPrChange w:id="3074" w:author="Author" w:date="2026-02-18T13:58:00Z">
          <w:pPr>
            <w:ind w:left="851" w:hanging="851"/>
          </w:pPr>
        </w:pPrChange>
      </w:pPr>
    </w:p>
    <w:p w14:paraId="46BD1C4F" w14:textId="77777777" w:rsidR="009700E5" w:rsidRDefault="002C033C">
      <w:pPr>
        <w:pStyle w:val="ListParagraph"/>
        <w:numPr>
          <w:ilvl w:val="1"/>
          <w:numId w:val="253"/>
        </w:numPr>
        <w:tabs>
          <w:tab w:val="left" w:pos="567"/>
        </w:tabs>
        <w:ind w:left="567" w:hanging="425"/>
        <w:rPr>
          <w:bCs/>
        </w:rPr>
        <w:pPrChange w:id="3075" w:author="Author" w:date="2026-02-18T13:59:00Z">
          <w:pPr>
            <w:ind w:left="567" w:hanging="567"/>
          </w:pPr>
        </w:pPrChange>
      </w:pPr>
      <w:del w:id="3076" w:author="Author" w:date="2026-02-18T13:59:00Z">
        <w:r>
          <w:delText>•</w:delText>
        </w:r>
        <w:r>
          <w:tab/>
        </w:r>
      </w:del>
      <w:r>
        <w:t>Ďalšie zložky sú</w:t>
      </w:r>
      <w:r>
        <w:rPr>
          <w:bCs/>
        </w:rPr>
        <w:t xml:space="preserve"> sacharóza, polysorbát 80, dodekahydrát hydrogenfosforečnanu sodného, dihydrát dihydrogenfosforečnanu sodného a voda na injekcie (pozri časť 2 „RoActemra obsahuje sodík“ a „RoActemra obsahuje polysorbát</w:t>
      </w:r>
      <w:ins w:id="3077" w:author="Author" w:date="2025-07-20T21:21:00Z">
        <w:r>
          <w:rPr>
            <w:bCs/>
          </w:rPr>
          <w:t xml:space="preserve"> 80 (E</w:t>
        </w:r>
      </w:ins>
      <w:ins w:id="3078" w:author="Author" w:date="2025-07-21T11:13:00Z">
        <w:r>
          <w:rPr>
            <w:bCs/>
          </w:rPr>
          <w:t> </w:t>
        </w:r>
      </w:ins>
      <w:ins w:id="3079" w:author="Author" w:date="2025-07-20T21:21:00Z">
        <w:del w:id="3080" w:author="Author" w:date="2025-07-21T11:13:00Z">
          <w:r>
            <w:rPr>
              <w:bCs/>
            </w:rPr>
            <w:delText xml:space="preserve"> </w:delText>
          </w:r>
        </w:del>
        <w:r>
          <w:rPr>
            <w:bCs/>
          </w:rPr>
          <w:t>433)</w:t>
        </w:r>
      </w:ins>
      <w:r>
        <w:rPr>
          <w:bCs/>
        </w:rPr>
        <w:t>“).</w:t>
      </w:r>
    </w:p>
    <w:p w14:paraId="5FF3D378" w14:textId="77777777" w:rsidR="009700E5" w:rsidRDefault="009700E5">
      <w:pPr>
        <w:tabs>
          <w:tab w:val="left" w:pos="567"/>
        </w:tabs>
        <w:rPr>
          <w:bCs/>
        </w:rPr>
        <w:pPrChange w:id="3081" w:author="Author" w:date="2026-02-18T13:59:00Z">
          <w:pPr/>
        </w:pPrChange>
      </w:pPr>
    </w:p>
    <w:p w14:paraId="28049B74" w14:textId="77777777" w:rsidR="009700E5" w:rsidRDefault="002C033C">
      <w:pPr>
        <w:keepNext/>
        <w:rPr>
          <w:b/>
          <w:bCs/>
          <w:szCs w:val="22"/>
        </w:rPr>
      </w:pPr>
      <w:r>
        <w:rPr>
          <w:b/>
          <w:bCs/>
          <w:szCs w:val="22"/>
        </w:rPr>
        <w:t>Ako vyzerá RoActemra a obsah balenia</w:t>
      </w:r>
    </w:p>
    <w:p w14:paraId="53CC8A74" w14:textId="77777777" w:rsidR="009700E5" w:rsidRDefault="002C033C">
      <w:r>
        <w:t>RoActemra je koncentrát na infúzny roztok. Koncentrát je číry až opaleskujúci bezfarebný až svetložltý roztok.</w:t>
      </w:r>
    </w:p>
    <w:p w14:paraId="68E871C2" w14:textId="77777777" w:rsidR="009700E5" w:rsidRDefault="002C033C">
      <w:pPr>
        <w:rPr>
          <w:u w:val="single"/>
        </w:rPr>
      </w:pPr>
      <w:r>
        <w:t xml:space="preserve">RoActemra sa dodáva v injekčných liekovkách obsahujúcich 4 ml, 10 ml a 20 ml </w:t>
      </w:r>
      <w:r>
        <w:rPr>
          <w:rStyle w:val="cf01"/>
          <w:rFonts w:ascii="Times New Roman" w:hAnsi="Times New Roman" w:cs="Times New Roman"/>
          <w:sz w:val="22"/>
          <w:szCs w:val="22"/>
        </w:rPr>
        <w:t>koncentrátu na infúzny roztok</w:t>
      </w:r>
      <w:r>
        <w:t xml:space="preserve">. Veľkosť balenia po 1 a 4 injekčných liekovkách. </w:t>
      </w:r>
      <w:r>
        <w:rPr>
          <w:szCs w:val="22"/>
        </w:rPr>
        <w:t>Na trh nemusia byť uvedené všetky veľkosti balenia</w:t>
      </w:r>
      <w:r>
        <w:t>.</w:t>
      </w:r>
    </w:p>
    <w:p w14:paraId="386115B7" w14:textId="77777777" w:rsidR="009700E5" w:rsidRDefault="009700E5">
      <w:pPr>
        <w:rPr>
          <w:b/>
          <w:bCs/>
        </w:rPr>
      </w:pPr>
    </w:p>
    <w:p w14:paraId="7F8AD914" w14:textId="77777777" w:rsidR="009700E5" w:rsidRDefault="002C033C">
      <w:pPr>
        <w:keepNext/>
        <w:rPr>
          <w:b/>
          <w:bCs/>
          <w:szCs w:val="22"/>
        </w:rPr>
      </w:pPr>
      <w:r>
        <w:rPr>
          <w:b/>
          <w:bCs/>
          <w:szCs w:val="22"/>
        </w:rPr>
        <w:t>Držiteľ rozhodnutia o registrácii</w:t>
      </w:r>
    </w:p>
    <w:p w14:paraId="0CB6DF09" w14:textId="77777777" w:rsidR="009700E5" w:rsidRDefault="002C033C">
      <w:r>
        <w:t xml:space="preserve">Roche Registration GmbH </w:t>
      </w:r>
    </w:p>
    <w:p w14:paraId="5E971F07" w14:textId="77777777" w:rsidR="009700E5" w:rsidRDefault="002C033C">
      <w:r>
        <w:t>Emil-Barell-Strasse 1</w:t>
      </w:r>
    </w:p>
    <w:p w14:paraId="668E49AD" w14:textId="77777777" w:rsidR="009700E5" w:rsidRDefault="002C033C">
      <w:r>
        <w:t>79639 Grenzach-Wyhlen</w:t>
      </w:r>
    </w:p>
    <w:p w14:paraId="7BAD4E88" w14:textId="77777777" w:rsidR="009700E5" w:rsidRDefault="002C033C">
      <w:r>
        <w:t>Nemecko</w:t>
      </w:r>
    </w:p>
    <w:p w14:paraId="42AAABB2" w14:textId="77777777" w:rsidR="009700E5" w:rsidRDefault="009700E5">
      <w:pPr>
        <w:rPr>
          <w:b/>
          <w:bCs/>
        </w:rPr>
      </w:pPr>
    </w:p>
    <w:p w14:paraId="2889A1E9" w14:textId="77777777" w:rsidR="009700E5" w:rsidRDefault="002C033C">
      <w:pPr>
        <w:keepNext/>
        <w:keepLines/>
        <w:rPr>
          <w:b/>
          <w:bCs/>
          <w:szCs w:val="22"/>
        </w:rPr>
      </w:pPr>
      <w:r>
        <w:rPr>
          <w:b/>
          <w:bCs/>
          <w:szCs w:val="22"/>
        </w:rPr>
        <w:t>Výrobca</w:t>
      </w:r>
    </w:p>
    <w:p w14:paraId="43151DBE" w14:textId="77777777" w:rsidR="009700E5" w:rsidRDefault="002C033C">
      <w:pPr>
        <w:keepNext/>
        <w:keepLines/>
      </w:pPr>
      <w:r>
        <w:t>Roche Pharma AG</w:t>
      </w:r>
    </w:p>
    <w:p w14:paraId="1C22E169" w14:textId="77777777" w:rsidR="009700E5" w:rsidRDefault="002C033C">
      <w:pPr>
        <w:keepNext/>
        <w:keepLines/>
      </w:pPr>
      <w:r>
        <w:t>Emil-Barell-Str. 1</w:t>
      </w:r>
    </w:p>
    <w:p w14:paraId="012E3564" w14:textId="77777777" w:rsidR="009700E5" w:rsidRDefault="002C033C">
      <w:pPr>
        <w:keepNext/>
        <w:keepLines/>
      </w:pPr>
      <w:r>
        <w:t>79639 Grenzach-Wyhlen</w:t>
      </w:r>
    </w:p>
    <w:p w14:paraId="64C2F24D" w14:textId="77777777" w:rsidR="009700E5" w:rsidRDefault="002C033C">
      <w:pPr>
        <w:keepNext/>
        <w:keepLines/>
      </w:pPr>
      <w:r>
        <w:t>Nemecko</w:t>
      </w:r>
    </w:p>
    <w:p w14:paraId="25D65DED" w14:textId="77777777" w:rsidR="009700E5" w:rsidRDefault="009700E5"/>
    <w:p w14:paraId="2BDE05E5" w14:textId="77777777" w:rsidR="009700E5" w:rsidRDefault="002C033C">
      <w:pPr>
        <w:keepNext/>
        <w:keepLines/>
      </w:pPr>
      <w:r>
        <w:t>Ak potrebujete akúkoľvek informáciu o tomto lieku, kontaktujte miestneho zástupcu držiteľa rozhodnutia o registrácii:</w:t>
      </w:r>
    </w:p>
    <w:p w14:paraId="7F94EFE3" w14:textId="77777777" w:rsidR="009700E5" w:rsidRDefault="009700E5">
      <w:pPr>
        <w:keepNext/>
        <w:keepLines/>
      </w:pPr>
    </w:p>
    <w:tbl>
      <w:tblPr>
        <w:tblW w:w="9180" w:type="dxa"/>
        <w:tblLayout w:type="fixed"/>
        <w:tblLook w:val="0000" w:firstRow="0" w:lastRow="0" w:firstColumn="0" w:lastColumn="0" w:noHBand="0" w:noVBand="0"/>
      </w:tblPr>
      <w:tblGrid>
        <w:gridCol w:w="4590"/>
        <w:gridCol w:w="4590"/>
      </w:tblGrid>
      <w:tr w:rsidR="009700E5" w14:paraId="0B629A36" w14:textId="77777777">
        <w:trPr>
          <w:cantSplit/>
          <w:del w:id="3082" w:author="Author" w:date="2025-07-24T11:08:00Z"/>
        </w:trPr>
        <w:tc>
          <w:tcPr>
            <w:tcW w:w="4590" w:type="dxa"/>
          </w:tcPr>
          <w:p w14:paraId="0FC3E588" w14:textId="77777777" w:rsidR="009700E5" w:rsidRDefault="002C033C">
            <w:pPr>
              <w:keepNext/>
              <w:keepLines/>
              <w:rPr>
                <w:del w:id="3083" w:author="Author" w:date="2025-07-24T11:08:00Z"/>
                <w:szCs w:val="22"/>
              </w:rPr>
            </w:pPr>
            <w:del w:id="3084" w:author="Author" w:date="2025-07-24T11:08:00Z">
              <w:r>
                <w:rPr>
                  <w:b/>
                  <w:szCs w:val="22"/>
                </w:rPr>
                <w:delText>België/Belgique/Belgien</w:delText>
              </w:r>
            </w:del>
          </w:p>
          <w:p w14:paraId="694954DE" w14:textId="77777777" w:rsidR="009700E5" w:rsidRDefault="002C033C">
            <w:pPr>
              <w:keepNext/>
              <w:keepLines/>
              <w:rPr>
                <w:del w:id="3085" w:author="Author" w:date="2025-07-24T11:08:00Z"/>
                <w:szCs w:val="22"/>
              </w:rPr>
            </w:pPr>
            <w:del w:id="3086" w:author="Author" w:date="2025-07-24T11:08:00Z">
              <w:r>
                <w:rPr>
                  <w:szCs w:val="22"/>
                </w:rPr>
                <w:delText>N.V. Roche S.A.</w:delText>
              </w:r>
            </w:del>
          </w:p>
          <w:p w14:paraId="3D49A6E9" w14:textId="77777777" w:rsidR="009700E5" w:rsidRDefault="002C033C">
            <w:pPr>
              <w:keepNext/>
              <w:keepLines/>
              <w:rPr>
                <w:del w:id="3087" w:author="Author" w:date="2025-07-24T11:08:00Z"/>
                <w:szCs w:val="22"/>
              </w:rPr>
            </w:pPr>
            <w:del w:id="3088" w:author="Author" w:date="2025-07-24T11:08:00Z">
              <w:r>
                <w:rPr>
                  <w:szCs w:val="22"/>
                </w:rPr>
                <w:delText>Tél/Tel: +32 (0) 2 525 82 11</w:delText>
              </w:r>
            </w:del>
          </w:p>
          <w:p w14:paraId="4D94FF74" w14:textId="77777777" w:rsidR="009700E5" w:rsidRDefault="009700E5">
            <w:pPr>
              <w:keepNext/>
              <w:keepLines/>
              <w:rPr>
                <w:del w:id="3089" w:author="Author" w:date="2025-07-24T11:08:00Z"/>
                <w:b/>
                <w:szCs w:val="22"/>
              </w:rPr>
            </w:pPr>
          </w:p>
        </w:tc>
        <w:tc>
          <w:tcPr>
            <w:tcW w:w="4590" w:type="dxa"/>
          </w:tcPr>
          <w:p w14:paraId="6818D191" w14:textId="77777777" w:rsidR="009700E5" w:rsidRDefault="002C033C">
            <w:pPr>
              <w:keepNext/>
              <w:keepLines/>
              <w:suppressAutoHyphens/>
              <w:rPr>
                <w:del w:id="3090" w:author="Author" w:date="2025-07-24T11:08:00Z"/>
                <w:szCs w:val="22"/>
              </w:rPr>
            </w:pPr>
            <w:del w:id="3091" w:author="Author" w:date="2025-07-24T11:08:00Z">
              <w:r>
                <w:rPr>
                  <w:b/>
                  <w:szCs w:val="22"/>
                </w:rPr>
                <w:delText>Luxembourg/Luxemburg</w:delText>
              </w:r>
            </w:del>
          </w:p>
          <w:p w14:paraId="1B2C8C02" w14:textId="77777777" w:rsidR="009700E5" w:rsidRDefault="002C033C">
            <w:pPr>
              <w:keepNext/>
              <w:keepLines/>
              <w:rPr>
                <w:del w:id="3092" w:author="Author" w:date="2025-07-24T11:08:00Z"/>
                <w:szCs w:val="22"/>
              </w:rPr>
            </w:pPr>
            <w:del w:id="3093" w:author="Author" w:date="2025-07-24T11:08:00Z">
              <w:r>
                <w:rPr>
                  <w:szCs w:val="22"/>
                </w:rPr>
                <w:delText>(Voir/siehe Belgique/Belgien)</w:delText>
              </w:r>
            </w:del>
          </w:p>
          <w:p w14:paraId="1703E486" w14:textId="77777777" w:rsidR="009700E5" w:rsidRDefault="009700E5">
            <w:pPr>
              <w:keepNext/>
              <w:keepLines/>
              <w:suppressAutoHyphens/>
              <w:rPr>
                <w:del w:id="3094" w:author="Author" w:date="2025-07-24T11:08:00Z"/>
                <w:b/>
                <w:szCs w:val="22"/>
              </w:rPr>
            </w:pPr>
          </w:p>
        </w:tc>
      </w:tr>
      <w:tr w:rsidR="009700E5" w14:paraId="61618FD8" w14:textId="77777777">
        <w:trPr>
          <w:cantSplit/>
          <w:del w:id="3095" w:author="Author" w:date="2025-07-24T11:08:00Z"/>
        </w:trPr>
        <w:tc>
          <w:tcPr>
            <w:tcW w:w="4590" w:type="dxa"/>
          </w:tcPr>
          <w:p w14:paraId="60C2BF90" w14:textId="77777777" w:rsidR="009700E5" w:rsidRDefault="002C033C">
            <w:pPr>
              <w:keepNext/>
              <w:keepLines/>
              <w:autoSpaceDE w:val="0"/>
              <w:autoSpaceDN w:val="0"/>
              <w:adjustRightInd w:val="0"/>
              <w:rPr>
                <w:del w:id="3096" w:author="Author" w:date="2025-07-24T11:08:00Z"/>
                <w:b/>
                <w:bCs/>
                <w:szCs w:val="22"/>
              </w:rPr>
            </w:pPr>
            <w:del w:id="3097" w:author="Author" w:date="2025-07-24T11:08:00Z">
              <w:r>
                <w:rPr>
                  <w:b/>
                  <w:bCs/>
                  <w:szCs w:val="22"/>
                </w:rPr>
                <w:delText>България</w:delText>
              </w:r>
            </w:del>
          </w:p>
          <w:p w14:paraId="2A3BEF20" w14:textId="77777777" w:rsidR="009700E5" w:rsidRDefault="002C033C">
            <w:pPr>
              <w:keepNext/>
              <w:keepLines/>
              <w:suppressAutoHyphens/>
              <w:rPr>
                <w:del w:id="3098" w:author="Author" w:date="2025-07-24T11:08:00Z"/>
                <w:szCs w:val="22"/>
              </w:rPr>
            </w:pPr>
            <w:del w:id="3099" w:author="Author" w:date="2025-07-24T11:08:00Z">
              <w:r>
                <w:rPr>
                  <w:szCs w:val="22"/>
                </w:rPr>
                <w:delText>Рош България ЕООД</w:delText>
              </w:r>
            </w:del>
          </w:p>
          <w:p w14:paraId="5851631C" w14:textId="77777777" w:rsidR="009700E5" w:rsidRDefault="002C033C">
            <w:pPr>
              <w:keepNext/>
              <w:keepLines/>
              <w:suppressAutoHyphens/>
              <w:rPr>
                <w:del w:id="3100" w:author="Author" w:date="2025-07-24T11:08:00Z"/>
                <w:szCs w:val="22"/>
              </w:rPr>
            </w:pPr>
            <w:del w:id="3101" w:author="Author" w:date="2025-07-24T11:08:00Z">
              <w:r>
                <w:rPr>
                  <w:szCs w:val="22"/>
                </w:rPr>
                <w:delText>Тел: +359 2 474 5444</w:delText>
              </w:r>
            </w:del>
          </w:p>
          <w:p w14:paraId="455403C3" w14:textId="77777777" w:rsidR="009700E5" w:rsidRDefault="009700E5">
            <w:pPr>
              <w:keepNext/>
              <w:keepLines/>
              <w:suppressAutoHyphens/>
              <w:rPr>
                <w:del w:id="3102" w:author="Author" w:date="2025-07-24T11:08:00Z"/>
                <w:szCs w:val="22"/>
              </w:rPr>
            </w:pPr>
          </w:p>
        </w:tc>
        <w:tc>
          <w:tcPr>
            <w:tcW w:w="4590" w:type="dxa"/>
          </w:tcPr>
          <w:p w14:paraId="43211A78" w14:textId="77777777" w:rsidR="009700E5" w:rsidRDefault="002C033C">
            <w:pPr>
              <w:keepNext/>
              <w:keepLines/>
              <w:rPr>
                <w:del w:id="3103" w:author="Author" w:date="2025-07-24T11:08:00Z"/>
                <w:b/>
                <w:szCs w:val="22"/>
              </w:rPr>
            </w:pPr>
            <w:del w:id="3104" w:author="Author" w:date="2025-07-24T11:08:00Z">
              <w:r>
                <w:rPr>
                  <w:b/>
                  <w:szCs w:val="22"/>
                </w:rPr>
                <w:delText>Magyarország</w:delText>
              </w:r>
            </w:del>
          </w:p>
          <w:p w14:paraId="68014422" w14:textId="77777777" w:rsidR="009700E5" w:rsidRDefault="002C033C">
            <w:pPr>
              <w:keepNext/>
              <w:keepLines/>
              <w:rPr>
                <w:del w:id="3105" w:author="Author" w:date="2025-07-24T11:08:00Z"/>
                <w:szCs w:val="22"/>
              </w:rPr>
            </w:pPr>
            <w:del w:id="3106" w:author="Author" w:date="2025-07-24T11:08:00Z">
              <w:r>
                <w:rPr>
                  <w:szCs w:val="22"/>
                </w:rPr>
                <w:delText>Roche (Magyarország) Kft.</w:delText>
              </w:r>
            </w:del>
          </w:p>
          <w:p w14:paraId="139FC4B0" w14:textId="77777777" w:rsidR="009700E5" w:rsidRDefault="002C033C">
            <w:pPr>
              <w:keepNext/>
              <w:keepLines/>
              <w:rPr>
                <w:del w:id="3107" w:author="Author" w:date="2025-07-24T11:08:00Z"/>
                <w:szCs w:val="22"/>
              </w:rPr>
            </w:pPr>
            <w:del w:id="3108" w:author="Author" w:date="2025-07-24T11:08:00Z">
              <w:r>
                <w:rPr>
                  <w:szCs w:val="22"/>
                </w:rPr>
                <w:delText>Tel: +36 - 1 279 4500</w:delText>
              </w:r>
            </w:del>
          </w:p>
          <w:p w14:paraId="734962D6" w14:textId="77777777" w:rsidR="009700E5" w:rsidRDefault="009700E5">
            <w:pPr>
              <w:keepNext/>
              <w:keepLines/>
              <w:rPr>
                <w:del w:id="3109" w:author="Author" w:date="2025-07-24T11:08:00Z"/>
                <w:szCs w:val="22"/>
              </w:rPr>
            </w:pPr>
          </w:p>
        </w:tc>
      </w:tr>
      <w:tr w:rsidR="009700E5" w14:paraId="0B65FF53" w14:textId="77777777">
        <w:trPr>
          <w:cantSplit/>
          <w:del w:id="3110" w:author="Author" w:date="2025-07-24T11:08:00Z"/>
        </w:trPr>
        <w:tc>
          <w:tcPr>
            <w:tcW w:w="4590" w:type="dxa"/>
          </w:tcPr>
          <w:p w14:paraId="76D84515" w14:textId="77777777" w:rsidR="009700E5" w:rsidRDefault="002C033C">
            <w:pPr>
              <w:rPr>
                <w:del w:id="3111" w:author="Author" w:date="2025-07-24T11:08:00Z"/>
                <w:b/>
                <w:szCs w:val="22"/>
              </w:rPr>
            </w:pPr>
            <w:del w:id="3112" w:author="Author" w:date="2025-07-24T11:08:00Z">
              <w:r>
                <w:rPr>
                  <w:b/>
                  <w:szCs w:val="22"/>
                </w:rPr>
                <w:delText>Česká republika</w:delText>
              </w:r>
            </w:del>
          </w:p>
          <w:p w14:paraId="61DF1AE2" w14:textId="77777777" w:rsidR="009700E5" w:rsidRDefault="002C033C">
            <w:pPr>
              <w:rPr>
                <w:del w:id="3113" w:author="Author" w:date="2025-07-24T11:08:00Z"/>
                <w:bCs/>
                <w:szCs w:val="22"/>
              </w:rPr>
            </w:pPr>
            <w:del w:id="3114" w:author="Author" w:date="2025-07-24T11:08:00Z">
              <w:r>
                <w:rPr>
                  <w:bCs/>
                  <w:szCs w:val="22"/>
                </w:rPr>
                <w:delText>Roche s. r. o.</w:delText>
              </w:r>
            </w:del>
          </w:p>
          <w:p w14:paraId="47172B70" w14:textId="77777777" w:rsidR="009700E5" w:rsidRDefault="002C033C">
            <w:pPr>
              <w:rPr>
                <w:del w:id="3115" w:author="Author" w:date="2025-07-24T11:08:00Z"/>
                <w:szCs w:val="22"/>
              </w:rPr>
            </w:pPr>
            <w:del w:id="3116" w:author="Author" w:date="2025-07-24T11:08:00Z">
              <w:r>
                <w:rPr>
                  <w:szCs w:val="22"/>
                </w:rPr>
                <w:delText>Tel: +420 - 2 20382111</w:delText>
              </w:r>
            </w:del>
          </w:p>
          <w:p w14:paraId="5EEA51A2" w14:textId="77777777" w:rsidR="009700E5" w:rsidRDefault="009700E5">
            <w:pPr>
              <w:rPr>
                <w:del w:id="3117" w:author="Author" w:date="2025-07-24T11:08:00Z"/>
                <w:szCs w:val="22"/>
              </w:rPr>
            </w:pPr>
          </w:p>
        </w:tc>
        <w:tc>
          <w:tcPr>
            <w:tcW w:w="4590" w:type="dxa"/>
          </w:tcPr>
          <w:p w14:paraId="5E4AADE9" w14:textId="77777777" w:rsidR="009700E5" w:rsidRDefault="002C033C">
            <w:pPr>
              <w:rPr>
                <w:del w:id="3118" w:author="Author" w:date="2025-07-24T11:08:00Z"/>
                <w:b/>
                <w:szCs w:val="22"/>
              </w:rPr>
            </w:pPr>
            <w:del w:id="3119" w:author="Author" w:date="2025-07-24T11:08:00Z">
              <w:r>
                <w:rPr>
                  <w:b/>
                  <w:szCs w:val="22"/>
                </w:rPr>
                <w:delText>Malta</w:delText>
              </w:r>
            </w:del>
          </w:p>
          <w:p w14:paraId="71FE995C" w14:textId="77777777" w:rsidR="009700E5" w:rsidRDefault="002C033C">
            <w:pPr>
              <w:autoSpaceDE w:val="0"/>
              <w:autoSpaceDN w:val="0"/>
              <w:adjustRightInd w:val="0"/>
              <w:rPr>
                <w:del w:id="3120" w:author="Author" w:date="2025-07-24T11:08:00Z"/>
                <w:szCs w:val="22"/>
              </w:rPr>
            </w:pPr>
            <w:del w:id="3121" w:author="Author" w:date="2025-07-24T11:08:00Z">
              <w:r>
                <w:rPr>
                  <w:szCs w:val="22"/>
                </w:rPr>
                <w:delText>(See Ireland)</w:delText>
              </w:r>
            </w:del>
          </w:p>
          <w:p w14:paraId="4F4E56D5" w14:textId="77777777" w:rsidR="009700E5" w:rsidRDefault="009700E5">
            <w:pPr>
              <w:autoSpaceDE w:val="0"/>
              <w:autoSpaceDN w:val="0"/>
              <w:adjustRightInd w:val="0"/>
              <w:rPr>
                <w:del w:id="3122" w:author="Author" w:date="2025-07-24T11:08:00Z"/>
                <w:szCs w:val="22"/>
              </w:rPr>
            </w:pPr>
          </w:p>
        </w:tc>
      </w:tr>
      <w:tr w:rsidR="009700E5" w14:paraId="0D999E4D" w14:textId="77777777">
        <w:trPr>
          <w:cantSplit/>
          <w:del w:id="3123" w:author="Author" w:date="2025-07-24T11:08:00Z"/>
        </w:trPr>
        <w:tc>
          <w:tcPr>
            <w:tcW w:w="4590" w:type="dxa"/>
          </w:tcPr>
          <w:p w14:paraId="6300D3BD" w14:textId="77777777" w:rsidR="009700E5" w:rsidRDefault="002C033C">
            <w:pPr>
              <w:rPr>
                <w:del w:id="3124" w:author="Author" w:date="2025-07-24T11:08:00Z"/>
                <w:szCs w:val="22"/>
              </w:rPr>
            </w:pPr>
            <w:del w:id="3125" w:author="Author" w:date="2025-07-24T11:08:00Z">
              <w:r>
                <w:rPr>
                  <w:b/>
                  <w:szCs w:val="22"/>
                </w:rPr>
                <w:lastRenderedPageBreak/>
                <w:delText>Danmark</w:delText>
              </w:r>
            </w:del>
          </w:p>
          <w:p w14:paraId="31C7E987" w14:textId="77777777" w:rsidR="009700E5" w:rsidRDefault="002C033C">
            <w:pPr>
              <w:rPr>
                <w:del w:id="3126" w:author="Author" w:date="2025-07-24T11:08:00Z"/>
                <w:szCs w:val="22"/>
              </w:rPr>
            </w:pPr>
            <w:del w:id="3127" w:author="Author" w:date="2025-07-24T11:08:00Z">
              <w:r>
                <w:rPr>
                  <w:szCs w:val="22"/>
                </w:rPr>
                <w:delText>Roche Pharmaceuticals A/S</w:delText>
              </w:r>
            </w:del>
          </w:p>
          <w:p w14:paraId="5D56C126" w14:textId="77777777" w:rsidR="009700E5" w:rsidRDefault="002C033C">
            <w:pPr>
              <w:rPr>
                <w:del w:id="3128" w:author="Author" w:date="2025-07-24T11:08:00Z"/>
                <w:szCs w:val="22"/>
              </w:rPr>
            </w:pPr>
            <w:del w:id="3129" w:author="Author" w:date="2025-07-24T11:08:00Z">
              <w:r>
                <w:rPr>
                  <w:szCs w:val="22"/>
                </w:rPr>
                <w:delText>Tlf: +45 - 36 39 99 99</w:delText>
              </w:r>
            </w:del>
          </w:p>
          <w:p w14:paraId="643CB83A" w14:textId="77777777" w:rsidR="009700E5" w:rsidRDefault="009700E5">
            <w:pPr>
              <w:rPr>
                <w:del w:id="3130" w:author="Author" w:date="2025-07-24T11:08:00Z"/>
                <w:b/>
                <w:szCs w:val="22"/>
              </w:rPr>
            </w:pPr>
          </w:p>
        </w:tc>
        <w:tc>
          <w:tcPr>
            <w:tcW w:w="4590" w:type="dxa"/>
          </w:tcPr>
          <w:p w14:paraId="087478B8" w14:textId="77777777" w:rsidR="009700E5" w:rsidRDefault="002C033C">
            <w:pPr>
              <w:rPr>
                <w:del w:id="3131" w:author="Author" w:date="2025-07-24T11:08:00Z"/>
                <w:szCs w:val="22"/>
              </w:rPr>
            </w:pPr>
            <w:del w:id="3132" w:author="Author" w:date="2025-07-24T11:08:00Z">
              <w:r>
                <w:rPr>
                  <w:b/>
                  <w:szCs w:val="22"/>
                </w:rPr>
                <w:delText>Nederland</w:delText>
              </w:r>
            </w:del>
          </w:p>
          <w:p w14:paraId="7747D0AE" w14:textId="77777777" w:rsidR="009700E5" w:rsidRDefault="002C033C">
            <w:pPr>
              <w:rPr>
                <w:del w:id="3133" w:author="Author" w:date="2025-07-24T11:08:00Z"/>
                <w:szCs w:val="22"/>
              </w:rPr>
            </w:pPr>
            <w:del w:id="3134" w:author="Author" w:date="2025-07-24T11:08:00Z">
              <w:r>
                <w:rPr>
                  <w:szCs w:val="22"/>
                </w:rPr>
                <w:delText>Roche Nederland B.V.</w:delText>
              </w:r>
            </w:del>
          </w:p>
          <w:p w14:paraId="191D9900" w14:textId="77777777" w:rsidR="009700E5" w:rsidRDefault="002C033C">
            <w:pPr>
              <w:rPr>
                <w:del w:id="3135" w:author="Author" w:date="2025-07-24T11:08:00Z"/>
                <w:szCs w:val="22"/>
              </w:rPr>
            </w:pPr>
            <w:del w:id="3136" w:author="Author" w:date="2025-07-24T11:08:00Z">
              <w:r>
                <w:rPr>
                  <w:szCs w:val="22"/>
                </w:rPr>
                <w:delText>Tel: +31 (</w:delText>
              </w:r>
              <w:r>
                <w:rPr>
                  <w:snapToGrid w:val="0"/>
                  <w:szCs w:val="22"/>
                </w:rPr>
                <w:delText>0) 348 438050</w:delText>
              </w:r>
            </w:del>
          </w:p>
          <w:p w14:paraId="1F835D29" w14:textId="77777777" w:rsidR="009700E5" w:rsidRDefault="009700E5">
            <w:pPr>
              <w:rPr>
                <w:del w:id="3137" w:author="Author" w:date="2025-07-24T11:08:00Z"/>
                <w:szCs w:val="22"/>
              </w:rPr>
            </w:pPr>
          </w:p>
        </w:tc>
      </w:tr>
      <w:tr w:rsidR="009700E5" w14:paraId="73874C14" w14:textId="77777777">
        <w:trPr>
          <w:cantSplit/>
          <w:del w:id="3138" w:author="Author" w:date="2025-07-24T11:08:00Z"/>
        </w:trPr>
        <w:tc>
          <w:tcPr>
            <w:tcW w:w="4590" w:type="dxa"/>
          </w:tcPr>
          <w:p w14:paraId="595AB07C" w14:textId="77777777" w:rsidR="009700E5" w:rsidRDefault="002C033C">
            <w:pPr>
              <w:rPr>
                <w:del w:id="3139" w:author="Author" w:date="2025-07-24T11:08:00Z"/>
                <w:szCs w:val="22"/>
              </w:rPr>
            </w:pPr>
            <w:del w:id="3140" w:author="Author" w:date="2025-07-24T11:08:00Z">
              <w:r>
                <w:rPr>
                  <w:b/>
                  <w:szCs w:val="22"/>
                </w:rPr>
                <w:delText>Deutschland</w:delText>
              </w:r>
            </w:del>
          </w:p>
          <w:p w14:paraId="07316DF3" w14:textId="77777777" w:rsidR="009700E5" w:rsidRDefault="002C033C">
            <w:pPr>
              <w:autoSpaceDE w:val="0"/>
              <w:autoSpaceDN w:val="0"/>
              <w:adjustRightInd w:val="0"/>
              <w:rPr>
                <w:del w:id="3141" w:author="Author" w:date="2025-07-24T11:08:00Z"/>
                <w:rFonts w:eastAsia="SimSun"/>
                <w:szCs w:val="22"/>
                <w:lang w:eastAsia="zh-CN"/>
              </w:rPr>
            </w:pPr>
            <w:del w:id="3142" w:author="Author" w:date="2025-07-24T11:08:00Z">
              <w:r>
                <w:rPr>
                  <w:rFonts w:eastAsia="SimSun"/>
                  <w:szCs w:val="22"/>
                  <w:lang w:eastAsia="zh-CN"/>
                </w:rPr>
                <w:delText>Roche Pharma AG</w:delText>
              </w:r>
            </w:del>
          </w:p>
          <w:p w14:paraId="0E53C225" w14:textId="77777777" w:rsidR="009700E5" w:rsidRDefault="002C033C">
            <w:pPr>
              <w:rPr>
                <w:del w:id="3143" w:author="Author" w:date="2025-07-24T11:08:00Z"/>
                <w:szCs w:val="22"/>
              </w:rPr>
            </w:pPr>
            <w:del w:id="3144" w:author="Author" w:date="2025-07-24T11:08:00Z">
              <w:r>
                <w:rPr>
                  <w:rFonts w:eastAsia="SimSun"/>
                  <w:szCs w:val="22"/>
                  <w:lang w:eastAsia="zh-CN"/>
                </w:rPr>
                <w:delText>Tel: +49 (0) 7624 140</w:delText>
              </w:r>
              <w:r>
                <w:rPr>
                  <w:szCs w:val="22"/>
                </w:rPr>
                <w:delText xml:space="preserve"> </w:delText>
              </w:r>
            </w:del>
          </w:p>
          <w:p w14:paraId="3E4BC821" w14:textId="77777777" w:rsidR="009700E5" w:rsidRDefault="002C033C">
            <w:pPr>
              <w:rPr>
                <w:del w:id="3145" w:author="Author" w:date="2025-07-24T11:08:00Z"/>
                <w:szCs w:val="22"/>
              </w:rPr>
            </w:pPr>
            <w:del w:id="3146" w:author="Author" w:date="2025-07-24T11:08:00Z">
              <w:r>
                <w:rPr>
                  <w:szCs w:val="22"/>
                </w:rPr>
                <w:delText>oder</w:delText>
              </w:r>
            </w:del>
          </w:p>
          <w:p w14:paraId="7C4966C9" w14:textId="77777777" w:rsidR="009700E5" w:rsidRDefault="002C033C">
            <w:pPr>
              <w:rPr>
                <w:del w:id="3147" w:author="Author" w:date="2025-07-24T11:08:00Z"/>
                <w:rFonts w:eastAsia="MS PGothic"/>
                <w:bCs/>
                <w:szCs w:val="22"/>
                <w:lang w:eastAsia="zh-CN"/>
              </w:rPr>
            </w:pPr>
            <w:del w:id="3148" w:author="Author" w:date="2025-07-24T11:08:00Z">
              <w:r>
                <w:rPr>
                  <w:rFonts w:eastAsia="MS PGothic"/>
                  <w:bCs/>
                  <w:szCs w:val="22"/>
                  <w:lang w:eastAsia="zh-CN"/>
                </w:rPr>
                <w:delText>Chugai Pharma Europe Ltd.</w:delText>
              </w:r>
            </w:del>
          </w:p>
          <w:p w14:paraId="26F93431" w14:textId="77777777" w:rsidR="009700E5" w:rsidRDefault="002C033C">
            <w:pPr>
              <w:rPr>
                <w:del w:id="3149" w:author="Author" w:date="2025-07-24T11:08:00Z"/>
                <w:rFonts w:eastAsia="MS PGothic"/>
                <w:bCs/>
                <w:szCs w:val="22"/>
                <w:lang w:eastAsia="zh-CN"/>
              </w:rPr>
            </w:pPr>
            <w:del w:id="3150" w:author="Author" w:date="2025-07-24T11:08:00Z">
              <w:r>
                <w:rPr>
                  <w:rFonts w:eastAsia="MS PGothic"/>
                  <w:bCs/>
                  <w:szCs w:val="22"/>
                  <w:lang w:eastAsia="zh-CN"/>
                </w:rPr>
                <w:delText>Zweigniederlassung Deutschland</w:delText>
              </w:r>
            </w:del>
          </w:p>
          <w:p w14:paraId="4154095A" w14:textId="77777777" w:rsidR="009700E5" w:rsidRDefault="002C033C">
            <w:pPr>
              <w:autoSpaceDE w:val="0"/>
              <w:autoSpaceDN w:val="0"/>
              <w:adjustRightInd w:val="0"/>
              <w:rPr>
                <w:del w:id="3151" w:author="Author" w:date="2025-07-24T11:08:00Z"/>
                <w:rFonts w:eastAsia="SimSun"/>
                <w:szCs w:val="22"/>
                <w:lang w:eastAsia="zh-CN"/>
              </w:rPr>
            </w:pPr>
            <w:del w:id="3152" w:author="Author" w:date="2025-07-24T11:08:00Z">
              <w:r>
                <w:rPr>
                  <w:rFonts w:eastAsia="MS PGothic"/>
                  <w:bCs/>
                  <w:szCs w:val="22"/>
                  <w:lang w:eastAsia="zh-CN"/>
                </w:rPr>
                <w:delText>Tel: +49 (0) 69 663000 0</w:delText>
              </w:r>
            </w:del>
          </w:p>
          <w:p w14:paraId="4FF79B75" w14:textId="77777777" w:rsidR="009700E5" w:rsidRDefault="009700E5">
            <w:pPr>
              <w:autoSpaceDE w:val="0"/>
              <w:autoSpaceDN w:val="0"/>
              <w:adjustRightInd w:val="0"/>
              <w:rPr>
                <w:del w:id="3153" w:author="Author" w:date="2025-07-24T11:08:00Z"/>
                <w:b/>
                <w:szCs w:val="22"/>
              </w:rPr>
            </w:pPr>
          </w:p>
        </w:tc>
        <w:tc>
          <w:tcPr>
            <w:tcW w:w="4590" w:type="dxa"/>
          </w:tcPr>
          <w:p w14:paraId="6913C892" w14:textId="77777777" w:rsidR="009700E5" w:rsidRDefault="002C033C">
            <w:pPr>
              <w:rPr>
                <w:del w:id="3154" w:author="Author" w:date="2025-07-24T11:08:00Z"/>
                <w:b/>
                <w:snapToGrid w:val="0"/>
                <w:szCs w:val="22"/>
              </w:rPr>
            </w:pPr>
            <w:del w:id="3155" w:author="Author" w:date="2025-07-24T11:08:00Z">
              <w:r>
                <w:rPr>
                  <w:b/>
                  <w:snapToGrid w:val="0"/>
                  <w:szCs w:val="22"/>
                </w:rPr>
                <w:delText>Norge</w:delText>
              </w:r>
            </w:del>
          </w:p>
          <w:p w14:paraId="3702668D" w14:textId="77777777" w:rsidR="009700E5" w:rsidRDefault="002C033C">
            <w:pPr>
              <w:rPr>
                <w:del w:id="3156" w:author="Author" w:date="2025-07-24T11:08:00Z"/>
                <w:snapToGrid w:val="0"/>
                <w:szCs w:val="22"/>
              </w:rPr>
            </w:pPr>
            <w:del w:id="3157" w:author="Author" w:date="2025-07-24T11:08:00Z">
              <w:r>
                <w:rPr>
                  <w:snapToGrid w:val="0"/>
                  <w:szCs w:val="22"/>
                </w:rPr>
                <w:delText>Roche Norge AS</w:delText>
              </w:r>
            </w:del>
          </w:p>
          <w:p w14:paraId="7224FD12" w14:textId="77777777" w:rsidR="009700E5" w:rsidRDefault="002C033C">
            <w:pPr>
              <w:rPr>
                <w:del w:id="3158" w:author="Author" w:date="2025-07-24T11:08:00Z"/>
                <w:szCs w:val="22"/>
              </w:rPr>
            </w:pPr>
            <w:del w:id="3159" w:author="Author" w:date="2025-07-24T11:08:00Z">
              <w:r>
                <w:rPr>
                  <w:snapToGrid w:val="0"/>
                  <w:szCs w:val="22"/>
                </w:rPr>
                <w:delText>Tlf: +47 - 22 78 90 00</w:delText>
              </w:r>
            </w:del>
          </w:p>
          <w:p w14:paraId="100D912E" w14:textId="77777777" w:rsidR="009700E5" w:rsidRDefault="009700E5">
            <w:pPr>
              <w:rPr>
                <w:del w:id="3160" w:author="Author" w:date="2025-07-24T11:08:00Z"/>
                <w:szCs w:val="22"/>
              </w:rPr>
            </w:pPr>
          </w:p>
        </w:tc>
      </w:tr>
      <w:tr w:rsidR="009700E5" w14:paraId="6E6C72B2" w14:textId="77777777">
        <w:trPr>
          <w:cantSplit/>
          <w:del w:id="3161" w:author="Author" w:date="2025-07-24T11:08:00Z"/>
        </w:trPr>
        <w:tc>
          <w:tcPr>
            <w:tcW w:w="4590" w:type="dxa"/>
          </w:tcPr>
          <w:p w14:paraId="287E8837" w14:textId="77777777" w:rsidR="009700E5" w:rsidRDefault="002C033C">
            <w:pPr>
              <w:rPr>
                <w:del w:id="3162" w:author="Author" w:date="2025-07-24T11:08:00Z"/>
                <w:b/>
                <w:szCs w:val="22"/>
              </w:rPr>
            </w:pPr>
            <w:del w:id="3163" w:author="Author" w:date="2025-07-24T11:08:00Z">
              <w:r>
                <w:rPr>
                  <w:b/>
                  <w:szCs w:val="22"/>
                </w:rPr>
                <w:delText>Eesti</w:delText>
              </w:r>
            </w:del>
          </w:p>
          <w:p w14:paraId="193C5DA8" w14:textId="77777777" w:rsidR="009700E5" w:rsidRDefault="002C033C">
            <w:pPr>
              <w:rPr>
                <w:del w:id="3164" w:author="Author" w:date="2025-07-24T11:08:00Z"/>
                <w:szCs w:val="22"/>
              </w:rPr>
            </w:pPr>
            <w:del w:id="3165" w:author="Author" w:date="2025-07-24T11:08:00Z">
              <w:r>
                <w:rPr>
                  <w:bCs/>
                  <w:szCs w:val="22"/>
                </w:rPr>
                <w:delText>Roche Eesti OÜ</w:delText>
              </w:r>
            </w:del>
          </w:p>
          <w:p w14:paraId="3BE1A7EF" w14:textId="77777777" w:rsidR="009700E5" w:rsidRDefault="002C033C">
            <w:pPr>
              <w:rPr>
                <w:del w:id="3166" w:author="Author" w:date="2025-07-24T11:08:00Z"/>
                <w:szCs w:val="22"/>
              </w:rPr>
            </w:pPr>
            <w:del w:id="3167" w:author="Author" w:date="2025-07-24T11:08:00Z">
              <w:r>
                <w:rPr>
                  <w:szCs w:val="22"/>
                </w:rPr>
                <w:delText>Tel: + 372 - 6 177 380</w:delText>
              </w:r>
            </w:del>
          </w:p>
          <w:p w14:paraId="5AF4549D" w14:textId="77777777" w:rsidR="009700E5" w:rsidRDefault="009700E5">
            <w:pPr>
              <w:rPr>
                <w:del w:id="3168" w:author="Author" w:date="2025-07-24T11:08:00Z"/>
                <w:szCs w:val="22"/>
              </w:rPr>
            </w:pPr>
          </w:p>
        </w:tc>
        <w:tc>
          <w:tcPr>
            <w:tcW w:w="4590" w:type="dxa"/>
          </w:tcPr>
          <w:p w14:paraId="6A5EEE3D" w14:textId="77777777" w:rsidR="009700E5" w:rsidRDefault="002C033C">
            <w:pPr>
              <w:rPr>
                <w:del w:id="3169" w:author="Author" w:date="2025-07-24T11:08:00Z"/>
                <w:szCs w:val="22"/>
              </w:rPr>
            </w:pPr>
            <w:del w:id="3170" w:author="Author" w:date="2025-07-24T11:08:00Z">
              <w:r>
                <w:rPr>
                  <w:b/>
                  <w:szCs w:val="22"/>
                </w:rPr>
                <w:delText>Österreich</w:delText>
              </w:r>
            </w:del>
          </w:p>
          <w:p w14:paraId="56E686E1" w14:textId="77777777" w:rsidR="009700E5" w:rsidRDefault="002C033C">
            <w:pPr>
              <w:rPr>
                <w:del w:id="3171" w:author="Author" w:date="2025-07-24T11:08:00Z"/>
                <w:szCs w:val="22"/>
              </w:rPr>
            </w:pPr>
            <w:del w:id="3172" w:author="Author" w:date="2025-07-24T11:08:00Z">
              <w:r>
                <w:rPr>
                  <w:szCs w:val="22"/>
                </w:rPr>
                <w:delText>Roche Austria GmbH</w:delText>
              </w:r>
            </w:del>
          </w:p>
          <w:p w14:paraId="64D15514" w14:textId="77777777" w:rsidR="009700E5" w:rsidRDefault="002C033C">
            <w:pPr>
              <w:rPr>
                <w:del w:id="3173" w:author="Author" w:date="2025-07-24T11:08:00Z"/>
                <w:szCs w:val="22"/>
              </w:rPr>
            </w:pPr>
            <w:del w:id="3174" w:author="Author" w:date="2025-07-24T11:08:00Z">
              <w:r>
                <w:rPr>
                  <w:szCs w:val="22"/>
                </w:rPr>
                <w:delText>Tel: +43 (0) 1 27739</w:delText>
              </w:r>
            </w:del>
          </w:p>
          <w:p w14:paraId="4DB9DD52" w14:textId="77777777" w:rsidR="009700E5" w:rsidRDefault="009700E5">
            <w:pPr>
              <w:rPr>
                <w:del w:id="3175" w:author="Author" w:date="2025-07-24T11:08:00Z"/>
                <w:szCs w:val="22"/>
              </w:rPr>
            </w:pPr>
          </w:p>
        </w:tc>
      </w:tr>
      <w:tr w:rsidR="009700E5" w14:paraId="19D556B9" w14:textId="77777777">
        <w:trPr>
          <w:cantSplit/>
          <w:del w:id="3176" w:author="Author" w:date="2025-07-24T11:08:00Z"/>
        </w:trPr>
        <w:tc>
          <w:tcPr>
            <w:tcW w:w="4590" w:type="dxa"/>
          </w:tcPr>
          <w:p w14:paraId="517903AF" w14:textId="77777777" w:rsidR="009700E5" w:rsidRDefault="002C033C">
            <w:pPr>
              <w:rPr>
                <w:del w:id="3177" w:author="Author" w:date="2025-07-24T11:08:00Z"/>
                <w:szCs w:val="22"/>
              </w:rPr>
            </w:pPr>
            <w:del w:id="3178" w:author="Author" w:date="2025-07-24T11:08:00Z">
              <w:r>
                <w:rPr>
                  <w:b/>
                  <w:szCs w:val="22"/>
                </w:rPr>
                <w:delText>Ελλάδα</w:delText>
              </w:r>
            </w:del>
          </w:p>
          <w:p w14:paraId="2A8F3581" w14:textId="77777777" w:rsidR="009700E5" w:rsidRDefault="002C033C">
            <w:pPr>
              <w:rPr>
                <w:del w:id="3179" w:author="Author" w:date="2025-07-24T11:08:00Z"/>
                <w:szCs w:val="22"/>
              </w:rPr>
            </w:pPr>
            <w:del w:id="3180" w:author="Author" w:date="2025-07-24T11:08:00Z">
              <w:r>
                <w:rPr>
                  <w:szCs w:val="22"/>
                </w:rPr>
                <w:delText xml:space="preserve">Roche (Hellas) A.E. </w:delText>
              </w:r>
            </w:del>
          </w:p>
          <w:p w14:paraId="5304630A" w14:textId="77777777" w:rsidR="009700E5" w:rsidRDefault="002C033C">
            <w:pPr>
              <w:rPr>
                <w:del w:id="3181" w:author="Author" w:date="2025-07-24T11:08:00Z"/>
                <w:szCs w:val="22"/>
              </w:rPr>
            </w:pPr>
            <w:del w:id="3182" w:author="Author" w:date="2025-07-24T11:08:00Z">
              <w:r>
                <w:rPr>
                  <w:szCs w:val="22"/>
                </w:rPr>
                <w:delText>Τηλ: +30 210 61 66 100</w:delText>
              </w:r>
            </w:del>
          </w:p>
          <w:p w14:paraId="6A5853EB" w14:textId="77777777" w:rsidR="009700E5" w:rsidRDefault="009700E5">
            <w:pPr>
              <w:rPr>
                <w:del w:id="3183" w:author="Author" w:date="2025-07-24T11:08:00Z"/>
                <w:szCs w:val="22"/>
              </w:rPr>
            </w:pPr>
          </w:p>
        </w:tc>
        <w:tc>
          <w:tcPr>
            <w:tcW w:w="4590" w:type="dxa"/>
          </w:tcPr>
          <w:p w14:paraId="59983DAE" w14:textId="77777777" w:rsidR="009700E5" w:rsidRDefault="002C033C">
            <w:pPr>
              <w:rPr>
                <w:del w:id="3184" w:author="Author" w:date="2025-07-24T11:08:00Z"/>
                <w:b/>
                <w:szCs w:val="22"/>
              </w:rPr>
            </w:pPr>
            <w:del w:id="3185" w:author="Author" w:date="2025-07-24T11:08:00Z">
              <w:r>
                <w:rPr>
                  <w:b/>
                  <w:szCs w:val="22"/>
                </w:rPr>
                <w:delText>Polska</w:delText>
              </w:r>
            </w:del>
          </w:p>
          <w:p w14:paraId="408317D9" w14:textId="77777777" w:rsidR="009700E5" w:rsidRDefault="002C033C">
            <w:pPr>
              <w:rPr>
                <w:del w:id="3186" w:author="Author" w:date="2025-07-24T11:08:00Z"/>
                <w:szCs w:val="22"/>
              </w:rPr>
            </w:pPr>
            <w:del w:id="3187" w:author="Author" w:date="2025-07-24T11:08:00Z">
              <w:r>
                <w:rPr>
                  <w:szCs w:val="22"/>
                </w:rPr>
                <w:delText>Roche Polska Sp.z o.o.</w:delText>
              </w:r>
            </w:del>
          </w:p>
          <w:p w14:paraId="0036BF4B" w14:textId="77777777" w:rsidR="009700E5" w:rsidRDefault="002C033C">
            <w:pPr>
              <w:rPr>
                <w:del w:id="3188" w:author="Author" w:date="2025-07-24T11:08:00Z"/>
                <w:szCs w:val="22"/>
              </w:rPr>
            </w:pPr>
            <w:del w:id="3189" w:author="Author" w:date="2025-07-24T11:08:00Z">
              <w:r>
                <w:rPr>
                  <w:szCs w:val="22"/>
                </w:rPr>
                <w:delText>Tel: +48 - 22 345 18 88</w:delText>
              </w:r>
            </w:del>
          </w:p>
          <w:p w14:paraId="4F556375" w14:textId="77777777" w:rsidR="009700E5" w:rsidRDefault="009700E5">
            <w:pPr>
              <w:rPr>
                <w:del w:id="3190" w:author="Author" w:date="2025-07-24T11:08:00Z"/>
                <w:szCs w:val="22"/>
              </w:rPr>
            </w:pPr>
          </w:p>
        </w:tc>
      </w:tr>
      <w:tr w:rsidR="009700E5" w14:paraId="102A9BD7" w14:textId="77777777">
        <w:trPr>
          <w:cantSplit/>
          <w:del w:id="3191" w:author="Author" w:date="2025-07-24T11:08:00Z"/>
        </w:trPr>
        <w:tc>
          <w:tcPr>
            <w:tcW w:w="4590" w:type="dxa"/>
          </w:tcPr>
          <w:p w14:paraId="286CC98E" w14:textId="77777777" w:rsidR="009700E5" w:rsidRDefault="002C033C">
            <w:pPr>
              <w:rPr>
                <w:del w:id="3192" w:author="Author" w:date="2025-07-24T11:08:00Z"/>
                <w:b/>
                <w:szCs w:val="22"/>
              </w:rPr>
            </w:pPr>
            <w:del w:id="3193" w:author="Author" w:date="2025-07-24T11:08:00Z">
              <w:r>
                <w:rPr>
                  <w:b/>
                  <w:szCs w:val="22"/>
                </w:rPr>
                <w:delText>España</w:delText>
              </w:r>
            </w:del>
          </w:p>
          <w:p w14:paraId="707D17F6" w14:textId="77777777" w:rsidR="009700E5" w:rsidRDefault="002C033C">
            <w:pPr>
              <w:rPr>
                <w:del w:id="3194" w:author="Author" w:date="2025-07-24T11:08:00Z"/>
                <w:szCs w:val="22"/>
              </w:rPr>
            </w:pPr>
            <w:del w:id="3195" w:author="Author" w:date="2025-07-24T11:08:00Z">
              <w:r>
                <w:rPr>
                  <w:szCs w:val="22"/>
                </w:rPr>
                <w:delText>Roche Farma S.A.</w:delText>
              </w:r>
            </w:del>
          </w:p>
          <w:p w14:paraId="0A0D2E3C" w14:textId="77777777" w:rsidR="009700E5" w:rsidRDefault="002C033C">
            <w:pPr>
              <w:rPr>
                <w:del w:id="3196" w:author="Author" w:date="2025-07-24T11:08:00Z"/>
                <w:szCs w:val="22"/>
              </w:rPr>
            </w:pPr>
            <w:del w:id="3197" w:author="Author" w:date="2025-07-24T11:08:00Z">
              <w:r>
                <w:rPr>
                  <w:szCs w:val="22"/>
                </w:rPr>
                <w:delText>Tel: +34 - 91 324 81 00</w:delText>
              </w:r>
            </w:del>
          </w:p>
          <w:p w14:paraId="36B35CA2" w14:textId="77777777" w:rsidR="009700E5" w:rsidRDefault="009700E5">
            <w:pPr>
              <w:rPr>
                <w:del w:id="3198" w:author="Author" w:date="2025-07-24T11:08:00Z"/>
                <w:szCs w:val="22"/>
              </w:rPr>
            </w:pPr>
          </w:p>
        </w:tc>
        <w:tc>
          <w:tcPr>
            <w:tcW w:w="4590" w:type="dxa"/>
          </w:tcPr>
          <w:p w14:paraId="19F58C78" w14:textId="77777777" w:rsidR="009700E5" w:rsidRDefault="002C033C">
            <w:pPr>
              <w:rPr>
                <w:del w:id="3199" w:author="Author" w:date="2025-07-24T11:08:00Z"/>
                <w:szCs w:val="22"/>
              </w:rPr>
            </w:pPr>
            <w:del w:id="3200" w:author="Author" w:date="2025-07-24T11:08:00Z">
              <w:r>
                <w:rPr>
                  <w:b/>
                  <w:szCs w:val="22"/>
                </w:rPr>
                <w:delText>Portugal</w:delText>
              </w:r>
            </w:del>
          </w:p>
          <w:p w14:paraId="7C1A945B" w14:textId="77777777" w:rsidR="009700E5" w:rsidRDefault="002C033C">
            <w:pPr>
              <w:rPr>
                <w:del w:id="3201" w:author="Author" w:date="2025-07-24T11:08:00Z"/>
                <w:szCs w:val="22"/>
              </w:rPr>
            </w:pPr>
            <w:del w:id="3202" w:author="Author" w:date="2025-07-24T11:08:00Z">
              <w:r>
                <w:rPr>
                  <w:szCs w:val="22"/>
                </w:rPr>
                <w:delText>Roche Farmacêutica Química, Lda</w:delText>
              </w:r>
            </w:del>
          </w:p>
          <w:p w14:paraId="22BA732D" w14:textId="77777777" w:rsidR="009700E5" w:rsidRDefault="002C033C">
            <w:pPr>
              <w:rPr>
                <w:del w:id="3203" w:author="Author" w:date="2025-07-24T11:08:00Z"/>
                <w:szCs w:val="22"/>
              </w:rPr>
            </w:pPr>
            <w:del w:id="3204" w:author="Author" w:date="2025-07-24T11:08:00Z">
              <w:r>
                <w:rPr>
                  <w:szCs w:val="22"/>
                </w:rPr>
                <w:delText>Tel: +351 - 21 425 70 00</w:delText>
              </w:r>
            </w:del>
          </w:p>
          <w:p w14:paraId="65E15299" w14:textId="77777777" w:rsidR="009700E5" w:rsidRDefault="009700E5">
            <w:pPr>
              <w:rPr>
                <w:del w:id="3205" w:author="Author" w:date="2025-07-24T11:08:00Z"/>
                <w:szCs w:val="22"/>
              </w:rPr>
            </w:pPr>
          </w:p>
        </w:tc>
      </w:tr>
      <w:tr w:rsidR="009700E5" w14:paraId="3B49A484" w14:textId="77777777">
        <w:trPr>
          <w:cantSplit/>
          <w:del w:id="3206" w:author="Author" w:date="2025-07-24T11:08:00Z"/>
        </w:trPr>
        <w:tc>
          <w:tcPr>
            <w:tcW w:w="4590" w:type="dxa"/>
          </w:tcPr>
          <w:p w14:paraId="4DA93BEE" w14:textId="77777777" w:rsidR="009700E5" w:rsidRDefault="002C033C">
            <w:pPr>
              <w:rPr>
                <w:del w:id="3207" w:author="Author" w:date="2025-07-24T11:08:00Z"/>
                <w:szCs w:val="22"/>
              </w:rPr>
            </w:pPr>
            <w:del w:id="3208" w:author="Author" w:date="2025-07-24T11:08:00Z">
              <w:r>
                <w:rPr>
                  <w:b/>
                  <w:szCs w:val="22"/>
                </w:rPr>
                <w:delText>France</w:delText>
              </w:r>
            </w:del>
          </w:p>
          <w:p w14:paraId="706CF578" w14:textId="77777777" w:rsidR="009700E5" w:rsidRDefault="002C033C">
            <w:pPr>
              <w:autoSpaceDE w:val="0"/>
              <w:autoSpaceDN w:val="0"/>
              <w:adjustRightInd w:val="0"/>
              <w:rPr>
                <w:del w:id="3209" w:author="Author" w:date="2025-07-24T11:08:00Z"/>
                <w:rFonts w:eastAsia="SimSun"/>
                <w:szCs w:val="22"/>
                <w:lang w:eastAsia="zh-CN"/>
              </w:rPr>
            </w:pPr>
            <w:del w:id="3210" w:author="Author" w:date="2025-07-24T11:08:00Z">
              <w:r>
                <w:rPr>
                  <w:rFonts w:eastAsia="SimSun"/>
                  <w:szCs w:val="22"/>
                  <w:lang w:eastAsia="zh-CN"/>
                </w:rPr>
                <w:delText>Roche</w:delText>
              </w:r>
            </w:del>
          </w:p>
          <w:p w14:paraId="1F11FEE5" w14:textId="77777777" w:rsidR="009700E5" w:rsidRDefault="002C033C">
            <w:pPr>
              <w:rPr>
                <w:del w:id="3211" w:author="Author" w:date="2025-07-24T11:08:00Z"/>
                <w:szCs w:val="22"/>
              </w:rPr>
            </w:pPr>
            <w:del w:id="3212" w:author="Author" w:date="2025-07-24T11:08:00Z">
              <w:r>
                <w:rPr>
                  <w:rFonts w:eastAsia="SimSun"/>
                  <w:szCs w:val="22"/>
                  <w:lang w:eastAsia="zh-CN"/>
                </w:rPr>
                <w:delText>Tél: +33 (0)</w:delText>
              </w:r>
              <w:r>
                <w:rPr>
                  <w:szCs w:val="22"/>
                </w:rPr>
                <w:delText>1 47 61 40 00</w:delText>
              </w:r>
            </w:del>
          </w:p>
          <w:p w14:paraId="106C6C3D" w14:textId="77777777" w:rsidR="009700E5" w:rsidRDefault="002C033C">
            <w:pPr>
              <w:autoSpaceDE w:val="0"/>
              <w:autoSpaceDN w:val="0"/>
              <w:adjustRightInd w:val="0"/>
              <w:rPr>
                <w:del w:id="3213" w:author="Author" w:date="2025-07-24T11:08:00Z"/>
                <w:rFonts w:eastAsia="SimSun"/>
                <w:szCs w:val="22"/>
                <w:lang w:eastAsia="zh-CN"/>
              </w:rPr>
            </w:pPr>
            <w:del w:id="3214" w:author="Author" w:date="2025-07-24T11:08:00Z">
              <w:r>
                <w:rPr>
                  <w:rFonts w:eastAsia="SimSun"/>
                  <w:szCs w:val="22"/>
                  <w:lang w:eastAsia="zh-CN"/>
                </w:rPr>
                <w:delText>ou</w:delText>
              </w:r>
            </w:del>
          </w:p>
          <w:p w14:paraId="2A8119DB" w14:textId="77777777" w:rsidR="009700E5" w:rsidRDefault="002C033C">
            <w:pPr>
              <w:autoSpaceDE w:val="0"/>
              <w:autoSpaceDN w:val="0"/>
              <w:adjustRightInd w:val="0"/>
              <w:rPr>
                <w:del w:id="3215" w:author="Author" w:date="2025-07-24T11:08:00Z"/>
                <w:rFonts w:eastAsia="SimSun"/>
                <w:szCs w:val="22"/>
                <w:lang w:eastAsia="zh-CN"/>
              </w:rPr>
            </w:pPr>
            <w:del w:id="3216" w:author="Author" w:date="2025-07-24T11:08:00Z">
              <w:r>
                <w:rPr>
                  <w:rFonts w:eastAsia="SimSun"/>
                  <w:szCs w:val="22"/>
                  <w:lang w:eastAsia="zh-CN"/>
                </w:rPr>
                <w:delText>Chugai Pharma France</w:delText>
              </w:r>
            </w:del>
          </w:p>
          <w:p w14:paraId="35C9BB27" w14:textId="77777777" w:rsidR="009700E5" w:rsidRDefault="002C033C">
            <w:pPr>
              <w:autoSpaceDE w:val="0"/>
              <w:autoSpaceDN w:val="0"/>
              <w:adjustRightInd w:val="0"/>
              <w:rPr>
                <w:del w:id="3217" w:author="Author" w:date="2025-07-24T11:08:00Z"/>
                <w:szCs w:val="22"/>
              </w:rPr>
            </w:pPr>
            <w:del w:id="3218" w:author="Author" w:date="2025-07-24T11:08:00Z">
              <w:r>
                <w:rPr>
                  <w:rFonts w:eastAsia="SimSun"/>
                  <w:szCs w:val="22"/>
                  <w:lang w:eastAsia="zh-CN"/>
                </w:rPr>
                <w:delText>Tél: +33 (0) 1 56 37 05 20</w:delText>
              </w:r>
            </w:del>
          </w:p>
          <w:p w14:paraId="171DA3C8" w14:textId="77777777" w:rsidR="009700E5" w:rsidRDefault="009700E5">
            <w:pPr>
              <w:autoSpaceDE w:val="0"/>
              <w:autoSpaceDN w:val="0"/>
              <w:adjustRightInd w:val="0"/>
              <w:rPr>
                <w:del w:id="3219" w:author="Author" w:date="2025-07-24T11:08:00Z"/>
                <w:b/>
                <w:szCs w:val="22"/>
              </w:rPr>
            </w:pPr>
          </w:p>
          <w:p w14:paraId="6720F69C" w14:textId="77777777" w:rsidR="009700E5" w:rsidRDefault="002C033C">
            <w:pPr>
              <w:rPr>
                <w:del w:id="3220" w:author="Author" w:date="2025-07-24T11:08:00Z"/>
                <w:b/>
                <w:szCs w:val="22"/>
              </w:rPr>
            </w:pPr>
            <w:del w:id="3221" w:author="Author" w:date="2025-07-24T11:08:00Z">
              <w:r>
                <w:rPr>
                  <w:b/>
                  <w:szCs w:val="22"/>
                </w:rPr>
                <w:delText>Hrvatska</w:delText>
              </w:r>
            </w:del>
          </w:p>
          <w:p w14:paraId="76A1BF65" w14:textId="77777777" w:rsidR="009700E5" w:rsidRDefault="002C033C">
            <w:pPr>
              <w:rPr>
                <w:del w:id="3222" w:author="Author" w:date="2025-07-24T11:08:00Z"/>
                <w:szCs w:val="22"/>
              </w:rPr>
            </w:pPr>
            <w:del w:id="3223" w:author="Author" w:date="2025-07-24T11:08:00Z">
              <w:r>
                <w:rPr>
                  <w:szCs w:val="22"/>
                </w:rPr>
                <w:delText>Roche d.o.o</w:delText>
              </w:r>
            </w:del>
          </w:p>
          <w:p w14:paraId="36388824" w14:textId="77777777" w:rsidR="009700E5" w:rsidRDefault="002C033C">
            <w:pPr>
              <w:autoSpaceDE w:val="0"/>
              <w:autoSpaceDN w:val="0"/>
              <w:adjustRightInd w:val="0"/>
              <w:rPr>
                <w:del w:id="3224" w:author="Author" w:date="2025-07-24T11:08:00Z"/>
                <w:b/>
                <w:szCs w:val="22"/>
              </w:rPr>
            </w:pPr>
            <w:del w:id="3225" w:author="Author" w:date="2025-07-24T11:08:00Z">
              <w:r>
                <w:rPr>
                  <w:szCs w:val="22"/>
                </w:rPr>
                <w:delText>Tel: +385 1 47 22 333</w:delText>
              </w:r>
            </w:del>
          </w:p>
        </w:tc>
        <w:tc>
          <w:tcPr>
            <w:tcW w:w="4590" w:type="dxa"/>
          </w:tcPr>
          <w:p w14:paraId="31CBB00F" w14:textId="77777777" w:rsidR="009700E5" w:rsidRDefault="002C033C">
            <w:pPr>
              <w:tabs>
                <w:tab w:val="left" w:pos="-720"/>
                <w:tab w:val="left" w:pos="567"/>
                <w:tab w:val="left" w:pos="4536"/>
              </w:tabs>
              <w:suppressAutoHyphens/>
              <w:spacing w:line="260" w:lineRule="exact"/>
              <w:rPr>
                <w:del w:id="3226" w:author="Author" w:date="2025-07-24T11:08:00Z"/>
                <w:b/>
                <w:szCs w:val="22"/>
              </w:rPr>
            </w:pPr>
            <w:del w:id="3227" w:author="Author" w:date="2025-07-24T11:08:00Z">
              <w:r>
                <w:rPr>
                  <w:b/>
                  <w:szCs w:val="22"/>
                </w:rPr>
                <w:delText>România</w:delText>
              </w:r>
            </w:del>
          </w:p>
          <w:p w14:paraId="6E2E0743" w14:textId="77777777" w:rsidR="009700E5" w:rsidRDefault="002C033C">
            <w:pPr>
              <w:tabs>
                <w:tab w:val="left" w:pos="-720"/>
                <w:tab w:val="left" w:pos="4536"/>
              </w:tabs>
              <w:suppressAutoHyphens/>
              <w:rPr>
                <w:del w:id="3228" w:author="Author" w:date="2025-07-24T11:08:00Z"/>
                <w:szCs w:val="22"/>
              </w:rPr>
            </w:pPr>
            <w:del w:id="3229" w:author="Author" w:date="2025-07-24T11:08:00Z">
              <w:r>
                <w:rPr>
                  <w:szCs w:val="22"/>
                </w:rPr>
                <w:delText>Roche România S.R.L.</w:delText>
              </w:r>
            </w:del>
          </w:p>
          <w:p w14:paraId="76D9910B" w14:textId="77777777" w:rsidR="009700E5" w:rsidRDefault="002C033C">
            <w:pPr>
              <w:tabs>
                <w:tab w:val="left" w:pos="-720"/>
                <w:tab w:val="left" w:pos="4536"/>
              </w:tabs>
              <w:suppressAutoHyphens/>
              <w:rPr>
                <w:del w:id="3230" w:author="Author" w:date="2025-07-24T11:08:00Z"/>
                <w:szCs w:val="22"/>
              </w:rPr>
            </w:pPr>
            <w:del w:id="3231" w:author="Author" w:date="2025-07-24T11:08:00Z">
              <w:r>
                <w:rPr>
                  <w:szCs w:val="22"/>
                </w:rPr>
                <w:delText>Tel: +40 21 206 47 01</w:delText>
              </w:r>
            </w:del>
          </w:p>
          <w:p w14:paraId="139E4F01" w14:textId="77777777" w:rsidR="009700E5" w:rsidRDefault="009700E5">
            <w:pPr>
              <w:tabs>
                <w:tab w:val="left" w:pos="-720"/>
                <w:tab w:val="left" w:pos="4536"/>
              </w:tabs>
              <w:suppressAutoHyphens/>
              <w:rPr>
                <w:del w:id="3232" w:author="Author" w:date="2025-07-24T11:08:00Z"/>
                <w:szCs w:val="22"/>
              </w:rPr>
            </w:pPr>
          </w:p>
        </w:tc>
      </w:tr>
      <w:tr w:rsidR="009700E5" w14:paraId="431BC0A5" w14:textId="77777777">
        <w:trPr>
          <w:cantSplit/>
          <w:del w:id="3233" w:author="Author" w:date="2025-07-24T11:08:00Z"/>
        </w:trPr>
        <w:tc>
          <w:tcPr>
            <w:tcW w:w="4590" w:type="dxa"/>
          </w:tcPr>
          <w:p w14:paraId="13393CEA" w14:textId="77777777" w:rsidR="009700E5" w:rsidRDefault="009700E5">
            <w:pPr>
              <w:rPr>
                <w:del w:id="3234" w:author="Author" w:date="2025-07-24T11:08:00Z"/>
                <w:b/>
                <w:szCs w:val="22"/>
              </w:rPr>
            </w:pPr>
          </w:p>
          <w:p w14:paraId="15E29223" w14:textId="77777777" w:rsidR="009700E5" w:rsidRDefault="002C033C">
            <w:pPr>
              <w:rPr>
                <w:del w:id="3235" w:author="Author" w:date="2025-07-24T11:08:00Z"/>
                <w:b/>
                <w:szCs w:val="22"/>
              </w:rPr>
            </w:pPr>
            <w:del w:id="3236" w:author="Author" w:date="2025-07-24T11:08:00Z">
              <w:r>
                <w:rPr>
                  <w:b/>
                  <w:szCs w:val="22"/>
                </w:rPr>
                <w:delText>Ireland</w:delText>
              </w:r>
            </w:del>
          </w:p>
          <w:p w14:paraId="300CF3E0" w14:textId="77777777" w:rsidR="009700E5" w:rsidRDefault="002C033C">
            <w:pPr>
              <w:rPr>
                <w:del w:id="3237" w:author="Author" w:date="2025-07-24T11:08:00Z"/>
                <w:szCs w:val="22"/>
              </w:rPr>
            </w:pPr>
            <w:del w:id="3238" w:author="Author" w:date="2025-07-24T11:08:00Z">
              <w:r>
                <w:rPr>
                  <w:szCs w:val="22"/>
                </w:rPr>
                <w:delText>Roche Products (Ireland) Ltd.</w:delText>
              </w:r>
            </w:del>
          </w:p>
          <w:p w14:paraId="7BF4A3D3" w14:textId="77777777" w:rsidR="009700E5" w:rsidRDefault="002C033C">
            <w:pPr>
              <w:rPr>
                <w:del w:id="3239" w:author="Author" w:date="2025-07-24T11:08:00Z"/>
                <w:szCs w:val="22"/>
              </w:rPr>
            </w:pPr>
            <w:del w:id="3240" w:author="Author" w:date="2025-07-24T11:08:00Z">
              <w:r>
                <w:rPr>
                  <w:szCs w:val="22"/>
                </w:rPr>
                <w:delText>Tel: +353 (0) 1 469 0700</w:delText>
              </w:r>
            </w:del>
          </w:p>
          <w:p w14:paraId="733DD27B" w14:textId="77777777" w:rsidR="009700E5" w:rsidRDefault="009700E5">
            <w:pPr>
              <w:rPr>
                <w:del w:id="3241" w:author="Author" w:date="2025-07-24T11:08:00Z"/>
                <w:szCs w:val="22"/>
              </w:rPr>
            </w:pPr>
          </w:p>
        </w:tc>
        <w:tc>
          <w:tcPr>
            <w:tcW w:w="4590" w:type="dxa"/>
          </w:tcPr>
          <w:p w14:paraId="25C0AA34" w14:textId="77777777" w:rsidR="009700E5" w:rsidRDefault="002C033C">
            <w:pPr>
              <w:rPr>
                <w:del w:id="3242" w:author="Author" w:date="2025-07-24T11:08:00Z"/>
                <w:b/>
                <w:szCs w:val="22"/>
              </w:rPr>
            </w:pPr>
            <w:del w:id="3243" w:author="Author" w:date="2025-07-24T11:08:00Z">
              <w:r>
                <w:rPr>
                  <w:b/>
                  <w:szCs w:val="22"/>
                </w:rPr>
                <w:delText>Slovenija</w:delText>
              </w:r>
            </w:del>
          </w:p>
          <w:p w14:paraId="6B4E478F" w14:textId="77777777" w:rsidR="009700E5" w:rsidRDefault="002C033C">
            <w:pPr>
              <w:rPr>
                <w:del w:id="3244" w:author="Author" w:date="2025-07-24T11:08:00Z"/>
                <w:szCs w:val="22"/>
              </w:rPr>
            </w:pPr>
            <w:del w:id="3245" w:author="Author" w:date="2025-07-24T11:08:00Z">
              <w:r>
                <w:rPr>
                  <w:szCs w:val="22"/>
                </w:rPr>
                <w:delText>Roche farmacevtska družba d.o.o.</w:delText>
              </w:r>
            </w:del>
          </w:p>
          <w:p w14:paraId="351C1B68" w14:textId="77777777" w:rsidR="009700E5" w:rsidRDefault="002C033C">
            <w:pPr>
              <w:rPr>
                <w:del w:id="3246" w:author="Author" w:date="2025-07-24T11:08:00Z"/>
                <w:rFonts w:eastAsia="MS Mincho"/>
                <w:szCs w:val="22"/>
              </w:rPr>
            </w:pPr>
            <w:del w:id="3247" w:author="Author" w:date="2025-07-24T11:08:00Z">
              <w:r>
                <w:rPr>
                  <w:rFonts w:eastAsia="MS Mincho"/>
                  <w:szCs w:val="22"/>
                </w:rPr>
                <w:delText>Tel: +386 - 1 360 26 00</w:delText>
              </w:r>
            </w:del>
          </w:p>
          <w:p w14:paraId="12543256" w14:textId="77777777" w:rsidR="009700E5" w:rsidRDefault="009700E5">
            <w:pPr>
              <w:rPr>
                <w:del w:id="3248" w:author="Author" w:date="2025-07-24T11:08:00Z"/>
                <w:szCs w:val="22"/>
              </w:rPr>
            </w:pPr>
          </w:p>
        </w:tc>
      </w:tr>
      <w:tr w:rsidR="009700E5" w14:paraId="04184554" w14:textId="77777777">
        <w:trPr>
          <w:cantSplit/>
          <w:del w:id="3249" w:author="Author" w:date="2025-07-24T11:08:00Z"/>
        </w:trPr>
        <w:tc>
          <w:tcPr>
            <w:tcW w:w="4590" w:type="dxa"/>
          </w:tcPr>
          <w:p w14:paraId="1ABA44A6" w14:textId="77777777" w:rsidR="009700E5" w:rsidRDefault="002C033C">
            <w:pPr>
              <w:tabs>
                <w:tab w:val="left" w:pos="720"/>
              </w:tabs>
              <w:rPr>
                <w:del w:id="3250" w:author="Author" w:date="2025-07-24T11:08:00Z"/>
                <w:b/>
                <w:snapToGrid w:val="0"/>
                <w:szCs w:val="22"/>
              </w:rPr>
            </w:pPr>
            <w:del w:id="3251" w:author="Author" w:date="2025-07-24T11:08:00Z">
              <w:r>
                <w:rPr>
                  <w:b/>
                  <w:snapToGrid w:val="0"/>
                  <w:szCs w:val="22"/>
                </w:rPr>
                <w:delText>Ísland</w:delText>
              </w:r>
            </w:del>
          </w:p>
          <w:p w14:paraId="76E84B73" w14:textId="77777777" w:rsidR="009700E5" w:rsidRDefault="002C033C">
            <w:pPr>
              <w:tabs>
                <w:tab w:val="left" w:pos="720"/>
              </w:tabs>
              <w:rPr>
                <w:del w:id="3252" w:author="Author" w:date="2025-07-24T11:08:00Z"/>
                <w:snapToGrid w:val="0"/>
                <w:szCs w:val="22"/>
              </w:rPr>
            </w:pPr>
            <w:del w:id="3253" w:author="Author" w:date="2025-07-24T11:08:00Z">
              <w:r>
                <w:rPr>
                  <w:snapToGrid w:val="0"/>
                  <w:szCs w:val="22"/>
                </w:rPr>
                <w:delText xml:space="preserve">Roche </w:delText>
              </w:r>
              <w:r>
                <w:rPr>
                  <w:szCs w:val="22"/>
                </w:rPr>
                <w:delText>Pharmaceuticals A/S</w:delText>
              </w:r>
            </w:del>
          </w:p>
          <w:p w14:paraId="48A36EFE" w14:textId="77777777" w:rsidR="009700E5" w:rsidRDefault="002C033C">
            <w:pPr>
              <w:tabs>
                <w:tab w:val="left" w:pos="720"/>
              </w:tabs>
              <w:rPr>
                <w:del w:id="3254" w:author="Author" w:date="2025-07-24T11:08:00Z"/>
                <w:snapToGrid w:val="0"/>
                <w:szCs w:val="22"/>
              </w:rPr>
            </w:pPr>
            <w:del w:id="3255" w:author="Author" w:date="2025-07-24T11:08:00Z">
              <w:r>
                <w:rPr>
                  <w:szCs w:val="22"/>
                </w:rPr>
                <w:delText>c/o Icepharma hf</w:delText>
              </w:r>
            </w:del>
          </w:p>
          <w:p w14:paraId="40E5D59F" w14:textId="77777777" w:rsidR="009700E5" w:rsidRPr="009700E5" w:rsidRDefault="002C033C">
            <w:pPr>
              <w:rPr>
                <w:del w:id="3256" w:author="Author" w:date="2025-07-24T11:08:00Z"/>
                <w:snapToGrid w:val="0"/>
                <w:szCs w:val="22"/>
                <w:rPrChange w:id="3257" w:author="Author" w:date="2025-08-22T15:12:00Z">
                  <w:rPr>
                    <w:del w:id="3258" w:author="Author" w:date="2025-07-24T11:08:00Z"/>
                    <w:rFonts w:ascii="Arial" w:hAnsi="Arial"/>
                    <w:snapToGrid w:val="0"/>
                  </w:rPr>
                </w:rPrChange>
              </w:rPr>
            </w:pPr>
            <w:del w:id="3259" w:author="Author" w:date="2025-07-24T11:08:00Z">
              <w:r>
                <w:rPr>
                  <w:szCs w:val="22"/>
                </w:rPr>
                <w:delText>Sími</w:delText>
              </w:r>
              <w:r>
                <w:rPr>
                  <w:snapToGrid w:val="0"/>
                  <w:szCs w:val="22"/>
                </w:rPr>
                <w:delText>: +354 540 8000</w:delText>
              </w:r>
            </w:del>
          </w:p>
          <w:p w14:paraId="4C411C50" w14:textId="77777777" w:rsidR="009700E5" w:rsidRDefault="009700E5">
            <w:pPr>
              <w:tabs>
                <w:tab w:val="left" w:pos="720"/>
              </w:tabs>
              <w:autoSpaceDE w:val="0"/>
              <w:autoSpaceDN w:val="0"/>
              <w:adjustRightInd w:val="0"/>
              <w:rPr>
                <w:del w:id="3260" w:author="Author" w:date="2025-07-24T11:08:00Z"/>
                <w:b/>
                <w:szCs w:val="22"/>
              </w:rPr>
            </w:pPr>
          </w:p>
        </w:tc>
        <w:tc>
          <w:tcPr>
            <w:tcW w:w="4590" w:type="dxa"/>
          </w:tcPr>
          <w:p w14:paraId="78E803F3" w14:textId="77777777" w:rsidR="009700E5" w:rsidRDefault="002C033C">
            <w:pPr>
              <w:rPr>
                <w:del w:id="3261" w:author="Author" w:date="2025-07-24T11:08:00Z"/>
                <w:b/>
                <w:szCs w:val="22"/>
              </w:rPr>
            </w:pPr>
            <w:del w:id="3262" w:author="Author" w:date="2025-07-24T11:08:00Z">
              <w:r>
                <w:rPr>
                  <w:b/>
                  <w:szCs w:val="22"/>
                </w:rPr>
                <w:delText>Slovenská republika</w:delText>
              </w:r>
            </w:del>
          </w:p>
          <w:p w14:paraId="77EC67C7" w14:textId="77777777" w:rsidR="009700E5" w:rsidRDefault="002C033C">
            <w:pPr>
              <w:rPr>
                <w:del w:id="3263" w:author="Author" w:date="2025-07-24T11:08:00Z"/>
                <w:szCs w:val="22"/>
              </w:rPr>
            </w:pPr>
            <w:del w:id="3264" w:author="Author" w:date="2025-07-24T11:08:00Z">
              <w:r>
                <w:rPr>
                  <w:szCs w:val="22"/>
                </w:rPr>
                <w:delText>Roche Slovensko, s.r.o.</w:delText>
              </w:r>
            </w:del>
          </w:p>
          <w:p w14:paraId="435629B7" w14:textId="77777777" w:rsidR="009700E5" w:rsidRDefault="002C033C">
            <w:pPr>
              <w:rPr>
                <w:del w:id="3265" w:author="Author" w:date="2025-07-24T11:08:00Z"/>
                <w:szCs w:val="22"/>
              </w:rPr>
            </w:pPr>
            <w:del w:id="3266" w:author="Author" w:date="2025-07-24T11:08:00Z">
              <w:r>
                <w:rPr>
                  <w:szCs w:val="22"/>
                </w:rPr>
                <w:delText>Tel: +421 - 2 52638201</w:delText>
              </w:r>
            </w:del>
          </w:p>
          <w:p w14:paraId="5B8B2506" w14:textId="77777777" w:rsidR="009700E5" w:rsidRDefault="009700E5">
            <w:pPr>
              <w:rPr>
                <w:del w:id="3267" w:author="Author" w:date="2025-07-24T11:08:00Z"/>
                <w:b/>
                <w:szCs w:val="22"/>
              </w:rPr>
            </w:pPr>
          </w:p>
        </w:tc>
      </w:tr>
      <w:tr w:rsidR="009700E5" w14:paraId="614AB442" w14:textId="77777777">
        <w:trPr>
          <w:cantSplit/>
          <w:del w:id="3268" w:author="Author" w:date="2025-07-24T11:08:00Z"/>
        </w:trPr>
        <w:tc>
          <w:tcPr>
            <w:tcW w:w="4590" w:type="dxa"/>
          </w:tcPr>
          <w:p w14:paraId="32285B71" w14:textId="77777777" w:rsidR="009700E5" w:rsidRDefault="002C033C">
            <w:pPr>
              <w:rPr>
                <w:del w:id="3269" w:author="Author" w:date="2025-07-24T11:08:00Z"/>
                <w:szCs w:val="22"/>
              </w:rPr>
            </w:pPr>
            <w:del w:id="3270" w:author="Author" w:date="2025-07-24T11:08:00Z">
              <w:r>
                <w:rPr>
                  <w:b/>
                  <w:szCs w:val="22"/>
                </w:rPr>
                <w:delText>Italia</w:delText>
              </w:r>
            </w:del>
          </w:p>
          <w:p w14:paraId="5148D32B" w14:textId="77777777" w:rsidR="009700E5" w:rsidRDefault="002C033C">
            <w:pPr>
              <w:rPr>
                <w:del w:id="3271" w:author="Author" w:date="2025-07-24T11:08:00Z"/>
                <w:szCs w:val="22"/>
              </w:rPr>
            </w:pPr>
            <w:del w:id="3272" w:author="Author" w:date="2025-07-24T11:08:00Z">
              <w:r>
                <w:rPr>
                  <w:szCs w:val="22"/>
                </w:rPr>
                <w:delText>Roche S.p.A.</w:delText>
              </w:r>
            </w:del>
          </w:p>
          <w:p w14:paraId="71D9FFA5" w14:textId="77777777" w:rsidR="009700E5" w:rsidRDefault="002C033C">
            <w:pPr>
              <w:rPr>
                <w:del w:id="3273" w:author="Author" w:date="2025-07-24T11:08:00Z"/>
                <w:b/>
                <w:szCs w:val="22"/>
              </w:rPr>
            </w:pPr>
            <w:del w:id="3274" w:author="Author" w:date="2025-07-24T11:08:00Z">
              <w:r>
                <w:rPr>
                  <w:szCs w:val="22"/>
                </w:rPr>
                <w:delText>Tel: +39 - 039 2471</w:delText>
              </w:r>
            </w:del>
          </w:p>
        </w:tc>
        <w:tc>
          <w:tcPr>
            <w:tcW w:w="4590" w:type="dxa"/>
          </w:tcPr>
          <w:p w14:paraId="533153C7" w14:textId="77777777" w:rsidR="009700E5" w:rsidRDefault="002C033C">
            <w:pPr>
              <w:rPr>
                <w:del w:id="3275" w:author="Author" w:date="2025-07-24T11:08:00Z"/>
                <w:b/>
                <w:szCs w:val="22"/>
              </w:rPr>
            </w:pPr>
            <w:del w:id="3276" w:author="Author" w:date="2025-07-24T11:08:00Z">
              <w:r>
                <w:rPr>
                  <w:b/>
                  <w:szCs w:val="22"/>
                </w:rPr>
                <w:delText>Suomi/Finland</w:delText>
              </w:r>
            </w:del>
          </w:p>
          <w:p w14:paraId="2667D66E" w14:textId="77777777" w:rsidR="009700E5" w:rsidRDefault="002C033C">
            <w:pPr>
              <w:rPr>
                <w:del w:id="3277" w:author="Author" w:date="2025-07-24T11:08:00Z"/>
                <w:snapToGrid w:val="0"/>
                <w:szCs w:val="22"/>
              </w:rPr>
            </w:pPr>
            <w:del w:id="3278" w:author="Author" w:date="2025-07-24T11:08:00Z">
              <w:r>
                <w:rPr>
                  <w:szCs w:val="22"/>
                </w:rPr>
                <w:delText>Roche Oy</w:delText>
              </w:r>
              <w:r>
                <w:rPr>
                  <w:snapToGrid w:val="0"/>
                  <w:szCs w:val="22"/>
                </w:rPr>
                <w:delText xml:space="preserve"> </w:delText>
              </w:r>
            </w:del>
          </w:p>
          <w:p w14:paraId="789A0B54" w14:textId="77777777" w:rsidR="009700E5" w:rsidRDefault="002C033C">
            <w:pPr>
              <w:rPr>
                <w:del w:id="3279" w:author="Author" w:date="2025-07-24T11:08:00Z"/>
                <w:szCs w:val="22"/>
              </w:rPr>
            </w:pPr>
            <w:del w:id="3280" w:author="Author" w:date="2025-07-24T11:08:00Z">
              <w:r>
                <w:rPr>
                  <w:szCs w:val="22"/>
                </w:rPr>
                <w:delText>Puh/Tel: +358 (0) 10 554 500</w:delText>
              </w:r>
            </w:del>
          </w:p>
          <w:p w14:paraId="48B19FC2" w14:textId="77777777" w:rsidR="009700E5" w:rsidRDefault="009700E5">
            <w:pPr>
              <w:rPr>
                <w:del w:id="3281" w:author="Author" w:date="2025-07-24T11:08:00Z"/>
                <w:szCs w:val="22"/>
              </w:rPr>
            </w:pPr>
          </w:p>
        </w:tc>
      </w:tr>
      <w:tr w:rsidR="009700E5" w14:paraId="5493BE9A" w14:textId="77777777">
        <w:trPr>
          <w:cantSplit/>
          <w:del w:id="3282" w:author="Author" w:date="2025-07-24T11:08:00Z"/>
        </w:trPr>
        <w:tc>
          <w:tcPr>
            <w:tcW w:w="4590" w:type="dxa"/>
          </w:tcPr>
          <w:p w14:paraId="09F23F91" w14:textId="77777777" w:rsidR="009700E5" w:rsidRPr="009700E5" w:rsidRDefault="002C033C">
            <w:pPr>
              <w:rPr>
                <w:del w:id="3283" w:author="Author" w:date="2025-07-24T11:08:00Z"/>
                <w:szCs w:val="22"/>
                <w:rPrChange w:id="3284" w:author="Author" w:date="2025-08-22T15:12:00Z">
                  <w:rPr>
                    <w:del w:id="3285" w:author="Author" w:date="2025-07-24T11:08:00Z"/>
                    <w:rFonts w:ascii="Arial" w:hAnsi="Arial" w:cs="Arial"/>
                    <w:sz w:val="20"/>
                  </w:rPr>
                </w:rPrChange>
              </w:rPr>
            </w:pPr>
            <w:del w:id="3286" w:author="Author" w:date="2025-07-24T11:08:00Z">
              <w:r>
                <w:rPr>
                  <w:b/>
                  <w:szCs w:val="22"/>
                </w:rPr>
                <w:delText>Kύπρος</w:delText>
              </w:r>
            </w:del>
          </w:p>
          <w:p w14:paraId="2D7D4D42" w14:textId="77777777" w:rsidR="009700E5" w:rsidRDefault="002C033C">
            <w:pPr>
              <w:pStyle w:val="Standard1"/>
              <w:rPr>
                <w:del w:id="3287" w:author="Author" w:date="2025-07-24T11:08:00Z"/>
                <w:rFonts w:ascii="Times New Roman" w:hAnsi="Times New Roman"/>
                <w:noProof/>
                <w:sz w:val="22"/>
                <w:szCs w:val="22"/>
                <w:lang w:val="sk-SK"/>
              </w:rPr>
            </w:pPr>
            <w:del w:id="3288" w:author="Author" w:date="2025-07-24T11:08:00Z">
              <w:r>
                <w:rPr>
                  <w:rFonts w:ascii="Times New Roman" w:hAnsi="Times New Roman"/>
                  <w:noProof/>
                  <w:sz w:val="22"/>
                  <w:szCs w:val="22"/>
                  <w:lang w:val="sk-SK"/>
                </w:rPr>
                <w:delText>Roche (Hellas) A.E.</w:delText>
              </w:r>
            </w:del>
          </w:p>
          <w:p w14:paraId="3B099D91" w14:textId="77777777" w:rsidR="009700E5" w:rsidRDefault="002C033C">
            <w:pPr>
              <w:rPr>
                <w:del w:id="3289" w:author="Author" w:date="2025-07-24T11:08:00Z"/>
                <w:szCs w:val="22"/>
              </w:rPr>
            </w:pPr>
            <w:del w:id="3290" w:author="Author" w:date="2025-07-24T11:08:00Z">
              <w:r>
                <w:rPr>
                  <w:szCs w:val="22"/>
                </w:rPr>
                <w:delText>Τηλ: +30 210 61 66 100</w:delText>
              </w:r>
            </w:del>
          </w:p>
          <w:p w14:paraId="7AEE8D2D" w14:textId="77777777" w:rsidR="009700E5" w:rsidRDefault="009700E5">
            <w:pPr>
              <w:rPr>
                <w:del w:id="3291" w:author="Author" w:date="2025-07-24T11:08:00Z"/>
                <w:szCs w:val="22"/>
              </w:rPr>
            </w:pPr>
          </w:p>
        </w:tc>
        <w:tc>
          <w:tcPr>
            <w:tcW w:w="4590" w:type="dxa"/>
          </w:tcPr>
          <w:p w14:paraId="2CAAFED2" w14:textId="77777777" w:rsidR="009700E5" w:rsidRDefault="002C033C">
            <w:pPr>
              <w:rPr>
                <w:del w:id="3292" w:author="Author" w:date="2025-07-24T11:08:00Z"/>
                <w:szCs w:val="22"/>
              </w:rPr>
            </w:pPr>
            <w:del w:id="3293" w:author="Author" w:date="2025-07-24T11:08:00Z">
              <w:r>
                <w:rPr>
                  <w:b/>
                  <w:szCs w:val="22"/>
                </w:rPr>
                <w:delText>Sverige</w:delText>
              </w:r>
            </w:del>
          </w:p>
          <w:p w14:paraId="36FE815A" w14:textId="77777777" w:rsidR="009700E5" w:rsidRDefault="002C033C">
            <w:pPr>
              <w:rPr>
                <w:del w:id="3294" w:author="Author" w:date="2025-07-24T11:08:00Z"/>
                <w:szCs w:val="22"/>
              </w:rPr>
            </w:pPr>
            <w:del w:id="3295" w:author="Author" w:date="2025-07-24T11:08:00Z">
              <w:r>
                <w:rPr>
                  <w:szCs w:val="22"/>
                </w:rPr>
                <w:delText>Roche AB</w:delText>
              </w:r>
            </w:del>
          </w:p>
          <w:p w14:paraId="5CB522F9" w14:textId="77777777" w:rsidR="009700E5" w:rsidRDefault="002C033C">
            <w:pPr>
              <w:suppressAutoHyphens/>
              <w:rPr>
                <w:del w:id="3296" w:author="Author" w:date="2025-07-24T11:08:00Z"/>
                <w:szCs w:val="22"/>
              </w:rPr>
            </w:pPr>
            <w:del w:id="3297" w:author="Author" w:date="2025-07-24T11:08:00Z">
              <w:r>
                <w:rPr>
                  <w:szCs w:val="22"/>
                </w:rPr>
                <w:delText>Tel: +46 (0) 8 726 1200</w:delText>
              </w:r>
            </w:del>
          </w:p>
          <w:p w14:paraId="2C0B9D06" w14:textId="77777777" w:rsidR="009700E5" w:rsidRDefault="009700E5">
            <w:pPr>
              <w:rPr>
                <w:del w:id="3298" w:author="Author" w:date="2025-07-24T11:08:00Z"/>
                <w:szCs w:val="22"/>
              </w:rPr>
            </w:pPr>
          </w:p>
        </w:tc>
      </w:tr>
      <w:tr w:rsidR="009700E5" w14:paraId="18EA6444" w14:textId="77777777">
        <w:trPr>
          <w:cantSplit/>
          <w:del w:id="3299" w:author="Author" w:date="2025-07-24T11:08:00Z"/>
        </w:trPr>
        <w:tc>
          <w:tcPr>
            <w:tcW w:w="4590" w:type="dxa"/>
          </w:tcPr>
          <w:p w14:paraId="43040877" w14:textId="77777777" w:rsidR="009700E5" w:rsidRDefault="002C033C">
            <w:pPr>
              <w:keepNext/>
              <w:keepLines/>
              <w:rPr>
                <w:del w:id="3300" w:author="Author" w:date="2025-07-24T11:08:00Z"/>
                <w:b/>
                <w:szCs w:val="22"/>
              </w:rPr>
            </w:pPr>
            <w:del w:id="3301" w:author="Author" w:date="2025-07-24T11:08:00Z">
              <w:r>
                <w:rPr>
                  <w:b/>
                  <w:szCs w:val="22"/>
                </w:rPr>
                <w:lastRenderedPageBreak/>
                <w:delText>Latvija</w:delText>
              </w:r>
            </w:del>
          </w:p>
          <w:p w14:paraId="0CC59400" w14:textId="77777777" w:rsidR="009700E5" w:rsidRDefault="002C033C">
            <w:pPr>
              <w:keepNext/>
              <w:keepLines/>
              <w:rPr>
                <w:del w:id="3302" w:author="Author" w:date="2025-07-24T11:08:00Z"/>
                <w:szCs w:val="22"/>
              </w:rPr>
            </w:pPr>
            <w:del w:id="3303" w:author="Author" w:date="2025-07-24T11:08:00Z">
              <w:r>
                <w:rPr>
                  <w:bCs/>
                  <w:szCs w:val="22"/>
                </w:rPr>
                <w:delText>Roche Latvija SIA</w:delText>
              </w:r>
            </w:del>
          </w:p>
          <w:p w14:paraId="12CB8484" w14:textId="77777777" w:rsidR="009700E5" w:rsidRDefault="002C033C">
            <w:pPr>
              <w:keepNext/>
              <w:keepLines/>
              <w:rPr>
                <w:del w:id="3304" w:author="Author" w:date="2025-07-24T11:08:00Z"/>
                <w:szCs w:val="22"/>
              </w:rPr>
            </w:pPr>
            <w:del w:id="3305" w:author="Author" w:date="2025-07-24T11:08:00Z">
              <w:r>
                <w:rPr>
                  <w:szCs w:val="22"/>
                </w:rPr>
                <w:delText>Tel: +371 - 6 7039831</w:delText>
              </w:r>
            </w:del>
          </w:p>
          <w:p w14:paraId="24A77E7E" w14:textId="77777777" w:rsidR="009700E5" w:rsidRDefault="009700E5">
            <w:pPr>
              <w:keepNext/>
              <w:keepLines/>
              <w:rPr>
                <w:del w:id="3306" w:author="Author" w:date="2025-07-24T11:08:00Z"/>
                <w:b/>
                <w:szCs w:val="22"/>
              </w:rPr>
            </w:pPr>
          </w:p>
        </w:tc>
        <w:tc>
          <w:tcPr>
            <w:tcW w:w="4590" w:type="dxa"/>
          </w:tcPr>
          <w:p w14:paraId="48AC66A3" w14:textId="77777777" w:rsidR="009700E5" w:rsidRDefault="009700E5">
            <w:pPr>
              <w:keepNext/>
              <w:keepLines/>
              <w:rPr>
                <w:del w:id="3307" w:author="Author" w:date="2025-07-24T11:08:00Z"/>
                <w:szCs w:val="22"/>
              </w:rPr>
            </w:pPr>
          </w:p>
        </w:tc>
      </w:tr>
      <w:tr w:rsidR="009700E5" w14:paraId="718B160A" w14:textId="77777777">
        <w:trPr>
          <w:cantSplit/>
          <w:del w:id="3308" w:author="Author" w:date="2025-07-24T11:08:00Z"/>
        </w:trPr>
        <w:tc>
          <w:tcPr>
            <w:tcW w:w="4590" w:type="dxa"/>
          </w:tcPr>
          <w:p w14:paraId="73155180" w14:textId="77777777" w:rsidR="009700E5" w:rsidRDefault="002C033C">
            <w:pPr>
              <w:keepNext/>
              <w:keepLines/>
              <w:suppressAutoHyphens/>
              <w:rPr>
                <w:del w:id="3309" w:author="Author" w:date="2025-07-24T11:08:00Z"/>
                <w:b/>
                <w:szCs w:val="22"/>
              </w:rPr>
            </w:pPr>
            <w:del w:id="3310" w:author="Author" w:date="2025-07-24T11:08:00Z">
              <w:r>
                <w:rPr>
                  <w:b/>
                  <w:szCs w:val="22"/>
                </w:rPr>
                <w:delText>Lietuva</w:delText>
              </w:r>
            </w:del>
          </w:p>
          <w:p w14:paraId="13E4A2AC" w14:textId="77777777" w:rsidR="009700E5" w:rsidRDefault="002C033C">
            <w:pPr>
              <w:keepNext/>
              <w:keepLines/>
              <w:suppressAutoHyphens/>
              <w:rPr>
                <w:del w:id="3311" w:author="Author" w:date="2025-07-24T11:08:00Z"/>
                <w:szCs w:val="22"/>
              </w:rPr>
            </w:pPr>
            <w:del w:id="3312" w:author="Author" w:date="2025-07-24T11:08:00Z">
              <w:r>
                <w:rPr>
                  <w:szCs w:val="22"/>
                </w:rPr>
                <w:delText>UAB “Roche Lietuva”</w:delText>
              </w:r>
            </w:del>
          </w:p>
          <w:p w14:paraId="45416E09" w14:textId="77777777" w:rsidR="009700E5" w:rsidRDefault="002C033C">
            <w:pPr>
              <w:keepNext/>
              <w:keepLines/>
              <w:suppressAutoHyphens/>
              <w:rPr>
                <w:del w:id="3313" w:author="Author" w:date="2025-07-24T11:08:00Z"/>
                <w:szCs w:val="22"/>
              </w:rPr>
            </w:pPr>
            <w:del w:id="3314" w:author="Author" w:date="2025-07-24T11:08:00Z">
              <w:r>
                <w:rPr>
                  <w:szCs w:val="22"/>
                </w:rPr>
                <w:delText>Tel: +370 5 2546799</w:delText>
              </w:r>
            </w:del>
          </w:p>
          <w:p w14:paraId="7A272908" w14:textId="77777777" w:rsidR="009700E5" w:rsidRDefault="009700E5">
            <w:pPr>
              <w:keepNext/>
              <w:keepLines/>
              <w:rPr>
                <w:del w:id="3315" w:author="Author" w:date="2025-07-24T11:08:00Z"/>
                <w:szCs w:val="22"/>
              </w:rPr>
            </w:pPr>
          </w:p>
        </w:tc>
        <w:tc>
          <w:tcPr>
            <w:tcW w:w="4590" w:type="dxa"/>
          </w:tcPr>
          <w:p w14:paraId="4B5E08F9" w14:textId="77777777" w:rsidR="009700E5" w:rsidRDefault="009700E5">
            <w:pPr>
              <w:keepNext/>
              <w:keepLines/>
              <w:suppressAutoHyphens/>
              <w:rPr>
                <w:del w:id="3316" w:author="Author" w:date="2025-07-24T11:08:00Z"/>
                <w:szCs w:val="22"/>
              </w:rPr>
            </w:pPr>
          </w:p>
        </w:tc>
      </w:tr>
      <w:tr w:rsidR="009700E5" w14:paraId="3C70244E" w14:textId="77777777">
        <w:trPr>
          <w:cantSplit/>
          <w:trHeight w:val="1152"/>
          <w:ins w:id="3317" w:author="Author" w:date="2025-07-24T11:09:00Z"/>
        </w:trPr>
        <w:tc>
          <w:tcPr>
            <w:tcW w:w="4590" w:type="dxa"/>
          </w:tcPr>
          <w:p w14:paraId="7FD978D0" w14:textId="77777777" w:rsidR="009700E5" w:rsidRPr="009700E5" w:rsidRDefault="002C033C">
            <w:pPr>
              <w:pStyle w:val="Standard1"/>
              <w:rPr>
                <w:ins w:id="3318" w:author="Author" w:date="2025-07-24T11:09:00Z"/>
                <w:rFonts w:ascii="Times New Roman" w:hAnsi="Times New Roman"/>
                <w:b/>
                <w:noProof/>
                <w:sz w:val="22"/>
                <w:szCs w:val="22"/>
                <w:lang w:val="sk-SK"/>
                <w:rPrChange w:id="3319" w:author="Author" w:date="2025-08-22T15:12:00Z">
                  <w:rPr>
                    <w:ins w:id="3320" w:author="Author" w:date="2025-07-24T11:09:00Z"/>
                    <w:b/>
                    <w:lang w:val="de-DE"/>
                  </w:rPr>
                </w:rPrChange>
              </w:rPr>
            </w:pPr>
            <w:bookmarkStart w:id="3321" w:name="_Hlk204168037"/>
            <w:ins w:id="3322" w:author="Author" w:date="2025-07-24T11:09:00Z">
              <w:r>
                <w:rPr>
                  <w:rFonts w:ascii="Times New Roman" w:hAnsi="Times New Roman"/>
                  <w:b/>
                  <w:noProof/>
                  <w:sz w:val="22"/>
                  <w:szCs w:val="22"/>
                  <w:lang w:val="sk-SK"/>
                  <w:rPrChange w:id="3323" w:author="Author" w:date="2025-08-22T15:12:00Z">
                    <w:rPr>
                      <w:b/>
                      <w:lang w:val="de-DE"/>
                    </w:rPr>
                  </w:rPrChange>
                </w:rPr>
                <w:t>België/Belgique/Belgien</w:t>
              </w:r>
              <w:r>
                <w:rPr>
                  <w:rFonts w:ascii="Times New Roman" w:hAnsi="Times New Roman"/>
                  <w:b/>
                  <w:noProof/>
                  <w:sz w:val="22"/>
                  <w:szCs w:val="22"/>
                  <w:lang w:val="sk-SK"/>
                  <w:rPrChange w:id="3324" w:author="Author" w:date="2025-08-22T15:12:00Z">
                    <w:rPr>
                      <w:b/>
                      <w:szCs w:val="22"/>
                      <w:lang w:val="de-DE"/>
                    </w:rPr>
                  </w:rPrChange>
                </w:rPr>
                <w:t>,</w:t>
              </w:r>
            </w:ins>
          </w:p>
          <w:p w14:paraId="54FCB514" w14:textId="77777777" w:rsidR="009700E5" w:rsidRPr="009700E5" w:rsidRDefault="002C033C">
            <w:pPr>
              <w:pStyle w:val="Standard1"/>
              <w:suppressAutoHyphens/>
              <w:rPr>
                <w:ins w:id="3325" w:author="Author" w:date="2025-07-24T11:09:00Z"/>
                <w:rFonts w:ascii="Times New Roman" w:hAnsi="Times New Roman"/>
                <w:noProof/>
                <w:sz w:val="22"/>
                <w:szCs w:val="22"/>
                <w:lang w:val="sk-SK"/>
                <w:rPrChange w:id="3326" w:author="Author" w:date="2025-08-22T15:12:00Z">
                  <w:rPr>
                    <w:ins w:id="3327" w:author="Author" w:date="2025-07-24T11:09:00Z"/>
                    <w:lang w:val="de-DE"/>
                  </w:rPr>
                </w:rPrChange>
              </w:rPr>
            </w:pPr>
            <w:ins w:id="3328" w:author="Author" w:date="2025-07-24T11:09:00Z">
              <w:r>
                <w:rPr>
                  <w:rFonts w:ascii="Times New Roman" w:hAnsi="Times New Roman"/>
                  <w:b/>
                  <w:noProof/>
                  <w:sz w:val="22"/>
                  <w:szCs w:val="22"/>
                  <w:lang w:val="sk-SK"/>
                  <w:rPrChange w:id="3329" w:author="Author" w:date="2025-08-22T15:12:00Z">
                    <w:rPr>
                      <w:b/>
                      <w:lang w:val="de-DE"/>
                    </w:rPr>
                  </w:rPrChange>
                </w:rPr>
                <w:t>Luxembourg/Luxemburg</w:t>
              </w:r>
            </w:ins>
          </w:p>
          <w:p w14:paraId="7DBBA14B" w14:textId="77777777" w:rsidR="009700E5" w:rsidRPr="009700E5" w:rsidRDefault="002C033C">
            <w:pPr>
              <w:pStyle w:val="Standard1"/>
              <w:rPr>
                <w:ins w:id="3330" w:author="Author" w:date="2025-07-24T11:09:00Z"/>
                <w:rFonts w:ascii="Times New Roman" w:hAnsi="Times New Roman"/>
                <w:noProof/>
                <w:sz w:val="22"/>
                <w:szCs w:val="22"/>
                <w:lang w:val="sk-SK"/>
                <w:rPrChange w:id="3331" w:author="Author" w:date="2025-08-22T15:12:00Z">
                  <w:rPr>
                    <w:ins w:id="3332" w:author="Author" w:date="2025-07-24T11:09:00Z"/>
                    <w:lang w:val="de-DE"/>
                  </w:rPr>
                </w:rPrChange>
              </w:rPr>
            </w:pPr>
            <w:ins w:id="3333" w:author="Author" w:date="2025-07-24T11:09:00Z">
              <w:r>
                <w:rPr>
                  <w:rFonts w:ascii="Times New Roman" w:hAnsi="Times New Roman"/>
                  <w:noProof/>
                  <w:sz w:val="22"/>
                  <w:szCs w:val="22"/>
                  <w:lang w:val="sk-SK"/>
                  <w:rPrChange w:id="3334" w:author="Author" w:date="2025-08-22T15:12:00Z">
                    <w:rPr>
                      <w:lang w:val="de-DE"/>
                    </w:rPr>
                  </w:rPrChange>
                </w:rPr>
                <w:t>N.V. Roche S.A.</w:t>
              </w:r>
            </w:ins>
          </w:p>
          <w:p w14:paraId="2227C311" w14:textId="77777777" w:rsidR="009700E5" w:rsidRPr="009700E5" w:rsidRDefault="002C033C">
            <w:pPr>
              <w:pStyle w:val="Standard1"/>
              <w:rPr>
                <w:ins w:id="3335" w:author="Author" w:date="2025-07-24T11:09:00Z"/>
                <w:rFonts w:ascii="Times New Roman" w:hAnsi="Times New Roman"/>
                <w:bCs/>
                <w:noProof/>
                <w:sz w:val="22"/>
                <w:szCs w:val="22"/>
                <w:lang w:val="sk-SK"/>
                <w:rPrChange w:id="3336" w:author="Author" w:date="2025-08-22T15:12:00Z">
                  <w:rPr>
                    <w:ins w:id="3337" w:author="Author" w:date="2025-07-24T11:09:00Z"/>
                    <w:bCs/>
                    <w:noProof/>
                    <w:szCs w:val="22"/>
                  </w:rPr>
                </w:rPrChange>
              </w:rPr>
            </w:pPr>
            <w:ins w:id="3338" w:author="Author" w:date="2025-07-24T11:09:00Z">
              <w:r>
                <w:rPr>
                  <w:rFonts w:ascii="Times New Roman" w:hAnsi="Times New Roman"/>
                  <w:bCs/>
                  <w:noProof/>
                  <w:sz w:val="22"/>
                  <w:szCs w:val="22"/>
                  <w:lang w:val="sk-SK"/>
                  <w:rPrChange w:id="3339" w:author="Author" w:date="2025-08-22T15:12:00Z">
                    <w:rPr>
                      <w:bCs/>
                      <w:noProof/>
                      <w:szCs w:val="22"/>
                    </w:rPr>
                  </w:rPrChange>
                </w:rPr>
                <w:t>België/Belgique/Belgien</w:t>
              </w:r>
            </w:ins>
          </w:p>
          <w:p w14:paraId="6A7330B9" w14:textId="77777777" w:rsidR="009700E5" w:rsidRPr="009700E5" w:rsidRDefault="002C033C">
            <w:pPr>
              <w:pStyle w:val="Standard1"/>
              <w:rPr>
                <w:ins w:id="3340" w:author="Author" w:date="2025-07-24T11:09:00Z"/>
                <w:rFonts w:ascii="Times New Roman" w:hAnsi="Times New Roman"/>
                <w:noProof/>
                <w:sz w:val="22"/>
                <w:szCs w:val="22"/>
                <w:lang w:val="sk-SK"/>
                <w:rPrChange w:id="3341" w:author="Author" w:date="2025-08-22T15:12:00Z">
                  <w:rPr>
                    <w:ins w:id="3342" w:author="Author" w:date="2025-07-24T11:09:00Z"/>
                  </w:rPr>
                </w:rPrChange>
              </w:rPr>
            </w:pPr>
            <w:ins w:id="3343" w:author="Author" w:date="2025-07-24T11:09:00Z">
              <w:r>
                <w:rPr>
                  <w:rFonts w:ascii="Times New Roman" w:hAnsi="Times New Roman"/>
                  <w:noProof/>
                  <w:sz w:val="22"/>
                  <w:szCs w:val="22"/>
                  <w:lang w:val="sk-SK"/>
                  <w:rPrChange w:id="3344" w:author="Author" w:date="2025-08-22T15:12:00Z">
                    <w:rPr/>
                  </w:rPrChange>
                </w:rPr>
                <w:t>Tél/Tel: +32 (0) 2 525 82 11</w:t>
              </w:r>
            </w:ins>
          </w:p>
          <w:p w14:paraId="60212955" w14:textId="77777777" w:rsidR="009700E5" w:rsidRPr="009700E5" w:rsidRDefault="009700E5">
            <w:pPr>
              <w:pStyle w:val="Standard1"/>
              <w:rPr>
                <w:ins w:id="3345" w:author="Author" w:date="2025-07-24T11:09:00Z"/>
                <w:rFonts w:ascii="Times New Roman" w:hAnsi="Times New Roman"/>
                <w:b/>
                <w:noProof/>
                <w:sz w:val="22"/>
                <w:szCs w:val="22"/>
                <w:lang w:val="sk-SK"/>
                <w:rPrChange w:id="3346" w:author="Author" w:date="2025-08-22T15:12:00Z">
                  <w:rPr>
                    <w:ins w:id="3347" w:author="Author" w:date="2025-07-24T11:09:00Z"/>
                    <w:b/>
                  </w:rPr>
                </w:rPrChange>
              </w:rPr>
            </w:pPr>
          </w:p>
        </w:tc>
        <w:tc>
          <w:tcPr>
            <w:tcW w:w="4590" w:type="dxa"/>
          </w:tcPr>
          <w:p w14:paraId="733B92F1" w14:textId="77777777" w:rsidR="009700E5" w:rsidRPr="009700E5" w:rsidRDefault="002C033C">
            <w:pPr>
              <w:pStyle w:val="Standard1"/>
              <w:rPr>
                <w:ins w:id="3348" w:author="Author" w:date="2025-07-24T11:09:00Z"/>
                <w:rFonts w:ascii="Times New Roman" w:hAnsi="Times New Roman"/>
                <w:b/>
                <w:noProof/>
                <w:sz w:val="22"/>
                <w:szCs w:val="22"/>
                <w:lang w:val="sk-SK"/>
                <w:rPrChange w:id="3349" w:author="Author" w:date="2025-08-22T15:12:00Z">
                  <w:rPr>
                    <w:ins w:id="3350" w:author="Author" w:date="2025-07-24T11:09:00Z"/>
                    <w:b/>
                    <w:noProof/>
                    <w:szCs w:val="22"/>
                    <w:lang w:val="it-IT"/>
                  </w:rPr>
                </w:rPrChange>
              </w:rPr>
            </w:pPr>
            <w:ins w:id="3351" w:author="Author" w:date="2025-07-24T11:09:00Z">
              <w:r>
                <w:rPr>
                  <w:rFonts w:ascii="Times New Roman" w:hAnsi="Times New Roman"/>
                  <w:b/>
                  <w:noProof/>
                  <w:sz w:val="22"/>
                  <w:szCs w:val="22"/>
                  <w:lang w:val="sk-SK"/>
                  <w:rPrChange w:id="3352" w:author="Author" w:date="2025-08-22T15:12:00Z">
                    <w:rPr>
                      <w:b/>
                      <w:noProof/>
                      <w:szCs w:val="22"/>
                      <w:lang w:val="it-IT"/>
                    </w:rPr>
                  </w:rPrChange>
                </w:rPr>
                <w:t>Latvija</w:t>
              </w:r>
            </w:ins>
          </w:p>
          <w:p w14:paraId="4F812B6D" w14:textId="77777777" w:rsidR="009700E5" w:rsidRPr="009700E5" w:rsidRDefault="002C033C">
            <w:pPr>
              <w:pStyle w:val="Standard1"/>
              <w:rPr>
                <w:ins w:id="3353" w:author="Author" w:date="2025-07-24T11:09:00Z"/>
                <w:rFonts w:ascii="Times New Roman" w:hAnsi="Times New Roman"/>
                <w:noProof/>
                <w:sz w:val="22"/>
                <w:szCs w:val="22"/>
                <w:lang w:val="sk-SK"/>
                <w:rPrChange w:id="3354" w:author="Author" w:date="2025-08-22T15:12:00Z">
                  <w:rPr>
                    <w:ins w:id="3355" w:author="Author" w:date="2025-07-24T11:09:00Z"/>
                    <w:noProof/>
                    <w:szCs w:val="22"/>
                    <w:lang w:val="it-IT"/>
                  </w:rPr>
                </w:rPrChange>
              </w:rPr>
            </w:pPr>
            <w:ins w:id="3356" w:author="Author" w:date="2025-07-24T11:09:00Z">
              <w:r>
                <w:rPr>
                  <w:rFonts w:ascii="Times New Roman" w:hAnsi="Times New Roman"/>
                  <w:bCs/>
                  <w:noProof/>
                  <w:sz w:val="22"/>
                  <w:szCs w:val="22"/>
                  <w:lang w:val="sk-SK"/>
                  <w:rPrChange w:id="3357" w:author="Author" w:date="2025-08-22T15:12:00Z">
                    <w:rPr>
                      <w:bCs/>
                      <w:noProof/>
                      <w:szCs w:val="22"/>
                      <w:lang w:val="it-IT"/>
                    </w:rPr>
                  </w:rPrChange>
                </w:rPr>
                <w:t>Roche Latvija SIA</w:t>
              </w:r>
            </w:ins>
          </w:p>
          <w:p w14:paraId="296BC273" w14:textId="77777777" w:rsidR="009700E5" w:rsidRPr="009700E5" w:rsidRDefault="002C033C">
            <w:pPr>
              <w:pStyle w:val="Standard1"/>
              <w:rPr>
                <w:ins w:id="3358" w:author="Author" w:date="2025-07-24T11:09:00Z"/>
                <w:rFonts w:ascii="Times New Roman" w:hAnsi="Times New Roman"/>
                <w:noProof/>
                <w:sz w:val="22"/>
                <w:szCs w:val="22"/>
                <w:lang w:val="sk-SK"/>
                <w:rPrChange w:id="3359" w:author="Author" w:date="2025-08-22T15:12:00Z">
                  <w:rPr>
                    <w:ins w:id="3360" w:author="Author" w:date="2025-07-24T11:09:00Z"/>
                    <w:noProof/>
                    <w:szCs w:val="22"/>
                    <w:lang w:val="it-IT"/>
                  </w:rPr>
                </w:rPrChange>
              </w:rPr>
            </w:pPr>
            <w:ins w:id="3361" w:author="Author" w:date="2025-07-24T11:09:00Z">
              <w:r>
                <w:rPr>
                  <w:rFonts w:ascii="Times New Roman" w:hAnsi="Times New Roman"/>
                  <w:noProof/>
                  <w:sz w:val="22"/>
                  <w:szCs w:val="22"/>
                  <w:lang w:val="sk-SK"/>
                  <w:rPrChange w:id="3362" w:author="Author" w:date="2025-08-22T15:12:00Z">
                    <w:rPr>
                      <w:noProof/>
                      <w:szCs w:val="22"/>
                      <w:lang w:val="it-IT"/>
                    </w:rPr>
                  </w:rPrChange>
                </w:rPr>
                <w:t>Tel: +371 - 6 7039831</w:t>
              </w:r>
            </w:ins>
          </w:p>
          <w:p w14:paraId="260F850E" w14:textId="77777777" w:rsidR="009700E5" w:rsidRPr="009700E5" w:rsidRDefault="009700E5">
            <w:pPr>
              <w:pStyle w:val="Standard1"/>
              <w:suppressAutoHyphens/>
              <w:rPr>
                <w:ins w:id="3363" w:author="Author" w:date="2025-07-24T11:09:00Z"/>
                <w:rFonts w:ascii="Times New Roman" w:hAnsi="Times New Roman"/>
                <w:b/>
                <w:noProof/>
                <w:sz w:val="22"/>
                <w:szCs w:val="22"/>
                <w:lang w:val="sk-SK"/>
                <w:rPrChange w:id="3364" w:author="Author" w:date="2025-08-22T15:12:00Z">
                  <w:rPr>
                    <w:ins w:id="3365" w:author="Author" w:date="2025-07-24T11:09:00Z"/>
                    <w:b/>
                    <w:lang w:val="it-IT"/>
                  </w:rPr>
                </w:rPrChange>
              </w:rPr>
            </w:pPr>
          </w:p>
        </w:tc>
      </w:tr>
      <w:tr w:rsidR="009700E5" w14:paraId="5EE026C6" w14:textId="77777777">
        <w:trPr>
          <w:cantSplit/>
          <w:ins w:id="3366" w:author="Author" w:date="2025-07-24T11:09:00Z"/>
        </w:trPr>
        <w:tc>
          <w:tcPr>
            <w:tcW w:w="4590" w:type="dxa"/>
          </w:tcPr>
          <w:p w14:paraId="352DA359" w14:textId="77777777" w:rsidR="009700E5" w:rsidRPr="009700E5" w:rsidRDefault="002C033C">
            <w:pPr>
              <w:pStyle w:val="Standard1"/>
              <w:rPr>
                <w:ins w:id="3367" w:author="Author" w:date="2025-07-24T11:09:00Z"/>
                <w:rFonts w:ascii="Times New Roman" w:hAnsi="Times New Roman"/>
                <w:b/>
                <w:noProof/>
                <w:sz w:val="22"/>
                <w:szCs w:val="22"/>
                <w:lang w:val="sk-SK"/>
                <w:rPrChange w:id="3368" w:author="Author" w:date="2025-08-22T15:12:00Z">
                  <w:rPr>
                    <w:ins w:id="3369" w:author="Author" w:date="2025-07-24T11:09:00Z"/>
                    <w:b/>
                    <w:lang w:val="it-IT"/>
                  </w:rPr>
                </w:rPrChange>
              </w:rPr>
            </w:pPr>
            <w:ins w:id="3370" w:author="Author" w:date="2025-07-24T11:09:00Z">
              <w:r>
                <w:rPr>
                  <w:rFonts w:ascii="Times New Roman" w:hAnsi="Times New Roman"/>
                  <w:b/>
                  <w:bCs/>
                  <w:noProof/>
                  <w:sz w:val="22"/>
                  <w:szCs w:val="22"/>
                  <w:lang w:val="sk-SK"/>
                  <w:rPrChange w:id="3371" w:author="Author" w:date="2025-08-22T15:12:00Z">
                    <w:rPr>
                      <w:b/>
                      <w:bCs/>
                      <w:szCs w:val="22"/>
                      <w:lang w:val="en-GB"/>
                    </w:rPr>
                  </w:rPrChange>
                </w:rPr>
                <w:t>България</w:t>
              </w:r>
            </w:ins>
          </w:p>
          <w:p w14:paraId="32E04D19" w14:textId="77777777" w:rsidR="009700E5" w:rsidRPr="009700E5" w:rsidRDefault="002C033C">
            <w:pPr>
              <w:pStyle w:val="Standard1"/>
              <w:suppressAutoHyphens/>
              <w:rPr>
                <w:ins w:id="3372" w:author="Author" w:date="2025-07-24T11:09:00Z"/>
                <w:rFonts w:ascii="Times New Roman" w:hAnsi="Times New Roman"/>
                <w:noProof/>
                <w:sz w:val="22"/>
                <w:szCs w:val="22"/>
                <w:lang w:val="sk-SK"/>
                <w:rPrChange w:id="3373" w:author="Author" w:date="2025-08-22T15:12:00Z">
                  <w:rPr>
                    <w:ins w:id="3374" w:author="Author" w:date="2025-07-24T11:09:00Z"/>
                    <w:lang w:val="it-IT"/>
                  </w:rPr>
                </w:rPrChange>
              </w:rPr>
            </w:pPr>
            <w:ins w:id="3375" w:author="Author" w:date="2025-07-24T11:09:00Z">
              <w:r>
                <w:rPr>
                  <w:rFonts w:ascii="Times New Roman" w:hAnsi="Times New Roman"/>
                  <w:noProof/>
                  <w:sz w:val="22"/>
                  <w:szCs w:val="22"/>
                  <w:lang w:val="sk-SK"/>
                  <w:rPrChange w:id="3376" w:author="Author" w:date="2025-08-22T15:12:00Z">
                    <w:rPr>
                      <w:noProof/>
                      <w:szCs w:val="22"/>
                      <w:lang w:val="en-GB"/>
                    </w:rPr>
                  </w:rPrChange>
                </w:rPr>
                <w:t>Рош</w:t>
              </w:r>
              <w:r>
                <w:rPr>
                  <w:rFonts w:ascii="Times New Roman" w:hAnsi="Times New Roman"/>
                  <w:noProof/>
                  <w:sz w:val="22"/>
                  <w:szCs w:val="22"/>
                  <w:lang w:val="sk-SK"/>
                  <w:rPrChange w:id="3377" w:author="Author" w:date="2025-08-22T15:12:00Z">
                    <w:rPr>
                      <w:lang w:val="it-IT"/>
                    </w:rPr>
                  </w:rPrChange>
                </w:rPr>
                <w:t xml:space="preserve"> </w:t>
              </w:r>
              <w:r>
                <w:rPr>
                  <w:rFonts w:ascii="Times New Roman" w:hAnsi="Times New Roman"/>
                  <w:noProof/>
                  <w:sz w:val="22"/>
                  <w:szCs w:val="22"/>
                  <w:lang w:val="sk-SK"/>
                  <w:rPrChange w:id="3378" w:author="Author" w:date="2025-08-22T15:12:00Z">
                    <w:rPr>
                      <w:noProof/>
                      <w:szCs w:val="22"/>
                      <w:lang w:val="en-GB"/>
                    </w:rPr>
                  </w:rPrChange>
                </w:rPr>
                <w:t>България</w:t>
              </w:r>
              <w:r>
                <w:rPr>
                  <w:rFonts w:ascii="Times New Roman" w:hAnsi="Times New Roman"/>
                  <w:noProof/>
                  <w:sz w:val="22"/>
                  <w:szCs w:val="22"/>
                  <w:lang w:val="sk-SK"/>
                  <w:rPrChange w:id="3379" w:author="Author" w:date="2025-08-22T15:12:00Z">
                    <w:rPr>
                      <w:lang w:val="it-IT"/>
                    </w:rPr>
                  </w:rPrChange>
                </w:rPr>
                <w:t xml:space="preserve"> </w:t>
              </w:r>
              <w:r>
                <w:rPr>
                  <w:rFonts w:ascii="Times New Roman" w:hAnsi="Times New Roman"/>
                  <w:noProof/>
                  <w:sz w:val="22"/>
                  <w:szCs w:val="22"/>
                  <w:lang w:val="sk-SK"/>
                  <w:rPrChange w:id="3380" w:author="Author" w:date="2025-08-22T15:12:00Z">
                    <w:rPr>
                      <w:noProof/>
                      <w:szCs w:val="22"/>
                      <w:lang w:val="en-GB"/>
                    </w:rPr>
                  </w:rPrChange>
                </w:rPr>
                <w:t>ЕООД</w:t>
              </w:r>
            </w:ins>
          </w:p>
          <w:p w14:paraId="61FA81A9" w14:textId="77777777" w:rsidR="009700E5" w:rsidRPr="009700E5" w:rsidRDefault="002C033C">
            <w:pPr>
              <w:pStyle w:val="Standard1"/>
              <w:suppressAutoHyphens/>
              <w:rPr>
                <w:ins w:id="3381" w:author="Author" w:date="2025-07-24T11:09:00Z"/>
                <w:rFonts w:ascii="Times New Roman" w:hAnsi="Times New Roman"/>
                <w:noProof/>
                <w:sz w:val="22"/>
                <w:szCs w:val="22"/>
                <w:lang w:val="sk-SK"/>
                <w:rPrChange w:id="3382" w:author="Author" w:date="2025-08-22T15:12:00Z">
                  <w:rPr>
                    <w:ins w:id="3383" w:author="Author" w:date="2025-07-24T11:09:00Z"/>
                    <w:szCs w:val="22"/>
                    <w:lang w:val="it-IT"/>
                  </w:rPr>
                </w:rPrChange>
              </w:rPr>
            </w:pPr>
            <w:ins w:id="3384" w:author="Author" w:date="2025-07-24T11:09:00Z">
              <w:r>
                <w:rPr>
                  <w:rFonts w:ascii="Times New Roman" w:hAnsi="Times New Roman"/>
                  <w:noProof/>
                  <w:sz w:val="22"/>
                  <w:szCs w:val="22"/>
                  <w:lang w:val="sk-SK"/>
                  <w:rPrChange w:id="3385" w:author="Author" w:date="2025-08-22T15:12:00Z">
                    <w:rPr>
                      <w:noProof/>
                      <w:szCs w:val="22"/>
                      <w:lang w:val="en-GB"/>
                    </w:rPr>
                  </w:rPrChange>
                </w:rPr>
                <w:t>Тел</w:t>
              </w:r>
              <w:r>
                <w:rPr>
                  <w:rFonts w:ascii="Times New Roman" w:hAnsi="Times New Roman"/>
                  <w:noProof/>
                  <w:sz w:val="22"/>
                  <w:szCs w:val="22"/>
                  <w:lang w:val="sk-SK"/>
                  <w:rPrChange w:id="3386" w:author="Author" w:date="2025-08-22T15:12:00Z">
                    <w:rPr>
                      <w:lang w:val="it-IT"/>
                    </w:rPr>
                  </w:rPrChange>
                </w:rPr>
                <w:t>: +359 2 474 5444</w:t>
              </w:r>
            </w:ins>
          </w:p>
          <w:p w14:paraId="624D1878" w14:textId="77777777" w:rsidR="009700E5" w:rsidRPr="009700E5" w:rsidRDefault="009700E5">
            <w:pPr>
              <w:pStyle w:val="Standard1"/>
              <w:suppressAutoHyphens/>
              <w:rPr>
                <w:ins w:id="3387" w:author="Author" w:date="2025-07-24T11:09:00Z"/>
                <w:rFonts w:ascii="Times New Roman" w:hAnsi="Times New Roman"/>
                <w:noProof/>
                <w:sz w:val="22"/>
                <w:szCs w:val="22"/>
                <w:lang w:val="sk-SK"/>
                <w:rPrChange w:id="3388" w:author="Author" w:date="2025-08-22T15:12:00Z">
                  <w:rPr>
                    <w:ins w:id="3389" w:author="Author" w:date="2025-07-24T11:09:00Z"/>
                    <w:lang w:val="it-IT"/>
                  </w:rPr>
                </w:rPrChange>
              </w:rPr>
            </w:pPr>
          </w:p>
        </w:tc>
        <w:tc>
          <w:tcPr>
            <w:tcW w:w="4590" w:type="dxa"/>
          </w:tcPr>
          <w:p w14:paraId="42B098E6" w14:textId="77777777" w:rsidR="009700E5" w:rsidRPr="009700E5" w:rsidRDefault="002C033C">
            <w:pPr>
              <w:pStyle w:val="Standard1"/>
              <w:suppressAutoHyphens/>
              <w:rPr>
                <w:ins w:id="3390" w:author="Author" w:date="2025-07-24T11:09:00Z"/>
                <w:rFonts w:ascii="Times New Roman" w:hAnsi="Times New Roman"/>
                <w:b/>
                <w:noProof/>
                <w:sz w:val="22"/>
                <w:szCs w:val="22"/>
                <w:lang w:val="sk-SK"/>
                <w:rPrChange w:id="3391" w:author="Author" w:date="2025-08-22T15:12:00Z">
                  <w:rPr>
                    <w:ins w:id="3392" w:author="Author" w:date="2025-07-24T11:09:00Z"/>
                    <w:b/>
                    <w:noProof/>
                    <w:szCs w:val="22"/>
                  </w:rPr>
                </w:rPrChange>
              </w:rPr>
            </w:pPr>
            <w:ins w:id="3393" w:author="Author" w:date="2025-07-24T11:09:00Z">
              <w:r>
                <w:rPr>
                  <w:rFonts w:ascii="Times New Roman" w:hAnsi="Times New Roman"/>
                  <w:b/>
                  <w:noProof/>
                  <w:sz w:val="22"/>
                  <w:szCs w:val="22"/>
                  <w:lang w:val="sk-SK"/>
                  <w:rPrChange w:id="3394" w:author="Author" w:date="2025-08-22T15:12:00Z">
                    <w:rPr>
                      <w:b/>
                      <w:noProof/>
                      <w:szCs w:val="22"/>
                    </w:rPr>
                  </w:rPrChange>
                </w:rPr>
                <w:t>Lietuva</w:t>
              </w:r>
            </w:ins>
          </w:p>
          <w:p w14:paraId="0BE67936" w14:textId="77777777" w:rsidR="009700E5" w:rsidRPr="009700E5" w:rsidRDefault="002C033C">
            <w:pPr>
              <w:pStyle w:val="Standard1"/>
              <w:suppressAutoHyphens/>
              <w:rPr>
                <w:ins w:id="3395" w:author="Author" w:date="2025-07-24T11:09:00Z"/>
                <w:rFonts w:ascii="Times New Roman" w:hAnsi="Times New Roman"/>
                <w:noProof/>
                <w:sz w:val="22"/>
                <w:szCs w:val="22"/>
                <w:lang w:val="sk-SK"/>
                <w:rPrChange w:id="3396" w:author="Author" w:date="2025-08-22T15:12:00Z">
                  <w:rPr>
                    <w:ins w:id="3397" w:author="Author" w:date="2025-07-24T11:09:00Z"/>
                  </w:rPr>
                </w:rPrChange>
              </w:rPr>
            </w:pPr>
            <w:ins w:id="3398" w:author="Author" w:date="2025-07-24T11:09:00Z">
              <w:r>
                <w:rPr>
                  <w:rFonts w:ascii="Times New Roman" w:hAnsi="Times New Roman"/>
                  <w:noProof/>
                  <w:sz w:val="22"/>
                  <w:szCs w:val="22"/>
                  <w:lang w:val="sk-SK"/>
                  <w:rPrChange w:id="3399" w:author="Author" w:date="2025-08-22T15:12:00Z">
                    <w:rPr>
                      <w:noProof/>
                      <w:szCs w:val="22"/>
                    </w:rPr>
                  </w:rPrChange>
                </w:rPr>
                <w:t>UAB “</w:t>
              </w:r>
              <w:r>
                <w:rPr>
                  <w:rFonts w:ascii="Times New Roman" w:hAnsi="Times New Roman"/>
                  <w:noProof/>
                  <w:sz w:val="22"/>
                  <w:szCs w:val="22"/>
                  <w:lang w:val="sk-SK"/>
                  <w:rPrChange w:id="3400" w:author="Author" w:date="2025-08-22T15:12:00Z">
                    <w:rPr/>
                  </w:rPrChange>
                </w:rPr>
                <w:t xml:space="preserve">Roche </w:t>
              </w:r>
              <w:r>
                <w:rPr>
                  <w:rFonts w:ascii="Times New Roman" w:hAnsi="Times New Roman"/>
                  <w:noProof/>
                  <w:sz w:val="22"/>
                  <w:szCs w:val="22"/>
                  <w:lang w:val="sk-SK"/>
                  <w:rPrChange w:id="3401" w:author="Author" w:date="2025-08-22T15:12:00Z">
                    <w:rPr>
                      <w:noProof/>
                      <w:szCs w:val="22"/>
                    </w:rPr>
                  </w:rPrChange>
                </w:rPr>
                <w:t>Lietuva”</w:t>
              </w:r>
            </w:ins>
          </w:p>
          <w:p w14:paraId="23C4D54D" w14:textId="77777777" w:rsidR="009700E5" w:rsidRPr="009700E5" w:rsidRDefault="002C033C">
            <w:pPr>
              <w:pStyle w:val="Standard1"/>
              <w:rPr>
                <w:ins w:id="3402" w:author="Author" w:date="2025-07-24T11:09:00Z"/>
                <w:rFonts w:ascii="Times New Roman" w:hAnsi="Times New Roman"/>
                <w:b/>
                <w:noProof/>
                <w:sz w:val="22"/>
                <w:szCs w:val="22"/>
                <w:lang w:val="sk-SK"/>
                <w:rPrChange w:id="3403" w:author="Author" w:date="2025-08-22T15:12:00Z">
                  <w:rPr>
                    <w:ins w:id="3404" w:author="Author" w:date="2025-07-24T11:09:00Z"/>
                    <w:b/>
                  </w:rPr>
                </w:rPrChange>
              </w:rPr>
            </w:pPr>
            <w:ins w:id="3405" w:author="Author" w:date="2025-07-24T11:09:00Z">
              <w:r>
                <w:rPr>
                  <w:rFonts w:ascii="Times New Roman" w:hAnsi="Times New Roman"/>
                  <w:noProof/>
                  <w:sz w:val="22"/>
                  <w:szCs w:val="22"/>
                  <w:lang w:val="sk-SK"/>
                  <w:rPrChange w:id="3406" w:author="Author" w:date="2025-08-22T15:12:00Z">
                    <w:rPr/>
                  </w:rPrChange>
                </w:rPr>
                <w:t>Tel: +</w:t>
              </w:r>
              <w:r>
                <w:rPr>
                  <w:rFonts w:ascii="Times New Roman" w:hAnsi="Times New Roman"/>
                  <w:noProof/>
                  <w:sz w:val="22"/>
                  <w:szCs w:val="22"/>
                  <w:lang w:val="sk-SK"/>
                  <w:rPrChange w:id="3407" w:author="Author" w:date="2025-08-22T15:12:00Z">
                    <w:rPr>
                      <w:noProof/>
                      <w:szCs w:val="22"/>
                    </w:rPr>
                  </w:rPrChange>
                </w:rPr>
                <w:t>370 5 2546799</w:t>
              </w:r>
            </w:ins>
          </w:p>
          <w:p w14:paraId="5137A5CA" w14:textId="77777777" w:rsidR="009700E5" w:rsidRPr="009700E5" w:rsidRDefault="009700E5">
            <w:pPr>
              <w:pStyle w:val="Standard1"/>
              <w:rPr>
                <w:ins w:id="3408" w:author="Author" w:date="2025-07-24T11:09:00Z"/>
                <w:rFonts w:ascii="Times New Roman" w:hAnsi="Times New Roman"/>
                <w:noProof/>
                <w:sz w:val="22"/>
                <w:szCs w:val="22"/>
                <w:lang w:val="sk-SK"/>
                <w:rPrChange w:id="3409" w:author="Author" w:date="2025-08-22T15:12:00Z">
                  <w:rPr>
                    <w:ins w:id="3410" w:author="Author" w:date="2025-07-24T11:09:00Z"/>
                  </w:rPr>
                </w:rPrChange>
              </w:rPr>
            </w:pPr>
          </w:p>
        </w:tc>
      </w:tr>
      <w:tr w:rsidR="009700E5" w14:paraId="013B800B" w14:textId="77777777">
        <w:trPr>
          <w:cantSplit/>
          <w:ins w:id="3411" w:author="Author" w:date="2025-07-24T11:09:00Z"/>
        </w:trPr>
        <w:tc>
          <w:tcPr>
            <w:tcW w:w="4590" w:type="dxa"/>
          </w:tcPr>
          <w:p w14:paraId="583C6573" w14:textId="77777777" w:rsidR="009700E5" w:rsidRPr="009700E5" w:rsidRDefault="002C033C">
            <w:pPr>
              <w:pStyle w:val="Standard1"/>
              <w:rPr>
                <w:ins w:id="3412" w:author="Author" w:date="2025-07-24T11:09:00Z"/>
                <w:rFonts w:ascii="Times New Roman" w:hAnsi="Times New Roman"/>
                <w:b/>
                <w:noProof/>
                <w:sz w:val="22"/>
                <w:szCs w:val="22"/>
                <w:lang w:val="sk-SK"/>
                <w:rPrChange w:id="3413" w:author="Author" w:date="2025-08-22T15:12:00Z">
                  <w:rPr>
                    <w:ins w:id="3414" w:author="Author" w:date="2025-07-24T11:09:00Z"/>
                    <w:b/>
                    <w:lang w:val="pl-PL"/>
                  </w:rPr>
                </w:rPrChange>
              </w:rPr>
            </w:pPr>
            <w:ins w:id="3415" w:author="Author" w:date="2025-07-24T11:09:00Z">
              <w:r>
                <w:rPr>
                  <w:rFonts w:ascii="Times New Roman" w:hAnsi="Times New Roman"/>
                  <w:b/>
                  <w:noProof/>
                  <w:sz w:val="22"/>
                  <w:szCs w:val="22"/>
                  <w:lang w:val="sk-SK"/>
                  <w:rPrChange w:id="3416" w:author="Author" w:date="2025-08-22T15:12:00Z">
                    <w:rPr>
                      <w:b/>
                      <w:lang w:val="pl-PL"/>
                    </w:rPr>
                  </w:rPrChange>
                </w:rPr>
                <w:t>Česká republika</w:t>
              </w:r>
            </w:ins>
          </w:p>
          <w:p w14:paraId="200CDFB8" w14:textId="77777777" w:rsidR="009700E5" w:rsidRPr="009700E5" w:rsidRDefault="002C033C">
            <w:pPr>
              <w:pStyle w:val="Standard1"/>
              <w:rPr>
                <w:ins w:id="3417" w:author="Author" w:date="2025-07-24T11:09:00Z"/>
                <w:rFonts w:ascii="Times New Roman" w:hAnsi="Times New Roman"/>
                <w:noProof/>
                <w:sz w:val="22"/>
                <w:szCs w:val="22"/>
                <w:lang w:val="sk-SK"/>
                <w:rPrChange w:id="3418" w:author="Author" w:date="2025-08-22T15:12:00Z">
                  <w:rPr>
                    <w:ins w:id="3419" w:author="Author" w:date="2025-07-24T11:09:00Z"/>
                    <w:lang w:val="pl-PL"/>
                  </w:rPr>
                </w:rPrChange>
              </w:rPr>
            </w:pPr>
            <w:ins w:id="3420" w:author="Author" w:date="2025-07-24T11:09:00Z">
              <w:r>
                <w:rPr>
                  <w:rFonts w:ascii="Times New Roman" w:hAnsi="Times New Roman"/>
                  <w:noProof/>
                  <w:sz w:val="22"/>
                  <w:szCs w:val="22"/>
                  <w:lang w:val="sk-SK"/>
                  <w:rPrChange w:id="3421" w:author="Author" w:date="2025-08-22T15:12:00Z">
                    <w:rPr>
                      <w:lang w:val="pl-PL"/>
                    </w:rPr>
                  </w:rPrChange>
                </w:rPr>
                <w:t>Roche s. r. o.</w:t>
              </w:r>
            </w:ins>
          </w:p>
          <w:p w14:paraId="28EF61BF" w14:textId="77777777" w:rsidR="009700E5" w:rsidRPr="009700E5" w:rsidRDefault="002C033C">
            <w:pPr>
              <w:pStyle w:val="Standard1"/>
              <w:rPr>
                <w:ins w:id="3422" w:author="Author" w:date="2025-07-24T11:09:00Z"/>
                <w:rFonts w:ascii="Times New Roman" w:hAnsi="Times New Roman"/>
                <w:noProof/>
                <w:sz w:val="22"/>
                <w:szCs w:val="22"/>
                <w:lang w:val="sk-SK"/>
                <w:rPrChange w:id="3423" w:author="Author" w:date="2025-08-22T15:12:00Z">
                  <w:rPr>
                    <w:ins w:id="3424" w:author="Author" w:date="2025-07-24T11:09:00Z"/>
                    <w:noProof/>
                    <w:szCs w:val="22"/>
                    <w:lang w:val="de-DE"/>
                  </w:rPr>
                </w:rPrChange>
              </w:rPr>
            </w:pPr>
            <w:ins w:id="3425" w:author="Author" w:date="2025-07-24T11:09:00Z">
              <w:r>
                <w:rPr>
                  <w:rFonts w:ascii="Times New Roman" w:hAnsi="Times New Roman"/>
                  <w:noProof/>
                  <w:sz w:val="22"/>
                  <w:szCs w:val="22"/>
                  <w:lang w:val="sk-SK"/>
                  <w:rPrChange w:id="3426" w:author="Author" w:date="2025-08-22T15:12:00Z">
                    <w:rPr>
                      <w:lang w:val="de-DE"/>
                    </w:rPr>
                  </w:rPrChange>
                </w:rPr>
                <w:t>Tel: +420 - 2 20382111</w:t>
              </w:r>
            </w:ins>
          </w:p>
          <w:p w14:paraId="0285B64E" w14:textId="77777777" w:rsidR="009700E5" w:rsidRPr="009700E5" w:rsidRDefault="009700E5">
            <w:pPr>
              <w:pStyle w:val="Standard1"/>
              <w:rPr>
                <w:ins w:id="3427" w:author="Author" w:date="2025-07-24T11:09:00Z"/>
                <w:rFonts w:ascii="Times New Roman" w:hAnsi="Times New Roman"/>
                <w:noProof/>
                <w:sz w:val="22"/>
                <w:szCs w:val="22"/>
                <w:lang w:val="sk-SK"/>
                <w:rPrChange w:id="3428" w:author="Author" w:date="2025-08-22T15:12:00Z">
                  <w:rPr>
                    <w:ins w:id="3429" w:author="Author" w:date="2025-07-24T11:09:00Z"/>
                    <w:lang w:val="de-DE"/>
                  </w:rPr>
                </w:rPrChange>
              </w:rPr>
            </w:pPr>
          </w:p>
        </w:tc>
        <w:tc>
          <w:tcPr>
            <w:tcW w:w="4590" w:type="dxa"/>
          </w:tcPr>
          <w:p w14:paraId="5EAF809C" w14:textId="77777777" w:rsidR="009700E5" w:rsidRPr="009700E5" w:rsidRDefault="002C033C">
            <w:pPr>
              <w:pStyle w:val="Standard1"/>
              <w:rPr>
                <w:ins w:id="3430" w:author="Author" w:date="2025-07-24T11:09:00Z"/>
                <w:rFonts w:ascii="Times New Roman" w:hAnsi="Times New Roman"/>
                <w:b/>
                <w:noProof/>
                <w:sz w:val="22"/>
                <w:szCs w:val="22"/>
                <w:lang w:val="sk-SK"/>
                <w:rPrChange w:id="3431" w:author="Author" w:date="2025-08-22T15:12:00Z">
                  <w:rPr>
                    <w:ins w:id="3432" w:author="Author" w:date="2025-07-24T11:09:00Z"/>
                    <w:b/>
                  </w:rPr>
                </w:rPrChange>
              </w:rPr>
            </w:pPr>
            <w:ins w:id="3433" w:author="Author" w:date="2025-07-24T11:09:00Z">
              <w:r>
                <w:rPr>
                  <w:rFonts w:ascii="Times New Roman" w:hAnsi="Times New Roman"/>
                  <w:b/>
                  <w:noProof/>
                  <w:sz w:val="22"/>
                  <w:szCs w:val="22"/>
                  <w:lang w:val="sk-SK"/>
                  <w:rPrChange w:id="3434" w:author="Author" w:date="2025-08-22T15:12:00Z">
                    <w:rPr>
                      <w:b/>
                    </w:rPr>
                  </w:rPrChange>
                </w:rPr>
                <w:t>Magyarország</w:t>
              </w:r>
            </w:ins>
          </w:p>
          <w:p w14:paraId="0DE5DC4F" w14:textId="77777777" w:rsidR="009700E5" w:rsidRPr="009700E5" w:rsidRDefault="002C033C">
            <w:pPr>
              <w:pStyle w:val="Standard1"/>
              <w:rPr>
                <w:ins w:id="3435" w:author="Author" w:date="2025-07-24T11:09:00Z"/>
                <w:rFonts w:ascii="Times New Roman" w:hAnsi="Times New Roman"/>
                <w:noProof/>
                <w:sz w:val="22"/>
                <w:szCs w:val="22"/>
                <w:lang w:val="sk-SK"/>
                <w:rPrChange w:id="3436" w:author="Author" w:date="2025-08-22T15:12:00Z">
                  <w:rPr>
                    <w:ins w:id="3437" w:author="Author" w:date="2025-07-24T11:09:00Z"/>
                  </w:rPr>
                </w:rPrChange>
              </w:rPr>
            </w:pPr>
            <w:ins w:id="3438" w:author="Author" w:date="2025-07-24T11:09:00Z">
              <w:r>
                <w:rPr>
                  <w:rFonts w:ascii="Times New Roman" w:hAnsi="Times New Roman"/>
                  <w:noProof/>
                  <w:sz w:val="22"/>
                  <w:szCs w:val="22"/>
                  <w:lang w:val="sk-SK"/>
                  <w:rPrChange w:id="3439" w:author="Author" w:date="2025-08-22T15:12:00Z">
                    <w:rPr/>
                  </w:rPrChange>
                </w:rPr>
                <w:t>Roche (Magyarország) Kft.</w:t>
              </w:r>
            </w:ins>
          </w:p>
          <w:p w14:paraId="464181F0" w14:textId="77777777" w:rsidR="009700E5" w:rsidRPr="009700E5" w:rsidRDefault="002C033C">
            <w:pPr>
              <w:pStyle w:val="Standard1"/>
              <w:rPr>
                <w:ins w:id="3440" w:author="Author" w:date="2025-07-24T11:09:00Z"/>
                <w:rFonts w:ascii="Times New Roman" w:hAnsi="Times New Roman"/>
                <w:noProof/>
                <w:sz w:val="22"/>
                <w:szCs w:val="22"/>
                <w:lang w:val="sk-SK"/>
                <w:rPrChange w:id="3441" w:author="Author" w:date="2025-08-22T15:12:00Z">
                  <w:rPr>
                    <w:ins w:id="3442" w:author="Author" w:date="2025-07-24T11:09:00Z"/>
                    <w:noProof/>
                    <w:szCs w:val="22"/>
                  </w:rPr>
                </w:rPrChange>
              </w:rPr>
            </w:pPr>
            <w:ins w:id="3443" w:author="Author" w:date="2025-07-24T11:09:00Z">
              <w:r>
                <w:rPr>
                  <w:rFonts w:ascii="Times New Roman" w:hAnsi="Times New Roman"/>
                  <w:noProof/>
                  <w:sz w:val="22"/>
                  <w:szCs w:val="22"/>
                  <w:lang w:val="sk-SK"/>
                  <w:rPrChange w:id="3444" w:author="Author" w:date="2025-08-22T15:12:00Z">
                    <w:rPr>
                      <w:szCs w:val="22"/>
                    </w:rPr>
                  </w:rPrChange>
                </w:rPr>
                <w:t>Tel: +36 - 1 279 4500</w:t>
              </w:r>
            </w:ins>
          </w:p>
          <w:p w14:paraId="5A22B9B7" w14:textId="77777777" w:rsidR="009700E5" w:rsidRPr="009700E5" w:rsidRDefault="009700E5">
            <w:pPr>
              <w:pStyle w:val="Standard1"/>
              <w:rPr>
                <w:ins w:id="3445" w:author="Author" w:date="2025-07-24T11:09:00Z"/>
                <w:rFonts w:ascii="Times New Roman" w:hAnsi="Times New Roman"/>
                <w:noProof/>
                <w:sz w:val="22"/>
                <w:szCs w:val="22"/>
                <w:lang w:val="sk-SK"/>
                <w:rPrChange w:id="3446" w:author="Author" w:date="2025-08-22T15:12:00Z">
                  <w:rPr>
                    <w:ins w:id="3447" w:author="Author" w:date="2025-07-24T11:09:00Z"/>
                  </w:rPr>
                </w:rPrChange>
              </w:rPr>
            </w:pPr>
          </w:p>
        </w:tc>
      </w:tr>
      <w:tr w:rsidR="009700E5" w14:paraId="0E7F05B5" w14:textId="77777777">
        <w:trPr>
          <w:cantSplit/>
          <w:ins w:id="3448" w:author="Author" w:date="2025-07-24T11:09:00Z"/>
        </w:trPr>
        <w:tc>
          <w:tcPr>
            <w:tcW w:w="4590" w:type="dxa"/>
          </w:tcPr>
          <w:p w14:paraId="62ABE250" w14:textId="77777777" w:rsidR="009700E5" w:rsidRPr="009700E5" w:rsidRDefault="002C033C">
            <w:pPr>
              <w:pStyle w:val="Standard1"/>
              <w:rPr>
                <w:ins w:id="3449" w:author="Author" w:date="2025-07-24T11:09:00Z"/>
                <w:rFonts w:ascii="Times New Roman" w:hAnsi="Times New Roman"/>
                <w:noProof/>
                <w:sz w:val="22"/>
                <w:szCs w:val="22"/>
                <w:lang w:val="sk-SK"/>
                <w:rPrChange w:id="3450" w:author="Author" w:date="2025-08-22T15:12:00Z">
                  <w:rPr>
                    <w:ins w:id="3451" w:author="Author" w:date="2025-07-24T11:09:00Z"/>
                    <w:noProof/>
                    <w:szCs w:val="22"/>
                    <w:lang w:val="en-GB"/>
                  </w:rPr>
                </w:rPrChange>
              </w:rPr>
            </w:pPr>
            <w:ins w:id="3452" w:author="Author" w:date="2025-07-24T11:09:00Z">
              <w:r>
                <w:rPr>
                  <w:rFonts w:ascii="Times New Roman" w:hAnsi="Times New Roman"/>
                  <w:b/>
                  <w:noProof/>
                  <w:sz w:val="22"/>
                  <w:szCs w:val="22"/>
                  <w:lang w:val="sk-SK"/>
                  <w:rPrChange w:id="3453" w:author="Author" w:date="2025-08-22T15:12:00Z">
                    <w:rPr>
                      <w:b/>
                      <w:noProof/>
                      <w:szCs w:val="22"/>
                      <w:lang w:val="en-GB"/>
                    </w:rPr>
                  </w:rPrChange>
                </w:rPr>
                <w:t>Danmark</w:t>
              </w:r>
            </w:ins>
          </w:p>
          <w:p w14:paraId="7715F95E" w14:textId="77777777" w:rsidR="009700E5" w:rsidRPr="009700E5" w:rsidRDefault="002C033C">
            <w:pPr>
              <w:pStyle w:val="Standard1"/>
              <w:rPr>
                <w:ins w:id="3454" w:author="Author" w:date="2025-07-24T11:09:00Z"/>
                <w:rFonts w:ascii="Times New Roman" w:hAnsi="Times New Roman"/>
                <w:noProof/>
                <w:sz w:val="22"/>
                <w:szCs w:val="22"/>
                <w:lang w:val="sk-SK"/>
                <w:rPrChange w:id="3455" w:author="Author" w:date="2025-08-22T15:12:00Z">
                  <w:rPr>
                    <w:ins w:id="3456" w:author="Author" w:date="2025-07-24T11:09:00Z"/>
                    <w:noProof/>
                    <w:szCs w:val="22"/>
                    <w:lang w:val="en-GB"/>
                  </w:rPr>
                </w:rPrChange>
              </w:rPr>
            </w:pPr>
            <w:ins w:id="3457" w:author="Author" w:date="2025-07-24T11:09:00Z">
              <w:r>
                <w:rPr>
                  <w:rFonts w:ascii="Times New Roman" w:hAnsi="Times New Roman"/>
                  <w:noProof/>
                  <w:sz w:val="22"/>
                  <w:szCs w:val="22"/>
                  <w:lang w:val="sk-SK"/>
                  <w:rPrChange w:id="3458" w:author="Author" w:date="2025-08-22T15:12:00Z">
                    <w:rPr>
                      <w:lang w:val="en-GB"/>
                    </w:rPr>
                  </w:rPrChange>
                </w:rPr>
                <w:t>Roche Pharmaceuticals A/S</w:t>
              </w:r>
            </w:ins>
          </w:p>
          <w:p w14:paraId="210C7C71" w14:textId="77777777" w:rsidR="009700E5" w:rsidRPr="009700E5" w:rsidRDefault="002C033C">
            <w:pPr>
              <w:pStyle w:val="Standard1"/>
              <w:rPr>
                <w:ins w:id="3459" w:author="Author" w:date="2025-07-24T11:09:00Z"/>
                <w:rFonts w:ascii="Times New Roman" w:hAnsi="Times New Roman"/>
                <w:noProof/>
                <w:sz w:val="22"/>
                <w:szCs w:val="22"/>
                <w:lang w:val="sk-SK"/>
                <w:rPrChange w:id="3460" w:author="Author" w:date="2025-08-22T15:12:00Z">
                  <w:rPr>
                    <w:ins w:id="3461" w:author="Author" w:date="2025-07-24T11:09:00Z"/>
                    <w:noProof/>
                    <w:szCs w:val="22"/>
                    <w:lang w:val="en-GB"/>
                  </w:rPr>
                </w:rPrChange>
              </w:rPr>
            </w:pPr>
            <w:ins w:id="3462" w:author="Author" w:date="2025-07-24T11:09:00Z">
              <w:r>
                <w:rPr>
                  <w:rFonts w:ascii="Times New Roman" w:hAnsi="Times New Roman"/>
                  <w:noProof/>
                  <w:sz w:val="22"/>
                  <w:szCs w:val="22"/>
                  <w:lang w:val="sk-SK"/>
                  <w:rPrChange w:id="3463" w:author="Author" w:date="2025-08-22T15:12:00Z">
                    <w:rPr>
                      <w:noProof/>
                      <w:szCs w:val="22"/>
                      <w:lang w:val="en-GB"/>
                    </w:rPr>
                  </w:rPrChange>
                </w:rPr>
                <w:t>Tlf.: +45 - 36 39 99 99</w:t>
              </w:r>
            </w:ins>
          </w:p>
          <w:p w14:paraId="770EC71A" w14:textId="77777777" w:rsidR="009700E5" w:rsidRPr="009700E5" w:rsidRDefault="009700E5">
            <w:pPr>
              <w:pStyle w:val="Standard1"/>
              <w:rPr>
                <w:ins w:id="3464" w:author="Author" w:date="2025-07-24T11:09:00Z"/>
                <w:rFonts w:ascii="Times New Roman" w:hAnsi="Times New Roman"/>
                <w:b/>
                <w:noProof/>
                <w:sz w:val="22"/>
                <w:szCs w:val="22"/>
                <w:lang w:val="sk-SK"/>
                <w:rPrChange w:id="3465" w:author="Author" w:date="2025-08-22T15:12:00Z">
                  <w:rPr>
                    <w:ins w:id="3466" w:author="Author" w:date="2025-07-24T11:09:00Z"/>
                    <w:b/>
                    <w:noProof/>
                    <w:szCs w:val="22"/>
                    <w:lang w:val="en-GB"/>
                  </w:rPr>
                </w:rPrChange>
              </w:rPr>
            </w:pPr>
          </w:p>
        </w:tc>
        <w:tc>
          <w:tcPr>
            <w:tcW w:w="4590" w:type="dxa"/>
          </w:tcPr>
          <w:p w14:paraId="0CF9184D" w14:textId="77777777" w:rsidR="009700E5" w:rsidRPr="009700E5" w:rsidRDefault="002C033C">
            <w:pPr>
              <w:pStyle w:val="Standard1"/>
              <w:rPr>
                <w:ins w:id="3467" w:author="Author" w:date="2025-07-24T11:09:00Z"/>
                <w:rFonts w:ascii="Times New Roman" w:hAnsi="Times New Roman"/>
                <w:noProof/>
                <w:sz w:val="22"/>
                <w:szCs w:val="22"/>
                <w:lang w:val="sk-SK"/>
                <w:rPrChange w:id="3468" w:author="Author" w:date="2025-08-22T15:12:00Z">
                  <w:rPr>
                    <w:ins w:id="3469" w:author="Author" w:date="2025-07-24T11:09:00Z"/>
                    <w:lang w:val="de-DE"/>
                  </w:rPr>
                </w:rPrChange>
              </w:rPr>
            </w:pPr>
            <w:ins w:id="3470" w:author="Author" w:date="2025-07-24T11:09:00Z">
              <w:r>
                <w:rPr>
                  <w:rFonts w:ascii="Times New Roman" w:hAnsi="Times New Roman"/>
                  <w:b/>
                  <w:noProof/>
                  <w:sz w:val="22"/>
                  <w:szCs w:val="22"/>
                  <w:lang w:val="sk-SK"/>
                  <w:rPrChange w:id="3471" w:author="Author" w:date="2025-08-22T15:12:00Z">
                    <w:rPr>
                      <w:b/>
                      <w:lang w:val="de-DE"/>
                    </w:rPr>
                  </w:rPrChange>
                </w:rPr>
                <w:t>Nederland</w:t>
              </w:r>
            </w:ins>
          </w:p>
          <w:p w14:paraId="4B25EC28" w14:textId="77777777" w:rsidR="009700E5" w:rsidRPr="009700E5" w:rsidRDefault="002C033C">
            <w:pPr>
              <w:pStyle w:val="Standard1"/>
              <w:rPr>
                <w:ins w:id="3472" w:author="Author" w:date="2025-07-24T11:09:00Z"/>
                <w:rFonts w:ascii="Times New Roman" w:hAnsi="Times New Roman"/>
                <w:noProof/>
                <w:sz w:val="22"/>
                <w:szCs w:val="22"/>
                <w:lang w:val="sk-SK"/>
                <w:rPrChange w:id="3473" w:author="Author" w:date="2025-08-22T15:12:00Z">
                  <w:rPr>
                    <w:ins w:id="3474" w:author="Author" w:date="2025-07-24T11:09:00Z"/>
                    <w:lang w:val="de-DE"/>
                  </w:rPr>
                </w:rPrChange>
              </w:rPr>
            </w:pPr>
            <w:ins w:id="3475" w:author="Author" w:date="2025-07-24T11:09:00Z">
              <w:r>
                <w:rPr>
                  <w:rFonts w:ascii="Times New Roman" w:hAnsi="Times New Roman"/>
                  <w:noProof/>
                  <w:sz w:val="22"/>
                  <w:szCs w:val="22"/>
                  <w:lang w:val="sk-SK"/>
                  <w:rPrChange w:id="3476" w:author="Author" w:date="2025-08-22T15:12:00Z">
                    <w:rPr>
                      <w:lang w:val="de-DE"/>
                    </w:rPr>
                  </w:rPrChange>
                </w:rPr>
                <w:t>Roche Nederland B.V.</w:t>
              </w:r>
            </w:ins>
          </w:p>
          <w:p w14:paraId="08E19E7D" w14:textId="77777777" w:rsidR="009700E5" w:rsidRPr="009700E5" w:rsidRDefault="002C033C">
            <w:pPr>
              <w:pStyle w:val="Standard1"/>
              <w:rPr>
                <w:ins w:id="3477" w:author="Author" w:date="2025-07-24T11:09:00Z"/>
                <w:rFonts w:ascii="Times New Roman" w:hAnsi="Times New Roman"/>
                <w:noProof/>
                <w:sz w:val="22"/>
                <w:szCs w:val="22"/>
                <w:lang w:val="sk-SK"/>
                <w:rPrChange w:id="3478" w:author="Author" w:date="2025-08-22T15:12:00Z">
                  <w:rPr>
                    <w:ins w:id="3479" w:author="Author" w:date="2025-07-24T11:09:00Z"/>
                    <w:noProof/>
                    <w:szCs w:val="22"/>
                    <w:lang w:val="en-GB"/>
                  </w:rPr>
                </w:rPrChange>
              </w:rPr>
            </w:pPr>
            <w:ins w:id="3480" w:author="Author" w:date="2025-07-24T11:09:00Z">
              <w:r>
                <w:rPr>
                  <w:rFonts w:ascii="Times New Roman" w:hAnsi="Times New Roman"/>
                  <w:noProof/>
                  <w:sz w:val="22"/>
                  <w:szCs w:val="22"/>
                  <w:lang w:val="sk-SK"/>
                  <w:rPrChange w:id="3481" w:author="Author" w:date="2025-08-22T15:12:00Z">
                    <w:rPr>
                      <w:noProof/>
                      <w:szCs w:val="22"/>
                      <w:lang w:val="en-GB"/>
                    </w:rPr>
                  </w:rPrChange>
                </w:rPr>
                <w:t>Tel: +31 (</w:t>
              </w:r>
              <w:r>
                <w:rPr>
                  <w:rFonts w:ascii="Times New Roman" w:hAnsi="Times New Roman"/>
                  <w:noProof/>
                  <w:snapToGrid w:val="0"/>
                  <w:sz w:val="22"/>
                  <w:szCs w:val="22"/>
                  <w:lang w:val="sk-SK"/>
                  <w:rPrChange w:id="3482" w:author="Author" w:date="2025-08-22T15:12:00Z">
                    <w:rPr>
                      <w:noProof/>
                      <w:snapToGrid w:val="0"/>
                      <w:szCs w:val="22"/>
                      <w:lang w:val="en-GB"/>
                    </w:rPr>
                  </w:rPrChange>
                </w:rPr>
                <w:t>0) 348 438050</w:t>
              </w:r>
            </w:ins>
          </w:p>
          <w:p w14:paraId="5289E0B9" w14:textId="77777777" w:rsidR="009700E5" w:rsidRPr="009700E5" w:rsidRDefault="009700E5">
            <w:pPr>
              <w:pStyle w:val="Standard1"/>
              <w:rPr>
                <w:ins w:id="3483" w:author="Author" w:date="2025-07-24T11:09:00Z"/>
                <w:rFonts w:ascii="Times New Roman" w:hAnsi="Times New Roman"/>
                <w:noProof/>
                <w:sz w:val="22"/>
                <w:szCs w:val="22"/>
                <w:lang w:val="sk-SK"/>
                <w:rPrChange w:id="3484" w:author="Author" w:date="2025-08-22T15:12:00Z">
                  <w:rPr>
                    <w:ins w:id="3485" w:author="Author" w:date="2025-07-24T11:09:00Z"/>
                    <w:noProof/>
                    <w:szCs w:val="22"/>
                    <w:lang w:val="en-GB"/>
                  </w:rPr>
                </w:rPrChange>
              </w:rPr>
            </w:pPr>
          </w:p>
        </w:tc>
      </w:tr>
      <w:tr w:rsidR="009700E5" w14:paraId="69B803E9" w14:textId="77777777">
        <w:trPr>
          <w:cantSplit/>
          <w:ins w:id="3486" w:author="Author" w:date="2025-07-24T11:09:00Z"/>
        </w:trPr>
        <w:tc>
          <w:tcPr>
            <w:tcW w:w="4590" w:type="dxa"/>
          </w:tcPr>
          <w:p w14:paraId="3A0AA4D4" w14:textId="77777777" w:rsidR="009700E5" w:rsidRPr="009700E5" w:rsidRDefault="002C033C">
            <w:pPr>
              <w:pStyle w:val="Standard1"/>
              <w:rPr>
                <w:ins w:id="3487" w:author="Author" w:date="2025-07-24T11:09:00Z"/>
                <w:rFonts w:ascii="Times New Roman" w:hAnsi="Times New Roman"/>
                <w:noProof/>
                <w:sz w:val="22"/>
                <w:szCs w:val="22"/>
                <w:lang w:val="sk-SK"/>
                <w:rPrChange w:id="3488" w:author="Author" w:date="2025-08-22T15:12:00Z">
                  <w:rPr>
                    <w:ins w:id="3489" w:author="Author" w:date="2025-07-24T11:09:00Z"/>
                    <w:lang w:val="de-DE"/>
                  </w:rPr>
                </w:rPrChange>
              </w:rPr>
            </w:pPr>
            <w:ins w:id="3490" w:author="Author" w:date="2025-07-24T11:09:00Z">
              <w:r>
                <w:rPr>
                  <w:rFonts w:ascii="Times New Roman" w:hAnsi="Times New Roman"/>
                  <w:b/>
                  <w:noProof/>
                  <w:sz w:val="22"/>
                  <w:szCs w:val="22"/>
                  <w:lang w:val="sk-SK"/>
                  <w:rPrChange w:id="3491" w:author="Author" w:date="2025-08-22T15:12:00Z">
                    <w:rPr>
                      <w:b/>
                      <w:lang w:val="de-DE"/>
                    </w:rPr>
                  </w:rPrChange>
                </w:rPr>
                <w:t>Deutschland</w:t>
              </w:r>
            </w:ins>
          </w:p>
          <w:p w14:paraId="45623C12" w14:textId="77777777" w:rsidR="009700E5" w:rsidRPr="009700E5" w:rsidRDefault="002C033C">
            <w:pPr>
              <w:pStyle w:val="Standard1"/>
              <w:rPr>
                <w:ins w:id="3492" w:author="Author" w:date="2025-07-24T11:09:00Z"/>
                <w:rFonts w:ascii="Times New Roman" w:hAnsi="Times New Roman"/>
                <w:noProof/>
                <w:sz w:val="22"/>
                <w:szCs w:val="22"/>
                <w:lang w:val="sk-SK"/>
                <w:rPrChange w:id="3493" w:author="Author" w:date="2025-08-22T15:12:00Z">
                  <w:rPr>
                    <w:ins w:id="3494" w:author="Author" w:date="2025-07-24T11:09:00Z"/>
                    <w:lang w:val="de-DE"/>
                  </w:rPr>
                </w:rPrChange>
              </w:rPr>
            </w:pPr>
            <w:ins w:id="3495" w:author="Author" w:date="2025-07-24T11:09:00Z">
              <w:r>
                <w:rPr>
                  <w:rFonts w:ascii="Times New Roman" w:hAnsi="Times New Roman"/>
                  <w:noProof/>
                  <w:sz w:val="22"/>
                  <w:szCs w:val="22"/>
                  <w:lang w:val="sk-SK"/>
                  <w:rPrChange w:id="3496" w:author="Author" w:date="2025-08-22T15:12:00Z">
                    <w:rPr>
                      <w:lang w:val="de-DE"/>
                    </w:rPr>
                  </w:rPrChange>
                </w:rPr>
                <w:t>Roche Pharma AG</w:t>
              </w:r>
            </w:ins>
          </w:p>
          <w:p w14:paraId="64A75D52" w14:textId="77777777" w:rsidR="009700E5" w:rsidRPr="009700E5" w:rsidRDefault="002C033C">
            <w:pPr>
              <w:pStyle w:val="Standard1"/>
              <w:rPr>
                <w:ins w:id="3497" w:author="Author" w:date="2025-07-24T11:09:00Z"/>
                <w:rFonts w:ascii="Times New Roman" w:hAnsi="Times New Roman"/>
                <w:noProof/>
                <w:sz w:val="22"/>
                <w:szCs w:val="22"/>
                <w:lang w:val="sk-SK"/>
                <w:rPrChange w:id="3498" w:author="Author" w:date="2025-08-22T15:12:00Z">
                  <w:rPr>
                    <w:ins w:id="3499" w:author="Author" w:date="2025-07-24T11:09:00Z"/>
                    <w:lang w:val="de-DE"/>
                  </w:rPr>
                </w:rPrChange>
              </w:rPr>
            </w:pPr>
            <w:ins w:id="3500" w:author="Author" w:date="2025-07-24T11:09:00Z">
              <w:r>
                <w:rPr>
                  <w:rFonts w:ascii="Times New Roman" w:hAnsi="Times New Roman"/>
                  <w:noProof/>
                  <w:sz w:val="22"/>
                  <w:szCs w:val="22"/>
                  <w:lang w:val="sk-SK"/>
                  <w:rPrChange w:id="3501" w:author="Author" w:date="2025-08-22T15:12:00Z">
                    <w:rPr>
                      <w:lang w:val="de-DE"/>
                    </w:rPr>
                  </w:rPrChange>
                </w:rPr>
                <w:t xml:space="preserve">Tel: +49 (0) 7624 140 </w:t>
              </w:r>
            </w:ins>
          </w:p>
          <w:p w14:paraId="03B40A61" w14:textId="77777777" w:rsidR="009700E5" w:rsidRPr="009700E5" w:rsidRDefault="009700E5">
            <w:pPr>
              <w:pStyle w:val="Standard1"/>
              <w:rPr>
                <w:ins w:id="3502" w:author="Author" w:date="2025-07-24T11:09:00Z"/>
                <w:rFonts w:ascii="Times New Roman" w:hAnsi="Times New Roman"/>
                <w:b/>
                <w:noProof/>
                <w:sz w:val="22"/>
                <w:szCs w:val="22"/>
                <w:lang w:val="sk-SK"/>
                <w:rPrChange w:id="3503" w:author="Author" w:date="2025-08-22T15:12:00Z">
                  <w:rPr>
                    <w:ins w:id="3504" w:author="Author" w:date="2025-07-24T11:09:00Z"/>
                    <w:b/>
                    <w:lang w:val="de-DE"/>
                  </w:rPr>
                </w:rPrChange>
              </w:rPr>
            </w:pPr>
          </w:p>
        </w:tc>
        <w:tc>
          <w:tcPr>
            <w:tcW w:w="4590" w:type="dxa"/>
          </w:tcPr>
          <w:p w14:paraId="2CFEDAD2" w14:textId="77777777" w:rsidR="009700E5" w:rsidRPr="009700E5" w:rsidRDefault="002C033C">
            <w:pPr>
              <w:pStyle w:val="Standard1"/>
              <w:rPr>
                <w:ins w:id="3505" w:author="Author" w:date="2025-07-24T11:09:00Z"/>
                <w:rFonts w:ascii="Times New Roman" w:hAnsi="Times New Roman"/>
                <w:b/>
                <w:noProof/>
                <w:snapToGrid w:val="0"/>
                <w:sz w:val="22"/>
                <w:szCs w:val="22"/>
                <w:lang w:val="sk-SK"/>
                <w:rPrChange w:id="3506" w:author="Author" w:date="2025-08-22T15:12:00Z">
                  <w:rPr>
                    <w:ins w:id="3507" w:author="Author" w:date="2025-07-24T11:09:00Z"/>
                    <w:b/>
                    <w:noProof/>
                    <w:snapToGrid w:val="0"/>
                    <w:szCs w:val="22"/>
                    <w:lang w:val="en-GB"/>
                  </w:rPr>
                </w:rPrChange>
              </w:rPr>
            </w:pPr>
            <w:ins w:id="3508" w:author="Author" w:date="2025-07-24T11:09:00Z">
              <w:r>
                <w:rPr>
                  <w:rFonts w:ascii="Times New Roman" w:hAnsi="Times New Roman"/>
                  <w:b/>
                  <w:noProof/>
                  <w:snapToGrid w:val="0"/>
                  <w:sz w:val="22"/>
                  <w:szCs w:val="22"/>
                  <w:lang w:val="sk-SK"/>
                  <w:rPrChange w:id="3509" w:author="Author" w:date="2025-08-22T15:12:00Z">
                    <w:rPr>
                      <w:b/>
                      <w:noProof/>
                      <w:snapToGrid w:val="0"/>
                      <w:szCs w:val="22"/>
                      <w:lang w:val="en-GB"/>
                    </w:rPr>
                  </w:rPrChange>
                </w:rPr>
                <w:t>Norge</w:t>
              </w:r>
            </w:ins>
          </w:p>
          <w:p w14:paraId="481D6AE1" w14:textId="77777777" w:rsidR="009700E5" w:rsidRPr="009700E5" w:rsidRDefault="002C033C">
            <w:pPr>
              <w:pStyle w:val="Standard1"/>
              <w:rPr>
                <w:ins w:id="3510" w:author="Author" w:date="2025-07-24T11:09:00Z"/>
                <w:rFonts w:ascii="Times New Roman" w:hAnsi="Times New Roman"/>
                <w:noProof/>
                <w:snapToGrid w:val="0"/>
                <w:sz w:val="22"/>
                <w:szCs w:val="22"/>
                <w:lang w:val="sk-SK"/>
                <w:rPrChange w:id="3511" w:author="Author" w:date="2025-08-22T15:12:00Z">
                  <w:rPr>
                    <w:ins w:id="3512" w:author="Author" w:date="2025-07-24T11:09:00Z"/>
                    <w:noProof/>
                    <w:snapToGrid w:val="0"/>
                    <w:szCs w:val="22"/>
                    <w:lang w:val="en-GB"/>
                  </w:rPr>
                </w:rPrChange>
              </w:rPr>
            </w:pPr>
            <w:ins w:id="3513" w:author="Author" w:date="2025-07-24T11:09:00Z">
              <w:r>
                <w:rPr>
                  <w:rFonts w:ascii="Times New Roman" w:hAnsi="Times New Roman"/>
                  <w:noProof/>
                  <w:snapToGrid w:val="0"/>
                  <w:sz w:val="22"/>
                  <w:szCs w:val="22"/>
                  <w:lang w:val="sk-SK"/>
                  <w:rPrChange w:id="3514" w:author="Author" w:date="2025-08-22T15:12:00Z">
                    <w:rPr>
                      <w:noProof/>
                      <w:snapToGrid w:val="0"/>
                      <w:szCs w:val="22"/>
                      <w:lang w:val="en-GB"/>
                    </w:rPr>
                  </w:rPrChange>
                </w:rPr>
                <w:t>Roche Norge AS</w:t>
              </w:r>
            </w:ins>
          </w:p>
          <w:p w14:paraId="2B9A033F" w14:textId="77777777" w:rsidR="009700E5" w:rsidRPr="009700E5" w:rsidRDefault="002C033C">
            <w:pPr>
              <w:pStyle w:val="Standard1"/>
              <w:rPr>
                <w:ins w:id="3515" w:author="Author" w:date="2025-07-24T11:09:00Z"/>
                <w:rFonts w:ascii="Times New Roman" w:hAnsi="Times New Roman"/>
                <w:noProof/>
                <w:sz w:val="22"/>
                <w:szCs w:val="22"/>
                <w:lang w:val="sk-SK"/>
                <w:rPrChange w:id="3516" w:author="Author" w:date="2025-08-22T15:12:00Z">
                  <w:rPr>
                    <w:ins w:id="3517" w:author="Author" w:date="2025-07-24T11:09:00Z"/>
                    <w:noProof/>
                    <w:szCs w:val="22"/>
                    <w:lang w:val="en-GB"/>
                  </w:rPr>
                </w:rPrChange>
              </w:rPr>
            </w:pPr>
            <w:ins w:id="3518" w:author="Author" w:date="2025-07-24T11:09:00Z">
              <w:r>
                <w:rPr>
                  <w:rFonts w:ascii="Times New Roman" w:hAnsi="Times New Roman"/>
                  <w:noProof/>
                  <w:snapToGrid w:val="0"/>
                  <w:sz w:val="22"/>
                  <w:szCs w:val="22"/>
                  <w:lang w:val="sk-SK"/>
                  <w:rPrChange w:id="3519" w:author="Author" w:date="2025-08-22T15:12:00Z">
                    <w:rPr>
                      <w:noProof/>
                      <w:snapToGrid w:val="0"/>
                      <w:szCs w:val="22"/>
                      <w:lang w:val="en-GB"/>
                    </w:rPr>
                  </w:rPrChange>
                </w:rPr>
                <w:t>Tlf: +47 - 22 78 90 00</w:t>
              </w:r>
            </w:ins>
          </w:p>
          <w:p w14:paraId="4E7B42A1" w14:textId="77777777" w:rsidR="009700E5" w:rsidRPr="009700E5" w:rsidRDefault="009700E5">
            <w:pPr>
              <w:pStyle w:val="Standard1"/>
              <w:rPr>
                <w:ins w:id="3520" w:author="Author" w:date="2025-07-24T11:09:00Z"/>
                <w:rFonts w:ascii="Times New Roman" w:hAnsi="Times New Roman"/>
                <w:noProof/>
                <w:sz w:val="22"/>
                <w:szCs w:val="22"/>
                <w:lang w:val="sk-SK"/>
                <w:rPrChange w:id="3521" w:author="Author" w:date="2025-08-22T15:12:00Z">
                  <w:rPr>
                    <w:ins w:id="3522" w:author="Author" w:date="2025-07-24T11:09:00Z"/>
                    <w:noProof/>
                    <w:szCs w:val="22"/>
                    <w:lang w:val="en-GB"/>
                  </w:rPr>
                </w:rPrChange>
              </w:rPr>
            </w:pPr>
          </w:p>
        </w:tc>
      </w:tr>
      <w:tr w:rsidR="009700E5" w14:paraId="1B34A494" w14:textId="77777777">
        <w:trPr>
          <w:cantSplit/>
          <w:ins w:id="3523" w:author="Author" w:date="2025-07-24T11:09:00Z"/>
        </w:trPr>
        <w:tc>
          <w:tcPr>
            <w:tcW w:w="4590" w:type="dxa"/>
          </w:tcPr>
          <w:p w14:paraId="537AF149" w14:textId="77777777" w:rsidR="009700E5" w:rsidRPr="009700E5" w:rsidRDefault="002C033C">
            <w:pPr>
              <w:pStyle w:val="Standard1"/>
              <w:rPr>
                <w:ins w:id="3524" w:author="Author" w:date="2025-07-24T11:09:00Z"/>
                <w:rFonts w:ascii="Times New Roman" w:hAnsi="Times New Roman"/>
                <w:b/>
                <w:noProof/>
                <w:sz w:val="22"/>
                <w:szCs w:val="22"/>
                <w:lang w:val="sk-SK"/>
                <w:rPrChange w:id="3525" w:author="Author" w:date="2025-08-22T15:12:00Z">
                  <w:rPr>
                    <w:ins w:id="3526" w:author="Author" w:date="2025-07-24T11:09:00Z"/>
                    <w:b/>
                    <w:lang w:val="it-IT"/>
                  </w:rPr>
                </w:rPrChange>
              </w:rPr>
            </w:pPr>
            <w:ins w:id="3527" w:author="Author" w:date="2025-07-24T11:09:00Z">
              <w:r>
                <w:rPr>
                  <w:rFonts w:ascii="Times New Roman" w:hAnsi="Times New Roman"/>
                  <w:b/>
                  <w:noProof/>
                  <w:sz w:val="22"/>
                  <w:szCs w:val="22"/>
                  <w:lang w:val="sk-SK"/>
                  <w:rPrChange w:id="3528" w:author="Author" w:date="2025-08-22T15:12:00Z">
                    <w:rPr>
                      <w:b/>
                      <w:lang w:val="it-IT"/>
                    </w:rPr>
                  </w:rPrChange>
                </w:rPr>
                <w:t>Eesti</w:t>
              </w:r>
            </w:ins>
          </w:p>
          <w:p w14:paraId="2E877016" w14:textId="77777777" w:rsidR="009700E5" w:rsidRPr="009700E5" w:rsidRDefault="002C033C">
            <w:pPr>
              <w:pStyle w:val="Standard1"/>
              <w:rPr>
                <w:ins w:id="3529" w:author="Author" w:date="2025-07-24T11:09:00Z"/>
                <w:rFonts w:ascii="Times New Roman" w:hAnsi="Times New Roman"/>
                <w:noProof/>
                <w:sz w:val="22"/>
                <w:szCs w:val="22"/>
                <w:lang w:val="sk-SK"/>
                <w:rPrChange w:id="3530" w:author="Author" w:date="2025-08-22T15:12:00Z">
                  <w:rPr>
                    <w:ins w:id="3531" w:author="Author" w:date="2025-07-24T11:09:00Z"/>
                    <w:lang w:val="it-IT"/>
                  </w:rPr>
                </w:rPrChange>
              </w:rPr>
            </w:pPr>
            <w:ins w:id="3532" w:author="Author" w:date="2025-07-24T11:09:00Z">
              <w:r>
                <w:rPr>
                  <w:rFonts w:ascii="Times New Roman" w:hAnsi="Times New Roman"/>
                  <w:noProof/>
                  <w:sz w:val="22"/>
                  <w:szCs w:val="22"/>
                  <w:lang w:val="sk-SK"/>
                  <w:rPrChange w:id="3533" w:author="Author" w:date="2025-08-22T15:12:00Z">
                    <w:rPr>
                      <w:lang w:val="it-IT"/>
                    </w:rPr>
                  </w:rPrChange>
                </w:rPr>
                <w:t>Roche Eesti OÜ</w:t>
              </w:r>
            </w:ins>
          </w:p>
          <w:p w14:paraId="1CE3CB6B" w14:textId="77777777" w:rsidR="009700E5" w:rsidRPr="009700E5" w:rsidRDefault="002C033C">
            <w:pPr>
              <w:pStyle w:val="Standard1"/>
              <w:rPr>
                <w:ins w:id="3534" w:author="Author" w:date="2025-07-24T11:09:00Z"/>
                <w:rFonts w:ascii="Times New Roman" w:hAnsi="Times New Roman"/>
                <w:noProof/>
                <w:sz w:val="22"/>
                <w:szCs w:val="22"/>
                <w:lang w:val="sk-SK"/>
                <w:rPrChange w:id="3535" w:author="Author" w:date="2025-08-22T15:12:00Z">
                  <w:rPr>
                    <w:ins w:id="3536" w:author="Author" w:date="2025-07-24T11:09:00Z"/>
                    <w:lang w:val="it-IT"/>
                  </w:rPr>
                </w:rPrChange>
              </w:rPr>
            </w:pPr>
            <w:ins w:id="3537" w:author="Author" w:date="2025-07-24T11:09:00Z">
              <w:r>
                <w:rPr>
                  <w:rFonts w:ascii="Times New Roman" w:hAnsi="Times New Roman"/>
                  <w:noProof/>
                  <w:sz w:val="22"/>
                  <w:szCs w:val="22"/>
                  <w:lang w:val="sk-SK"/>
                  <w:rPrChange w:id="3538" w:author="Author" w:date="2025-08-22T15:12:00Z">
                    <w:rPr>
                      <w:lang w:val="it-IT"/>
                    </w:rPr>
                  </w:rPrChange>
                </w:rPr>
                <w:t>Tel: + 372 - 6 177 380</w:t>
              </w:r>
            </w:ins>
          </w:p>
          <w:p w14:paraId="69FF9006" w14:textId="77777777" w:rsidR="009700E5" w:rsidRPr="009700E5" w:rsidRDefault="009700E5">
            <w:pPr>
              <w:pStyle w:val="Standard1"/>
              <w:rPr>
                <w:ins w:id="3539" w:author="Author" w:date="2025-07-24T11:09:00Z"/>
                <w:rFonts w:ascii="Times New Roman" w:hAnsi="Times New Roman"/>
                <w:noProof/>
                <w:sz w:val="22"/>
                <w:szCs w:val="22"/>
                <w:lang w:val="sk-SK"/>
                <w:rPrChange w:id="3540" w:author="Author" w:date="2025-08-22T15:12:00Z">
                  <w:rPr>
                    <w:ins w:id="3541" w:author="Author" w:date="2025-07-24T11:09:00Z"/>
                    <w:lang w:val="it-IT"/>
                  </w:rPr>
                </w:rPrChange>
              </w:rPr>
            </w:pPr>
          </w:p>
        </w:tc>
        <w:tc>
          <w:tcPr>
            <w:tcW w:w="4590" w:type="dxa"/>
          </w:tcPr>
          <w:p w14:paraId="0C453350" w14:textId="77777777" w:rsidR="009700E5" w:rsidRPr="009700E5" w:rsidRDefault="002C033C">
            <w:pPr>
              <w:pStyle w:val="Standard1"/>
              <w:rPr>
                <w:ins w:id="3542" w:author="Author" w:date="2025-07-24T11:09:00Z"/>
                <w:rFonts w:ascii="Times New Roman" w:hAnsi="Times New Roman"/>
                <w:noProof/>
                <w:sz w:val="22"/>
                <w:szCs w:val="22"/>
                <w:lang w:val="sk-SK"/>
                <w:rPrChange w:id="3543" w:author="Author" w:date="2025-08-22T15:12:00Z">
                  <w:rPr>
                    <w:ins w:id="3544" w:author="Author" w:date="2025-07-24T11:09:00Z"/>
                    <w:lang w:val="de-DE"/>
                  </w:rPr>
                </w:rPrChange>
              </w:rPr>
            </w:pPr>
            <w:ins w:id="3545" w:author="Author" w:date="2025-07-24T11:09:00Z">
              <w:r>
                <w:rPr>
                  <w:rFonts w:ascii="Times New Roman" w:hAnsi="Times New Roman"/>
                  <w:b/>
                  <w:noProof/>
                  <w:sz w:val="22"/>
                  <w:szCs w:val="22"/>
                  <w:lang w:val="sk-SK"/>
                  <w:rPrChange w:id="3546" w:author="Author" w:date="2025-08-22T15:12:00Z">
                    <w:rPr>
                      <w:b/>
                      <w:lang w:val="de-DE"/>
                    </w:rPr>
                  </w:rPrChange>
                </w:rPr>
                <w:t>Österreich</w:t>
              </w:r>
            </w:ins>
          </w:p>
          <w:p w14:paraId="55CE4493" w14:textId="77777777" w:rsidR="009700E5" w:rsidRPr="009700E5" w:rsidRDefault="002C033C">
            <w:pPr>
              <w:pStyle w:val="Standard1"/>
              <w:rPr>
                <w:ins w:id="3547" w:author="Author" w:date="2025-07-24T11:09:00Z"/>
                <w:rFonts w:ascii="Times New Roman" w:hAnsi="Times New Roman"/>
                <w:noProof/>
                <w:sz w:val="22"/>
                <w:szCs w:val="22"/>
                <w:lang w:val="sk-SK"/>
                <w:rPrChange w:id="3548" w:author="Author" w:date="2025-08-22T15:12:00Z">
                  <w:rPr>
                    <w:ins w:id="3549" w:author="Author" w:date="2025-07-24T11:09:00Z"/>
                    <w:lang w:val="de-DE"/>
                  </w:rPr>
                </w:rPrChange>
              </w:rPr>
            </w:pPr>
            <w:ins w:id="3550" w:author="Author" w:date="2025-07-24T11:09:00Z">
              <w:r>
                <w:rPr>
                  <w:rFonts w:ascii="Times New Roman" w:hAnsi="Times New Roman"/>
                  <w:noProof/>
                  <w:sz w:val="22"/>
                  <w:szCs w:val="22"/>
                  <w:lang w:val="sk-SK"/>
                  <w:rPrChange w:id="3551" w:author="Author" w:date="2025-08-22T15:12:00Z">
                    <w:rPr>
                      <w:lang w:val="de-DE"/>
                    </w:rPr>
                  </w:rPrChange>
                </w:rPr>
                <w:t>Roche Austria GmbH</w:t>
              </w:r>
            </w:ins>
          </w:p>
          <w:p w14:paraId="6529A44D" w14:textId="77777777" w:rsidR="009700E5" w:rsidRPr="009700E5" w:rsidRDefault="002C033C">
            <w:pPr>
              <w:pStyle w:val="Standard1"/>
              <w:rPr>
                <w:ins w:id="3552" w:author="Author" w:date="2025-07-24T11:09:00Z"/>
                <w:rFonts w:ascii="Times New Roman" w:hAnsi="Times New Roman"/>
                <w:noProof/>
                <w:sz w:val="22"/>
                <w:szCs w:val="22"/>
                <w:lang w:val="sk-SK"/>
                <w:rPrChange w:id="3553" w:author="Author" w:date="2025-08-22T15:12:00Z">
                  <w:rPr>
                    <w:ins w:id="3554" w:author="Author" w:date="2025-07-24T11:09:00Z"/>
                    <w:lang w:val="de-DE"/>
                  </w:rPr>
                </w:rPrChange>
              </w:rPr>
            </w:pPr>
            <w:ins w:id="3555" w:author="Author" w:date="2025-07-24T11:09:00Z">
              <w:r>
                <w:rPr>
                  <w:rFonts w:ascii="Times New Roman" w:hAnsi="Times New Roman"/>
                  <w:noProof/>
                  <w:sz w:val="22"/>
                  <w:szCs w:val="22"/>
                  <w:lang w:val="sk-SK"/>
                  <w:rPrChange w:id="3556" w:author="Author" w:date="2025-08-22T15:12:00Z">
                    <w:rPr>
                      <w:lang w:val="de-DE"/>
                    </w:rPr>
                  </w:rPrChange>
                </w:rPr>
                <w:t>Tel: +43 (0) 1 27739</w:t>
              </w:r>
            </w:ins>
          </w:p>
          <w:p w14:paraId="09910334" w14:textId="77777777" w:rsidR="009700E5" w:rsidRPr="009700E5" w:rsidRDefault="009700E5">
            <w:pPr>
              <w:pStyle w:val="Standard1"/>
              <w:rPr>
                <w:ins w:id="3557" w:author="Author" w:date="2025-07-24T11:09:00Z"/>
                <w:rFonts w:ascii="Times New Roman" w:hAnsi="Times New Roman"/>
                <w:noProof/>
                <w:sz w:val="22"/>
                <w:szCs w:val="22"/>
                <w:lang w:val="sk-SK"/>
                <w:rPrChange w:id="3558" w:author="Author" w:date="2025-08-22T15:12:00Z">
                  <w:rPr>
                    <w:ins w:id="3559" w:author="Author" w:date="2025-07-24T11:09:00Z"/>
                    <w:lang w:val="de-DE"/>
                  </w:rPr>
                </w:rPrChange>
              </w:rPr>
            </w:pPr>
          </w:p>
        </w:tc>
      </w:tr>
      <w:tr w:rsidR="009700E5" w14:paraId="66845CA3" w14:textId="77777777">
        <w:trPr>
          <w:cantSplit/>
          <w:ins w:id="3560" w:author="Author" w:date="2025-07-24T11:09:00Z"/>
        </w:trPr>
        <w:tc>
          <w:tcPr>
            <w:tcW w:w="4590" w:type="dxa"/>
          </w:tcPr>
          <w:p w14:paraId="4D9A8E91" w14:textId="77777777" w:rsidR="009700E5" w:rsidRPr="009700E5" w:rsidRDefault="002C033C">
            <w:pPr>
              <w:pStyle w:val="Standard1"/>
              <w:rPr>
                <w:ins w:id="3561" w:author="Author" w:date="2025-07-24T11:09:00Z"/>
                <w:rFonts w:ascii="Times New Roman" w:hAnsi="Times New Roman"/>
                <w:noProof/>
                <w:sz w:val="22"/>
                <w:szCs w:val="22"/>
                <w:lang w:val="sk-SK"/>
                <w:rPrChange w:id="3562" w:author="Author" w:date="2025-08-22T15:12:00Z">
                  <w:rPr>
                    <w:ins w:id="3563" w:author="Author" w:date="2025-07-24T11:09:00Z"/>
                    <w:lang w:val="de-DE"/>
                  </w:rPr>
                </w:rPrChange>
              </w:rPr>
            </w:pPr>
            <w:ins w:id="3564" w:author="Author" w:date="2025-07-24T11:09:00Z">
              <w:r>
                <w:rPr>
                  <w:rFonts w:ascii="Times New Roman" w:hAnsi="Times New Roman"/>
                  <w:b/>
                  <w:noProof/>
                  <w:sz w:val="22"/>
                  <w:szCs w:val="22"/>
                  <w:lang w:val="sk-SK"/>
                  <w:rPrChange w:id="3565" w:author="Author" w:date="2025-08-22T15:12:00Z">
                    <w:rPr>
                      <w:b/>
                      <w:noProof/>
                      <w:szCs w:val="22"/>
                      <w:lang w:val="en-GB"/>
                    </w:rPr>
                  </w:rPrChange>
                </w:rPr>
                <w:t>Ελλάδα</w:t>
              </w:r>
              <w:r>
                <w:rPr>
                  <w:rFonts w:ascii="Times New Roman" w:hAnsi="Times New Roman"/>
                  <w:b/>
                  <w:noProof/>
                  <w:sz w:val="22"/>
                  <w:szCs w:val="22"/>
                  <w:lang w:val="sk-SK"/>
                  <w:rPrChange w:id="3566" w:author="Author" w:date="2025-08-22T15:12:00Z">
                    <w:rPr>
                      <w:b/>
                      <w:noProof/>
                      <w:szCs w:val="22"/>
                      <w:lang w:val="de-DE"/>
                    </w:rPr>
                  </w:rPrChange>
                </w:rPr>
                <w:t xml:space="preserve">, </w:t>
              </w:r>
              <w:r>
                <w:rPr>
                  <w:rFonts w:ascii="Times New Roman" w:hAnsi="Times New Roman"/>
                  <w:b/>
                  <w:noProof/>
                  <w:sz w:val="22"/>
                  <w:szCs w:val="22"/>
                  <w:lang w:val="sk-SK"/>
                  <w:rPrChange w:id="3567" w:author="Author" w:date="2025-08-22T15:12:00Z">
                    <w:rPr>
                      <w:b/>
                      <w:szCs w:val="22"/>
                      <w:lang w:val="de-DE"/>
                    </w:rPr>
                  </w:rPrChange>
                </w:rPr>
                <w:t>K</w:t>
              </w:r>
              <w:r>
                <w:rPr>
                  <w:rFonts w:ascii="Times New Roman" w:hAnsi="Times New Roman"/>
                  <w:b/>
                  <w:noProof/>
                  <w:sz w:val="22"/>
                  <w:szCs w:val="22"/>
                  <w:lang w:val="sk-SK"/>
                  <w:rPrChange w:id="3568" w:author="Author" w:date="2025-08-22T15:12:00Z">
                    <w:rPr>
                      <w:b/>
                      <w:noProof/>
                      <w:szCs w:val="22"/>
                      <w:lang w:val="en-GB"/>
                    </w:rPr>
                  </w:rPrChange>
                </w:rPr>
                <w:t>ύπρος</w:t>
              </w:r>
              <w:r>
                <w:rPr>
                  <w:rFonts w:ascii="Times New Roman" w:hAnsi="Times New Roman"/>
                  <w:noProof/>
                  <w:sz w:val="22"/>
                  <w:szCs w:val="22"/>
                  <w:lang w:val="sk-SK"/>
                  <w:rPrChange w:id="3569" w:author="Author" w:date="2025-08-22T15:12:00Z">
                    <w:rPr>
                      <w:noProof/>
                      <w:szCs w:val="22"/>
                      <w:lang w:val="de-DE"/>
                    </w:rPr>
                  </w:rPrChange>
                </w:rPr>
                <w:t xml:space="preserve"> </w:t>
              </w:r>
            </w:ins>
          </w:p>
          <w:p w14:paraId="3D5C317C" w14:textId="77777777" w:rsidR="009700E5" w:rsidRPr="009700E5" w:rsidRDefault="002C033C">
            <w:pPr>
              <w:pStyle w:val="Standard1"/>
              <w:rPr>
                <w:ins w:id="3570" w:author="Author" w:date="2025-07-24T11:09:00Z"/>
                <w:rFonts w:ascii="Times New Roman" w:hAnsi="Times New Roman"/>
                <w:noProof/>
                <w:sz w:val="22"/>
                <w:szCs w:val="22"/>
                <w:lang w:val="sk-SK"/>
                <w:rPrChange w:id="3571" w:author="Author" w:date="2025-08-22T15:12:00Z">
                  <w:rPr>
                    <w:ins w:id="3572" w:author="Author" w:date="2025-07-24T11:09:00Z"/>
                    <w:lang w:val="de-DE"/>
                  </w:rPr>
                </w:rPrChange>
              </w:rPr>
            </w:pPr>
            <w:ins w:id="3573" w:author="Author" w:date="2025-07-24T11:09:00Z">
              <w:r>
                <w:rPr>
                  <w:rFonts w:ascii="Times New Roman" w:hAnsi="Times New Roman"/>
                  <w:noProof/>
                  <w:sz w:val="22"/>
                  <w:szCs w:val="22"/>
                  <w:lang w:val="sk-SK"/>
                  <w:rPrChange w:id="3574" w:author="Author" w:date="2025-08-22T15:12:00Z">
                    <w:rPr>
                      <w:lang w:val="de-DE"/>
                    </w:rPr>
                  </w:rPrChange>
                </w:rPr>
                <w:t xml:space="preserve">Roche (Hellas) A.E. </w:t>
              </w:r>
            </w:ins>
          </w:p>
          <w:p w14:paraId="14E32F9A" w14:textId="77777777" w:rsidR="009700E5" w:rsidRPr="009700E5" w:rsidRDefault="002C033C">
            <w:pPr>
              <w:pStyle w:val="Standard1"/>
              <w:rPr>
                <w:ins w:id="3575" w:author="Author" w:date="2025-07-24T11:09:00Z"/>
                <w:rFonts w:ascii="Times New Roman" w:hAnsi="Times New Roman"/>
                <w:bCs/>
                <w:noProof/>
                <w:sz w:val="22"/>
                <w:szCs w:val="22"/>
                <w:lang w:val="sk-SK"/>
                <w:rPrChange w:id="3576" w:author="Author" w:date="2025-08-22T15:12:00Z">
                  <w:rPr>
                    <w:ins w:id="3577" w:author="Author" w:date="2025-07-24T11:09:00Z"/>
                    <w:bCs/>
                    <w:noProof/>
                    <w:szCs w:val="22"/>
                    <w:lang w:val="en-GB"/>
                  </w:rPr>
                </w:rPrChange>
              </w:rPr>
            </w:pPr>
            <w:ins w:id="3578" w:author="Author" w:date="2025-07-24T11:09:00Z">
              <w:r>
                <w:rPr>
                  <w:rFonts w:ascii="Times New Roman" w:hAnsi="Times New Roman"/>
                  <w:bCs/>
                  <w:noProof/>
                  <w:sz w:val="22"/>
                  <w:szCs w:val="22"/>
                  <w:lang w:val="sk-SK"/>
                  <w:rPrChange w:id="3579" w:author="Author" w:date="2025-08-22T15:12:00Z">
                    <w:rPr>
                      <w:bCs/>
                      <w:noProof/>
                      <w:szCs w:val="22"/>
                      <w:lang w:val="en-GB"/>
                    </w:rPr>
                  </w:rPrChange>
                </w:rPr>
                <w:t>Ελλάδα</w:t>
              </w:r>
            </w:ins>
          </w:p>
          <w:p w14:paraId="6AA5DA58" w14:textId="77777777" w:rsidR="009700E5" w:rsidRPr="009700E5" w:rsidRDefault="002C033C">
            <w:pPr>
              <w:pStyle w:val="Standard1"/>
              <w:rPr>
                <w:ins w:id="3580" w:author="Author" w:date="2025-07-24T11:09:00Z"/>
                <w:rFonts w:ascii="Times New Roman" w:hAnsi="Times New Roman"/>
                <w:noProof/>
                <w:sz w:val="22"/>
                <w:szCs w:val="22"/>
                <w:lang w:val="sk-SK"/>
                <w:rPrChange w:id="3581" w:author="Author" w:date="2025-08-22T15:12:00Z">
                  <w:rPr>
                    <w:ins w:id="3582" w:author="Author" w:date="2025-07-24T11:09:00Z"/>
                    <w:noProof/>
                    <w:szCs w:val="22"/>
                    <w:lang w:val="en-GB"/>
                  </w:rPr>
                </w:rPrChange>
              </w:rPr>
            </w:pPr>
            <w:ins w:id="3583" w:author="Author" w:date="2025-07-24T11:09:00Z">
              <w:r>
                <w:rPr>
                  <w:rFonts w:ascii="Times New Roman" w:hAnsi="Times New Roman"/>
                  <w:noProof/>
                  <w:sz w:val="22"/>
                  <w:szCs w:val="22"/>
                  <w:lang w:val="sk-SK"/>
                  <w:rPrChange w:id="3584" w:author="Author" w:date="2025-08-22T15:12:00Z">
                    <w:rPr>
                      <w:noProof/>
                      <w:szCs w:val="22"/>
                      <w:lang w:val="en-GB"/>
                    </w:rPr>
                  </w:rPrChange>
                </w:rPr>
                <w:t>Τηλ: +30 210 61 66 100</w:t>
              </w:r>
            </w:ins>
          </w:p>
          <w:p w14:paraId="77B65308" w14:textId="77777777" w:rsidR="009700E5" w:rsidRPr="009700E5" w:rsidRDefault="009700E5">
            <w:pPr>
              <w:pStyle w:val="Standard1"/>
              <w:rPr>
                <w:ins w:id="3585" w:author="Author" w:date="2025-07-24T11:09:00Z"/>
                <w:rFonts w:ascii="Times New Roman" w:hAnsi="Times New Roman"/>
                <w:noProof/>
                <w:sz w:val="22"/>
                <w:szCs w:val="22"/>
                <w:lang w:val="sk-SK"/>
                <w:rPrChange w:id="3586" w:author="Author" w:date="2025-08-22T15:12:00Z">
                  <w:rPr>
                    <w:ins w:id="3587" w:author="Author" w:date="2025-07-24T11:09:00Z"/>
                    <w:noProof/>
                    <w:szCs w:val="22"/>
                    <w:lang w:val="en-GB"/>
                  </w:rPr>
                </w:rPrChange>
              </w:rPr>
            </w:pPr>
          </w:p>
        </w:tc>
        <w:tc>
          <w:tcPr>
            <w:tcW w:w="4590" w:type="dxa"/>
          </w:tcPr>
          <w:p w14:paraId="289C5DC8" w14:textId="77777777" w:rsidR="009700E5" w:rsidRPr="009700E5" w:rsidRDefault="002C033C">
            <w:pPr>
              <w:pStyle w:val="Standard1"/>
              <w:rPr>
                <w:ins w:id="3588" w:author="Author" w:date="2025-07-24T11:09:00Z"/>
                <w:rFonts w:ascii="Times New Roman" w:hAnsi="Times New Roman"/>
                <w:b/>
                <w:noProof/>
                <w:sz w:val="22"/>
                <w:szCs w:val="22"/>
                <w:lang w:val="sk-SK"/>
                <w:rPrChange w:id="3589" w:author="Author" w:date="2025-08-22T15:12:00Z">
                  <w:rPr>
                    <w:ins w:id="3590" w:author="Author" w:date="2025-07-24T11:09:00Z"/>
                    <w:b/>
                    <w:lang w:val="pl-PL"/>
                  </w:rPr>
                </w:rPrChange>
              </w:rPr>
            </w:pPr>
            <w:ins w:id="3591" w:author="Author" w:date="2025-07-24T11:09:00Z">
              <w:r>
                <w:rPr>
                  <w:rFonts w:ascii="Times New Roman" w:hAnsi="Times New Roman"/>
                  <w:b/>
                  <w:noProof/>
                  <w:sz w:val="22"/>
                  <w:szCs w:val="22"/>
                  <w:lang w:val="sk-SK"/>
                  <w:rPrChange w:id="3592" w:author="Author" w:date="2025-08-22T15:12:00Z">
                    <w:rPr>
                      <w:b/>
                      <w:lang w:val="pl-PL"/>
                    </w:rPr>
                  </w:rPrChange>
                </w:rPr>
                <w:t>Polska</w:t>
              </w:r>
            </w:ins>
          </w:p>
          <w:p w14:paraId="11C68F83" w14:textId="77777777" w:rsidR="009700E5" w:rsidRPr="009700E5" w:rsidRDefault="002C033C">
            <w:pPr>
              <w:pStyle w:val="Standard1"/>
              <w:rPr>
                <w:ins w:id="3593" w:author="Author" w:date="2025-07-24T11:09:00Z"/>
                <w:rFonts w:ascii="Times New Roman" w:hAnsi="Times New Roman"/>
                <w:noProof/>
                <w:sz w:val="22"/>
                <w:szCs w:val="22"/>
                <w:lang w:val="sk-SK"/>
                <w:rPrChange w:id="3594" w:author="Author" w:date="2025-08-22T15:12:00Z">
                  <w:rPr>
                    <w:ins w:id="3595" w:author="Author" w:date="2025-07-24T11:09:00Z"/>
                    <w:lang w:val="pl-PL"/>
                  </w:rPr>
                </w:rPrChange>
              </w:rPr>
            </w:pPr>
            <w:ins w:id="3596" w:author="Author" w:date="2025-07-24T11:09:00Z">
              <w:r>
                <w:rPr>
                  <w:rFonts w:ascii="Times New Roman" w:hAnsi="Times New Roman"/>
                  <w:noProof/>
                  <w:sz w:val="22"/>
                  <w:szCs w:val="22"/>
                  <w:lang w:val="sk-SK"/>
                  <w:rPrChange w:id="3597" w:author="Author" w:date="2025-08-22T15:12:00Z">
                    <w:rPr>
                      <w:lang w:val="pl-PL"/>
                    </w:rPr>
                  </w:rPrChange>
                </w:rPr>
                <w:t>Roche Polska Sp.z o.o.</w:t>
              </w:r>
            </w:ins>
          </w:p>
          <w:p w14:paraId="097C3D81" w14:textId="77777777" w:rsidR="009700E5" w:rsidRPr="009700E5" w:rsidRDefault="002C033C">
            <w:pPr>
              <w:pStyle w:val="Standard1"/>
              <w:rPr>
                <w:ins w:id="3598" w:author="Author" w:date="2025-07-24T11:09:00Z"/>
                <w:rFonts w:ascii="Times New Roman" w:hAnsi="Times New Roman"/>
                <w:noProof/>
                <w:sz w:val="22"/>
                <w:szCs w:val="22"/>
                <w:lang w:val="sk-SK"/>
                <w:rPrChange w:id="3599" w:author="Author" w:date="2025-08-22T15:12:00Z">
                  <w:rPr>
                    <w:ins w:id="3600" w:author="Author" w:date="2025-07-24T11:09:00Z"/>
                    <w:noProof/>
                    <w:szCs w:val="22"/>
                    <w:lang w:val="en-GB"/>
                  </w:rPr>
                </w:rPrChange>
              </w:rPr>
            </w:pPr>
            <w:ins w:id="3601" w:author="Author" w:date="2025-07-24T11:09:00Z">
              <w:r>
                <w:rPr>
                  <w:rFonts w:ascii="Times New Roman" w:hAnsi="Times New Roman"/>
                  <w:noProof/>
                  <w:sz w:val="22"/>
                  <w:szCs w:val="22"/>
                  <w:lang w:val="sk-SK"/>
                  <w:rPrChange w:id="3602" w:author="Author" w:date="2025-08-22T15:12:00Z">
                    <w:rPr>
                      <w:noProof/>
                      <w:szCs w:val="22"/>
                      <w:lang w:val="en-GB"/>
                    </w:rPr>
                  </w:rPrChange>
                </w:rPr>
                <w:t>Tel: +48 - 22 345 18 88</w:t>
              </w:r>
            </w:ins>
          </w:p>
          <w:p w14:paraId="7E503814" w14:textId="77777777" w:rsidR="009700E5" w:rsidRPr="009700E5" w:rsidRDefault="009700E5">
            <w:pPr>
              <w:pStyle w:val="Standard1"/>
              <w:rPr>
                <w:ins w:id="3603" w:author="Author" w:date="2025-07-24T11:09:00Z"/>
                <w:rFonts w:ascii="Times New Roman" w:hAnsi="Times New Roman"/>
                <w:noProof/>
                <w:sz w:val="22"/>
                <w:szCs w:val="22"/>
                <w:lang w:val="sk-SK"/>
                <w:rPrChange w:id="3604" w:author="Author" w:date="2025-08-22T15:12:00Z">
                  <w:rPr>
                    <w:ins w:id="3605" w:author="Author" w:date="2025-07-24T11:09:00Z"/>
                    <w:noProof/>
                    <w:szCs w:val="22"/>
                    <w:lang w:val="en-GB"/>
                  </w:rPr>
                </w:rPrChange>
              </w:rPr>
            </w:pPr>
          </w:p>
        </w:tc>
      </w:tr>
      <w:tr w:rsidR="009700E5" w14:paraId="053EC742" w14:textId="77777777">
        <w:trPr>
          <w:cantSplit/>
          <w:ins w:id="3606" w:author="Author" w:date="2025-07-24T11:09:00Z"/>
        </w:trPr>
        <w:tc>
          <w:tcPr>
            <w:tcW w:w="4590" w:type="dxa"/>
          </w:tcPr>
          <w:p w14:paraId="7EE2BF57" w14:textId="77777777" w:rsidR="009700E5" w:rsidRPr="009700E5" w:rsidRDefault="002C033C">
            <w:pPr>
              <w:pStyle w:val="Standard1"/>
              <w:rPr>
                <w:ins w:id="3607" w:author="Author" w:date="2025-07-24T11:09:00Z"/>
                <w:rFonts w:ascii="Times New Roman" w:hAnsi="Times New Roman"/>
                <w:b/>
                <w:noProof/>
                <w:sz w:val="22"/>
                <w:szCs w:val="22"/>
                <w:lang w:val="sk-SK"/>
                <w:rPrChange w:id="3608" w:author="Author" w:date="2025-08-22T15:12:00Z">
                  <w:rPr>
                    <w:ins w:id="3609" w:author="Author" w:date="2025-07-24T11:09:00Z"/>
                    <w:b/>
                  </w:rPr>
                </w:rPrChange>
              </w:rPr>
            </w:pPr>
            <w:ins w:id="3610" w:author="Author" w:date="2025-07-24T11:09:00Z">
              <w:r>
                <w:rPr>
                  <w:rFonts w:ascii="Times New Roman" w:hAnsi="Times New Roman"/>
                  <w:b/>
                  <w:noProof/>
                  <w:sz w:val="22"/>
                  <w:szCs w:val="22"/>
                  <w:lang w:val="sk-SK"/>
                  <w:rPrChange w:id="3611" w:author="Author" w:date="2025-08-22T15:12:00Z">
                    <w:rPr>
                      <w:b/>
                    </w:rPr>
                  </w:rPrChange>
                </w:rPr>
                <w:t>España</w:t>
              </w:r>
            </w:ins>
          </w:p>
          <w:p w14:paraId="5BD35C8C" w14:textId="77777777" w:rsidR="009700E5" w:rsidRPr="009700E5" w:rsidRDefault="002C033C">
            <w:pPr>
              <w:pStyle w:val="Standard1"/>
              <w:rPr>
                <w:ins w:id="3612" w:author="Author" w:date="2025-07-24T11:09:00Z"/>
                <w:rFonts w:ascii="Times New Roman" w:hAnsi="Times New Roman"/>
                <w:noProof/>
                <w:sz w:val="22"/>
                <w:szCs w:val="22"/>
                <w:lang w:val="sk-SK"/>
                <w:rPrChange w:id="3613" w:author="Author" w:date="2025-08-22T15:12:00Z">
                  <w:rPr>
                    <w:ins w:id="3614" w:author="Author" w:date="2025-07-24T11:09:00Z"/>
                  </w:rPr>
                </w:rPrChange>
              </w:rPr>
            </w:pPr>
            <w:ins w:id="3615" w:author="Author" w:date="2025-07-24T11:09:00Z">
              <w:r>
                <w:rPr>
                  <w:rFonts w:ascii="Times New Roman" w:hAnsi="Times New Roman"/>
                  <w:noProof/>
                  <w:sz w:val="22"/>
                  <w:szCs w:val="22"/>
                  <w:lang w:val="sk-SK"/>
                  <w:rPrChange w:id="3616" w:author="Author" w:date="2025-08-22T15:12:00Z">
                    <w:rPr/>
                  </w:rPrChange>
                </w:rPr>
                <w:t>Roche Farma S.A.</w:t>
              </w:r>
            </w:ins>
          </w:p>
          <w:p w14:paraId="56924F15" w14:textId="77777777" w:rsidR="009700E5" w:rsidRPr="009700E5" w:rsidRDefault="002C033C">
            <w:pPr>
              <w:pStyle w:val="Standard1"/>
              <w:rPr>
                <w:ins w:id="3617" w:author="Author" w:date="2025-07-24T11:09:00Z"/>
                <w:rFonts w:ascii="Times New Roman" w:hAnsi="Times New Roman"/>
                <w:noProof/>
                <w:sz w:val="22"/>
                <w:szCs w:val="22"/>
                <w:lang w:val="sk-SK"/>
                <w:rPrChange w:id="3618" w:author="Author" w:date="2025-08-22T15:12:00Z">
                  <w:rPr>
                    <w:ins w:id="3619" w:author="Author" w:date="2025-07-24T11:09:00Z"/>
                    <w:noProof/>
                    <w:szCs w:val="22"/>
                    <w:lang w:val="en-GB"/>
                  </w:rPr>
                </w:rPrChange>
              </w:rPr>
            </w:pPr>
            <w:ins w:id="3620" w:author="Author" w:date="2025-07-24T11:09:00Z">
              <w:r>
                <w:rPr>
                  <w:rFonts w:ascii="Times New Roman" w:hAnsi="Times New Roman"/>
                  <w:noProof/>
                  <w:sz w:val="22"/>
                  <w:szCs w:val="22"/>
                  <w:lang w:val="sk-SK"/>
                  <w:rPrChange w:id="3621" w:author="Author" w:date="2025-08-22T15:12:00Z">
                    <w:rPr>
                      <w:noProof/>
                      <w:szCs w:val="22"/>
                      <w:lang w:val="en-GB"/>
                    </w:rPr>
                  </w:rPrChange>
                </w:rPr>
                <w:t>Tel: +34 - 91 324 81 00</w:t>
              </w:r>
            </w:ins>
          </w:p>
          <w:p w14:paraId="45F0CBDE" w14:textId="77777777" w:rsidR="009700E5" w:rsidRPr="009700E5" w:rsidRDefault="009700E5">
            <w:pPr>
              <w:pStyle w:val="Standard1"/>
              <w:rPr>
                <w:ins w:id="3622" w:author="Author" w:date="2025-07-24T11:09:00Z"/>
                <w:rFonts w:ascii="Times New Roman" w:hAnsi="Times New Roman"/>
                <w:noProof/>
                <w:sz w:val="22"/>
                <w:szCs w:val="22"/>
                <w:lang w:val="sk-SK"/>
                <w:rPrChange w:id="3623" w:author="Author" w:date="2025-08-22T15:12:00Z">
                  <w:rPr>
                    <w:ins w:id="3624" w:author="Author" w:date="2025-07-24T11:09:00Z"/>
                    <w:noProof/>
                    <w:szCs w:val="22"/>
                    <w:lang w:val="en-GB"/>
                  </w:rPr>
                </w:rPrChange>
              </w:rPr>
            </w:pPr>
          </w:p>
        </w:tc>
        <w:tc>
          <w:tcPr>
            <w:tcW w:w="4590" w:type="dxa"/>
          </w:tcPr>
          <w:p w14:paraId="41C9EB6D" w14:textId="77777777" w:rsidR="009700E5" w:rsidRPr="009700E5" w:rsidRDefault="002C033C">
            <w:pPr>
              <w:pStyle w:val="Standard1"/>
              <w:rPr>
                <w:ins w:id="3625" w:author="Author" w:date="2025-07-24T11:09:00Z"/>
                <w:rFonts w:ascii="Times New Roman" w:hAnsi="Times New Roman"/>
                <w:noProof/>
                <w:sz w:val="22"/>
                <w:szCs w:val="22"/>
                <w:lang w:val="sk-SK"/>
                <w:rPrChange w:id="3626" w:author="Author" w:date="2025-08-22T15:12:00Z">
                  <w:rPr>
                    <w:ins w:id="3627" w:author="Author" w:date="2025-07-24T11:09:00Z"/>
                    <w:lang w:val="pt-BR"/>
                  </w:rPr>
                </w:rPrChange>
              </w:rPr>
            </w:pPr>
            <w:ins w:id="3628" w:author="Author" w:date="2025-07-24T11:09:00Z">
              <w:r>
                <w:rPr>
                  <w:rFonts w:ascii="Times New Roman" w:hAnsi="Times New Roman"/>
                  <w:b/>
                  <w:noProof/>
                  <w:sz w:val="22"/>
                  <w:szCs w:val="22"/>
                  <w:lang w:val="sk-SK"/>
                  <w:rPrChange w:id="3629" w:author="Author" w:date="2025-08-22T15:12:00Z">
                    <w:rPr>
                      <w:b/>
                      <w:lang w:val="pt-BR"/>
                    </w:rPr>
                  </w:rPrChange>
                </w:rPr>
                <w:t>Portugal</w:t>
              </w:r>
            </w:ins>
          </w:p>
          <w:p w14:paraId="7A597E06" w14:textId="77777777" w:rsidR="009700E5" w:rsidRPr="009700E5" w:rsidRDefault="002C033C">
            <w:pPr>
              <w:pStyle w:val="Standard1"/>
              <w:rPr>
                <w:ins w:id="3630" w:author="Author" w:date="2025-07-24T11:09:00Z"/>
                <w:rFonts w:ascii="Times New Roman" w:hAnsi="Times New Roman"/>
                <w:noProof/>
                <w:sz w:val="22"/>
                <w:szCs w:val="22"/>
                <w:lang w:val="sk-SK"/>
                <w:rPrChange w:id="3631" w:author="Author" w:date="2025-08-22T15:12:00Z">
                  <w:rPr>
                    <w:ins w:id="3632" w:author="Author" w:date="2025-07-24T11:09:00Z"/>
                    <w:lang w:val="pt-BR"/>
                  </w:rPr>
                </w:rPrChange>
              </w:rPr>
            </w:pPr>
            <w:ins w:id="3633" w:author="Author" w:date="2025-07-24T11:09:00Z">
              <w:r>
                <w:rPr>
                  <w:rFonts w:ascii="Times New Roman" w:hAnsi="Times New Roman"/>
                  <w:noProof/>
                  <w:sz w:val="22"/>
                  <w:szCs w:val="22"/>
                  <w:lang w:val="sk-SK"/>
                  <w:rPrChange w:id="3634" w:author="Author" w:date="2025-08-22T15:12:00Z">
                    <w:rPr>
                      <w:lang w:val="pt-BR"/>
                    </w:rPr>
                  </w:rPrChange>
                </w:rPr>
                <w:t>Roche Farmacêutica Química, Lda</w:t>
              </w:r>
            </w:ins>
          </w:p>
          <w:p w14:paraId="5644ACAE" w14:textId="77777777" w:rsidR="009700E5" w:rsidRPr="009700E5" w:rsidRDefault="002C033C">
            <w:pPr>
              <w:pStyle w:val="Standard1"/>
              <w:rPr>
                <w:ins w:id="3635" w:author="Author" w:date="2025-07-24T11:09:00Z"/>
                <w:rFonts w:ascii="Times New Roman" w:hAnsi="Times New Roman"/>
                <w:noProof/>
                <w:sz w:val="22"/>
                <w:szCs w:val="22"/>
                <w:lang w:val="sk-SK"/>
                <w:rPrChange w:id="3636" w:author="Author" w:date="2025-08-22T15:12:00Z">
                  <w:rPr>
                    <w:ins w:id="3637" w:author="Author" w:date="2025-07-24T11:09:00Z"/>
                    <w:lang w:val="pt-BR"/>
                  </w:rPr>
                </w:rPrChange>
              </w:rPr>
            </w:pPr>
            <w:ins w:id="3638" w:author="Author" w:date="2025-07-24T11:09:00Z">
              <w:r>
                <w:rPr>
                  <w:rFonts w:ascii="Times New Roman" w:hAnsi="Times New Roman"/>
                  <w:noProof/>
                  <w:sz w:val="22"/>
                  <w:szCs w:val="22"/>
                  <w:lang w:val="sk-SK"/>
                  <w:rPrChange w:id="3639" w:author="Author" w:date="2025-08-22T15:12:00Z">
                    <w:rPr>
                      <w:lang w:val="pt-BR"/>
                    </w:rPr>
                  </w:rPrChange>
                </w:rPr>
                <w:t>Tel: +351 - 21 425 70 00</w:t>
              </w:r>
            </w:ins>
          </w:p>
          <w:p w14:paraId="23A17CD5" w14:textId="77777777" w:rsidR="009700E5" w:rsidRPr="009700E5" w:rsidRDefault="009700E5">
            <w:pPr>
              <w:pStyle w:val="Standard1"/>
              <w:rPr>
                <w:ins w:id="3640" w:author="Author" w:date="2025-07-24T11:09:00Z"/>
                <w:rFonts w:ascii="Times New Roman" w:hAnsi="Times New Roman"/>
                <w:noProof/>
                <w:sz w:val="22"/>
                <w:szCs w:val="22"/>
                <w:lang w:val="sk-SK"/>
                <w:rPrChange w:id="3641" w:author="Author" w:date="2025-08-22T15:12:00Z">
                  <w:rPr>
                    <w:ins w:id="3642" w:author="Author" w:date="2025-07-24T11:09:00Z"/>
                    <w:lang w:val="pt-BR"/>
                  </w:rPr>
                </w:rPrChange>
              </w:rPr>
            </w:pPr>
          </w:p>
        </w:tc>
      </w:tr>
      <w:tr w:rsidR="009700E5" w14:paraId="483A81CA" w14:textId="77777777">
        <w:trPr>
          <w:cantSplit/>
          <w:trHeight w:val="1152"/>
          <w:ins w:id="3643" w:author="Author" w:date="2025-07-24T11:09:00Z"/>
        </w:trPr>
        <w:tc>
          <w:tcPr>
            <w:tcW w:w="4590" w:type="dxa"/>
          </w:tcPr>
          <w:p w14:paraId="546ED437" w14:textId="77777777" w:rsidR="009700E5" w:rsidRPr="009700E5" w:rsidRDefault="002C033C">
            <w:pPr>
              <w:pStyle w:val="Standard1"/>
              <w:rPr>
                <w:ins w:id="3644" w:author="Author" w:date="2025-07-24T11:09:00Z"/>
                <w:rFonts w:ascii="Times New Roman" w:hAnsi="Times New Roman"/>
                <w:noProof/>
                <w:sz w:val="22"/>
                <w:szCs w:val="22"/>
                <w:lang w:val="sk-SK"/>
                <w:rPrChange w:id="3645" w:author="Author" w:date="2025-08-22T15:12:00Z">
                  <w:rPr>
                    <w:ins w:id="3646" w:author="Author" w:date="2025-07-24T11:09:00Z"/>
                  </w:rPr>
                </w:rPrChange>
              </w:rPr>
            </w:pPr>
            <w:ins w:id="3647" w:author="Author" w:date="2025-07-24T11:09:00Z">
              <w:r>
                <w:rPr>
                  <w:rFonts w:ascii="Times New Roman" w:hAnsi="Times New Roman"/>
                  <w:b/>
                  <w:noProof/>
                  <w:sz w:val="22"/>
                  <w:szCs w:val="22"/>
                  <w:lang w:val="sk-SK"/>
                  <w:rPrChange w:id="3648" w:author="Author" w:date="2025-08-22T15:12:00Z">
                    <w:rPr>
                      <w:b/>
                    </w:rPr>
                  </w:rPrChange>
                </w:rPr>
                <w:t>France</w:t>
              </w:r>
            </w:ins>
          </w:p>
          <w:p w14:paraId="3AD02663" w14:textId="77777777" w:rsidR="009700E5" w:rsidRPr="009700E5" w:rsidRDefault="002C033C">
            <w:pPr>
              <w:pStyle w:val="Standard1"/>
              <w:rPr>
                <w:ins w:id="3649" w:author="Author" w:date="2025-07-24T11:09:00Z"/>
                <w:rFonts w:ascii="Times New Roman" w:hAnsi="Times New Roman"/>
                <w:noProof/>
                <w:sz w:val="22"/>
                <w:szCs w:val="22"/>
                <w:lang w:val="sk-SK"/>
                <w:rPrChange w:id="3650" w:author="Author" w:date="2025-08-22T15:12:00Z">
                  <w:rPr>
                    <w:ins w:id="3651" w:author="Author" w:date="2025-07-24T11:09:00Z"/>
                  </w:rPr>
                </w:rPrChange>
              </w:rPr>
            </w:pPr>
            <w:ins w:id="3652" w:author="Author" w:date="2025-07-24T11:09:00Z">
              <w:r>
                <w:rPr>
                  <w:rFonts w:ascii="Times New Roman" w:hAnsi="Times New Roman"/>
                  <w:noProof/>
                  <w:sz w:val="22"/>
                  <w:szCs w:val="22"/>
                  <w:lang w:val="sk-SK"/>
                  <w:rPrChange w:id="3653" w:author="Author" w:date="2025-08-22T15:12:00Z">
                    <w:rPr/>
                  </w:rPrChange>
                </w:rPr>
                <w:t>Roche</w:t>
              </w:r>
            </w:ins>
          </w:p>
          <w:p w14:paraId="5E5D66B9" w14:textId="77777777" w:rsidR="009700E5" w:rsidRPr="009700E5" w:rsidRDefault="002C033C">
            <w:pPr>
              <w:pStyle w:val="Standard1"/>
              <w:rPr>
                <w:ins w:id="3654" w:author="Author" w:date="2025-07-24T11:09:00Z"/>
                <w:rFonts w:ascii="Times New Roman" w:hAnsi="Times New Roman"/>
                <w:noProof/>
                <w:sz w:val="22"/>
                <w:szCs w:val="22"/>
                <w:lang w:val="sk-SK"/>
                <w:rPrChange w:id="3655" w:author="Author" w:date="2025-08-22T15:12:00Z">
                  <w:rPr>
                    <w:ins w:id="3656" w:author="Author" w:date="2025-07-24T11:09:00Z"/>
                  </w:rPr>
                </w:rPrChange>
              </w:rPr>
            </w:pPr>
            <w:ins w:id="3657" w:author="Author" w:date="2025-07-24T11:09:00Z">
              <w:r>
                <w:rPr>
                  <w:rFonts w:ascii="Times New Roman" w:hAnsi="Times New Roman"/>
                  <w:noProof/>
                  <w:sz w:val="22"/>
                  <w:szCs w:val="22"/>
                  <w:lang w:val="sk-SK"/>
                  <w:rPrChange w:id="3658" w:author="Author" w:date="2025-08-22T15:12:00Z">
                    <w:rPr/>
                  </w:rPrChange>
                </w:rPr>
                <w:t>Tél: +33 (0) 1 47 61 40 00</w:t>
              </w:r>
            </w:ins>
          </w:p>
          <w:p w14:paraId="403AC157" w14:textId="77777777" w:rsidR="009700E5" w:rsidRPr="009700E5" w:rsidRDefault="009700E5">
            <w:pPr>
              <w:pStyle w:val="Standard1"/>
              <w:rPr>
                <w:ins w:id="3659" w:author="Author" w:date="2025-07-24T11:09:00Z"/>
                <w:rFonts w:ascii="Times New Roman" w:hAnsi="Times New Roman"/>
                <w:b/>
                <w:noProof/>
                <w:sz w:val="22"/>
                <w:szCs w:val="22"/>
                <w:lang w:val="sk-SK"/>
                <w:rPrChange w:id="3660" w:author="Author" w:date="2025-08-22T15:12:00Z">
                  <w:rPr>
                    <w:ins w:id="3661" w:author="Author" w:date="2025-07-24T11:09:00Z"/>
                    <w:b/>
                  </w:rPr>
                </w:rPrChange>
              </w:rPr>
            </w:pPr>
          </w:p>
        </w:tc>
        <w:tc>
          <w:tcPr>
            <w:tcW w:w="4590" w:type="dxa"/>
          </w:tcPr>
          <w:p w14:paraId="2918034B" w14:textId="77777777" w:rsidR="009700E5" w:rsidRPr="009700E5" w:rsidRDefault="002C033C">
            <w:pPr>
              <w:pStyle w:val="Standard1"/>
              <w:tabs>
                <w:tab w:val="left" w:pos="-720"/>
                <w:tab w:val="left" w:pos="567"/>
                <w:tab w:val="left" w:pos="4536"/>
              </w:tabs>
              <w:suppressAutoHyphens/>
              <w:spacing w:line="260" w:lineRule="exact"/>
              <w:rPr>
                <w:ins w:id="3662" w:author="Author" w:date="2025-07-24T11:09:00Z"/>
                <w:rFonts w:ascii="Times New Roman" w:hAnsi="Times New Roman"/>
                <w:b/>
                <w:noProof/>
                <w:sz w:val="22"/>
                <w:szCs w:val="22"/>
                <w:lang w:val="sk-SK"/>
                <w:rPrChange w:id="3663" w:author="Author" w:date="2025-08-22T15:12:00Z">
                  <w:rPr>
                    <w:ins w:id="3664" w:author="Author" w:date="2025-07-24T11:09:00Z"/>
                    <w:b/>
                    <w:lang w:val="it-IT"/>
                  </w:rPr>
                </w:rPrChange>
              </w:rPr>
            </w:pPr>
            <w:ins w:id="3665" w:author="Author" w:date="2025-07-24T11:09:00Z">
              <w:r>
                <w:rPr>
                  <w:rFonts w:ascii="Times New Roman" w:hAnsi="Times New Roman"/>
                  <w:b/>
                  <w:noProof/>
                  <w:sz w:val="22"/>
                  <w:szCs w:val="22"/>
                  <w:lang w:val="sk-SK"/>
                  <w:rPrChange w:id="3666" w:author="Author" w:date="2025-08-22T15:12:00Z">
                    <w:rPr>
                      <w:b/>
                      <w:lang w:val="it-IT"/>
                    </w:rPr>
                  </w:rPrChange>
                </w:rPr>
                <w:t>România</w:t>
              </w:r>
            </w:ins>
          </w:p>
          <w:p w14:paraId="1943222D" w14:textId="77777777" w:rsidR="009700E5" w:rsidRPr="009700E5" w:rsidRDefault="002C033C">
            <w:pPr>
              <w:pStyle w:val="Standard1"/>
              <w:tabs>
                <w:tab w:val="left" w:pos="-720"/>
                <w:tab w:val="left" w:pos="4536"/>
              </w:tabs>
              <w:suppressAutoHyphens/>
              <w:rPr>
                <w:ins w:id="3667" w:author="Author" w:date="2025-07-24T11:09:00Z"/>
                <w:rFonts w:ascii="Times New Roman" w:hAnsi="Times New Roman"/>
                <w:noProof/>
                <w:sz w:val="22"/>
                <w:szCs w:val="22"/>
                <w:lang w:val="sk-SK"/>
                <w:rPrChange w:id="3668" w:author="Author" w:date="2025-08-22T15:12:00Z">
                  <w:rPr>
                    <w:ins w:id="3669" w:author="Author" w:date="2025-07-24T11:09:00Z"/>
                    <w:lang w:val="it-IT"/>
                  </w:rPr>
                </w:rPrChange>
              </w:rPr>
            </w:pPr>
            <w:ins w:id="3670" w:author="Author" w:date="2025-07-24T11:09:00Z">
              <w:r>
                <w:rPr>
                  <w:rFonts w:ascii="Times New Roman" w:hAnsi="Times New Roman"/>
                  <w:noProof/>
                  <w:sz w:val="22"/>
                  <w:szCs w:val="22"/>
                  <w:lang w:val="sk-SK"/>
                  <w:rPrChange w:id="3671" w:author="Author" w:date="2025-08-22T15:12:00Z">
                    <w:rPr>
                      <w:lang w:val="it-IT"/>
                    </w:rPr>
                  </w:rPrChange>
                </w:rPr>
                <w:t>Roche România S.R.L.</w:t>
              </w:r>
            </w:ins>
          </w:p>
          <w:p w14:paraId="3F82C83A" w14:textId="77777777" w:rsidR="009700E5" w:rsidRPr="009700E5" w:rsidRDefault="002C033C">
            <w:pPr>
              <w:pStyle w:val="Standard1"/>
              <w:tabs>
                <w:tab w:val="left" w:pos="-720"/>
                <w:tab w:val="left" w:pos="4536"/>
              </w:tabs>
              <w:suppressAutoHyphens/>
              <w:rPr>
                <w:ins w:id="3672" w:author="Author" w:date="2025-07-24T11:09:00Z"/>
                <w:rFonts w:ascii="Times New Roman" w:hAnsi="Times New Roman"/>
                <w:noProof/>
                <w:sz w:val="22"/>
                <w:szCs w:val="22"/>
                <w:lang w:val="sk-SK"/>
                <w:rPrChange w:id="3673" w:author="Author" w:date="2025-08-22T15:12:00Z">
                  <w:rPr>
                    <w:ins w:id="3674" w:author="Author" w:date="2025-07-24T11:09:00Z"/>
                    <w:noProof/>
                    <w:szCs w:val="22"/>
                    <w:lang w:val="en-GB"/>
                  </w:rPr>
                </w:rPrChange>
              </w:rPr>
            </w:pPr>
            <w:ins w:id="3675" w:author="Author" w:date="2025-07-24T11:09:00Z">
              <w:r>
                <w:rPr>
                  <w:rFonts w:ascii="Times New Roman" w:hAnsi="Times New Roman"/>
                  <w:noProof/>
                  <w:sz w:val="22"/>
                  <w:szCs w:val="22"/>
                  <w:lang w:val="sk-SK"/>
                  <w:rPrChange w:id="3676" w:author="Author" w:date="2025-08-22T15:12:00Z">
                    <w:rPr>
                      <w:noProof/>
                      <w:szCs w:val="22"/>
                      <w:lang w:val="en-GB"/>
                    </w:rPr>
                  </w:rPrChange>
                </w:rPr>
                <w:t>Tel: +40 21 206 47 01</w:t>
              </w:r>
            </w:ins>
          </w:p>
          <w:p w14:paraId="17483589" w14:textId="77777777" w:rsidR="009700E5" w:rsidRPr="009700E5" w:rsidRDefault="009700E5">
            <w:pPr>
              <w:pStyle w:val="Standard1"/>
              <w:tabs>
                <w:tab w:val="left" w:pos="-720"/>
                <w:tab w:val="left" w:pos="4536"/>
              </w:tabs>
              <w:suppressAutoHyphens/>
              <w:rPr>
                <w:ins w:id="3677" w:author="Author" w:date="2025-07-24T11:09:00Z"/>
                <w:rFonts w:ascii="Times New Roman" w:hAnsi="Times New Roman"/>
                <w:noProof/>
                <w:sz w:val="22"/>
                <w:szCs w:val="22"/>
                <w:lang w:val="sk-SK"/>
                <w:rPrChange w:id="3678" w:author="Author" w:date="2025-08-22T15:12:00Z">
                  <w:rPr>
                    <w:ins w:id="3679" w:author="Author" w:date="2025-07-24T11:09:00Z"/>
                    <w:noProof/>
                    <w:szCs w:val="22"/>
                    <w:lang w:val="en-GB"/>
                  </w:rPr>
                </w:rPrChange>
              </w:rPr>
            </w:pPr>
          </w:p>
        </w:tc>
      </w:tr>
      <w:tr w:rsidR="009700E5" w14:paraId="16F0829F" w14:textId="77777777">
        <w:trPr>
          <w:cantSplit/>
          <w:trHeight w:val="1152"/>
          <w:ins w:id="3680" w:author="Author" w:date="2025-07-24T11:09:00Z"/>
        </w:trPr>
        <w:tc>
          <w:tcPr>
            <w:tcW w:w="4590" w:type="dxa"/>
          </w:tcPr>
          <w:p w14:paraId="079204FE" w14:textId="77777777" w:rsidR="009700E5" w:rsidRPr="009700E5" w:rsidRDefault="002C033C">
            <w:pPr>
              <w:pStyle w:val="Standard1"/>
              <w:rPr>
                <w:ins w:id="3681" w:author="Author" w:date="2025-07-24T11:09:00Z"/>
                <w:rFonts w:ascii="Times New Roman" w:hAnsi="Times New Roman"/>
                <w:b/>
                <w:noProof/>
                <w:sz w:val="22"/>
                <w:szCs w:val="22"/>
                <w:lang w:val="sk-SK"/>
                <w:rPrChange w:id="3682" w:author="Author" w:date="2025-08-22T15:12:00Z">
                  <w:rPr>
                    <w:ins w:id="3683" w:author="Author" w:date="2025-07-24T11:09:00Z"/>
                    <w:b/>
                    <w:lang w:val="de-DE"/>
                  </w:rPr>
                </w:rPrChange>
              </w:rPr>
            </w:pPr>
            <w:ins w:id="3684" w:author="Author" w:date="2025-07-24T11:09:00Z">
              <w:r>
                <w:rPr>
                  <w:rFonts w:ascii="Times New Roman" w:hAnsi="Times New Roman"/>
                  <w:b/>
                  <w:noProof/>
                  <w:sz w:val="22"/>
                  <w:szCs w:val="22"/>
                  <w:lang w:val="sk-SK"/>
                  <w:rPrChange w:id="3685" w:author="Author" w:date="2025-08-22T15:12:00Z">
                    <w:rPr>
                      <w:b/>
                      <w:lang w:val="de-DE"/>
                    </w:rPr>
                  </w:rPrChange>
                </w:rPr>
                <w:t>Hrvatska</w:t>
              </w:r>
            </w:ins>
          </w:p>
          <w:p w14:paraId="07D63940" w14:textId="77777777" w:rsidR="009700E5" w:rsidRPr="009700E5" w:rsidRDefault="002C033C">
            <w:pPr>
              <w:pStyle w:val="Standard1"/>
              <w:rPr>
                <w:ins w:id="3686" w:author="Author" w:date="2025-07-24T11:09:00Z"/>
                <w:rFonts w:ascii="Times New Roman" w:hAnsi="Times New Roman"/>
                <w:noProof/>
                <w:sz w:val="22"/>
                <w:szCs w:val="22"/>
                <w:lang w:val="sk-SK"/>
                <w:rPrChange w:id="3687" w:author="Author" w:date="2025-08-22T15:12:00Z">
                  <w:rPr>
                    <w:ins w:id="3688" w:author="Author" w:date="2025-07-24T11:09:00Z"/>
                    <w:lang w:val="de-DE"/>
                  </w:rPr>
                </w:rPrChange>
              </w:rPr>
            </w:pPr>
            <w:ins w:id="3689" w:author="Author" w:date="2025-07-24T11:09:00Z">
              <w:r>
                <w:rPr>
                  <w:rFonts w:ascii="Times New Roman" w:hAnsi="Times New Roman"/>
                  <w:noProof/>
                  <w:sz w:val="22"/>
                  <w:szCs w:val="22"/>
                  <w:lang w:val="sk-SK"/>
                  <w:rPrChange w:id="3690" w:author="Author" w:date="2025-08-22T15:12:00Z">
                    <w:rPr>
                      <w:lang w:val="de-DE"/>
                    </w:rPr>
                  </w:rPrChange>
                </w:rPr>
                <w:t xml:space="preserve">Roche </w:t>
              </w:r>
              <w:r>
                <w:rPr>
                  <w:rFonts w:ascii="Times New Roman" w:hAnsi="Times New Roman"/>
                  <w:noProof/>
                  <w:sz w:val="22"/>
                  <w:szCs w:val="22"/>
                  <w:lang w:val="sk-SK"/>
                  <w:rPrChange w:id="3691" w:author="Author" w:date="2025-08-22T15:12:00Z">
                    <w:rPr>
                      <w:szCs w:val="22"/>
                      <w:lang w:val="de-DE"/>
                    </w:rPr>
                  </w:rPrChange>
                </w:rPr>
                <w:t>d.o.o</w:t>
              </w:r>
            </w:ins>
          </w:p>
          <w:p w14:paraId="405F0FD6" w14:textId="77777777" w:rsidR="009700E5" w:rsidRPr="009700E5" w:rsidRDefault="002C033C">
            <w:pPr>
              <w:pStyle w:val="Standard1"/>
              <w:rPr>
                <w:ins w:id="3692" w:author="Author" w:date="2025-07-24T11:09:00Z"/>
                <w:rFonts w:ascii="Times New Roman" w:hAnsi="Times New Roman"/>
                <w:noProof/>
                <w:sz w:val="22"/>
                <w:szCs w:val="22"/>
                <w:lang w:val="sk-SK"/>
                <w:rPrChange w:id="3693" w:author="Author" w:date="2025-08-22T15:12:00Z">
                  <w:rPr>
                    <w:ins w:id="3694" w:author="Author" w:date="2025-07-24T11:09:00Z"/>
                    <w:lang w:val="de-DE"/>
                  </w:rPr>
                </w:rPrChange>
              </w:rPr>
            </w:pPr>
            <w:ins w:id="3695" w:author="Author" w:date="2025-07-24T11:09:00Z">
              <w:r>
                <w:rPr>
                  <w:rFonts w:ascii="Times New Roman" w:hAnsi="Times New Roman"/>
                  <w:noProof/>
                  <w:sz w:val="22"/>
                  <w:szCs w:val="22"/>
                  <w:lang w:val="sk-SK"/>
                  <w:rPrChange w:id="3696" w:author="Author" w:date="2025-08-22T15:12:00Z">
                    <w:rPr>
                      <w:lang w:val="de-DE"/>
                    </w:rPr>
                  </w:rPrChange>
                </w:rPr>
                <w:t>Tel: +</w:t>
              </w:r>
              <w:r>
                <w:rPr>
                  <w:rFonts w:ascii="Times New Roman" w:hAnsi="Times New Roman"/>
                  <w:noProof/>
                  <w:sz w:val="22"/>
                  <w:szCs w:val="22"/>
                  <w:lang w:val="sk-SK"/>
                  <w:rPrChange w:id="3697" w:author="Author" w:date="2025-08-22T15:12:00Z">
                    <w:rPr>
                      <w:szCs w:val="22"/>
                      <w:lang w:val="de-DE"/>
                    </w:rPr>
                  </w:rPrChange>
                </w:rPr>
                <w:t>385</w:t>
              </w:r>
              <w:r>
                <w:rPr>
                  <w:rFonts w:ascii="Times New Roman" w:hAnsi="Times New Roman"/>
                  <w:noProof/>
                  <w:sz w:val="22"/>
                  <w:szCs w:val="22"/>
                  <w:lang w:val="sk-SK"/>
                  <w:rPrChange w:id="3698" w:author="Author" w:date="2025-08-22T15:12:00Z">
                    <w:rPr>
                      <w:lang w:val="de-DE"/>
                    </w:rPr>
                  </w:rPrChange>
                </w:rPr>
                <w:t xml:space="preserve"> 1 </w:t>
              </w:r>
              <w:r>
                <w:rPr>
                  <w:rFonts w:ascii="Times New Roman" w:hAnsi="Times New Roman"/>
                  <w:noProof/>
                  <w:sz w:val="22"/>
                  <w:szCs w:val="22"/>
                  <w:lang w:val="sk-SK"/>
                  <w:rPrChange w:id="3699" w:author="Author" w:date="2025-08-22T15:12:00Z">
                    <w:rPr>
                      <w:szCs w:val="22"/>
                      <w:lang w:val="de-DE"/>
                    </w:rPr>
                  </w:rPrChange>
                </w:rPr>
                <w:t>47 22 333</w:t>
              </w:r>
            </w:ins>
          </w:p>
          <w:p w14:paraId="19EF5871" w14:textId="77777777" w:rsidR="009700E5" w:rsidRPr="009700E5" w:rsidRDefault="009700E5">
            <w:pPr>
              <w:pStyle w:val="Standard1"/>
              <w:rPr>
                <w:ins w:id="3700" w:author="Author" w:date="2025-07-24T11:09:00Z"/>
                <w:rFonts w:ascii="Times New Roman" w:hAnsi="Times New Roman"/>
                <w:b/>
                <w:noProof/>
                <w:sz w:val="22"/>
                <w:szCs w:val="22"/>
                <w:lang w:val="sk-SK"/>
                <w:rPrChange w:id="3701" w:author="Author" w:date="2025-08-22T15:12:00Z">
                  <w:rPr>
                    <w:ins w:id="3702" w:author="Author" w:date="2025-07-24T11:09:00Z"/>
                    <w:b/>
                    <w:lang w:val="de-DE"/>
                  </w:rPr>
                </w:rPrChange>
              </w:rPr>
            </w:pPr>
          </w:p>
        </w:tc>
        <w:tc>
          <w:tcPr>
            <w:tcW w:w="4590" w:type="dxa"/>
          </w:tcPr>
          <w:p w14:paraId="0E209669" w14:textId="77777777" w:rsidR="009700E5" w:rsidRPr="009700E5" w:rsidRDefault="002C033C">
            <w:pPr>
              <w:pStyle w:val="Standard1"/>
              <w:rPr>
                <w:ins w:id="3703" w:author="Author" w:date="2025-07-24T11:09:00Z"/>
                <w:rFonts w:ascii="Times New Roman" w:hAnsi="Times New Roman"/>
                <w:b/>
                <w:noProof/>
                <w:sz w:val="22"/>
                <w:szCs w:val="22"/>
                <w:lang w:val="sk-SK"/>
                <w:rPrChange w:id="3704" w:author="Author" w:date="2025-08-22T15:12:00Z">
                  <w:rPr>
                    <w:ins w:id="3705" w:author="Author" w:date="2025-07-24T11:09:00Z"/>
                    <w:b/>
                    <w:lang w:val="de-DE"/>
                  </w:rPr>
                </w:rPrChange>
              </w:rPr>
            </w:pPr>
            <w:ins w:id="3706" w:author="Author" w:date="2025-07-24T11:09:00Z">
              <w:r>
                <w:rPr>
                  <w:rFonts w:ascii="Times New Roman" w:hAnsi="Times New Roman"/>
                  <w:b/>
                  <w:noProof/>
                  <w:sz w:val="22"/>
                  <w:szCs w:val="22"/>
                  <w:lang w:val="sk-SK"/>
                  <w:rPrChange w:id="3707" w:author="Author" w:date="2025-08-22T15:12:00Z">
                    <w:rPr>
                      <w:b/>
                      <w:lang w:val="de-DE"/>
                    </w:rPr>
                  </w:rPrChange>
                </w:rPr>
                <w:t>Slovenija</w:t>
              </w:r>
            </w:ins>
          </w:p>
          <w:p w14:paraId="1336E5D5" w14:textId="77777777" w:rsidR="009700E5" w:rsidRPr="009700E5" w:rsidRDefault="002C033C">
            <w:pPr>
              <w:pStyle w:val="Standard1"/>
              <w:rPr>
                <w:ins w:id="3708" w:author="Author" w:date="2025-07-24T11:09:00Z"/>
                <w:rFonts w:ascii="Times New Roman" w:hAnsi="Times New Roman"/>
                <w:noProof/>
                <w:sz w:val="22"/>
                <w:szCs w:val="22"/>
                <w:lang w:val="sk-SK"/>
                <w:rPrChange w:id="3709" w:author="Author" w:date="2025-08-22T15:12:00Z">
                  <w:rPr>
                    <w:ins w:id="3710" w:author="Author" w:date="2025-07-24T11:09:00Z"/>
                    <w:lang w:val="de-DE"/>
                  </w:rPr>
                </w:rPrChange>
              </w:rPr>
            </w:pPr>
            <w:ins w:id="3711" w:author="Author" w:date="2025-07-24T11:09:00Z">
              <w:r>
                <w:rPr>
                  <w:rFonts w:ascii="Times New Roman" w:hAnsi="Times New Roman"/>
                  <w:noProof/>
                  <w:sz w:val="22"/>
                  <w:szCs w:val="22"/>
                  <w:lang w:val="sk-SK"/>
                  <w:rPrChange w:id="3712" w:author="Author" w:date="2025-08-22T15:12:00Z">
                    <w:rPr>
                      <w:lang w:val="de-DE"/>
                    </w:rPr>
                  </w:rPrChange>
                </w:rPr>
                <w:t>Roche farmacevtska družba d.o.o.</w:t>
              </w:r>
            </w:ins>
          </w:p>
          <w:p w14:paraId="3C1BCBE2" w14:textId="77777777" w:rsidR="009700E5" w:rsidRPr="009700E5" w:rsidRDefault="002C033C">
            <w:pPr>
              <w:pStyle w:val="Standard1"/>
              <w:rPr>
                <w:ins w:id="3713" w:author="Author" w:date="2025-07-24T11:09:00Z"/>
                <w:rFonts w:ascii="Times New Roman" w:eastAsia="MS Mincho" w:hAnsi="Times New Roman"/>
                <w:noProof/>
                <w:sz w:val="22"/>
                <w:szCs w:val="22"/>
                <w:lang w:val="sk-SK"/>
                <w:rPrChange w:id="3714" w:author="Author" w:date="2025-08-22T15:12:00Z">
                  <w:rPr>
                    <w:ins w:id="3715" w:author="Author" w:date="2025-07-24T11:09:00Z"/>
                    <w:rFonts w:eastAsia="MS Mincho"/>
                    <w:noProof/>
                    <w:szCs w:val="22"/>
                    <w:lang w:val="en-GB"/>
                  </w:rPr>
                </w:rPrChange>
              </w:rPr>
            </w:pPr>
            <w:ins w:id="3716" w:author="Author" w:date="2025-07-24T11:09:00Z">
              <w:r>
                <w:rPr>
                  <w:rFonts w:ascii="Times New Roman" w:eastAsia="MS Mincho" w:hAnsi="Times New Roman"/>
                  <w:noProof/>
                  <w:sz w:val="22"/>
                  <w:szCs w:val="22"/>
                  <w:lang w:val="sk-SK"/>
                  <w:rPrChange w:id="3717" w:author="Author" w:date="2025-08-22T15:12:00Z">
                    <w:rPr>
                      <w:rFonts w:eastAsia="MS Mincho"/>
                      <w:noProof/>
                      <w:szCs w:val="22"/>
                      <w:lang w:val="en-GB"/>
                    </w:rPr>
                  </w:rPrChange>
                </w:rPr>
                <w:t>Tel: +386 - 1 360 26 00</w:t>
              </w:r>
            </w:ins>
          </w:p>
          <w:p w14:paraId="11697D16" w14:textId="77777777" w:rsidR="009700E5" w:rsidRPr="009700E5" w:rsidRDefault="009700E5">
            <w:pPr>
              <w:pStyle w:val="Standard1"/>
              <w:rPr>
                <w:ins w:id="3718" w:author="Author" w:date="2025-07-24T11:09:00Z"/>
                <w:rFonts w:ascii="Times New Roman" w:hAnsi="Times New Roman"/>
                <w:b/>
                <w:noProof/>
                <w:sz w:val="22"/>
                <w:szCs w:val="22"/>
                <w:lang w:val="sk-SK"/>
                <w:rPrChange w:id="3719" w:author="Author" w:date="2025-08-22T15:12:00Z">
                  <w:rPr>
                    <w:ins w:id="3720" w:author="Author" w:date="2025-07-24T11:09:00Z"/>
                    <w:b/>
                  </w:rPr>
                </w:rPrChange>
              </w:rPr>
            </w:pPr>
          </w:p>
        </w:tc>
      </w:tr>
      <w:tr w:rsidR="009700E5" w14:paraId="33BD235B" w14:textId="77777777">
        <w:trPr>
          <w:cantSplit/>
          <w:trHeight w:val="1296"/>
          <w:ins w:id="3721" w:author="Author" w:date="2025-07-24T11:09:00Z"/>
        </w:trPr>
        <w:tc>
          <w:tcPr>
            <w:tcW w:w="4590" w:type="dxa"/>
          </w:tcPr>
          <w:p w14:paraId="23CFC822" w14:textId="77777777" w:rsidR="009700E5" w:rsidRPr="009700E5" w:rsidRDefault="002C033C">
            <w:pPr>
              <w:pStyle w:val="Standard1"/>
              <w:rPr>
                <w:ins w:id="3722" w:author="Author" w:date="2025-07-24T11:09:00Z"/>
                <w:rFonts w:ascii="Times New Roman" w:hAnsi="Times New Roman"/>
                <w:b/>
                <w:noProof/>
                <w:sz w:val="22"/>
                <w:szCs w:val="22"/>
                <w:lang w:val="sk-SK"/>
                <w:rPrChange w:id="3723" w:author="Author" w:date="2025-08-22T15:12:00Z">
                  <w:rPr>
                    <w:ins w:id="3724" w:author="Author" w:date="2025-07-24T11:09:00Z"/>
                    <w:b/>
                    <w:noProof/>
                    <w:szCs w:val="22"/>
                    <w:lang w:val="en-GB"/>
                  </w:rPr>
                </w:rPrChange>
              </w:rPr>
            </w:pPr>
            <w:ins w:id="3725" w:author="Author" w:date="2025-07-24T11:09:00Z">
              <w:r>
                <w:rPr>
                  <w:rFonts w:ascii="Times New Roman" w:hAnsi="Times New Roman"/>
                  <w:b/>
                  <w:noProof/>
                  <w:sz w:val="22"/>
                  <w:szCs w:val="22"/>
                  <w:lang w:val="sk-SK"/>
                  <w:rPrChange w:id="3726" w:author="Author" w:date="2025-08-22T15:12:00Z">
                    <w:rPr>
                      <w:b/>
                      <w:noProof/>
                      <w:szCs w:val="22"/>
                      <w:lang w:val="en-GB"/>
                    </w:rPr>
                  </w:rPrChange>
                </w:rPr>
                <w:t>Ireland, Malta</w:t>
              </w:r>
            </w:ins>
          </w:p>
          <w:p w14:paraId="753D86EE" w14:textId="77777777" w:rsidR="009700E5" w:rsidRPr="009700E5" w:rsidRDefault="002C033C">
            <w:pPr>
              <w:pStyle w:val="Standard1"/>
              <w:rPr>
                <w:ins w:id="3727" w:author="Author" w:date="2025-07-24T11:09:00Z"/>
                <w:rFonts w:ascii="Times New Roman" w:hAnsi="Times New Roman"/>
                <w:noProof/>
                <w:sz w:val="22"/>
                <w:szCs w:val="22"/>
                <w:lang w:val="sk-SK"/>
                <w:rPrChange w:id="3728" w:author="Author" w:date="2025-08-22T15:12:00Z">
                  <w:rPr>
                    <w:ins w:id="3729" w:author="Author" w:date="2025-07-24T11:09:00Z"/>
                    <w:noProof/>
                    <w:szCs w:val="22"/>
                    <w:lang w:val="en-GB"/>
                  </w:rPr>
                </w:rPrChange>
              </w:rPr>
            </w:pPr>
            <w:ins w:id="3730" w:author="Author" w:date="2025-07-24T11:09:00Z">
              <w:r>
                <w:rPr>
                  <w:rFonts w:ascii="Times New Roman" w:hAnsi="Times New Roman"/>
                  <w:noProof/>
                  <w:sz w:val="22"/>
                  <w:szCs w:val="22"/>
                  <w:lang w:val="sk-SK"/>
                  <w:rPrChange w:id="3731" w:author="Author" w:date="2025-08-22T15:12:00Z">
                    <w:rPr>
                      <w:noProof/>
                      <w:szCs w:val="22"/>
                      <w:lang w:val="en-GB"/>
                    </w:rPr>
                  </w:rPrChange>
                </w:rPr>
                <w:t>Roche Products (Ireland) Ltd.</w:t>
              </w:r>
            </w:ins>
          </w:p>
          <w:p w14:paraId="546E5CB5" w14:textId="77777777" w:rsidR="009700E5" w:rsidRPr="009700E5" w:rsidRDefault="002C033C">
            <w:pPr>
              <w:pStyle w:val="Standard1"/>
              <w:rPr>
                <w:ins w:id="3732" w:author="Author" w:date="2025-07-24T11:09:00Z"/>
                <w:rFonts w:ascii="Times New Roman" w:hAnsi="Times New Roman"/>
                <w:noProof/>
                <w:sz w:val="22"/>
                <w:szCs w:val="22"/>
                <w:lang w:val="sk-SK"/>
                <w:rPrChange w:id="3733" w:author="Author" w:date="2025-08-22T15:12:00Z">
                  <w:rPr>
                    <w:ins w:id="3734" w:author="Author" w:date="2025-07-24T11:09:00Z"/>
                    <w:noProof/>
                    <w:szCs w:val="22"/>
                    <w:lang w:val="en-GB"/>
                  </w:rPr>
                </w:rPrChange>
              </w:rPr>
            </w:pPr>
            <w:ins w:id="3735" w:author="Author" w:date="2025-07-24T11:09:00Z">
              <w:r>
                <w:rPr>
                  <w:rFonts w:ascii="Times New Roman" w:hAnsi="Times New Roman"/>
                  <w:noProof/>
                  <w:sz w:val="22"/>
                  <w:szCs w:val="22"/>
                  <w:lang w:val="sk-SK"/>
                  <w:rPrChange w:id="3736" w:author="Author" w:date="2025-08-22T15:12:00Z">
                    <w:rPr>
                      <w:noProof/>
                      <w:szCs w:val="22"/>
                      <w:lang w:val="en-GB"/>
                    </w:rPr>
                  </w:rPrChange>
                </w:rPr>
                <w:t>Ireland/L-Irlanda</w:t>
              </w:r>
            </w:ins>
          </w:p>
          <w:p w14:paraId="28E77C86" w14:textId="77777777" w:rsidR="009700E5" w:rsidRPr="009700E5" w:rsidRDefault="002C033C">
            <w:pPr>
              <w:pStyle w:val="Standard1"/>
              <w:rPr>
                <w:ins w:id="3737" w:author="Author" w:date="2025-07-24T11:09:00Z"/>
                <w:rFonts w:ascii="Times New Roman" w:hAnsi="Times New Roman"/>
                <w:noProof/>
                <w:sz w:val="22"/>
                <w:szCs w:val="22"/>
                <w:lang w:val="sk-SK"/>
                <w:rPrChange w:id="3738" w:author="Author" w:date="2025-08-22T15:12:00Z">
                  <w:rPr>
                    <w:ins w:id="3739" w:author="Author" w:date="2025-07-24T11:09:00Z"/>
                    <w:noProof/>
                    <w:szCs w:val="22"/>
                    <w:lang w:val="en-GB"/>
                  </w:rPr>
                </w:rPrChange>
              </w:rPr>
            </w:pPr>
            <w:ins w:id="3740" w:author="Author" w:date="2025-07-24T11:09:00Z">
              <w:r>
                <w:rPr>
                  <w:rFonts w:ascii="Times New Roman" w:hAnsi="Times New Roman"/>
                  <w:noProof/>
                  <w:sz w:val="22"/>
                  <w:szCs w:val="22"/>
                  <w:lang w:val="sk-SK"/>
                  <w:rPrChange w:id="3741" w:author="Author" w:date="2025-08-22T15:12:00Z">
                    <w:rPr>
                      <w:noProof/>
                      <w:szCs w:val="22"/>
                      <w:lang w:val="en-GB"/>
                    </w:rPr>
                  </w:rPrChange>
                </w:rPr>
                <w:t>Tel: +353 (0) 1 469 0700</w:t>
              </w:r>
            </w:ins>
          </w:p>
          <w:p w14:paraId="53A0E251" w14:textId="77777777" w:rsidR="009700E5" w:rsidRPr="009700E5" w:rsidRDefault="009700E5">
            <w:pPr>
              <w:pStyle w:val="Standard1"/>
              <w:rPr>
                <w:ins w:id="3742" w:author="Author" w:date="2025-07-24T11:09:00Z"/>
                <w:rFonts w:ascii="Times New Roman" w:hAnsi="Times New Roman"/>
                <w:noProof/>
                <w:sz w:val="22"/>
                <w:szCs w:val="22"/>
                <w:lang w:val="sk-SK"/>
                <w:rPrChange w:id="3743" w:author="Author" w:date="2025-08-22T15:12:00Z">
                  <w:rPr>
                    <w:ins w:id="3744" w:author="Author" w:date="2025-07-24T11:09:00Z"/>
                    <w:lang w:val="en-GB"/>
                  </w:rPr>
                </w:rPrChange>
              </w:rPr>
            </w:pPr>
          </w:p>
        </w:tc>
        <w:tc>
          <w:tcPr>
            <w:tcW w:w="4590" w:type="dxa"/>
          </w:tcPr>
          <w:p w14:paraId="5E171BC2" w14:textId="77777777" w:rsidR="009700E5" w:rsidRPr="009700E5" w:rsidRDefault="002C033C">
            <w:pPr>
              <w:pStyle w:val="Standard1"/>
              <w:rPr>
                <w:ins w:id="3745" w:author="Author" w:date="2025-07-24T11:09:00Z"/>
                <w:rFonts w:ascii="Times New Roman" w:hAnsi="Times New Roman"/>
                <w:b/>
                <w:noProof/>
                <w:sz w:val="22"/>
                <w:szCs w:val="22"/>
                <w:lang w:val="sk-SK"/>
                <w:rPrChange w:id="3746" w:author="Author" w:date="2025-08-22T15:12:00Z">
                  <w:rPr>
                    <w:ins w:id="3747" w:author="Author" w:date="2025-07-24T11:09:00Z"/>
                    <w:b/>
                    <w:lang w:val="it-IT"/>
                  </w:rPr>
                </w:rPrChange>
              </w:rPr>
            </w:pPr>
            <w:ins w:id="3748" w:author="Author" w:date="2025-07-24T11:09:00Z">
              <w:r>
                <w:rPr>
                  <w:rFonts w:ascii="Times New Roman" w:hAnsi="Times New Roman"/>
                  <w:b/>
                  <w:noProof/>
                  <w:sz w:val="22"/>
                  <w:szCs w:val="22"/>
                  <w:lang w:val="sk-SK"/>
                  <w:rPrChange w:id="3749" w:author="Author" w:date="2025-08-22T15:12:00Z">
                    <w:rPr>
                      <w:b/>
                      <w:lang w:val="it-IT"/>
                    </w:rPr>
                  </w:rPrChange>
                </w:rPr>
                <w:t xml:space="preserve">Slovenská republika </w:t>
              </w:r>
            </w:ins>
          </w:p>
          <w:p w14:paraId="3790D59E" w14:textId="77777777" w:rsidR="009700E5" w:rsidRPr="009700E5" w:rsidRDefault="002C033C">
            <w:pPr>
              <w:pStyle w:val="Standard1"/>
              <w:rPr>
                <w:ins w:id="3750" w:author="Author" w:date="2025-07-24T11:09:00Z"/>
                <w:rFonts w:ascii="Times New Roman" w:hAnsi="Times New Roman"/>
                <w:noProof/>
                <w:sz w:val="22"/>
                <w:szCs w:val="22"/>
                <w:lang w:val="sk-SK"/>
                <w:rPrChange w:id="3751" w:author="Author" w:date="2025-08-22T15:12:00Z">
                  <w:rPr>
                    <w:ins w:id="3752" w:author="Author" w:date="2025-07-24T11:09:00Z"/>
                    <w:lang w:val="it-IT"/>
                  </w:rPr>
                </w:rPrChange>
              </w:rPr>
            </w:pPr>
            <w:ins w:id="3753" w:author="Author" w:date="2025-07-24T11:09:00Z">
              <w:r>
                <w:rPr>
                  <w:rFonts w:ascii="Times New Roman" w:hAnsi="Times New Roman"/>
                  <w:noProof/>
                  <w:sz w:val="22"/>
                  <w:szCs w:val="22"/>
                  <w:lang w:val="sk-SK"/>
                  <w:rPrChange w:id="3754" w:author="Author" w:date="2025-08-22T15:12:00Z">
                    <w:rPr>
                      <w:lang w:val="it-IT"/>
                    </w:rPr>
                  </w:rPrChange>
                </w:rPr>
                <w:t>Roche Slovensko, s.r.o.</w:t>
              </w:r>
            </w:ins>
          </w:p>
          <w:p w14:paraId="4A5FD6B4" w14:textId="77777777" w:rsidR="009700E5" w:rsidRPr="009700E5" w:rsidRDefault="002C033C">
            <w:pPr>
              <w:pStyle w:val="Standard1"/>
              <w:rPr>
                <w:ins w:id="3755" w:author="Author" w:date="2025-07-24T11:09:00Z"/>
                <w:rFonts w:ascii="Times New Roman" w:hAnsi="Times New Roman"/>
                <w:noProof/>
                <w:sz w:val="22"/>
                <w:szCs w:val="22"/>
                <w:lang w:val="sk-SK"/>
                <w:rPrChange w:id="3756" w:author="Author" w:date="2025-08-22T15:12:00Z">
                  <w:rPr>
                    <w:ins w:id="3757" w:author="Author" w:date="2025-07-24T11:09:00Z"/>
                    <w:noProof/>
                    <w:szCs w:val="22"/>
                    <w:lang w:val="en-GB"/>
                  </w:rPr>
                </w:rPrChange>
              </w:rPr>
            </w:pPr>
            <w:ins w:id="3758" w:author="Author" w:date="2025-07-24T11:09:00Z">
              <w:r>
                <w:rPr>
                  <w:rFonts w:ascii="Times New Roman" w:hAnsi="Times New Roman"/>
                  <w:noProof/>
                  <w:sz w:val="22"/>
                  <w:szCs w:val="22"/>
                  <w:lang w:val="sk-SK"/>
                  <w:rPrChange w:id="3759" w:author="Author" w:date="2025-08-22T15:12:00Z">
                    <w:rPr>
                      <w:noProof/>
                      <w:szCs w:val="22"/>
                      <w:lang w:val="en-GB"/>
                    </w:rPr>
                  </w:rPrChange>
                </w:rPr>
                <w:t>Tel: +421 - 2 52638201</w:t>
              </w:r>
            </w:ins>
          </w:p>
          <w:p w14:paraId="59BC9C18" w14:textId="77777777" w:rsidR="009700E5" w:rsidRPr="009700E5" w:rsidRDefault="009700E5">
            <w:pPr>
              <w:pStyle w:val="Standard1"/>
              <w:rPr>
                <w:ins w:id="3760" w:author="Author" w:date="2025-07-24T11:09:00Z"/>
                <w:rFonts w:ascii="Times New Roman" w:hAnsi="Times New Roman"/>
                <w:noProof/>
                <w:sz w:val="22"/>
                <w:szCs w:val="22"/>
                <w:lang w:val="sk-SK"/>
                <w:rPrChange w:id="3761" w:author="Author" w:date="2025-08-22T15:12:00Z">
                  <w:rPr>
                    <w:ins w:id="3762" w:author="Author" w:date="2025-07-24T11:09:00Z"/>
                    <w:lang w:val="en-GB"/>
                  </w:rPr>
                </w:rPrChange>
              </w:rPr>
            </w:pPr>
          </w:p>
        </w:tc>
      </w:tr>
      <w:tr w:rsidR="009700E5" w14:paraId="7D4DC790" w14:textId="77777777">
        <w:trPr>
          <w:cantSplit/>
          <w:ins w:id="3763" w:author="Author" w:date="2025-07-24T11:09:00Z"/>
        </w:trPr>
        <w:tc>
          <w:tcPr>
            <w:tcW w:w="4590" w:type="dxa"/>
          </w:tcPr>
          <w:p w14:paraId="7A021D57" w14:textId="77777777" w:rsidR="009700E5" w:rsidRPr="009700E5" w:rsidRDefault="002C033C">
            <w:pPr>
              <w:pStyle w:val="Standard1"/>
              <w:tabs>
                <w:tab w:val="left" w:pos="720"/>
              </w:tabs>
              <w:rPr>
                <w:ins w:id="3764" w:author="Author" w:date="2025-07-24T11:09:00Z"/>
                <w:rFonts w:ascii="Times New Roman" w:hAnsi="Times New Roman"/>
                <w:b/>
                <w:noProof/>
                <w:snapToGrid w:val="0"/>
                <w:sz w:val="22"/>
                <w:szCs w:val="22"/>
                <w:lang w:val="sk-SK"/>
                <w:rPrChange w:id="3765" w:author="Author" w:date="2025-08-22T15:12:00Z">
                  <w:rPr>
                    <w:ins w:id="3766" w:author="Author" w:date="2025-07-24T11:09:00Z"/>
                    <w:b/>
                    <w:noProof/>
                    <w:snapToGrid w:val="0"/>
                    <w:szCs w:val="22"/>
                    <w:lang w:val="en-GB"/>
                  </w:rPr>
                </w:rPrChange>
              </w:rPr>
            </w:pPr>
            <w:ins w:id="3767" w:author="Author" w:date="2025-07-24T11:09:00Z">
              <w:r>
                <w:rPr>
                  <w:rFonts w:ascii="Times New Roman" w:hAnsi="Times New Roman"/>
                  <w:b/>
                  <w:noProof/>
                  <w:snapToGrid w:val="0"/>
                  <w:sz w:val="22"/>
                  <w:szCs w:val="22"/>
                  <w:lang w:val="sk-SK"/>
                  <w:rPrChange w:id="3768" w:author="Author" w:date="2025-08-22T15:12:00Z">
                    <w:rPr>
                      <w:b/>
                      <w:noProof/>
                      <w:snapToGrid w:val="0"/>
                      <w:szCs w:val="22"/>
                      <w:lang w:val="en-GB"/>
                    </w:rPr>
                  </w:rPrChange>
                </w:rPr>
                <w:lastRenderedPageBreak/>
                <w:t xml:space="preserve">Ísland </w:t>
              </w:r>
            </w:ins>
          </w:p>
          <w:p w14:paraId="3E2C9727" w14:textId="77777777" w:rsidR="009700E5" w:rsidRPr="009700E5" w:rsidRDefault="002C033C">
            <w:pPr>
              <w:pStyle w:val="Standard1"/>
              <w:tabs>
                <w:tab w:val="left" w:pos="720"/>
              </w:tabs>
              <w:rPr>
                <w:ins w:id="3769" w:author="Author" w:date="2025-07-24T11:09:00Z"/>
                <w:rFonts w:ascii="Times New Roman" w:hAnsi="Times New Roman"/>
                <w:noProof/>
                <w:snapToGrid w:val="0"/>
                <w:sz w:val="22"/>
                <w:szCs w:val="22"/>
                <w:lang w:val="sk-SK"/>
                <w:rPrChange w:id="3770" w:author="Author" w:date="2025-08-22T15:12:00Z">
                  <w:rPr>
                    <w:ins w:id="3771" w:author="Author" w:date="2025-07-24T11:09:00Z"/>
                    <w:noProof/>
                    <w:snapToGrid w:val="0"/>
                    <w:szCs w:val="22"/>
                    <w:lang w:val="en-GB"/>
                  </w:rPr>
                </w:rPrChange>
              </w:rPr>
            </w:pPr>
            <w:ins w:id="3772" w:author="Author" w:date="2025-07-24T11:09:00Z">
              <w:r>
                <w:rPr>
                  <w:rFonts w:ascii="Times New Roman" w:hAnsi="Times New Roman"/>
                  <w:noProof/>
                  <w:sz w:val="22"/>
                  <w:szCs w:val="22"/>
                  <w:lang w:val="sk-SK"/>
                  <w:rPrChange w:id="3773" w:author="Author" w:date="2025-08-22T15:12:00Z">
                    <w:rPr>
                      <w:lang w:val="en-GB"/>
                    </w:rPr>
                  </w:rPrChange>
                </w:rPr>
                <w:t>Roche Pharmaceuticals A/S</w:t>
              </w:r>
            </w:ins>
          </w:p>
          <w:p w14:paraId="4FAF9972" w14:textId="77777777" w:rsidR="009700E5" w:rsidRPr="009700E5" w:rsidRDefault="002C033C">
            <w:pPr>
              <w:pStyle w:val="Standard1"/>
              <w:tabs>
                <w:tab w:val="left" w:pos="720"/>
              </w:tabs>
              <w:rPr>
                <w:ins w:id="3774" w:author="Author" w:date="2025-07-24T11:09:00Z"/>
                <w:rFonts w:ascii="Times New Roman" w:hAnsi="Times New Roman"/>
                <w:noProof/>
                <w:snapToGrid w:val="0"/>
                <w:sz w:val="22"/>
                <w:szCs w:val="22"/>
                <w:lang w:val="sk-SK"/>
                <w:rPrChange w:id="3775" w:author="Author" w:date="2025-08-22T15:12:00Z">
                  <w:rPr>
                    <w:ins w:id="3776" w:author="Author" w:date="2025-07-24T11:09:00Z"/>
                    <w:noProof/>
                    <w:snapToGrid w:val="0"/>
                    <w:szCs w:val="22"/>
                    <w:lang w:val="en-GB"/>
                  </w:rPr>
                </w:rPrChange>
              </w:rPr>
            </w:pPr>
            <w:ins w:id="3777" w:author="Author" w:date="2025-07-24T11:09:00Z">
              <w:r>
                <w:rPr>
                  <w:rFonts w:ascii="Times New Roman" w:hAnsi="Times New Roman"/>
                  <w:noProof/>
                  <w:sz w:val="22"/>
                  <w:szCs w:val="22"/>
                  <w:lang w:val="sk-SK"/>
                  <w:rPrChange w:id="3778" w:author="Author" w:date="2025-08-22T15:12:00Z">
                    <w:rPr>
                      <w:noProof/>
                      <w:szCs w:val="22"/>
                      <w:lang w:val="en-GB"/>
                    </w:rPr>
                  </w:rPrChange>
                </w:rPr>
                <w:t>c/o Icepharma hf</w:t>
              </w:r>
            </w:ins>
          </w:p>
          <w:p w14:paraId="1E9E81EF" w14:textId="77777777" w:rsidR="009700E5" w:rsidRPr="009700E5" w:rsidRDefault="002C033C">
            <w:pPr>
              <w:pStyle w:val="Standard1"/>
              <w:rPr>
                <w:ins w:id="3779" w:author="Author" w:date="2025-07-24T11:09:00Z"/>
                <w:rFonts w:ascii="Times New Roman" w:hAnsi="Times New Roman"/>
                <w:noProof/>
                <w:snapToGrid w:val="0"/>
                <w:sz w:val="22"/>
                <w:szCs w:val="22"/>
                <w:lang w:val="sk-SK"/>
                <w:rPrChange w:id="3780" w:author="Author" w:date="2025-08-22T15:12:00Z">
                  <w:rPr>
                    <w:ins w:id="3781" w:author="Author" w:date="2025-07-24T11:09:00Z"/>
                    <w:noProof/>
                    <w:snapToGrid w:val="0"/>
                    <w:szCs w:val="22"/>
                    <w:lang w:val="en-GB"/>
                  </w:rPr>
                </w:rPrChange>
              </w:rPr>
            </w:pPr>
            <w:ins w:id="3782" w:author="Author" w:date="2025-07-24T11:09:00Z">
              <w:r>
                <w:rPr>
                  <w:rFonts w:ascii="Times New Roman" w:hAnsi="Times New Roman"/>
                  <w:noProof/>
                  <w:sz w:val="22"/>
                  <w:szCs w:val="22"/>
                  <w:lang w:val="sk-SK"/>
                  <w:rPrChange w:id="3783" w:author="Author" w:date="2025-08-22T15:12:00Z">
                    <w:rPr>
                      <w:noProof/>
                      <w:szCs w:val="22"/>
                      <w:lang w:val="en-GB"/>
                    </w:rPr>
                  </w:rPrChange>
                </w:rPr>
                <w:t>Sími</w:t>
              </w:r>
              <w:r>
                <w:rPr>
                  <w:rFonts w:ascii="Times New Roman" w:hAnsi="Times New Roman"/>
                  <w:noProof/>
                  <w:snapToGrid w:val="0"/>
                  <w:sz w:val="22"/>
                  <w:szCs w:val="22"/>
                  <w:lang w:val="sk-SK"/>
                  <w:rPrChange w:id="3784" w:author="Author" w:date="2025-08-22T15:12:00Z">
                    <w:rPr>
                      <w:noProof/>
                      <w:snapToGrid w:val="0"/>
                      <w:szCs w:val="22"/>
                      <w:lang w:val="en-GB"/>
                    </w:rPr>
                  </w:rPrChange>
                </w:rPr>
                <w:t>: +354 540 8000</w:t>
              </w:r>
            </w:ins>
          </w:p>
          <w:p w14:paraId="41EB674B" w14:textId="77777777" w:rsidR="009700E5" w:rsidRPr="009700E5" w:rsidRDefault="009700E5">
            <w:pPr>
              <w:pStyle w:val="Standard1"/>
              <w:tabs>
                <w:tab w:val="left" w:pos="720"/>
              </w:tabs>
              <w:rPr>
                <w:ins w:id="3785" w:author="Author" w:date="2025-07-24T11:09:00Z"/>
                <w:rFonts w:ascii="Times New Roman" w:hAnsi="Times New Roman"/>
                <w:b/>
                <w:noProof/>
                <w:sz w:val="22"/>
                <w:szCs w:val="22"/>
                <w:lang w:val="sk-SK"/>
                <w:rPrChange w:id="3786" w:author="Author" w:date="2025-08-22T15:12:00Z">
                  <w:rPr>
                    <w:ins w:id="3787" w:author="Author" w:date="2025-07-24T11:09:00Z"/>
                    <w:b/>
                    <w:noProof/>
                    <w:szCs w:val="22"/>
                    <w:lang w:val="en-GB"/>
                  </w:rPr>
                </w:rPrChange>
              </w:rPr>
            </w:pPr>
          </w:p>
        </w:tc>
        <w:tc>
          <w:tcPr>
            <w:tcW w:w="4590" w:type="dxa"/>
          </w:tcPr>
          <w:p w14:paraId="7EE68E4B" w14:textId="77777777" w:rsidR="009700E5" w:rsidRPr="009700E5" w:rsidRDefault="002C033C">
            <w:pPr>
              <w:pStyle w:val="Standard1"/>
              <w:rPr>
                <w:ins w:id="3788" w:author="Author" w:date="2025-07-24T11:09:00Z"/>
                <w:rFonts w:ascii="Times New Roman" w:hAnsi="Times New Roman"/>
                <w:b/>
                <w:noProof/>
                <w:sz w:val="22"/>
                <w:szCs w:val="22"/>
                <w:lang w:val="sk-SK"/>
                <w:rPrChange w:id="3789" w:author="Author" w:date="2025-08-22T15:12:00Z">
                  <w:rPr>
                    <w:ins w:id="3790" w:author="Author" w:date="2025-07-24T11:09:00Z"/>
                    <w:b/>
                    <w:lang w:val="de-DE"/>
                  </w:rPr>
                </w:rPrChange>
              </w:rPr>
            </w:pPr>
            <w:ins w:id="3791" w:author="Author" w:date="2025-07-24T11:09:00Z">
              <w:r>
                <w:rPr>
                  <w:rFonts w:ascii="Times New Roman" w:hAnsi="Times New Roman"/>
                  <w:b/>
                  <w:noProof/>
                  <w:sz w:val="22"/>
                  <w:szCs w:val="22"/>
                  <w:lang w:val="sk-SK"/>
                  <w:rPrChange w:id="3792" w:author="Author" w:date="2025-08-22T15:12:00Z">
                    <w:rPr>
                      <w:b/>
                      <w:lang w:val="de-DE"/>
                    </w:rPr>
                  </w:rPrChange>
                </w:rPr>
                <w:t>Suomi/Finland</w:t>
              </w:r>
            </w:ins>
          </w:p>
          <w:p w14:paraId="6DEDE295" w14:textId="77777777" w:rsidR="009700E5" w:rsidRPr="009700E5" w:rsidRDefault="002C033C">
            <w:pPr>
              <w:pStyle w:val="Standard1"/>
              <w:rPr>
                <w:ins w:id="3793" w:author="Author" w:date="2025-07-24T11:09:00Z"/>
                <w:rFonts w:ascii="Times New Roman" w:hAnsi="Times New Roman"/>
                <w:noProof/>
                <w:sz w:val="22"/>
                <w:szCs w:val="22"/>
                <w:lang w:val="sk-SK"/>
                <w:rPrChange w:id="3794" w:author="Author" w:date="2025-08-22T15:12:00Z">
                  <w:rPr>
                    <w:ins w:id="3795" w:author="Author" w:date="2025-07-24T11:09:00Z"/>
                    <w:lang w:val="de-DE"/>
                  </w:rPr>
                </w:rPrChange>
              </w:rPr>
            </w:pPr>
            <w:ins w:id="3796" w:author="Author" w:date="2025-07-24T11:09:00Z">
              <w:r>
                <w:rPr>
                  <w:rFonts w:ascii="Times New Roman" w:hAnsi="Times New Roman"/>
                  <w:noProof/>
                  <w:sz w:val="22"/>
                  <w:szCs w:val="22"/>
                  <w:lang w:val="sk-SK"/>
                  <w:rPrChange w:id="3797" w:author="Author" w:date="2025-08-22T15:12:00Z">
                    <w:rPr>
                      <w:lang w:val="de-DE"/>
                    </w:rPr>
                  </w:rPrChange>
                </w:rPr>
                <w:t xml:space="preserve">Roche Oy </w:t>
              </w:r>
            </w:ins>
          </w:p>
          <w:p w14:paraId="5A1A5A66" w14:textId="77777777" w:rsidR="009700E5" w:rsidRPr="009700E5" w:rsidRDefault="002C033C">
            <w:pPr>
              <w:pStyle w:val="Standard1"/>
              <w:rPr>
                <w:ins w:id="3798" w:author="Author" w:date="2025-07-24T11:09:00Z"/>
                <w:rFonts w:ascii="Times New Roman" w:hAnsi="Times New Roman"/>
                <w:noProof/>
                <w:sz w:val="22"/>
                <w:szCs w:val="22"/>
                <w:lang w:val="sk-SK"/>
                <w:rPrChange w:id="3799" w:author="Author" w:date="2025-08-22T15:12:00Z">
                  <w:rPr>
                    <w:ins w:id="3800" w:author="Author" w:date="2025-07-24T11:09:00Z"/>
                    <w:lang w:val="de-DE"/>
                  </w:rPr>
                </w:rPrChange>
              </w:rPr>
            </w:pPr>
            <w:ins w:id="3801" w:author="Author" w:date="2025-07-24T11:09:00Z">
              <w:r>
                <w:rPr>
                  <w:rFonts w:ascii="Times New Roman" w:hAnsi="Times New Roman"/>
                  <w:noProof/>
                  <w:sz w:val="22"/>
                  <w:szCs w:val="22"/>
                  <w:lang w:val="sk-SK"/>
                  <w:rPrChange w:id="3802" w:author="Author" w:date="2025-08-22T15:12:00Z">
                    <w:rPr>
                      <w:lang w:val="de-DE"/>
                    </w:rPr>
                  </w:rPrChange>
                </w:rPr>
                <w:t>Puh/Tel: +358 (0) 10 554 500</w:t>
              </w:r>
            </w:ins>
          </w:p>
          <w:p w14:paraId="400AE707" w14:textId="77777777" w:rsidR="009700E5" w:rsidRPr="009700E5" w:rsidRDefault="009700E5">
            <w:pPr>
              <w:pStyle w:val="Standard1"/>
              <w:rPr>
                <w:ins w:id="3803" w:author="Author" w:date="2025-07-24T11:09:00Z"/>
                <w:rFonts w:ascii="Times New Roman" w:hAnsi="Times New Roman"/>
                <w:b/>
                <w:noProof/>
                <w:sz w:val="22"/>
                <w:szCs w:val="22"/>
                <w:lang w:val="sk-SK"/>
                <w:rPrChange w:id="3804" w:author="Author" w:date="2025-08-22T15:12:00Z">
                  <w:rPr>
                    <w:ins w:id="3805" w:author="Author" w:date="2025-07-24T11:09:00Z"/>
                    <w:b/>
                    <w:lang w:val="de-DE"/>
                  </w:rPr>
                </w:rPrChange>
              </w:rPr>
            </w:pPr>
          </w:p>
        </w:tc>
      </w:tr>
      <w:tr w:rsidR="009700E5" w14:paraId="5DBBCC2C" w14:textId="77777777">
        <w:trPr>
          <w:cantSplit/>
          <w:ins w:id="3806" w:author="Author" w:date="2025-07-24T11:09:00Z"/>
        </w:trPr>
        <w:tc>
          <w:tcPr>
            <w:tcW w:w="4590" w:type="dxa"/>
          </w:tcPr>
          <w:p w14:paraId="2BEDDF37" w14:textId="77777777" w:rsidR="009700E5" w:rsidRPr="009700E5" w:rsidRDefault="002C033C">
            <w:pPr>
              <w:pStyle w:val="Standard1"/>
              <w:rPr>
                <w:ins w:id="3807" w:author="Author" w:date="2025-07-24T11:09:00Z"/>
                <w:rFonts w:ascii="Times New Roman" w:hAnsi="Times New Roman"/>
                <w:noProof/>
                <w:sz w:val="22"/>
                <w:szCs w:val="22"/>
                <w:lang w:val="sk-SK"/>
                <w:rPrChange w:id="3808" w:author="Author" w:date="2025-08-22T15:12:00Z">
                  <w:rPr>
                    <w:ins w:id="3809" w:author="Author" w:date="2025-07-24T11:09:00Z"/>
                    <w:lang w:val="it-IT"/>
                  </w:rPr>
                </w:rPrChange>
              </w:rPr>
            </w:pPr>
            <w:ins w:id="3810" w:author="Author" w:date="2025-07-24T11:09:00Z">
              <w:r>
                <w:rPr>
                  <w:rFonts w:ascii="Times New Roman" w:hAnsi="Times New Roman"/>
                  <w:b/>
                  <w:noProof/>
                  <w:sz w:val="22"/>
                  <w:szCs w:val="22"/>
                  <w:lang w:val="sk-SK"/>
                  <w:rPrChange w:id="3811" w:author="Author" w:date="2025-08-22T15:12:00Z">
                    <w:rPr>
                      <w:b/>
                      <w:lang w:val="it-IT"/>
                    </w:rPr>
                  </w:rPrChange>
                </w:rPr>
                <w:t>Italia</w:t>
              </w:r>
            </w:ins>
          </w:p>
          <w:p w14:paraId="5F991D37" w14:textId="77777777" w:rsidR="009700E5" w:rsidRPr="009700E5" w:rsidRDefault="002C033C">
            <w:pPr>
              <w:pStyle w:val="Standard1"/>
              <w:rPr>
                <w:ins w:id="3812" w:author="Author" w:date="2025-07-24T11:09:00Z"/>
                <w:rFonts w:ascii="Times New Roman" w:hAnsi="Times New Roman"/>
                <w:noProof/>
                <w:sz w:val="22"/>
                <w:szCs w:val="22"/>
                <w:lang w:val="sk-SK"/>
                <w:rPrChange w:id="3813" w:author="Author" w:date="2025-08-22T15:12:00Z">
                  <w:rPr>
                    <w:ins w:id="3814" w:author="Author" w:date="2025-07-24T11:09:00Z"/>
                    <w:lang w:val="de-DE"/>
                  </w:rPr>
                </w:rPrChange>
              </w:rPr>
            </w:pPr>
            <w:ins w:id="3815" w:author="Author" w:date="2025-07-24T11:09:00Z">
              <w:r>
                <w:rPr>
                  <w:rFonts w:ascii="Times New Roman" w:hAnsi="Times New Roman"/>
                  <w:noProof/>
                  <w:sz w:val="22"/>
                  <w:szCs w:val="22"/>
                  <w:lang w:val="sk-SK"/>
                  <w:rPrChange w:id="3816" w:author="Author" w:date="2025-08-22T15:12:00Z">
                    <w:rPr>
                      <w:lang w:val="de-DE"/>
                    </w:rPr>
                  </w:rPrChange>
                </w:rPr>
                <w:t xml:space="preserve">Roche </w:t>
              </w:r>
              <w:r>
                <w:rPr>
                  <w:rFonts w:ascii="Times New Roman" w:hAnsi="Times New Roman"/>
                  <w:noProof/>
                  <w:sz w:val="22"/>
                  <w:szCs w:val="22"/>
                  <w:lang w:val="sk-SK"/>
                  <w:rPrChange w:id="3817" w:author="Author" w:date="2025-08-22T15:12:00Z">
                    <w:rPr>
                      <w:noProof/>
                      <w:szCs w:val="22"/>
                      <w:lang w:val="de-DE"/>
                    </w:rPr>
                  </w:rPrChange>
                </w:rPr>
                <w:t>S.p.</w:t>
              </w:r>
              <w:r>
                <w:rPr>
                  <w:rFonts w:ascii="Times New Roman" w:hAnsi="Times New Roman"/>
                  <w:noProof/>
                  <w:sz w:val="22"/>
                  <w:szCs w:val="22"/>
                  <w:lang w:val="sk-SK"/>
                  <w:rPrChange w:id="3818" w:author="Author" w:date="2025-08-22T15:12:00Z">
                    <w:rPr>
                      <w:lang w:val="de-DE"/>
                    </w:rPr>
                  </w:rPrChange>
                </w:rPr>
                <w:t>A.</w:t>
              </w:r>
            </w:ins>
          </w:p>
          <w:p w14:paraId="1002B7D3" w14:textId="77777777" w:rsidR="009700E5" w:rsidRPr="009700E5" w:rsidRDefault="002C033C">
            <w:pPr>
              <w:pStyle w:val="Standard1"/>
              <w:rPr>
                <w:ins w:id="3819" w:author="Author" w:date="2025-07-24T11:09:00Z"/>
                <w:rFonts w:ascii="Times New Roman" w:hAnsi="Times New Roman"/>
                <w:noProof/>
                <w:sz w:val="22"/>
                <w:szCs w:val="22"/>
                <w:lang w:val="sk-SK"/>
                <w:rPrChange w:id="3820" w:author="Author" w:date="2025-08-22T15:12:00Z">
                  <w:rPr>
                    <w:ins w:id="3821" w:author="Author" w:date="2025-07-24T11:09:00Z"/>
                    <w:noProof/>
                    <w:szCs w:val="22"/>
                    <w:lang w:val="de-CH"/>
                  </w:rPr>
                </w:rPrChange>
              </w:rPr>
            </w:pPr>
            <w:ins w:id="3822" w:author="Author" w:date="2025-07-24T11:09:00Z">
              <w:r>
                <w:rPr>
                  <w:rFonts w:ascii="Times New Roman" w:hAnsi="Times New Roman"/>
                  <w:noProof/>
                  <w:sz w:val="22"/>
                  <w:szCs w:val="22"/>
                  <w:lang w:val="sk-SK"/>
                  <w:rPrChange w:id="3823" w:author="Author" w:date="2025-08-22T15:12:00Z">
                    <w:rPr>
                      <w:noProof/>
                      <w:szCs w:val="22"/>
                      <w:lang w:val="de-CH"/>
                    </w:rPr>
                  </w:rPrChange>
                </w:rPr>
                <w:t>Tel: +39 - 039 2471</w:t>
              </w:r>
            </w:ins>
          </w:p>
          <w:p w14:paraId="5352E242" w14:textId="77777777" w:rsidR="009700E5" w:rsidRPr="009700E5" w:rsidRDefault="009700E5">
            <w:pPr>
              <w:pStyle w:val="Standard1"/>
              <w:rPr>
                <w:ins w:id="3824" w:author="Author" w:date="2025-07-24T11:09:00Z"/>
                <w:rFonts w:ascii="Times New Roman" w:hAnsi="Times New Roman"/>
                <w:b/>
                <w:noProof/>
                <w:sz w:val="22"/>
                <w:szCs w:val="22"/>
                <w:lang w:val="sk-SK"/>
                <w:rPrChange w:id="3825" w:author="Author" w:date="2025-08-22T15:12:00Z">
                  <w:rPr>
                    <w:ins w:id="3826" w:author="Author" w:date="2025-07-24T11:09:00Z"/>
                    <w:b/>
                    <w:lang w:val="de-CH"/>
                  </w:rPr>
                </w:rPrChange>
              </w:rPr>
            </w:pPr>
          </w:p>
        </w:tc>
        <w:tc>
          <w:tcPr>
            <w:tcW w:w="4590" w:type="dxa"/>
          </w:tcPr>
          <w:p w14:paraId="2DBED831" w14:textId="77777777" w:rsidR="009700E5" w:rsidRPr="009700E5" w:rsidRDefault="002C033C">
            <w:pPr>
              <w:pStyle w:val="Standard1"/>
              <w:rPr>
                <w:ins w:id="3827" w:author="Author" w:date="2025-07-24T11:09:00Z"/>
                <w:rFonts w:ascii="Times New Roman" w:hAnsi="Times New Roman"/>
                <w:noProof/>
                <w:sz w:val="22"/>
                <w:szCs w:val="22"/>
                <w:lang w:val="sk-SK"/>
                <w:rPrChange w:id="3828" w:author="Author" w:date="2025-08-22T15:12:00Z">
                  <w:rPr>
                    <w:ins w:id="3829" w:author="Author" w:date="2025-07-24T11:09:00Z"/>
                    <w:noProof/>
                    <w:szCs w:val="22"/>
                    <w:lang w:val="en-GB"/>
                  </w:rPr>
                </w:rPrChange>
              </w:rPr>
            </w:pPr>
            <w:ins w:id="3830" w:author="Author" w:date="2025-07-24T11:09:00Z">
              <w:r>
                <w:rPr>
                  <w:rFonts w:ascii="Times New Roman" w:hAnsi="Times New Roman"/>
                  <w:b/>
                  <w:noProof/>
                  <w:sz w:val="22"/>
                  <w:szCs w:val="22"/>
                  <w:lang w:val="sk-SK"/>
                  <w:rPrChange w:id="3831" w:author="Author" w:date="2025-08-22T15:12:00Z">
                    <w:rPr>
                      <w:b/>
                      <w:noProof/>
                      <w:szCs w:val="22"/>
                      <w:lang w:val="en-GB"/>
                    </w:rPr>
                  </w:rPrChange>
                </w:rPr>
                <w:t>Sverige</w:t>
              </w:r>
            </w:ins>
          </w:p>
          <w:p w14:paraId="0D789DF4" w14:textId="77777777" w:rsidR="009700E5" w:rsidRPr="009700E5" w:rsidRDefault="002C033C">
            <w:pPr>
              <w:pStyle w:val="Standard1"/>
              <w:rPr>
                <w:ins w:id="3832" w:author="Author" w:date="2025-07-24T11:09:00Z"/>
                <w:rFonts w:ascii="Times New Roman" w:hAnsi="Times New Roman"/>
                <w:noProof/>
                <w:sz w:val="22"/>
                <w:szCs w:val="22"/>
                <w:lang w:val="sk-SK"/>
                <w:rPrChange w:id="3833" w:author="Author" w:date="2025-08-22T15:12:00Z">
                  <w:rPr>
                    <w:ins w:id="3834" w:author="Author" w:date="2025-07-24T11:09:00Z"/>
                    <w:noProof/>
                    <w:szCs w:val="22"/>
                    <w:lang w:val="en-GB"/>
                  </w:rPr>
                </w:rPrChange>
              </w:rPr>
            </w:pPr>
            <w:ins w:id="3835" w:author="Author" w:date="2025-07-24T11:09:00Z">
              <w:r>
                <w:rPr>
                  <w:rFonts w:ascii="Times New Roman" w:hAnsi="Times New Roman"/>
                  <w:noProof/>
                  <w:sz w:val="22"/>
                  <w:szCs w:val="22"/>
                  <w:lang w:val="sk-SK"/>
                  <w:rPrChange w:id="3836" w:author="Author" w:date="2025-08-22T15:12:00Z">
                    <w:rPr>
                      <w:noProof/>
                      <w:szCs w:val="22"/>
                      <w:lang w:val="en-GB"/>
                    </w:rPr>
                  </w:rPrChange>
                </w:rPr>
                <w:t>Roche AB</w:t>
              </w:r>
            </w:ins>
          </w:p>
          <w:p w14:paraId="67505E6C" w14:textId="77777777" w:rsidR="009700E5" w:rsidRPr="009700E5" w:rsidRDefault="002C033C">
            <w:pPr>
              <w:pStyle w:val="Standard1"/>
              <w:suppressAutoHyphens/>
              <w:rPr>
                <w:ins w:id="3837" w:author="Author" w:date="2025-07-24T11:09:00Z"/>
                <w:rFonts w:ascii="Times New Roman" w:hAnsi="Times New Roman"/>
                <w:noProof/>
                <w:sz w:val="22"/>
                <w:szCs w:val="22"/>
                <w:lang w:val="sk-SK"/>
                <w:rPrChange w:id="3838" w:author="Author" w:date="2025-08-22T15:12:00Z">
                  <w:rPr>
                    <w:ins w:id="3839" w:author="Author" w:date="2025-07-24T11:09:00Z"/>
                    <w:noProof/>
                    <w:szCs w:val="22"/>
                    <w:lang w:val="en-GB"/>
                  </w:rPr>
                </w:rPrChange>
              </w:rPr>
            </w:pPr>
            <w:ins w:id="3840" w:author="Author" w:date="2025-07-24T11:09:00Z">
              <w:r>
                <w:rPr>
                  <w:rFonts w:ascii="Times New Roman" w:hAnsi="Times New Roman"/>
                  <w:noProof/>
                  <w:sz w:val="22"/>
                  <w:szCs w:val="22"/>
                  <w:lang w:val="sk-SK"/>
                  <w:rPrChange w:id="3841" w:author="Author" w:date="2025-08-22T15:12:00Z">
                    <w:rPr>
                      <w:noProof/>
                      <w:szCs w:val="22"/>
                      <w:lang w:val="en-GB"/>
                    </w:rPr>
                  </w:rPrChange>
                </w:rPr>
                <w:t>Tel: +46 (0) 8 726 1200</w:t>
              </w:r>
            </w:ins>
          </w:p>
          <w:p w14:paraId="11434BB3" w14:textId="77777777" w:rsidR="009700E5" w:rsidRPr="009700E5" w:rsidRDefault="009700E5">
            <w:pPr>
              <w:pStyle w:val="Standard1"/>
              <w:rPr>
                <w:ins w:id="3842" w:author="Author" w:date="2025-07-24T11:09:00Z"/>
                <w:rFonts w:ascii="Times New Roman" w:hAnsi="Times New Roman"/>
                <w:noProof/>
                <w:sz w:val="22"/>
                <w:szCs w:val="22"/>
                <w:lang w:val="sk-SK"/>
                <w:rPrChange w:id="3843" w:author="Author" w:date="2025-08-22T15:12:00Z">
                  <w:rPr>
                    <w:ins w:id="3844" w:author="Author" w:date="2025-07-24T11:09:00Z"/>
                    <w:lang w:val="de-DE"/>
                  </w:rPr>
                </w:rPrChange>
              </w:rPr>
            </w:pPr>
          </w:p>
        </w:tc>
      </w:tr>
      <w:bookmarkEnd w:id="3321"/>
    </w:tbl>
    <w:p w14:paraId="08948C07" w14:textId="77777777" w:rsidR="009700E5" w:rsidRDefault="009700E5">
      <w:pPr>
        <w:ind w:right="-449"/>
      </w:pPr>
    </w:p>
    <w:p w14:paraId="45CCAC6E" w14:textId="77777777" w:rsidR="009700E5" w:rsidRDefault="002C033C">
      <w:pPr>
        <w:numPr>
          <w:ilvl w:val="12"/>
          <w:numId w:val="0"/>
        </w:numPr>
        <w:ind w:right="-2"/>
        <w:outlineLvl w:val="0"/>
        <w:rPr>
          <w:szCs w:val="24"/>
        </w:rPr>
      </w:pPr>
      <w:r>
        <w:rPr>
          <w:b/>
          <w:szCs w:val="22"/>
        </w:rPr>
        <w:t xml:space="preserve">Táto písomná informácia bola naposledy aktualizovaná v </w:t>
      </w:r>
    </w:p>
    <w:p w14:paraId="57FFC12A" w14:textId="77777777" w:rsidR="009700E5" w:rsidRDefault="009700E5">
      <w:pPr>
        <w:ind w:right="-449"/>
        <w:rPr>
          <w:b/>
        </w:rPr>
      </w:pPr>
    </w:p>
    <w:p w14:paraId="09A253DC" w14:textId="77777777" w:rsidR="009700E5" w:rsidRDefault="002C033C">
      <w:pPr>
        <w:ind w:right="-449"/>
        <w:rPr>
          <w:b/>
          <w:bCs/>
        </w:rPr>
      </w:pPr>
      <w:r>
        <w:rPr>
          <w:b/>
          <w:bCs/>
        </w:rPr>
        <w:t>Ďalšie zdroje informácií</w:t>
      </w:r>
    </w:p>
    <w:p w14:paraId="3377CC1B" w14:textId="77777777" w:rsidR="009700E5" w:rsidRDefault="002C033C">
      <w:pPr>
        <w:ind w:right="-449"/>
        <w:rPr>
          <w:b/>
        </w:rPr>
      </w:pPr>
      <w:r>
        <w:rPr>
          <w:bCs/>
        </w:rPr>
        <w:t xml:space="preserve">Podrobné informácie o tomto lieku sú dostupné na internetovej stránke Európskej agentúry pre lieky </w:t>
      </w:r>
      <w:r>
        <w:fldChar w:fldCharType="begin"/>
      </w:r>
      <w:r>
        <w:instrText>HYPERLINK "https://www.ema.europa.eu/"</w:instrText>
      </w:r>
      <w:r>
        <w:fldChar w:fldCharType="separate"/>
      </w:r>
      <w:r>
        <w:rPr>
          <w:rStyle w:val="Hyperlink"/>
          <w:bCs/>
        </w:rPr>
        <w:t>https://www.ema.europa.eu</w:t>
      </w:r>
      <w:r>
        <w:rPr>
          <w:rStyle w:val="Hyperlink"/>
          <w:bCs/>
          <w:rPrChange w:id="3845" w:author="Author" w:date="2025-08-22T15:12:00Z">
            <w:rPr>
              <w:rStyle w:val="Hyperlink"/>
              <w:bCs/>
              <w:noProof w:val="0"/>
            </w:rPr>
          </w:rPrChange>
        </w:rPr>
        <w:t>/</w:t>
      </w:r>
      <w:r>
        <w:fldChar w:fldCharType="end"/>
      </w:r>
      <w:r>
        <w:rPr>
          <w:bCs/>
        </w:rPr>
        <w:t>.</w:t>
      </w:r>
    </w:p>
    <w:p w14:paraId="15DDEF98" w14:textId="77777777" w:rsidR="009700E5" w:rsidRDefault="002C033C">
      <w:pPr>
        <w:ind w:right="-449"/>
        <w:rPr>
          <w:b/>
          <w:szCs w:val="22"/>
        </w:rPr>
      </w:pPr>
      <w:r>
        <w:rPr>
          <w:b/>
        </w:rPr>
        <w:br w:type="page"/>
      </w:r>
      <w:r>
        <w:rPr>
          <w:b/>
          <w:szCs w:val="22"/>
        </w:rPr>
        <w:lastRenderedPageBreak/>
        <w:t>Nasledujúca informácia je určená len pre zdravotníckych pracovníkov:</w:t>
      </w:r>
    </w:p>
    <w:p w14:paraId="7E3D4E24" w14:textId="77777777" w:rsidR="009700E5" w:rsidRDefault="009700E5">
      <w:pPr>
        <w:ind w:right="-449"/>
        <w:rPr>
          <w:b/>
          <w:szCs w:val="22"/>
        </w:rPr>
      </w:pPr>
    </w:p>
    <w:p w14:paraId="10EBB690" w14:textId="77777777" w:rsidR="009700E5" w:rsidRDefault="002C033C">
      <w:pPr>
        <w:rPr>
          <w:b/>
          <w:szCs w:val="22"/>
        </w:rPr>
      </w:pPr>
      <w:r>
        <w:rPr>
          <w:b/>
          <w:szCs w:val="22"/>
        </w:rPr>
        <w:t>Návod na riedenie pred podaním</w:t>
      </w:r>
    </w:p>
    <w:p w14:paraId="3DC772FA" w14:textId="77777777" w:rsidR="009700E5" w:rsidRDefault="002C033C">
      <w:r>
        <w:t>Parenterálne lieky sa musia pred podaním vizuálne skontrolovať na prítomnosť cudzorodých častíc alebo zmenu sfarbenia. Riediť sa môžu iba roztoky, ktoré sú číre až opaleskujúce, bezfarebné až svetložlté a bez viditeľných častíc. Na prípravu RoActemry použite sterilnú ihlu a injekčnú striekačku.</w:t>
      </w:r>
    </w:p>
    <w:p w14:paraId="2792B14C" w14:textId="77777777" w:rsidR="009700E5" w:rsidRDefault="009700E5"/>
    <w:p w14:paraId="41A8673B" w14:textId="77777777" w:rsidR="009700E5" w:rsidRDefault="002C033C">
      <w:pPr>
        <w:rPr>
          <w:b/>
          <w:szCs w:val="22"/>
        </w:rPr>
      </w:pPr>
      <w:r>
        <w:rPr>
          <w:b/>
          <w:szCs w:val="22"/>
        </w:rPr>
        <w:t>Dospelí pacienti s RA, COVID</w:t>
      </w:r>
      <w:r>
        <w:rPr>
          <w:b/>
          <w:szCs w:val="22"/>
        </w:rPr>
        <w:noBreakHyphen/>
        <w:t>19 a CRS (≥ 30 kg)</w:t>
      </w:r>
    </w:p>
    <w:p w14:paraId="748D2C3B" w14:textId="77777777" w:rsidR="009700E5" w:rsidRDefault="002C033C">
      <w:r>
        <w:t xml:space="preserve">Za aseptických podmienok odoberte zo 100 ml infúzneho vaku objem sterilného, nepyrogénneho, 0,9 % injekčného roztoku chloridu sodného (9 mg/ml), ktorý sa rovná objemu koncentrátu RoActemry potrebného na dávku pre pacienta. Potrebné množstvo koncentrátu RoActemry </w:t>
      </w:r>
      <w:r>
        <w:rPr>
          <w:b/>
          <w:bCs/>
        </w:rPr>
        <w:t>(0,4 ml/kg)</w:t>
      </w:r>
      <w:r>
        <w:t xml:space="preserve"> sa má odobrať z injekčnej liekovky a preniesť do 100 ml infúzneho vaku. Konečný objem má byť 100 ml. Roztok premiešajte tak, že infúzny vak jemne prevrátite, aby sa predišlo speneniu.</w:t>
      </w:r>
    </w:p>
    <w:p w14:paraId="66E6BF8E" w14:textId="77777777" w:rsidR="009700E5" w:rsidRDefault="009700E5"/>
    <w:p w14:paraId="3D4F889F" w14:textId="77777777" w:rsidR="009700E5" w:rsidRDefault="002C033C">
      <w:pPr>
        <w:rPr>
          <w:b/>
          <w:szCs w:val="22"/>
        </w:rPr>
      </w:pPr>
      <w:r>
        <w:rPr>
          <w:b/>
          <w:szCs w:val="22"/>
        </w:rPr>
        <w:t>Použitie u detí a dospievajúcich</w:t>
      </w:r>
    </w:p>
    <w:p w14:paraId="2F391407" w14:textId="77777777" w:rsidR="009700E5" w:rsidRDefault="009700E5">
      <w:pPr>
        <w:rPr>
          <w:u w:val="single"/>
        </w:rPr>
      </w:pPr>
    </w:p>
    <w:p w14:paraId="3BC22955" w14:textId="77777777" w:rsidR="009700E5" w:rsidRDefault="002C033C">
      <w:pPr>
        <w:rPr>
          <w:b/>
          <w:szCs w:val="22"/>
        </w:rPr>
      </w:pPr>
      <w:r>
        <w:rPr>
          <w:b/>
          <w:szCs w:val="22"/>
        </w:rPr>
        <w:t>Pacienti so sJIA, pJIA a CRS ≥ 30 kg</w:t>
      </w:r>
    </w:p>
    <w:p w14:paraId="22B88516" w14:textId="77777777" w:rsidR="009700E5" w:rsidRDefault="002C033C">
      <w:r>
        <w:t xml:space="preserve">Za aseptických podmienok odoberte zo 100 ml infúzneho vaku objem sterilného, nepyrogénneho injekčného roztoku chloridu sodného 9 mg/ml (0,9 %), ktorý sa rovná objemu koncentrátu RoActemry potrebného na dávku pre pacienta. Potrebné množstvo koncentrátu RoActemry </w:t>
      </w:r>
      <w:r>
        <w:rPr>
          <w:b/>
        </w:rPr>
        <w:t>(0,4 ml/kg)</w:t>
      </w:r>
      <w:r>
        <w:t xml:space="preserve"> sa má odobrať z injekčnej liekovky a preniesť do 100 ml infúzneho vaku. Konečný objem má byť 100 ml. Roztok premiešajte tak, že infúzny vak jemne prevrátite, aby sa predišlo speneniu.</w:t>
      </w:r>
    </w:p>
    <w:p w14:paraId="1BD6635A" w14:textId="77777777" w:rsidR="009700E5" w:rsidRDefault="009700E5"/>
    <w:p w14:paraId="0AAE3CAE" w14:textId="77777777" w:rsidR="009700E5" w:rsidRDefault="002C033C">
      <w:pPr>
        <w:rPr>
          <w:b/>
          <w:szCs w:val="22"/>
        </w:rPr>
      </w:pPr>
      <w:r>
        <w:rPr>
          <w:b/>
          <w:szCs w:val="22"/>
        </w:rPr>
        <w:t xml:space="preserve">Pacienti so sJIA a CRS </w:t>
      </w:r>
      <w:r>
        <w:rPr>
          <w:b/>
          <w:iCs/>
          <w:szCs w:val="22"/>
        </w:rPr>
        <w:t>&lt;</w:t>
      </w:r>
      <w:r>
        <w:rPr>
          <w:b/>
          <w:szCs w:val="22"/>
        </w:rPr>
        <w:t xml:space="preserve"> 30 kg</w:t>
      </w:r>
    </w:p>
    <w:p w14:paraId="595A8F8A" w14:textId="77777777" w:rsidR="009700E5" w:rsidRDefault="002C033C">
      <w:r>
        <w:t xml:space="preserve">Za aseptických podmienok odoberte z 50 ml objemu infúzneho vaku objem sterilného, nepyrogénneho, 0,9 % injekčného roztoku chloridu sodného (9 mg/ml), ktorý sa rovná objemu koncentrátu RoActemry potrebného na dávku pre pacienta. Potrebné množstvo koncentrátu RoActemry </w:t>
      </w:r>
      <w:r>
        <w:rPr>
          <w:b/>
        </w:rPr>
        <w:t>(0,6 ml/kg)</w:t>
      </w:r>
      <w:r>
        <w:t xml:space="preserve"> sa má odobrať z injekčnej liekovky a preniesť do 50 ml infúzneho vaku. Konečný objem má byť 50 ml. Roztok premiešajte tak, že infúzny vak jemne prevrátite, aby sa predišlo speneniu.</w:t>
      </w:r>
    </w:p>
    <w:p w14:paraId="0241810C" w14:textId="77777777" w:rsidR="009700E5" w:rsidRDefault="009700E5"/>
    <w:p w14:paraId="260049A8" w14:textId="77777777" w:rsidR="009700E5" w:rsidRDefault="002C033C">
      <w:pPr>
        <w:rPr>
          <w:b/>
          <w:szCs w:val="22"/>
        </w:rPr>
      </w:pPr>
      <w:r>
        <w:rPr>
          <w:b/>
          <w:szCs w:val="22"/>
        </w:rPr>
        <w:t xml:space="preserve">Pacienti s pJIA </w:t>
      </w:r>
      <w:r>
        <w:rPr>
          <w:b/>
          <w:iCs/>
          <w:szCs w:val="22"/>
        </w:rPr>
        <w:t>&lt;</w:t>
      </w:r>
      <w:r>
        <w:rPr>
          <w:b/>
          <w:szCs w:val="22"/>
        </w:rPr>
        <w:t xml:space="preserve"> 30 kg</w:t>
      </w:r>
    </w:p>
    <w:p w14:paraId="74167085" w14:textId="77777777" w:rsidR="009700E5" w:rsidRDefault="002C033C">
      <w:r>
        <w:t>Za aseptických podmienok odoberte z 50 ml infúzneho vaku objem sterilného, nepyrogénneho, 0,9 % injekčného roztoku chloridu sodného (9 mg/ml), ktorý sa rovná objemu koncentrátu RoActemry potrebného na dávku pre pacienta. Potrebné množstvo koncentrátu RoActemry (</w:t>
      </w:r>
      <w:r>
        <w:rPr>
          <w:b/>
        </w:rPr>
        <w:t>0,5 ml/kg</w:t>
      </w:r>
      <w:r>
        <w:t>) sa má odobrať z injekčnej liekovky a preniesť do 50 ml infúzneho vaku. Konečný objem má byť 50 ml. Roztok premiešajte tak, že infúzny vak jemne prevrátite, aby sa predišlo speneniu.</w:t>
      </w:r>
    </w:p>
    <w:p w14:paraId="1BE7A1E5" w14:textId="77777777" w:rsidR="009700E5" w:rsidRDefault="009700E5"/>
    <w:p w14:paraId="203A802C" w14:textId="77777777" w:rsidR="009700E5" w:rsidRDefault="002C033C">
      <w:r>
        <w:t>RoActemra je určená iba na jednorazové použitie.</w:t>
      </w:r>
    </w:p>
    <w:p w14:paraId="7F53D160" w14:textId="77777777" w:rsidR="009700E5" w:rsidRDefault="009700E5"/>
    <w:p w14:paraId="4D945552" w14:textId="77777777" w:rsidR="009700E5" w:rsidRDefault="002C033C">
      <w:r>
        <w:rPr>
          <w:szCs w:val="22"/>
        </w:rPr>
        <w:t xml:space="preserve">Všetok nepoužitý liek alebo odpad vzniknutý z lieku </w:t>
      </w:r>
      <w:r>
        <w:t>sa má zlikvidovať v súlade s národnými požiadavkami.</w:t>
      </w:r>
    </w:p>
    <w:p w14:paraId="4E9A17F6" w14:textId="77777777" w:rsidR="009700E5" w:rsidRDefault="002C033C">
      <w:pPr>
        <w:jc w:val="center"/>
        <w:outlineLvl w:val="0"/>
        <w:rPr>
          <w:b/>
        </w:rPr>
      </w:pPr>
      <w:r>
        <w:rPr>
          <w:b/>
        </w:rPr>
        <w:br w:type="page"/>
      </w:r>
      <w:r>
        <w:rPr>
          <w:b/>
        </w:rPr>
        <w:lastRenderedPageBreak/>
        <w:t>Písomná informácia pre používateľa</w:t>
      </w:r>
    </w:p>
    <w:p w14:paraId="089604CC" w14:textId="77777777" w:rsidR="009700E5" w:rsidRDefault="009700E5">
      <w:pPr>
        <w:jc w:val="center"/>
        <w:outlineLvl w:val="0"/>
        <w:rPr>
          <w:b/>
        </w:rPr>
      </w:pPr>
    </w:p>
    <w:p w14:paraId="7E42C412" w14:textId="77777777" w:rsidR="009700E5" w:rsidRDefault="002C033C">
      <w:pPr>
        <w:jc w:val="center"/>
        <w:outlineLvl w:val="0"/>
        <w:rPr>
          <w:b/>
          <w:bCs/>
        </w:rPr>
      </w:pPr>
      <w:r>
        <w:rPr>
          <w:b/>
          <w:bCs/>
        </w:rPr>
        <w:t>RoActemra 162 mg injekčný roztok v naplnenej injekčnej striekačke</w:t>
      </w:r>
    </w:p>
    <w:p w14:paraId="6268EF0F" w14:textId="77777777" w:rsidR="009700E5" w:rsidRDefault="002C033C">
      <w:pPr>
        <w:jc w:val="center"/>
      </w:pPr>
      <w:r>
        <w:t>tocilizumab</w:t>
      </w:r>
    </w:p>
    <w:p w14:paraId="6EA7EA7D" w14:textId="77777777" w:rsidR="009700E5" w:rsidRDefault="009700E5"/>
    <w:p w14:paraId="3ADBA7A9" w14:textId="77777777" w:rsidR="009700E5" w:rsidRDefault="002C033C">
      <w:pPr>
        <w:rPr>
          <w:b/>
        </w:rPr>
      </w:pPr>
      <w:r>
        <w:rPr>
          <w:b/>
        </w:rPr>
        <w:t>Pozorne si prečítajte celú písomnú informáciu predtým, ako začnete používať tento liek, pretože obsahuje pre vás dôležité informácie.</w:t>
      </w:r>
    </w:p>
    <w:p w14:paraId="17BBC7C1" w14:textId="77777777" w:rsidR="009700E5" w:rsidRDefault="002C033C">
      <w:pPr>
        <w:pStyle w:val="ListParagraph"/>
        <w:numPr>
          <w:ilvl w:val="1"/>
          <w:numId w:val="235"/>
        </w:numPr>
        <w:ind w:left="567" w:hanging="567"/>
        <w:pPrChange w:id="3846" w:author="Author" w:date="2026-02-18T10:49:00Z">
          <w:pPr>
            <w:ind w:left="567" w:hanging="567"/>
          </w:pPr>
        </w:pPrChange>
      </w:pPr>
      <w:del w:id="3847" w:author="Author" w:date="2026-02-18T10:48:00Z">
        <w:r>
          <w:delText>•</w:delText>
        </w:r>
        <w:r>
          <w:tab/>
        </w:r>
      </w:del>
      <w:r>
        <w:t>Túto písomnú informáciu si uschovajte. Možno bude potrebné, aby ste si ju znovu prečítali.</w:t>
      </w:r>
    </w:p>
    <w:p w14:paraId="19EAE3EC" w14:textId="77777777" w:rsidR="009700E5" w:rsidRDefault="002C033C">
      <w:pPr>
        <w:pStyle w:val="ListParagraph"/>
        <w:numPr>
          <w:ilvl w:val="1"/>
          <w:numId w:val="235"/>
        </w:numPr>
        <w:ind w:left="567" w:hanging="567"/>
        <w:pPrChange w:id="3848" w:author="Author" w:date="2026-02-18T10:49:00Z">
          <w:pPr>
            <w:ind w:left="567" w:hanging="567"/>
          </w:pPr>
        </w:pPrChange>
      </w:pPr>
      <w:del w:id="3849" w:author="Author" w:date="2026-02-18T10:48:00Z">
        <w:r>
          <w:delText>•</w:delText>
        </w:r>
        <w:r>
          <w:tab/>
        </w:r>
      </w:del>
      <w:r>
        <w:t>Ak máte akékoľvek ďalšie otázky, obráťte sa na svojho lekára, lekárnika alebo zdravotnú sestru.</w:t>
      </w:r>
    </w:p>
    <w:p w14:paraId="6336A009" w14:textId="77777777" w:rsidR="009700E5" w:rsidRDefault="002C033C">
      <w:pPr>
        <w:pStyle w:val="ListParagraph"/>
        <w:numPr>
          <w:ilvl w:val="1"/>
          <w:numId w:val="235"/>
        </w:numPr>
        <w:ind w:left="567" w:hanging="567"/>
        <w:pPrChange w:id="3850" w:author="Author" w:date="2026-02-18T10:49:00Z">
          <w:pPr>
            <w:ind w:left="567" w:hanging="567"/>
          </w:pPr>
        </w:pPrChange>
      </w:pPr>
      <w:del w:id="3851" w:author="Author" w:date="2026-02-18T10:48:00Z">
        <w:r>
          <w:delText>•</w:delText>
        </w:r>
        <w:r>
          <w:tab/>
        </w:r>
      </w:del>
      <w:r>
        <w:t>Tento liek bol predpísaný iba vám. Nedávajte ho nikomu inému. Môže mu uškodiť, dokonca aj vtedy, ak má rovnaké prejavy ochorenia ako vy.</w:t>
      </w:r>
    </w:p>
    <w:p w14:paraId="41A6682A" w14:textId="77777777" w:rsidR="009700E5" w:rsidRDefault="002C033C">
      <w:pPr>
        <w:pStyle w:val="ListParagraph"/>
        <w:numPr>
          <w:ilvl w:val="1"/>
          <w:numId w:val="235"/>
        </w:numPr>
        <w:ind w:left="567" w:hanging="567"/>
        <w:pPrChange w:id="3852" w:author="Author" w:date="2026-02-18T10:49:00Z">
          <w:pPr>
            <w:ind w:left="567" w:hanging="567"/>
          </w:pPr>
        </w:pPrChange>
      </w:pPr>
      <w:del w:id="3853" w:author="Author" w:date="2026-02-18T10:48:00Z">
        <w:r>
          <w:delText>•</w:delText>
        </w:r>
        <w:r>
          <w:tab/>
        </w:r>
      </w:del>
      <w:r>
        <w:t>Ak sa u vás vyskytne akýkoľvek vedľajší účinok, obráťte sa na svojho lekára, lekárnika alebo zdravotnú sestru. To sa týka aj akýchkoľvek vedľajších účinkov, ktoré nie sú uvedené v tejto písomnej informácii.</w:t>
      </w:r>
      <w:r>
        <w:rPr>
          <w:szCs w:val="22"/>
        </w:rPr>
        <w:t xml:space="preserve"> Pozri časť 4.</w:t>
      </w:r>
    </w:p>
    <w:p w14:paraId="27F6E681" w14:textId="77777777" w:rsidR="009700E5" w:rsidRDefault="009700E5"/>
    <w:p w14:paraId="45F5B522" w14:textId="77777777" w:rsidR="009700E5" w:rsidRDefault="002C033C">
      <w:r>
        <w:t xml:space="preserve">K tejto písomnej informácii vám bude poskytnutá i </w:t>
      </w:r>
      <w:r>
        <w:rPr>
          <w:b/>
          <w:bCs/>
        </w:rPr>
        <w:t>karta pacienta</w:t>
      </w:r>
      <w:r>
        <w:t>, obsahujúca dôležité bezpečnostné informácie, ktoré treba vziať do úvahy pred a počas liečby RoActemrou.</w:t>
      </w:r>
    </w:p>
    <w:p w14:paraId="7E32C41F" w14:textId="77777777" w:rsidR="009700E5" w:rsidRDefault="009700E5"/>
    <w:p w14:paraId="7C9AD33E" w14:textId="77777777" w:rsidR="009700E5" w:rsidRDefault="002C033C">
      <w:r>
        <w:rPr>
          <w:b/>
        </w:rPr>
        <w:t>V tejto písomnej informácii sa dozviete</w:t>
      </w:r>
      <w:r>
        <w:rPr>
          <w:b/>
          <w:bCs/>
        </w:rPr>
        <w:t>:</w:t>
      </w:r>
    </w:p>
    <w:p w14:paraId="5AA6E6A3" w14:textId="77777777" w:rsidR="009700E5" w:rsidRDefault="002C033C">
      <w:pPr>
        <w:rPr>
          <w:bCs/>
        </w:rPr>
      </w:pPr>
      <w:r>
        <w:rPr>
          <w:bCs/>
        </w:rPr>
        <w:t>1.</w:t>
      </w:r>
      <w:r>
        <w:rPr>
          <w:bCs/>
        </w:rPr>
        <w:tab/>
        <w:t>Čo je RoActemra a na čo sa používa</w:t>
      </w:r>
    </w:p>
    <w:p w14:paraId="4FEAD175" w14:textId="77777777" w:rsidR="009700E5" w:rsidRDefault="002C033C">
      <w:pPr>
        <w:rPr>
          <w:bCs/>
        </w:rPr>
      </w:pPr>
      <w:r>
        <w:rPr>
          <w:bCs/>
        </w:rPr>
        <w:t>2.</w:t>
      </w:r>
      <w:r>
        <w:rPr>
          <w:bCs/>
        </w:rPr>
        <w:tab/>
        <w:t>Čo potrebujete vedieť predtým, ako použijete RoActemru</w:t>
      </w:r>
    </w:p>
    <w:p w14:paraId="7E7251F6" w14:textId="77777777" w:rsidR="009700E5" w:rsidRDefault="002C033C">
      <w:pPr>
        <w:rPr>
          <w:bCs/>
        </w:rPr>
      </w:pPr>
      <w:r>
        <w:rPr>
          <w:bCs/>
        </w:rPr>
        <w:t>3.</w:t>
      </w:r>
      <w:r>
        <w:rPr>
          <w:bCs/>
        </w:rPr>
        <w:tab/>
        <w:t>Ako používať RoActemru</w:t>
      </w:r>
    </w:p>
    <w:p w14:paraId="02BF501E" w14:textId="77777777" w:rsidR="009700E5" w:rsidRDefault="002C033C">
      <w:pPr>
        <w:rPr>
          <w:bCs/>
        </w:rPr>
      </w:pPr>
      <w:r>
        <w:rPr>
          <w:bCs/>
        </w:rPr>
        <w:t>4.</w:t>
      </w:r>
      <w:r>
        <w:rPr>
          <w:bCs/>
        </w:rPr>
        <w:tab/>
        <w:t>Možné vedľajšie účinky</w:t>
      </w:r>
    </w:p>
    <w:p w14:paraId="00714B38" w14:textId="77777777" w:rsidR="009700E5" w:rsidRDefault="002C033C">
      <w:pPr>
        <w:rPr>
          <w:bCs/>
        </w:rPr>
      </w:pPr>
      <w:r>
        <w:rPr>
          <w:bCs/>
        </w:rPr>
        <w:t>5.</w:t>
      </w:r>
      <w:r>
        <w:rPr>
          <w:bCs/>
        </w:rPr>
        <w:tab/>
        <w:t>Ako uchovávať RoActemru</w:t>
      </w:r>
    </w:p>
    <w:p w14:paraId="155F5F4B" w14:textId="77777777" w:rsidR="009700E5" w:rsidRDefault="002C033C">
      <w:pPr>
        <w:rPr>
          <w:bCs/>
        </w:rPr>
      </w:pPr>
      <w:r>
        <w:rPr>
          <w:bCs/>
        </w:rPr>
        <w:t>6.</w:t>
      </w:r>
      <w:r>
        <w:rPr>
          <w:bCs/>
        </w:rPr>
        <w:tab/>
        <w:t>Obsah balenia a ďalšie informácie</w:t>
      </w:r>
    </w:p>
    <w:p w14:paraId="06D77059" w14:textId="77777777" w:rsidR="009700E5" w:rsidRDefault="009700E5"/>
    <w:p w14:paraId="11FDBE37" w14:textId="77777777" w:rsidR="009700E5" w:rsidRDefault="009700E5"/>
    <w:p w14:paraId="4E76EC46" w14:textId="77777777" w:rsidR="009700E5" w:rsidRDefault="002C033C">
      <w:pPr>
        <w:rPr>
          <w:b/>
          <w:sz w:val="28"/>
          <w:szCs w:val="28"/>
        </w:rPr>
      </w:pPr>
      <w:r>
        <w:rPr>
          <w:b/>
          <w:szCs w:val="22"/>
        </w:rPr>
        <w:t>1</w:t>
      </w:r>
      <w:r>
        <w:rPr>
          <w:b/>
          <w:sz w:val="28"/>
          <w:szCs w:val="28"/>
        </w:rPr>
        <w:t>.</w:t>
      </w:r>
      <w:r>
        <w:rPr>
          <w:b/>
          <w:sz w:val="28"/>
          <w:szCs w:val="28"/>
        </w:rPr>
        <w:tab/>
      </w:r>
      <w:r>
        <w:rPr>
          <w:b/>
          <w:szCs w:val="22"/>
        </w:rPr>
        <w:t xml:space="preserve">Čo je </w:t>
      </w:r>
      <w:r>
        <w:rPr>
          <w:b/>
          <w:caps/>
          <w:szCs w:val="22"/>
        </w:rPr>
        <w:t>r</w:t>
      </w:r>
      <w:r>
        <w:rPr>
          <w:b/>
          <w:szCs w:val="22"/>
        </w:rPr>
        <w:t>o</w:t>
      </w:r>
      <w:r>
        <w:rPr>
          <w:b/>
          <w:caps/>
          <w:szCs w:val="22"/>
        </w:rPr>
        <w:t>a</w:t>
      </w:r>
      <w:r>
        <w:rPr>
          <w:b/>
          <w:szCs w:val="22"/>
        </w:rPr>
        <w:t>ctemra a na čo sa používa</w:t>
      </w:r>
    </w:p>
    <w:p w14:paraId="4353107A" w14:textId="77777777" w:rsidR="009700E5" w:rsidRDefault="009700E5">
      <w:pPr>
        <w:rPr>
          <w:sz w:val="24"/>
          <w:szCs w:val="24"/>
        </w:rPr>
      </w:pPr>
    </w:p>
    <w:p w14:paraId="64ABFC93" w14:textId="77777777" w:rsidR="009700E5" w:rsidRDefault="002C033C">
      <w:r>
        <w:t>RoActemra obsahuje liečivo tocilizumab, čo je bielkovina vyrobená zo špeciálnych imunitných buniek (monoklonálna protilátka), ktorá blokuje účinok špecifickej bielkoviny (cytokínu) nazývanej interleukín</w:t>
      </w:r>
      <w:r>
        <w:noBreakHyphen/>
        <w:t>6. Táto bielkovina sa podieľa na zápalových procesoch tela a jej blokovaním sa môže zmierniť zápal v tele. RoActemra sa používa na liečbu:</w:t>
      </w:r>
    </w:p>
    <w:p w14:paraId="35056E97" w14:textId="77777777" w:rsidR="009700E5" w:rsidRDefault="009700E5">
      <w:pPr>
        <w:ind w:left="567" w:hanging="567"/>
        <w:pPrChange w:id="3854" w:author="Author" w:date="2026-02-18T10:57:00Z">
          <w:pPr/>
        </w:pPrChange>
      </w:pPr>
    </w:p>
    <w:p w14:paraId="2C7072DE" w14:textId="77777777" w:rsidR="009700E5" w:rsidRDefault="002C033C">
      <w:pPr>
        <w:pStyle w:val="ListParagraph"/>
        <w:numPr>
          <w:ilvl w:val="1"/>
          <w:numId w:val="237"/>
        </w:numPr>
        <w:ind w:left="567" w:hanging="567"/>
        <w:pPrChange w:id="3855" w:author="Author" w:date="2026-02-18T10:57:00Z">
          <w:pPr>
            <w:ind w:left="567" w:hanging="567"/>
          </w:pPr>
        </w:pPrChange>
      </w:pPr>
      <w:del w:id="3856" w:author="Author" w:date="2026-02-18T10:50:00Z">
        <w:r>
          <w:delText>•</w:delText>
        </w:r>
        <w:r>
          <w:tab/>
        </w:r>
      </w:del>
      <w:r>
        <w:rPr>
          <w:b/>
        </w:rPr>
        <w:t>dospelých</w:t>
      </w:r>
      <w:r>
        <w:t xml:space="preserve"> </w:t>
      </w:r>
      <w:r>
        <w:rPr>
          <w:b/>
        </w:rPr>
        <w:t>so stredne ťažkou až ťažkou aktívnou reumatoidnou artritídou (RA),</w:t>
      </w:r>
      <w:r>
        <w:t xml:space="preserve"> autoimunitného ochorenia, ak predchádzajúce terapie neboli dostatočne účinné.</w:t>
      </w:r>
    </w:p>
    <w:p w14:paraId="70F38A95" w14:textId="77777777" w:rsidR="009700E5" w:rsidRDefault="009700E5">
      <w:pPr>
        <w:ind w:left="567" w:hanging="567"/>
        <w:pPrChange w:id="3857" w:author="Author" w:date="2026-02-18T10:57:00Z">
          <w:pPr>
            <w:ind w:left="567" w:hanging="1582"/>
          </w:pPr>
        </w:pPrChange>
      </w:pPr>
    </w:p>
    <w:p w14:paraId="4A187176" w14:textId="77777777" w:rsidR="009700E5" w:rsidRDefault="002C033C">
      <w:pPr>
        <w:pStyle w:val="ListParagraph"/>
        <w:numPr>
          <w:ilvl w:val="1"/>
          <w:numId w:val="239"/>
        </w:numPr>
        <w:ind w:left="567" w:hanging="567"/>
        <w:pPrChange w:id="3858" w:author="Author" w:date="2026-02-18T10:57:00Z">
          <w:pPr>
            <w:ind w:left="567" w:hanging="567"/>
          </w:pPr>
        </w:pPrChange>
      </w:pPr>
      <w:del w:id="3859" w:author="Author" w:date="2026-02-18T10:53:00Z">
        <w:r>
          <w:delText>•</w:delText>
        </w:r>
        <w:r>
          <w:tab/>
        </w:r>
      </w:del>
      <w:r>
        <w:rPr>
          <w:b/>
          <w:rPrChange w:id="3860" w:author="Author" w:date="2026-02-18T10:53:00Z">
            <w:rPr/>
          </w:rPrChange>
        </w:rPr>
        <w:t>dospelých s ťažkou, aktívnou a progresívnou reumatoidnou artritídou (RA)</w:t>
      </w:r>
      <w:r>
        <w:t>, ktorí neboli doteraz liečení metotrexátom.</w:t>
      </w:r>
    </w:p>
    <w:p w14:paraId="26C5951C" w14:textId="77777777" w:rsidR="009700E5" w:rsidRDefault="009700E5">
      <w:pPr>
        <w:ind w:left="567" w:hanging="567"/>
        <w:pPrChange w:id="3861" w:author="Author" w:date="2026-02-18T10:57:00Z">
          <w:pPr/>
        </w:pPrChange>
      </w:pPr>
    </w:p>
    <w:p w14:paraId="04F61377" w14:textId="77777777" w:rsidR="009700E5" w:rsidRDefault="002C033C">
      <w:pPr>
        <w:ind w:left="567"/>
      </w:pPr>
      <w:r>
        <w:t>RoActemra napomáha zmierňovať príznaky RA, ako bolesť a opuch kĺbov, a taktiež dokáže zlepšovať vykonávanie každodenných činností. Dokázalo sa, že RoActemra spomaľuje poškodzovanie chrupavky a kostí v kĺboch, ktoré je spôsobené ochorením a zlepšuje schopnosť vykonávať každodenné činnosti.</w:t>
      </w:r>
    </w:p>
    <w:p w14:paraId="6F5569DC" w14:textId="77777777" w:rsidR="009700E5" w:rsidRDefault="009700E5">
      <w:pPr>
        <w:ind w:left="567"/>
      </w:pPr>
    </w:p>
    <w:p w14:paraId="3ACB0E84" w14:textId="77777777" w:rsidR="009700E5" w:rsidRDefault="002C033C">
      <w:pPr>
        <w:ind w:left="567"/>
      </w:pPr>
      <w:r>
        <w:t>RoActemra sa zvyčajne podáva v kombinácii s ďalším liekom na RA, ktorý sa nazýva metotrexát. RoActemra sa však môže podávať samostatne, ak váš lekár rozhodne, že metotrexát pre vás nie je vhodný.</w:t>
      </w:r>
    </w:p>
    <w:p w14:paraId="1AF89F85" w14:textId="77777777" w:rsidR="009700E5" w:rsidRDefault="009700E5">
      <w:pPr>
        <w:ind w:left="567" w:hanging="567"/>
        <w:pPrChange w:id="3862" w:author="Author" w:date="2026-02-18T10:57:00Z">
          <w:pPr/>
        </w:pPrChange>
      </w:pPr>
    </w:p>
    <w:p w14:paraId="4F0C6252" w14:textId="77777777" w:rsidR="009700E5" w:rsidRDefault="002C033C">
      <w:pPr>
        <w:pStyle w:val="ListParagraph"/>
        <w:numPr>
          <w:ilvl w:val="1"/>
          <w:numId w:val="241"/>
        </w:numPr>
        <w:ind w:left="567" w:hanging="567"/>
        <w:pPrChange w:id="3863" w:author="Author" w:date="2026-02-18T10:57:00Z">
          <w:pPr>
            <w:ind w:left="567" w:hanging="567"/>
          </w:pPr>
        </w:pPrChange>
      </w:pPr>
      <w:del w:id="3864" w:author="Author" w:date="2026-02-18T10:54:00Z">
        <w:r>
          <w:delText>•</w:delText>
        </w:r>
        <w:r>
          <w:tab/>
        </w:r>
      </w:del>
      <w:r>
        <w:rPr>
          <w:b/>
        </w:rPr>
        <w:t>dospelých s ochorením tepien, ktoré sa nazýva obrovskobunková arteritída (OBA),</w:t>
      </w:r>
      <w:r>
        <w:t xml:space="preserve"> spôsobeného zápalom najväčších tepien v ľudskom tele, obzvlášť tých, ktoré krvou zásobujú hlavu a krk. Príznaky ochorenia zahŕňajú bolesti hlavy, únavu a bolesti v sánke. Ochorenie môže spôsobiť mŕtvicu a slepotu. </w:t>
      </w:r>
    </w:p>
    <w:p w14:paraId="2924B5B0" w14:textId="77777777" w:rsidR="009700E5" w:rsidRDefault="009700E5">
      <w:pPr>
        <w:ind w:left="567" w:hanging="567"/>
        <w:pPrChange w:id="3865" w:author="Author" w:date="2026-02-18T10:57:00Z">
          <w:pPr/>
        </w:pPrChange>
      </w:pPr>
    </w:p>
    <w:p w14:paraId="005AE8DF" w14:textId="77777777" w:rsidR="009700E5" w:rsidRDefault="002C033C">
      <w:pPr>
        <w:keepNext/>
        <w:keepLines/>
        <w:ind w:left="567"/>
      </w:pPr>
      <w:r>
        <w:lastRenderedPageBreak/>
        <w:t xml:space="preserve">RoActemra môže zmierniť bolesti a opuch tepien a žíl hlavy, krku a ramien. </w:t>
      </w:r>
    </w:p>
    <w:p w14:paraId="3AA474E0" w14:textId="77777777" w:rsidR="009700E5" w:rsidRDefault="009700E5">
      <w:pPr>
        <w:keepNext/>
        <w:keepLines/>
        <w:ind w:left="567"/>
        <w:pPrChange w:id="3866" w:author="Author" w:date="2026-02-18T10:58:00Z">
          <w:pPr>
            <w:keepNext/>
            <w:keepLines/>
          </w:pPr>
        </w:pPrChange>
      </w:pPr>
    </w:p>
    <w:p w14:paraId="52248241" w14:textId="77777777" w:rsidR="009700E5" w:rsidRDefault="002C033C">
      <w:pPr>
        <w:keepNext/>
        <w:keepLines/>
        <w:ind w:left="567"/>
      </w:pPr>
      <w:r>
        <w:t>OBA sa často lieči liekmi, ktoré sa nazývajú steroidy. Tieto lieky sú zvyčajne účinné, ale ak sú dlhodobo užívané vo vysokých dávkach, môžu mať vedľajšie účinky. Znižovanie dávky steroidov môže tiež viesť k vzplanutiu (znovu prepuknutiu) OBA. Pridaním RoActemry do liečby je možné skrátiť dĺžku podávania steroidov pri zachovaní kontroly nad OBA.</w:t>
      </w:r>
    </w:p>
    <w:p w14:paraId="5DA5C769" w14:textId="77777777" w:rsidR="009700E5" w:rsidRDefault="009700E5">
      <w:pPr>
        <w:ind w:left="567" w:hanging="567"/>
        <w:pPrChange w:id="3867" w:author="Author" w:date="2026-02-18T10:57:00Z">
          <w:pPr/>
        </w:pPrChange>
      </w:pPr>
    </w:p>
    <w:p w14:paraId="3BDFF225" w14:textId="77777777" w:rsidR="009700E5" w:rsidRDefault="002C033C">
      <w:pPr>
        <w:pStyle w:val="ListParagraph"/>
        <w:numPr>
          <w:ilvl w:val="1"/>
          <w:numId w:val="243"/>
        </w:numPr>
        <w:ind w:left="567" w:hanging="567"/>
        <w:pPrChange w:id="3868" w:author="Author" w:date="2026-02-18T10:57:00Z">
          <w:pPr>
            <w:ind w:left="567" w:hanging="567"/>
          </w:pPr>
        </w:pPrChange>
      </w:pPr>
      <w:del w:id="3869" w:author="Author" w:date="2026-02-18T10:56:00Z">
        <w:r>
          <w:delText>•</w:delText>
        </w:r>
        <w:r>
          <w:tab/>
        </w:r>
      </w:del>
      <w:r>
        <w:rPr>
          <w:b/>
          <w:rPrChange w:id="3870" w:author="Author" w:date="2026-02-18T10:56:00Z">
            <w:rPr/>
          </w:rPrChange>
        </w:rPr>
        <w:t xml:space="preserve">detí a dospievajúcich vo veku od 1 roka a starších, ktorí majú aktívnu </w:t>
      </w:r>
      <w:r>
        <w:rPr>
          <w:b/>
          <w:i/>
          <w:iCs/>
          <w:rPrChange w:id="3871" w:author="Author" w:date="2026-02-18T10:56:00Z">
            <w:rPr>
              <w:i/>
              <w:iCs/>
            </w:rPr>
          </w:rPrChange>
        </w:rPr>
        <w:t>systémovú juvenilnú idiopatickú artritídu</w:t>
      </w:r>
      <w:r>
        <w:rPr>
          <w:b/>
          <w:rPrChange w:id="3872" w:author="Author" w:date="2026-02-18T10:56:00Z">
            <w:rPr/>
          </w:rPrChange>
        </w:rPr>
        <w:t xml:space="preserve"> </w:t>
      </w:r>
      <w:r>
        <w:rPr>
          <w:b/>
          <w:i/>
          <w:iCs/>
          <w:rPrChange w:id="3873" w:author="Author" w:date="2026-02-18T10:56:00Z">
            <w:rPr>
              <w:i/>
              <w:iCs/>
            </w:rPr>
          </w:rPrChange>
        </w:rPr>
        <w:t>(sJIA)</w:t>
      </w:r>
      <w:r>
        <w:t>, zápalové ochorenie, ktoré spôsobuje bolesť a opuchy v jednom alebo viacerých kĺboch, ako aj horúčku a vyrážku.</w:t>
      </w:r>
    </w:p>
    <w:p w14:paraId="1959379B" w14:textId="77777777" w:rsidR="009700E5" w:rsidRDefault="009700E5">
      <w:pPr>
        <w:ind w:left="567" w:hanging="567"/>
        <w:pPrChange w:id="3874" w:author="Author" w:date="2026-02-18T10:57:00Z">
          <w:pPr>
            <w:ind w:left="714" w:hanging="357"/>
          </w:pPr>
        </w:pPrChange>
      </w:pPr>
    </w:p>
    <w:p w14:paraId="0EB6F7B3" w14:textId="77777777" w:rsidR="009700E5" w:rsidRDefault="002C033C">
      <w:pPr>
        <w:ind w:left="567"/>
      </w:pPr>
      <w:r>
        <w:t>RoActemra sa používa na zlepšenie príznakov sJIA a môže sa podávať v kombinácii s metotrexátom alebo samostatne.</w:t>
      </w:r>
    </w:p>
    <w:p w14:paraId="1C493EF5" w14:textId="77777777" w:rsidR="009700E5" w:rsidRDefault="009700E5">
      <w:pPr>
        <w:ind w:left="567" w:hanging="567"/>
        <w:pPrChange w:id="3875" w:author="Author" w:date="2026-02-18T10:57:00Z">
          <w:pPr/>
        </w:pPrChange>
      </w:pPr>
    </w:p>
    <w:p w14:paraId="410107EF" w14:textId="77777777" w:rsidR="009700E5" w:rsidRDefault="002C033C">
      <w:pPr>
        <w:pStyle w:val="ListParagraph"/>
        <w:keepNext/>
        <w:keepLines/>
        <w:numPr>
          <w:ilvl w:val="1"/>
          <w:numId w:val="245"/>
        </w:numPr>
        <w:ind w:left="567" w:hanging="567"/>
        <w:pPrChange w:id="3876" w:author="Author" w:date="2026-02-18T10:57:00Z">
          <w:pPr>
            <w:keepNext/>
            <w:keepLines/>
            <w:ind w:left="567" w:hanging="567"/>
          </w:pPr>
        </w:pPrChange>
      </w:pPr>
      <w:del w:id="3877" w:author="Author" w:date="2026-02-18T10:56:00Z">
        <w:r>
          <w:delText>•</w:delText>
        </w:r>
        <w:r>
          <w:tab/>
        </w:r>
      </w:del>
      <w:bookmarkStart w:id="3878" w:name="_Hlk498332955"/>
      <w:r>
        <w:rPr>
          <w:b/>
          <w:rPrChange w:id="3879" w:author="Author" w:date="2026-02-18T10:56:00Z">
            <w:rPr/>
          </w:rPrChange>
        </w:rPr>
        <w:t>detí a dospievajúcich</w:t>
      </w:r>
      <w:r>
        <w:t xml:space="preserve"> </w:t>
      </w:r>
      <w:r>
        <w:rPr>
          <w:b/>
          <w:rPrChange w:id="3880" w:author="Author" w:date="2026-02-18T10:56:00Z">
            <w:rPr/>
          </w:rPrChange>
        </w:rPr>
        <w:t>vo veku 2 rokov a starších, s aktívnou</w:t>
      </w:r>
      <w:r>
        <w:t xml:space="preserve"> </w:t>
      </w:r>
      <w:r>
        <w:rPr>
          <w:b/>
          <w:i/>
          <w:rPrChange w:id="3881" w:author="Author" w:date="2026-02-18T10:56:00Z">
            <w:rPr>
              <w:i/>
            </w:rPr>
          </w:rPrChange>
        </w:rPr>
        <w:t>polyartikulárnou juvenilnou idiopatickou artritídou (pJIA)</w:t>
      </w:r>
      <w:r>
        <w:t>. Je to zápalové ochorenie, ktoré spôsobuje bolesť a opuch jedného alebo viacerých kĺbov.</w:t>
      </w:r>
    </w:p>
    <w:p w14:paraId="5F9A27E0" w14:textId="77777777" w:rsidR="009700E5" w:rsidRDefault="009700E5">
      <w:pPr>
        <w:keepNext/>
        <w:keepLines/>
        <w:ind w:left="567" w:hanging="567"/>
        <w:pPrChange w:id="3882" w:author="Author" w:date="2026-02-18T10:57:00Z">
          <w:pPr>
            <w:keepNext/>
            <w:keepLines/>
            <w:ind w:left="562" w:hanging="283"/>
          </w:pPr>
        </w:pPrChange>
      </w:pPr>
    </w:p>
    <w:p w14:paraId="37F8A43A" w14:textId="77777777" w:rsidR="009700E5" w:rsidRDefault="002C033C">
      <w:pPr>
        <w:keepNext/>
        <w:keepLines/>
        <w:ind w:left="567"/>
        <w:pPrChange w:id="3883" w:author="Author" w:date="2026-02-18T10:58:00Z">
          <w:pPr>
            <w:keepNext/>
            <w:keepLines/>
            <w:ind w:left="561"/>
          </w:pPr>
        </w:pPrChange>
      </w:pPr>
      <w:r>
        <w:t>RoActemra sa používa na zmiernenie príznakov pJIA a môže sa podávať v kombinácii s metotrexátom alebo samostatne.</w:t>
      </w:r>
    </w:p>
    <w:bookmarkEnd w:id="3878"/>
    <w:p w14:paraId="58C11578" w14:textId="77777777" w:rsidR="009700E5" w:rsidRDefault="009700E5"/>
    <w:p w14:paraId="0261729E" w14:textId="77777777" w:rsidR="009700E5" w:rsidRDefault="009700E5"/>
    <w:p w14:paraId="6F76B897" w14:textId="77777777" w:rsidR="009700E5" w:rsidRDefault="002C033C">
      <w:pPr>
        <w:keepNext/>
        <w:keepLines/>
        <w:rPr>
          <w:b/>
          <w:szCs w:val="22"/>
        </w:rPr>
      </w:pPr>
      <w:r>
        <w:rPr>
          <w:b/>
          <w:szCs w:val="22"/>
        </w:rPr>
        <w:t>2.</w:t>
      </w:r>
      <w:r>
        <w:rPr>
          <w:b/>
          <w:szCs w:val="22"/>
        </w:rPr>
        <w:tab/>
        <w:t>Čo potrebujete vedieť predtým, ako použijete RoActemru</w:t>
      </w:r>
    </w:p>
    <w:p w14:paraId="3894649B" w14:textId="77777777" w:rsidR="009700E5" w:rsidRDefault="009700E5">
      <w:pPr>
        <w:keepNext/>
        <w:keepLines/>
        <w:rPr>
          <w:b/>
          <w:szCs w:val="22"/>
        </w:rPr>
      </w:pPr>
    </w:p>
    <w:p w14:paraId="2FE46082" w14:textId="77777777" w:rsidR="009700E5" w:rsidRDefault="002C033C">
      <w:pPr>
        <w:keepNext/>
        <w:keepLines/>
        <w:rPr>
          <w:bCs/>
          <w:szCs w:val="22"/>
        </w:rPr>
      </w:pPr>
      <w:r>
        <w:rPr>
          <w:b/>
          <w:szCs w:val="22"/>
        </w:rPr>
        <w:t>Nepoužívajte RoActemru</w:t>
      </w:r>
    </w:p>
    <w:p w14:paraId="675718AA" w14:textId="77777777" w:rsidR="009700E5" w:rsidRDefault="002C033C">
      <w:pPr>
        <w:ind w:left="567" w:hanging="425"/>
        <w:pPrChange w:id="3884" w:author="Author" w:date="2025-07-20T21:33:00Z">
          <w:pPr>
            <w:ind w:left="567" w:hanging="567"/>
          </w:pPr>
        </w:pPrChange>
      </w:pPr>
      <w:r>
        <w:t>•</w:t>
      </w:r>
      <w:r>
        <w:tab/>
        <w:t>ak</w:t>
      </w:r>
      <w:r>
        <w:rPr>
          <w:bCs/>
        </w:rPr>
        <w:t xml:space="preserve"> ste </w:t>
      </w:r>
      <w:bookmarkStart w:id="3885" w:name="_Hlk498332977"/>
      <w:r>
        <w:rPr>
          <w:bCs/>
        </w:rPr>
        <w:t>vy alebo dieťa, o ktoré sa staráte a ktoré je pacientom</w:t>
      </w:r>
      <w:bookmarkEnd w:id="3885"/>
      <w:r>
        <w:rPr>
          <w:bCs/>
        </w:rPr>
        <w:t xml:space="preserve">, alergickí na </w:t>
      </w:r>
      <w:r>
        <w:t xml:space="preserve">tocilizumab alebo na </w:t>
      </w:r>
      <w:r>
        <w:rPr>
          <w:szCs w:val="22"/>
        </w:rPr>
        <w:t>ktorúkoľvek z ďalších zložiek tohto lieku</w:t>
      </w:r>
      <w:r>
        <w:t xml:space="preserve"> (uvedených v časti 6).</w:t>
      </w:r>
    </w:p>
    <w:p w14:paraId="135A2FDD" w14:textId="77777777" w:rsidR="009700E5" w:rsidRDefault="002C033C">
      <w:pPr>
        <w:ind w:left="567" w:hanging="425"/>
        <w:pPrChange w:id="3886" w:author="Author" w:date="2025-07-20T21:33:00Z">
          <w:pPr>
            <w:ind w:left="567" w:hanging="567"/>
          </w:pPr>
        </w:pPrChange>
      </w:pPr>
      <w:r>
        <w:t>•</w:t>
      </w:r>
      <w:r>
        <w:tab/>
        <w:t xml:space="preserve">ak vy </w:t>
      </w:r>
      <w:r>
        <w:rPr>
          <w:bCs/>
        </w:rPr>
        <w:t>alebo dieťa, o ktoré sa staráte a ktoré je pacientom,</w:t>
      </w:r>
      <w:r>
        <w:t xml:space="preserve"> máte aktívnu, závažnú infekciu.</w:t>
      </w:r>
    </w:p>
    <w:p w14:paraId="05EAFFAA" w14:textId="77777777" w:rsidR="009700E5" w:rsidRDefault="009700E5"/>
    <w:p w14:paraId="235ED016" w14:textId="77777777" w:rsidR="009700E5" w:rsidRDefault="002C033C">
      <w:r>
        <w:t>Ak sa vás niečo z uvedeného týka, oznámte to lekárovi. Nepoužívajte RoActemru.</w:t>
      </w:r>
    </w:p>
    <w:p w14:paraId="07619FBB" w14:textId="77777777" w:rsidR="009700E5" w:rsidRDefault="009700E5"/>
    <w:p w14:paraId="47398434" w14:textId="77777777" w:rsidR="009700E5" w:rsidRDefault="002C033C">
      <w:pPr>
        <w:keepNext/>
        <w:keepLines/>
        <w:rPr>
          <w:b/>
          <w:szCs w:val="22"/>
        </w:rPr>
      </w:pPr>
      <w:r>
        <w:rPr>
          <w:b/>
          <w:szCs w:val="22"/>
        </w:rPr>
        <w:t>Upozornenia a opatrenia</w:t>
      </w:r>
    </w:p>
    <w:p w14:paraId="04918C5F" w14:textId="77777777" w:rsidR="009700E5" w:rsidRDefault="009700E5">
      <w:pPr>
        <w:keepNext/>
        <w:keepLines/>
      </w:pPr>
    </w:p>
    <w:p w14:paraId="5EC2C4F1" w14:textId="77777777" w:rsidR="009700E5" w:rsidRDefault="002C033C">
      <w:pPr>
        <w:keepNext/>
        <w:keepLines/>
      </w:pPr>
      <w:r>
        <w:t>Predtým, ako začnete používať RoActemru, obráťte sa na svojho lekára, lekárnika alebo zdravotnú sestru.</w:t>
      </w:r>
    </w:p>
    <w:p w14:paraId="710A46BC" w14:textId="77777777" w:rsidR="009700E5" w:rsidRDefault="009700E5"/>
    <w:p w14:paraId="32489DCC" w14:textId="77777777" w:rsidR="009700E5" w:rsidRDefault="002C033C">
      <w:pPr>
        <w:pStyle w:val="ListParagraph"/>
        <w:numPr>
          <w:ilvl w:val="1"/>
          <w:numId w:val="255"/>
        </w:numPr>
        <w:ind w:left="567" w:hanging="567"/>
        <w:pPrChange w:id="3887" w:author="Author" w:date="2026-02-18T14:16:00Z">
          <w:pPr>
            <w:ind w:left="567" w:hanging="567"/>
          </w:pPr>
        </w:pPrChange>
      </w:pPr>
      <w:del w:id="3888" w:author="Author" w:date="2026-02-18T14:13:00Z">
        <w:r>
          <w:delText>•</w:delText>
        </w:r>
        <w:r>
          <w:tab/>
        </w:r>
      </w:del>
      <w:r>
        <w:rPr>
          <w:bCs/>
        </w:rPr>
        <w:t xml:space="preserve">Ak sa u vás vyskytnú </w:t>
      </w:r>
      <w:r>
        <w:rPr>
          <w:b/>
          <w:bCs/>
        </w:rPr>
        <w:t>alergické reakcie</w:t>
      </w:r>
      <w:r>
        <w:rPr>
          <w:bCs/>
        </w:rPr>
        <w:t xml:space="preserve">, </w:t>
      </w:r>
      <w:r>
        <w:t xml:space="preserve">napríklad pocit zovretia v hrudníku, pískavé dýchanie, silné závraty alebo pocit točenia hlavy, opuch pier, jazyka, tváre alebo svrbenie kože, žihľavka alebo vyrážky počas podávania injekcie alebo po jej podaní, </w:t>
      </w:r>
      <w:r>
        <w:rPr>
          <w:b/>
          <w:bCs/>
        </w:rPr>
        <w:t>ihneď to povedzte svojmu lekárovi</w:t>
      </w:r>
      <w:r>
        <w:t>.</w:t>
      </w:r>
    </w:p>
    <w:p w14:paraId="26DA6C8F" w14:textId="77777777" w:rsidR="009700E5" w:rsidRDefault="009700E5">
      <w:pPr>
        <w:ind w:left="567" w:hanging="567"/>
        <w:rPr>
          <w:bCs/>
        </w:rPr>
      </w:pPr>
    </w:p>
    <w:p w14:paraId="24836E70" w14:textId="77777777" w:rsidR="009700E5" w:rsidRDefault="002C033C">
      <w:pPr>
        <w:pStyle w:val="ListParagraph"/>
        <w:numPr>
          <w:ilvl w:val="1"/>
          <w:numId w:val="257"/>
        </w:numPr>
        <w:ind w:left="567" w:hanging="567"/>
        <w:rPr>
          <w:bCs/>
        </w:rPr>
        <w:pPrChange w:id="3889" w:author="Author" w:date="2026-02-18T14:16:00Z">
          <w:pPr>
            <w:ind w:left="567" w:hanging="567"/>
          </w:pPr>
        </w:pPrChange>
      </w:pPr>
      <w:del w:id="3890" w:author="Author" w:date="2026-02-18T14:14:00Z">
        <w:r>
          <w:delText>•</w:delText>
        </w:r>
        <w:r>
          <w:tab/>
        </w:r>
      </w:del>
      <w:r>
        <w:rPr>
          <w:bCs/>
        </w:rPr>
        <w:t xml:space="preserve">Ak sa u vás po podaní RoActemry vyskytnú akékoľvek príznaky alergickej reakcie, nepodávajte si ďalšiu dávku, pokým ste o tom neinformovali vášho lekára </w:t>
      </w:r>
      <w:r>
        <w:rPr>
          <w:b/>
          <w:bCs/>
        </w:rPr>
        <w:t>a </w:t>
      </w:r>
      <w:r>
        <w:rPr>
          <w:bCs/>
        </w:rPr>
        <w:t>váš lekár vám povedal, aby ste si podali ďalšiu dávku.</w:t>
      </w:r>
    </w:p>
    <w:p w14:paraId="613072E9" w14:textId="77777777" w:rsidR="009700E5" w:rsidRDefault="009700E5">
      <w:pPr>
        <w:ind w:left="567" w:hanging="567"/>
        <w:rPr>
          <w:bCs/>
        </w:rPr>
      </w:pPr>
    </w:p>
    <w:p w14:paraId="1AB545A4" w14:textId="77777777" w:rsidR="009700E5" w:rsidRDefault="002C033C">
      <w:pPr>
        <w:pStyle w:val="ListParagraph"/>
        <w:numPr>
          <w:ilvl w:val="1"/>
          <w:numId w:val="259"/>
        </w:numPr>
        <w:ind w:left="567" w:hanging="567"/>
        <w:pPrChange w:id="3891" w:author="Author" w:date="2026-02-18T14:16:00Z">
          <w:pPr>
            <w:ind w:left="567" w:hanging="567"/>
          </w:pPr>
        </w:pPrChange>
      </w:pPr>
      <w:del w:id="3892" w:author="Author" w:date="2026-02-18T14:14:00Z">
        <w:r>
          <w:delText>•</w:delText>
        </w:r>
        <w:r>
          <w:tab/>
        </w:r>
      </w:del>
      <w:r>
        <w:rPr>
          <w:bCs/>
        </w:rPr>
        <w:t xml:space="preserve">Ak máte akýkoľvek druh </w:t>
      </w:r>
      <w:r>
        <w:rPr>
          <w:b/>
          <w:bCs/>
        </w:rPr>
        <w:t>infekcie</w:t>
      </w:r>
      <w:r>
        <w:t>,</w:t>
      </w:r>
      <w:r>
        <w:rPr>
          <w:bCs/>
        </w:rPr>
        <w:t xml:space="preserve"> </w:t>
      </w:r>
      <w:r>
        <w:t xml:space="preserve">krátkotrvajúcu alebo dlhotrvajúcu, alebo ak mávate časté infekcie. Ak sa necítite dobre, </w:t>
      </w:r>
      <w:r>
        <w:rPr>
          <w:b/>
        </w:rPr>
        <w:t>ihneď to povedzte svojmu lekárovi</w:t>
      </w:r>
      <w:r>
        <w:t>. RoActemra môže znížiť obranyschopnosť organizmu proti infekciám a môže zhoršiť jestvujúcu infekciu alebo zvýšiť pravdepodobnosť vzniku novej infekcie.</w:t>
      </w:r>
    </w:p>
    <w:p w14:paraId="373D54C2" w14:textId="77777777" w:rsidR="009700E5" w:rsidRDefault="009700E5">
      <w:pPr>
        <w:ind w:left="567" w:hanging="567"/>
      </w:pPr>
    </w:p>
    <w:p w14:paraId="46E96873" w14:textId="77777777" w:rsidR="009700E5" w:rsidRDefault="002C033C">
      <w:pPr>
        <w:pStyle w:val="ListParagraph"/>
        <w:numPr>
          <w:ilvl w:val="1"/>
          <w:numId w:val="261"/>
        </w:numPr>
        <w:ind w:left="567" w:hanging="567"/>
        <w:rPr>
          <w:szCs w:val="22"/>
        </w:rPr>
        <w:pPrChange w:id="3893" w:author="Author" w:date="2026-02-18T14:16:00Z">
          <w:pPr>
            <w:ind w:left="567" w:hanging="567"/>
          </w:pPr>
        </w:pPrChange>
      </w:pPr>
      <w:del w:id="3894" w:author="Author" w:date="2026-02-18T14:14:00Z">
        <w:r>
          <w:delText>•</w:delText>
        </w:r>
        <w:r>
          <w:tab/>
        </w:r>
      </w:del>
      <w:r>
        <w:rPr>
          <w:bCs/>
        </w:rPr>
        <w:t xml:space="preserve">Ak ste mali </w:t>
      </w:r>
      <w:r>
        <w:rPr>
          <w:b/>
          <w:bCs/>
        </w:rPr>
        <w:t>tuberkulózu</w:t>
      </w:r>
      <w:r>
        <w:t xml:space="preserve">, povedzte to svojmu lekárovi. Lekár vás vyšetrí na prítomnosť prejavov a príznakov tuberkulózy predtým, než začnete liečbu RoActemrou. </w:t>
      </w:r>
      <w:r>
        <w:rPr>
          <w:iCs/>
          <w:szCs w:val="22"/>
        </w:rPr>
        <w:t>Ak sa objavia príznaky tuberkulózy (pretrvávajúci kašeľ, úbytok telesnej hmotnosti, apatia, mierna horúčka) alebo iné infekcie počas alebo po liečbe, ihneď to povedzte lekárovi.</w:t>
      </w:r>
    </w:p>
    <w:p w14:paraId="0358D2AE" w14:textId="77777777" w:rsidR="009700E5" w:rsidRDefault="009700E5">
      <w:pPr>
        <w:ind w:left="567" w:hanging="567"/>
        <w:rPr>
          <w:szCs w:val="22"/>
        </w:rPr>
      </w:pPr>
    </w:p>
    <w:p w14:paraId="01971AF5" w14:textId="77777777" w:rsidR="009700E5" w:rsidRDefault="002C033C">
      <w:pPr>
        <w:pStyle w:val="ListParagraph"/>
        <w:numPr>
          <w:ilvl w:val="1"/>
          <w:numId w:val="263"/>
        </w:numPr>
        <w:ind w:left="567" w:hanging="567"/>
        <w:pPrChange w:id="3895" w:author="Author" w:date="2026-02-18T14:16:00Z">
          <w:pPr>
            <w:ind w:left="567" w:hanging="567"/>
          </w:pPr>
        </w:pPrChange>
      </w:pPr>
      <w:del w:id="3896" w:author="Author" w:date="2026-02-18T14:14:00Z">
        <w:r>
          <w:lastRenderedPageBreak/>
          <w:delText>•</w:delText>
        </w:r>
        <w:r>
          <w:tab/>
        </w:r>
      </w:del>
      <w:r>
        <w:rPr>
          <w:bCs/>
        </w:rPr>
        <w:t xml:space="preserve">Ak ste mali </w:t>
      </w:r>
      <w:r>
        <w:rPr>
          <w:b/>
          <w:bCs/>
        </w:rPr>
        <w:t>vredy čreva</w:t>
      </w:r>
      <w:r>
        <w:rPr>
          <w:bCs/>
        </w:rPr>
        <w:t xml:space="preserve"> alebo </w:t>
      </w:r>
      <w:r>
        <w:rPr>
          <w:b/>
          <w:bCs/>
        </w:rPr>
        <w:t>divertikulitídu</w:t>
      </w:r>
      <w:r>
        <w:rPr>
          <w:bCs/>
        </w:rPr>
        <w:t>,</w:t>
      </w:r>
      <w:r>
        <w:t xml:space="preserve"> povedzte to svojmu lekárovi. Medzi príznaky týchto ochorení patria bolesť brucha a nevysvetliteľné zmeny vo vyprázdňovaní stolice sprevádzané horúčkou.</w:t>
      </w:r>
    </w:p>
    <w:p w14:paraId="1CF1CFE5" w14:textId="77777777" w:rsidR="009700E5" w:rsidRDefault="009700E5">
      <w:pPr>
        <w:ind w:left="567" w:hanging="567"/>
      </w:pPr>
    </w:p>
    <w:p w14:paraId="03C14216" w14:textId="77777777" w:rsidR="009700E5" w:rsidRDefault="002C033C">
      <w:pPr>
        <w:pStyle w:val="ListParagraph"/>
        <w:numPr>
          <w:ilvl w:val="1"/>
          <w:numId w:val="265"/>
        </w:numPr>
        <w:ind w:left="567" w:hanging="567"/>
        <w:pPrChange w:id="3897" w:author="Author" w:date="2026-02-18T14:16:00Z">
          <w:pPr>
            <w:ind w:left="567" w:hanging="567"/>
          </w:pPr>
        </w:pPrChange>
      </w:pPr>
      <w:del w:id="3898" w:author="Author" w:date="2026-02-18T14:14:00Z">
        <w:r>
          <w:delText>•</w:delText>
        </w:r>
        <w:r>
          <w:tab/>
        </w:r>
      </w:del>
      <w:r>
        <w:t xml:space="preserve">Ak máte </w:t>
      </w:r>
      <w:r>
        <w:rPr>
          <w:b/>
        </w:rPr>
        <w:t>ochorenie pečene</w:t>
      </w:r>
      <w:r>
        <w:rPr>
          <w:bCs/>
        </w:rPr>
        <w:t>,</w:t>
      </w:r>
      <w:r>
        <w:t xml:space="preserve"> povedzte to svojmu lekárovi. Pred použitím RoActemry vám lekár môže urobiť krvné testy na vyšetrenie funkcie pečene.</w:t>
      </w:r>
    </w:p>
    <w:p w14:paraId="28110652" w14:textId="77777777" w:rsidR="009700E5" w:rsidRDefault="009700E5">
      <w:pPr>
        <w:ind w:left="567" w:hanging="567"/>
      </w:pPr>
    </w:p>
    <w:p w14:paraId="302C3C16" w14:textId="77777777" w:rsidR="009700E5" w:rsidRDefault="002C033C">
      <w:pPr>
        <w:pStyle w:val="ListParagraph"/>
        <w:keepNext/>
        <w:keepLines/>
        <w:numPr>
          <w:ilvl w:val="1"/>
          <w:numId w:val="267"/>
        </w:numPr>
        <w:ind w:left="567" w:hanging="567"/>
        <w:pPrChange w:id="3899" w:author="Author" w:date="2026-02-18T14:16:00Z">
          <w:pPr>
            <w:keepNext/>
            <w:keepLines/>
            <w:ind w:left="567" w:hanging="567"/>
          </w:pPr>
        </w:pPrChange>
      </w:pPr>
      <w:del w:id="3900" w:author="Author" w:date="2026-02-18T14:15:00Z">
        <w:r>
          <w:delText>•</w:delText>
        </w:r>
        <w:r>
          <w:tab/>
        </w:r>
      </w:del>
      <w:r>
        <w:rPr>
          <w:b/>
          <w:bCs/>
        </w:rPr>
        <w:t>Ak bol akýkoľvek pacient</w:t>
      </w:r>
      <w:r>
        <w:rPr>
          <w:bCs/>
        </w:rPr>
        <w:t xml:space="preserve"> </w:t>
      </w:r>
      <w:r>
        <w:rPr>
          <w:b/>
          <w:bCs/>
        </w:rPr>
        <w:t xml:space="preserve">nedávno zaočkovaný, </w:t>
      </w:r>
      <w:r>
        <w:rPr>
          <w:bCs/>
        </w:rPr>
        <w:t>alebo ak sa plánuje zaočkovať,</w:t>
      </w:r>
      <w:r>
        <w:t xml:space="preserve"> povedzte to svojmu lekárovi. Všetci pacienti majú mať pred začiatkom liečby RoActemrou absolvované všetky očkovania. Niektoré druhy očkovacích látok sa nemajú podávať počas liečby RoActemrou.</w:t>
      </w:r>
    </w:p>
    <w:p w14:paraId="2C09F458" w14:textId="77777777" w:rsidR="009700E5" w:rsidRDefault="009700E5">
      <w:pPr>
        <w:ind w:left="567" w:hanging="567"/>
      </w:pPr>
    </w:p>
    <w:p w14:paraId="14EF95B9" w14:textId="77777777" w:rsidR="009700E5" w:rsidRDefault="002C033C">
      <w:pPr>
        <w:pStyle w:val="ListParagraph"/>
        <w:numPr>
          <w:ilvl w:val="1"/>
          <w:numId w:val="269"/>
        </w:numPr>
        <w:ind w:left="567" w:hanging="567"/>
        <w:pPrChange w:id="3901" w:author="Author" w:date="2026-02-18T14:16:00Z">
          <w:pPr>
            <w:ind w:left="567" w:hanging="567"/>
          </w:pPr>
        </w:pPrChange>
      </w:pPr>
      <w:del w:id="3902" w:author="Author" w:date="2026-02-18T14:15:00Z">
        <w:r>
          <w:delText>•</w:delText>
        </w:r>
        <w:r>
          <w:tab/>
        </w:r>
      </w:del>
      <w:r>
        <w:t xml:space="preserve">Ak máte </w:t>
      </w:r>
      <w:r>
        <w:rPr>
          <w:b/>
        </w:rPr>
        <w:t>rakovinu</w:t>
      </w:r>
      <w:r>
        <w:t>, povedzte to svojmu lekárovi. Váš lekár bude musieť rozhodnúť, či napriek tomu RoActemru môžete dostať.</w:t>
      </w:r>
    </w:p>
    <w:p w14:paraId="464F8973" w14:textId="77777777" w:rsidR="009700E5" w:rsidRDefault="009700E5">
      <w:pPr>
        <w:ind w:left="567" w:hanging="567"/>
      </w:pPr>
    </w:p>
    <w:p w14:paraId="7458DB8D" w14:textId="77777777" w:rsidR="009700E5" w:rsidRDefault="002C033C">
      <w:pPr>
        <w:pStyle w:val="ListParagraph"/>
        <w:numPr>
          <w:ilvl w:val="1"/>
          <w:numId w:val="271"/>
        </w:numPr>
        <w:ind w:left="567" w:hanging="567"/>
        <w:pPrChange w:id="3903" w:author="Author" w:date="2026-02-18T14:16:00Z">
          <w:pPr>
            <w:ind w:left="567" w:hanging="567"/>
          </w:pPr>
        </w:pPrChange>
      </w:pPr>
      <w:del w:id="3904" w:author="Author" w:date="2026-02-18T14:15:00Z">
        <w:r>
          <w:delText>•</w:delText>
        </w:r>
        <w:r>
          <w:tab/>
        </w:r>
      </w:del>
      <w:r>
        <w:t xml:space="preserve">Ak máte </w:t>
      </w:r>
      <w:r>
        <w:rPr>
          <w:b/>
        </w:rPr>
        <w:t>rizikové faktory pre srdcovocievne ochorenia</w:t>
      </w:r>
      <w:r>
        <w:t>, napríklad zvýšený krvný tlak a zvýšené hladiny cholesterolu, povedzte to svojmu lekárovi. Tieto faktory treba počas liečby RoActemrou kontrolovať.</w:t>
      </w:r>
    </w:p>
    <w:p w14:paraId="0FEB9F6B" w14:textId="77777777" w:rsidR="009700E5" w:rsidRDefault="009700E5">
      <w:pPr>
        <w:ind w:left="567" w:hanging="567"/>
      </w:pPr>
    </w:p>
    <w:p w14:paraId="5D4F94A0" w14:textId="77777777" w:rsidR="009700E5" w:rsidRDefault="002C033C">
      <w:pPr>
        <w:pStyle w:val="ListParagraph"/>
        <w:numPr>
          <w:ilvl w:val="1"/>
          <w:numId w:val="273"/>
        </w:numPr>
        <w:ind w:left="567" w:hanging="567"/>
        <w:pPrChange w:id="3905" w:author="Author" w:date="2026-02-18T14:16:00Z">
          <w:pPr>
            <w:ind w:left="567" w:hanging="567"/>
          </w:pPr>
        </w:pPrChange>
      </w:pPr>
      <w:del w:id="3906" w:author="Author" w:date="2026-02-18T14:15:00Z">
        <w:r>
          <w:delText>•</w:delText>
        </w:r>
        <w:r>
          <w:tab/>
        </w:r>
      </w:del>
      <w:r>
        <w:t xml:space="preserve">Ak máte stredne závažné až závažné </w:t>
      </w:r>
      <w:r>
        <w:rPr>
          <w:b/>
        </w:rPr>
        <w:t>problémy s funkciou obličiek</w:t>
      </w:r>
      <w:r>
        <w:t>, lekár vás bude kontrolovať.</w:t>
      </w:r>
    </w:p>
    <w:p w14:paraId="5105A646" w14:textId="77777777" w:rsidR="009700E5" w:rsidRDefault="009700E5">
      <w:pPr>
        <w:ind w:left="567" w:hanging="567"/>
      </w:pPr>
    </w:p>
    <w:p w14:paraId="60C8B7B3" w14:textId="77777777" w:rsidR="009700E5" w:rsidRDefault="002C033C">
      <w:pPr>
        <w:pStyle w:val="ListParagraph"/>
        <w:numPr>
          <w:ilvl w:val="1"/>
          <w:numId w:val="275"/>
        </w:numPr>
        <w:ind w:left="567" w:hanging="567"/>
        <w:pPrChange w:id="3907" w:author="Author" w:date="2026-02-18T14:16:00Z">
          <w:pPr>
            <w:ind w:left="567" w:hanging="567"/>
          </w:pPr>
        </w:pPrChange>
      </w:pPr>
      <w:del w:id="3908" w:author="Author" w:date="2026-02-18T14:15:00Z">
        <w:r>
          <w:delText>•</w:delText>
        </w:r>
        <w:r>
          <w:tab/>
        </w:r>
      </w:del>
      <w:r>
        <w:t xml:space="preserve">Ak máte </w:t>
      </w:r>
      <w:r>
        <w:rPr>
          <w:b/>
          <w:rPrChange w:id="3909" w:author="Author" w:date="2026-02-18T14:15:00Z">
            <w:rPr/>
          </w:rPrChange>
        </w:rPr>
        <w:t>pretrvávajúcu bolesť hlavy</w:t>
      </w:r>
      <w:r>
        <w:rPr>
          <w:bCs/>
        </w:rPr>
        <w:t>.</w:t>
      </w:r>
    </w:p>
    <w:p w14:paraId="0F3C39ED" w14:textId="77777777" w:rsidR="009700E5" w:rsidRDefault="009700E5"/>
    <w:p w14:paraId="14870228" w14:textId="77777777" w:rsidR="009700E5" w:rsidRDefault="002C033C">
      <w:r>
        <w:t>Lekár vám urobí vyšetrenie krvi predtým, ako dostanete RoActemru, aby zistil, či nemáte nízky počet bielych krviniek, nízky počet krvných doštičiek alebo vysoké hladiny pečeňových enzýmov.</w:t>
      </w:r>
    </w:p>
    <w:p w14:paraId="1A6A6FD5" w14:textId="77777777" w:rsidR="009700E5" w:rsidRDefault="009700E5"/>
    <w:p w14:paraId="0050F3CF" w14:textId="77777777" w:rsidR="009700E5" w:rsidRDefault="002C033C">
      <w:pPr>
        <w:keepNext/>
        <w:keepLines/>
        <w:rPr>
          <w:b/>
          <w:szCs w:val="22"/>
        </w:rPr>
      </w:pPr>
      <w:r>
        <w:rPr>
          <w:b/>
          <w:szCs w:val="22"/>
        </w:rPr>
        <w:t>Deti a dospievajúci</w:t>
      </w:r>
    </w:p>
    <w:p w14:paraId="3CA5ECDE" w14:textId="77777777" w:rsidR="009700E5" w:rsidRDefault="002C033C">
      <w:r>
        <w:t>RoActemra subkutánna injekcia (podkožná) sa neodporúča používať u detí mladších ako 1 rok. RoActemra sa nesmie podávať deťom so sJIA s hmotnosťou nižšou ako 10 kg.</w:t>
      </w:r>
    </w:p>
    <w:p w14:paraId="447CE1FB" w14:textId="77777777" w:rsidR="009700E5" w:rsidRDefault="009700E5"/>
    <w:p w14:paraId="05F6408A" w14:textId="77777777" w:rsidR="009700E5" w:rsidRDefault="002C033C">
      <w:bookmarkStart w:id="3910" w:name="_Hlk523993081"/>
      <w:r>
        <w:t xml:space="preserve">Ak malo dieťa v minulosti </w:t>
      </w:r>
      <w:r>
        <w:rPr>
          <w:b/>
          <w:i/>
        </w:rPr>
        <w:t>syndróm aktivácie makrofágov</w:t>
      </w:r>
      <w:r>
        <w:t xml:space="preserve"> (aktivácia a nekontrolované delenie určitých buniek krvi), povedzte to vášmu lekárovi. Váš lekár rozhodne, či napriek tomu môže RoActemru dostať.</w:t>
      </w:r>
    </w:p>
    <w:bookmarkEnd w:id="3910"/>
    <w:p w14:paraId="5316A641" w14:textId="77777777" w:rsidR="009700E5" w:rsidRDefault="009700E5"/>
    <w:p w14:paraId="26F4E754" w14:textId="77777777" w:rsidR="009700E5" w:rsidRDefault="002C033C">
      <w:pPr>
        <w:keepNext/>
        <w:keepLines/>
        <w:rPr>
          <w:szCs w:val="22"/>
        </w:rPr>
      </w:pPr>
      <w:r>
        <w:rPr>
          <w:b/>
          <w:szCs w:val="22"/>
        </w:rPr>
        <w:t xml:space="preserve">Iné lieky a </w:t>
      </w:r>
      <w:r>
        <w:rPr>
          <w:b/>
          <w:bCs/>
          <w:szCs w:val="22"/>
        </w:rPr>
        <w:t>RoActemra</w:t>
      </w:r>
    </w:p>
    <w:p w14:paraId="1C5B4195" w14:textId="77777777" w:rsidR="009700E5" w:rsidRDefault="002C033C">
      <w:pPr>
        <w:keepNext/>
        <w:keepLines/>
        <w:rPr>
          <w:b/>
        </w:rPr>
      </w:pPr>
      <w:r>
        <w:t xml:space="preserve">Ak teraz užívate alebo ste v poslednom čase užívali ďalšie lieky, povedzte to svojmu lekárovi. RoActemra môže ovplyvniť spôsob účinku niektorých liekov a môže byť potrebná úprava dávky týchto liekov. Ak užívate lieky obsahujúce ktorékoľvek z nasledujúcich liečiv, </w:t>
      </w:r>
      <w:r>
        <w:rPr>
          <w:b/>
        </w:rPr>
        <w:t>povedzte to svojmu lekárovi:</w:t>
      </w:r>
    </w:p>
    <w:p w14:paraId="73EFB037" w14:textId="77777777" w:rsidR="009700E5" w:rsidRDefault="002C033C">
      <w:pPr>
        <w:pStyle w:val="ListParagraph"/>
        <w:keepNext/>
        <w:keepLines/>
        <w:numPr>
          <w:ilvl w:val="1"/>
          <w:numId w:val="247"/>
        </w:numPr>
        <w:ind w:left="567" w:hanging="567"/>
        <w:pPrChange w:id="3911" w:author="Author" w:date="2026-02-18T11:01:00Z">
          <w:pPr>
            <w:keepNext/>
            <w:keepLines/>
            <w:ind w:left="567" w:hanging="567"/>
          </w:pPr>
        </w:pPrChange>
      </w:pPr>
      <w:del w:id="3912" w:author="Author" w:date="2026-02-18T11:00:00Z">
        <w:r>
          <w:delText>•</w:delText>
        </w:r>
        <w:r>
          <w:tab/>
        </w:r>
      </w:del>
      <w:r>
        <w:t>metylprednizolón, dexametazón, používajú sa na zmiernenie zápalu</w:t>
      </w:r>
    </w:p>
    <w:p w14:paraId="4D482BEF" w14:textId="77777777" w:rsidR="009700E5" w:rsidRDefault="002C033C">
      <w:pPr>
        <w:pStyle w:val="ListParagraph"/>
        <w:numPr>
          <w:ilvl w:val="1"/>
          <w:numId w:val="247"/>
        </w:numPr>
        <w:ind w:left="567" w:hanging="567"/>
        <w:pPrChange w:id="3913" w:author="Author" w:date="2026-02-18T11:01:00Z">
          <w:pPr>
            <w:ind w:left="567" w:hanging="567"/>
          </w:pPr>
        </w:pPrChange>
      </w:pPr>
      <w:del w:id="3914" w:author="Author" w:date="2026-02-18T11:00:00Z">
        <w:r>
          <w:delText>•</w:delText>
        </w:r>
        <w:r>
          <w:tab/>
        </w:r>
      </w:del>
      <w:r>
        <w:t>simvastatín alebo atorvastatín, používajú sa na zníženie hladín cholesterolu</w:t>
      </w:r>
    </w:p>
    <w:p w14:paraId="64CA56B3" w14:textId="77777777" w:rsidR="009700E5" w:rsidRDefault="002C033C">
      <w:pPr>
        <w:pStyle w:val="ListParagraph"/>
        <w:numPr>
          <w:ilvl w:val="1"/>
          <w:numId w:val="247"/>
        </w:numPr>
        <w:ind w:left="567" w:hanging="567"/>
        <w:pPrChange w:id="3915" w:author="Author" w:date="2026-02-18T11:01:00Z">
          <w:pPr>
            <w:ind w:left="567" w:hanging="567"/>
          </w:pPr>
        </w:pPrChange>
      </w:pPr>
      <w:del w:id="3916" w:author="Author" w:date="2026-02-18T11:00:00Z">
        <w:r>
          <w:delText>•</w:delText>
        </w:r>
        <w:r>
          <w:tab/>
        </w:r>
      </w:del>
      <w:r>
        <w:t>blokátory kalciového kanála (napr. amlodipín), používajú sa na liečbu zvýšeného krvného tlaku</w:t>
      </w:r>
    </w:p>
    <w:p w14:paraId="416CF9ED" w14:textId="77777777" w:rsidR="009700E5" w:rsidRDefault="002C033C">
      <w:pPr>
        <w:pStyle w:val="ListParagraph"/>
        <w:numPr>
          <w:ilvl w:val="1"/>
          <w:numId w:val="247"/>
        </w:numPr>
        <w:ind w:left="567" w:hanging="567"/>
        <w:pPrChange w:id="3917" w:author="Author" w:date="2026-02-18T11:01:00Z">
          <w:pPr>
            <w:ind w:left="567" w:hanging="567"/>
          </w:pPr>
        </w:pPrChange>
      </w:pPr>
      <w:del w:id="3918" w:author="Author" w:date="2026-02-18T11:00:00Z">
        <w:r>
          <w:delText>•</w:delText>
        </w:r>
        <w:r>
          <w:tab/>
        </w:r>
      </w:del>
      <w:r>
        <w:t>teofylín, používa sa na liečbu astmy</w:t>
      </w:r>
    </w:p>
    <w:p w14:paraId="0CBCDE54" w14:textId="77777777" w:rsidR="009700E5" w:rsidRDefault="002C033C">
      <w:pPr>
        <w:pStyle w:val="ListParagraph"/>
        <w:numPr>
          <w:ilvl w:val="1"/>
          <w:numId w:val="247"/>
        </w:numPr>
        <w:ind w:left="567" w:hanging="567"/>
        <w:pPrChange w:id="3919" w:author="Author" w:date="2026-02-18T11:01:00Z">
          <w:pPr>
            <w:ind w:left="567" w:hanging="567"/>
          </w:pPr>
        </w:pPrChange>
      </w:pPr>
      <w:del w:id="3920" w:author="Author" w:date="2026-02-18T11:00:00Z">
        <w:r>
          <w:delText>•</w:delText>
        </w:r>
        <w:r>
          <w:tab/>
        </w:r>
      </w:del>
      <w:r>
        <w:t>warfarín alebo fenprokumón, používajú sa ako látky na zriedenie krvi</w:t>
      </w:r>
    </w:p>
    <w:p w14:paraId="44A9FF34" w14:textId="77777777" w:rsidR="009700E5" w:rsidRDefault="002C033C">
      <w:pPr>
        <w:pStyle w:val="ListParagraph"/>
        <w:numPr>
          <w:ilvl w:val="1"/>
          <w:numId w:val="247"/>
        </w:numPr>
        <w:ind w:left="567" w:hanging="567"/>
        <w:pPrChange w:id="3921" w:author="Author" w:date="2026-02-18T11:01:00Z">
          <w:pPr>
            <w:ind w:left="567" w:hanging="567"/>
          </w:pPr>
        </w:pPrChange>
      </w:pPr>
      <w:del w:id="3922" w:author="Author" w:date="2026-02-18T11:00:00Z">
        <w:r>
          <w:delText>•</w:delText>
        </w:r>
        <w:r>
          <w:tab/>
        </w:r>
      </w:del>
      <w:r>
        <w:t>fenytoín, používa sa na liečbu kŕčov</w:t>
      </w:r>
    </w:p>
    <w:p w14:paraId="48B03AB1" w14:textId="77777777" w:rsidR="009700E5" w:rsidRDefault="002C033C">
      <w:pPr>
        <w:pStyle w:val="ListParagraph"/>
        <w:numPr>
          <w:ilvl w:val="1"/>
          <w:numId w:val="247"/>
        </w:numPr>
        <w:ind w:left="567" w:hanging="567"/>
        <w:pPrChange w:id="3923" w:author="Author" w:date="2026-02-18T11:01:00Z">
          <w:pPr>
            <w:ind w:left="567" w:hanging="567"/>
          </w:pPr>
        </w:pPrChange>
      </w:pPr>
      <w:del w:id="3924" w:author="Author" w:date="2026-02-18T11:00:00Z">
        <w:r>
          <w:delText>•</w:delText>
        </w:r>
        <w:r>
          <w:tab/>
        </w:r>
      </w:del>
      <w:r>
        <w:t>cyklosporín, používa sa na potlačenie reakcie imunitného systému počas transplantácie orgánov</w:t>
      </w:r>
    </w:p>
    <w:p w14:paraId="2BC8791C" w14:textId="77777777" w:rsidR="009700E5" w:rsidRDefault="002C033C">
      <w:pPr>
        <w:pStyle w:val="ListParagraph"/>
        <w:numPr>
          <w:ilvl w:val="1"/>
          <w:numId w:val="247"/>
        </w:numPr>
        <w:ind w:left="567" w:hanging="567"/>
        <w:pPrChange w:id="3925" w:author="Author" w:date="2026-02-18T11:01:00Z">
          <w:pPr>
            <w:ind w:left="567" w:hanging="567"/>
          </w:pPr>
        </w:pPrChange>
      </w:pPr>
      <w:del w:id="3926" w:author="Author" w:date="2026-02-18T11:00:00Z">
        <w:r>
          <w:delText>•</w:delText>
        </w:r>
        <w:r>
          <w:tab/>
        </w:r>
      </w:del>
      <w:r>
        <w:t>benzodiazepíny (napr. temazepam), používajú sa na zmiernenie úzkosti</w:t>
      </w:r>
    </w:p>
    <w:p w14:paraId="44DAF4B9" w14:textId="77777777" w:rsidR="009700E5" w:rsidRDefault="009700E5"/>
    <w:p w14:paraId="1EEB36F9" w14:textId="77777777" w:rsidR="009700E5" w:rsidRDefault="002C033C">
      <w:r>
        <w:t>Vzhľadom na nedostatok klinických skúseností sa neodporúča používať RoActemru s inými biologickými liekmi na liečbu RA, sJIA, pJIA alebo OBA.</w:t>
      </w:r>
    </w:p>
    <w:p w14:paraId="40A8B929" w14:textId="77777777" w:rsidR="009700E5" w:rsidRDefault="009700E5"/>
    <w:p w14:paraId="23D43768" w14:textId="77777777" w:rsidR="009700E5" w:rsidRDefault="002C033C">
      <w:pPr>
        <w:rPr>
          <w:b/>
          <w:iCs/>
          <w:szCs w:val="22"/>
        </w:rPr>
      </w:pPr>
      <w:r>
        <w:rPr>
          <w:b/>
          <w:szCs w:val="22"/>
        </w:rPr>
        <w:t>Tehotenstvo, dojčenie a plodnosť</w:t>
      </w:r>
    </w:p>
    <w:p w14:paraId="1F5E5EA2" w14:textId="77777777" w:rsidR="009700E5" w:rsidRDefault="009700E5">
      <w:pPr>
        <w:rPr>
          <w:b/>
          <w:iCs/>
        </w:rPr>
      </w:pPr>
    </w:p>
    <w:p w14:paraId="02613C21" w14:textId="77777777" w:rsidR="009700E5" w:rsidRDefault="002C033C">
      <w:pPr>
        <w:rPr>
          <w:iCs/>
        </w:rPr>
      </w:pPr>
      <w:r>
        <w:rPr>
          <w:b/>
          <w:iCs/>
        </w:rPr>
        <w:lastRenderedPageBreak/>
        <w:t>RoActemra sa môže počas tehotenstva používať</w:t>
      </w:r>
      <w:r>
        <w:rPr>
          <w:iCs/>
        </w:rPr>
        <w:t xml:space="preserve"> iba v nevyhnutných prípadoch. Ak ste tehotná, môžete byť tehotná alebo máte v úmysle otehotnieť, poraďte sa so svojím lekárom.</w:t>
      </w:r>
    </w:p>
    <w:p w14:paraId="674C7835" w14:textId="77777777" w:rsidR="009700E5" w:rsidRDefault="009700E5">
      <w:pPr>
        <w:rPr>
          <w:iCs/>
        </w:rPr>
      </w:pPr>
    </w:p>
    <w:p w14:paraId="7BAC6843" w14:textId="77777777" w:rsidR="009700E5" w:rsidRDefault="002C033C">
      <w:pPr>
        <w:rPr>
          <w:iCs/>
        </w:rPr>
      </w:pPr>
      <w:r>
        <w:rPr>
          <w:b/>
          <w:iCs/>
        </w:rPr>
        <w:t>Ženy v plodnom veku musia</w:t>
      </w:r>
      <w:r>
        <w:rPr>
          <w:iCs/>
        </w:rPr>
        <w:t xml:space="preserve"> používať účinnú antikoncepciu počas liečby a 3 mesiace po ukončení liečby.</w:t>
      </w:r>
    </w:p>
    <w:p w14:paraId="2028CF79" w14:textId="77777777" w:rsidR="009700E5" w:rsidRDefault="009700E5">
      <w:pPr>
        <w:rPr>
          <w:iCs/>
        </w:rPr>
      </w:pPr>
    </w:p>
    <w:p w14:paraId="58AC159E" w14:textId="77777777" w:rsidR="009700E5" w:rsidRDefault="002C033C">
      <w:r>
        <w:rPr>
          <w:b/>
        </w:rPr>
        <w:t>Ak sa budete liečiť RoActemrou, prestaňte dojčiť</w:t>
      </w:r>
      <w:r>
        <w:t xml:space="preserve"> a poraďte sa so svojím lekárom. Po poslednej liečbe počkajte minimálne 3 mesiace a potom začnite dojčiť. Nie je známe, či sa RoActemra vylučuje do ľudského mlieka.</w:t>
      </w:r>
    </w:p>
    <w:p w14:paraId="5CC6453C" w14:textId="77777777" w:rsidR="009700E5" w:rsidRDefault="009700E5"/>
    <w:p w14:paraId="3D5AEBC9" w14:textId="77777777" w:rsidR="009700E5" w:rsidRDefault="002C033C">
      <w:pPr>
        <w:rPr>
          <w:szCs w:val="22"/>
        </w:rPr>
      </w:pPr>
      <w:r>
        <w:rPr>
          <w:b/>
          <w:szCs w:val="22"/>
        </w:rPr>
        <w:t>Vedenie vozidiel a obsluha strojov</w:t>
      </w:r>
    </w:p>
    <w:p w14:paraId="64144174" w14:textId="77777777" w:rsidR="009700E5" w:rsidRDefault="002C033C">
      <w:r>
        <w:t>Tento liek môže spôsobiť závraty. Ak máte závrat, neveďte vozidlo alebo neobsluhujte stroje.</w:t>
      </w:r>
    </w:p>
    <w:p w14:paraId="781FEB42" w14:textId="77777777" w:rsidR="009700E5" w:rsidRDefault="009700E5"/>
    <w:p w14:paraId="7B91474C" w14:textId="77777777" w:rsidR="009700E5" w:rsidRDefault="002C033C">
      <w:pPr>
        <w:keepNext/>
        <w:keepLines/>
        <w:rPr>
          <w:i/>
          <w:iCs/>
        </w:rPr>
      </w:pPr>
      <w:r>
        <w:rPr>
          <w:b/>
          <w:szCs w:val="22"/>
        </w:rPr>
        <w:t>RoActemra obsahuje p</w:t>
      </w:r>
      <w:r>
        <w:rPr>
          <w:b/>
          <w:bCs/>
        </w:rPr>
        <w:t>olysorbát</w:t>
      </w:r>
      <w:ins w:id="3927" w:author="Author" w:date="2025-07-20T21:35:00Z">
        <w:r>
          <w:rPr>
            <w:b/>
            <w:bCs/>
          </w:rPr>
          <w:t xml:space="preserve"> 80 (E</w:t>
        </w:r>
      </w:ins>
      <w:ins w:id="3928" w:author="Author" w:date="2025-07-21T11:16:00Z">
        <w:r>
          <w:rPr>
            <w:b/>
            <w:bCs/>
          </w:rPr>
          <w:t> </w:t>
        </w:r>
      </w:ins>
      <w:ins w:id="3929" w:author="Author" w:date="2025-07-20T21:35:00Z">
        <w:del w:id="3930" w:author="Author" w:date="2025-07-21T11:16:00Z">
          <w:r>
            <w:rPr>
              <w:b/>
              <w:bCs/>
            </w:rPr>
            <w:delText xml:space="preserve"> </w:delText>
          </w:r>
        </w:del>
        <w:r>
          <w:rPr>
            <w:b/>
            <w:bCs/>
          </w:rPr>
          <w:t>433)</w:t>
        </w:r>
      </w:ins>
    </w:p>
    <w:p w14:paraId="0F69266C" w14:textId="77777777" w:rsidR="009700E5" w:rsidRDefault="002C033C">
      <w:r>
        <w:t>Tento liek obsahuje 0,18 mg polysorbátu 80 v každej 162 mg/0,9 ml naplnenej injekčnej striekačke, čo zodpovedá 0,2 mg/ml. Polysorbáty môžu vyvolať alergické reakcie. Povedzte vášmu lekárovi, ak vy alebo vaše dieťa máte nejaké známe alergie.</w:t>
      </w:r>
    </w:p>
    <w:p w14:paraId="4FF3C1CB" w14:textId="77777777" w:rsidR="009700E5" w:rsidRDefault="009700E5"/>
    <w:p w14:paraId="555E6A4D" w14:textId="77777777" w:rsidR="009700E5" w:rsidRDefault="009700E5"/>
    <w:p w14:paraId="2220F8D8" w14:textId="77777777" w:rsidR="009700E5" w:rsidRDefault="002C033C">
      <w:pPr>
        <w:rPr>
          <w:b/>
          <w:szCs w:val="22"/>
        </w:rPr>
      </w:pPr>
      <w:r>
        <w:rPr>
          <w:b/>
          <w:szCs w:val="22"/>
        </w:rPr>
        <w:t>3.</w:t>
      </w:r>
      <w:r>
        <w:rPr>
          <w:b/>
          <w:szCs w:val="22"/>
        </w:rPr>
        <w:tab/>
        <w:t xml:space="preserve">Ako používať </w:t>
      </w:r>
      <w:r>
        <w:rPr>
          <w:b/>
          <w:caps/>
          <w:szCs w:val="22"/>
        </w:rPr>
        <w:t>r</w:t>
      </w:r>
      <w:r>
        <w:rPr>
          <w:b/>
          <w:szCs w:val="22"/>
        </w:rPr>
        <w:t>o</w:t>
      </w:r>
      <w:r>
        <w:rPr>
          <w:b/>
          <w:caps/>
          <w:szCs w:val="22"/>
        </w:rPr>
        <w:t>a</w:t>
      </w:r>
      <w:r>
        <w:rPr>
          <w:b/>
          <w:szCs w:val="22"/>
        </w:rPr>
        <w:t>ctemru</w:t>
      </w:r>
    </w:p>
    <w:p w14:paraId="65F74D62" w14:textId="77777777" w:rsidR="009700E5" w:rsidRDefault="009700E5"/>
    <w:p w14:paraId="5B609D6A" w14:textId="77777777" w:rsidR="009700E5" w:rsidRDefault="002C033C">
      <w:pPr>
        <w:rPr>
          <w:szCs w:val="22"/>
        </w:rPr>
      </w:pPr>
      <w:r>
        <w:rPr>
          <w:szCs w:val="22"/>
        </w:rPr>
        <w:t>Vždy používajte tento liek presne tak, ako vám povedal váš lekár, lekárnik alebo zdravotná sestra.</w:t>
      </w:r>
      <w:r>
        <w:t xml:space="preserve"> </w:t>
      </w:r>
      <w:r>
        <w:rPr>
          <w:szCs w:val="22"/>
        </w:rPr>
        <w:t>Ak si nie ste niečím istý, overte si to u svojho lekára, lekárnika alebo zdravotnej sestry.</w:t>
      </w:r>
    </w:p>
    <w:p w14:paraId="2483CC2B" w14:textId="77777777" w:rsidR="009700E5" w:rsidRDefault="009700E5">
      <w:pPr>
        <w:rPr>
          <w:szCs w:val="22"/>
        </w:rPr>
      </w:pPr>
    </w:p>
    <w:p w14:paraId="6F3C4D3C" w14:textId="77777777" w:rsidR="009700E5" w:rsidRDefault="002C033C">
      <w:pPr>
        <w:rPr>
          <w:szCs w:val="22"/>
        </w:rPr>
      </w:pPr>
      <w:r>
        <w:rPr>
          <w:szCs w:val="22"/>
        </w:rPr>
        <w:t xml:space="preserve">Liečbu majú predpisovať a začať zdravotnícki pracovníci, ktorí majú skúsenosti s diagnostikou a liečbou RA, </w:t>
      </w:r>
      <w:r>
        <w:t>sJIA,</w:t>
      </w:r>
      <w:r>
        <w:rPr>
          <w:szCs w:val="22"/>
        </w:rPr>
        <w:t xml:space="preserve"> pJIA alebo OBA.</w:t>
      </w:r>
    </w:p>
    <w:p w14:paraId="776BD8CD" w14:textId="77777777" w:rsidR="009700E5" w:rsidRDefault="009700E5">
      <w:pPr>
        <w:rPr>
          <w:szCs w:val="22"/>
        </w:rPr>
      </w:pPr>
    </w:p>
    <w:p w14:paraId="7F6920C9" w14:textId="77777777" w:rsidR="009700E5" w:rsidRDefault="002C033C">
      <w:pPr>
        <w:rPr>
          <w:b/>
          <w:szCs w:val="22"/>
        </w:rPr>
      </w:pPr>
      <w:r>
        <w:rPr>
          <w:b/>
          <w:szCs w:val="22"/>
        </w:rPr>
        <w:t xml:space="preserve">Odporúčaná dávka </w:t>
      </w:r>
    </w:p>
    <w:p w14:paraId="7F1BCA02" w14:textId="77777777" w:rsidR="009700E5" w:rsidRDefault="002C033C">
      <w:pPr>
        <w:rPr>
          <w:szCs w:val="22"/>
        </w:rPr>
      </w:pPr>
      <w:r>
        <w:rPr>
          <w:szCs w:val="22"/>
        </w:rPr>
        <w:t>Dávka pre dospelých pacientov s RA a</w:t>
      </w:r>
      <w:ins w:id="3931" w:author="Author" w:date="2025-07-20T21:35:00Z">
        <w:r>
          <w:rPr>
            <w:szCs w:val="22"/>
          </w:rPr>
          <w:t>lebo</w:t>
        </w:r>
      </w:ins>
      <w:r>
        <w:rPr>
          <w:szCs w:val="22"/>
        </w:rPr>
        <w:t xml:space="preserve"> OBA je 162 mg (obsah 1 naplnenej injekčnej striekačky) podaná raz za týždeň.</w:t>
      </w:r>
    </w:p>
    <w:p w14:paraId="6821ACD4" w14:textId="77777777" w:rsidR="009700E5" w:rsidRDefault="009700E5">
      <w:pPr>
        <w:rPr>
          <w:szCs w:val="22"/>
        </w:rPr>
      </w:pPr>
      <w:bookmarkStart w:id="3932" w:name="_Hlk498333868"/>
    </w:p>
    <w:p w14:paraId="6EF035D4" w14:textId="77777777" w:rsidR="009700E5" w:rsidRDefault="002C033C">
      <w:pPr>
        <w:keepNext/>
        <w:keepLines/>
        <w:rPr>
          <w:b/>
          <w:szCs w:val="22"/>
        </w:rPr>
      </w:pPr>
      <w:bookmarkStart w:id="3933" w:name="_Hlk523993129"/>
      <w:r>
        <w:rPr>
          <w:b/>
          <w:szCs w:val="22"/>
        </w:rPr>
        <w:t>Deti a dospievajúci so sJIA (vo veku 1 rok a starší)</w:t>
      </w:r>
    </w:p>
    <w:p w14:paraId="104DE6AD" w14:textId="77777777" w:rsidR="009700E5" w:rsidRDefault="002C033C">
      <w:pPr>
        <w:rPr>
          <w:b/>
          <w:szCs w:val="22"/>
        </w:rPr>
      </w:pPr>
      <w:r>
        <w:rPr>
          <w:b/>
          <w:szCs w:val="22"/>
        </w:rPr>
        <w:t>Zvyčajná dávka RoActemry závisí od telesnej hmotnosti pacienta.</w:t>
      </w:r>
    </w:p>
    <w:p w14:paraId="17973A9D" w14:textId="77777777" w:rsidR="009700E5" w:rsidRDefault="002C033C">
      <w:pPr>
        <w:pStyle w:val="ListParagraph"/>
        <w:numPr>
          <w:ilvl w:val="1"/>
          <w:numId w:val="277"/>
        </w:numPr>
        <w:ind w:left="567" w:hanging="567"/>
        <w:rPr>
          <w:bCs/>
          <w:szCs w:val="22"/>
        </w:rPr>
        <w:pPrChange w:id="3934" w:author="Author" w:date="2026-02-18T14:17:00Z">
          <w:pPr>
            <w:ind w:left="567" w:hanging="567"/>
          </w:pPr>
        </w:pPrChange>
      </w:pPr>
      <w:del w:id="3935" w:author="Author" w:date="2026-02-18T14:17:00Z">
        <w:r>
          <w:rPr>
            <w:szCs w:val="22"/>
          </w:rPr>
          <w:delText>•</w:delText>
        </w:r>
        <w:r>
          <w:rPr>
            <w:szCs w:val="22"/>
          </w:rPr>
          <w:tab/>
        </w:r>
      </w:del>
      <w:r>
        <w:rPr>
          <w:szCs w:val="22"/>
        </w:rPr>
        <w:t xml:space="preserve">Ak pacient váži </w:t>
      </w:r>
      <w:r>
        <w:rPr>
          <w:b/>
          <w:szCs w:val="22"/>
        </w:rPr>
        <w:t>menej ako 30 kg</w:t>
      </w:r>
      <w:r>
        <w:rPr>
          <w:szCs w:val="22"/>
        </w:rPr>
        <w:t>: dávka je 162 mg (obsah 1 naplnenej injekčnej striekačky), raz za 2 týždne</w:t>
      </w:r>
    </w:p>
    <w:p w14:paraId="1FB0629E" w14:textId="77777777" w:rsidR="009700E5" w:rsidRDefault="002C033C">
      <w:pPr>
        <w:pStyle w:val="ListParagraph"/>
        <w:keepNext/>
        <w:keepLines/>
        <w:numPr>
          <w:ilvl w:val="1"/>
          <w:numId w:val="279"/>
        </w:numPr>
        <w:ind w:left="567" w:hanging="567"/>
        <w:rPr>
          <w:szCs w:val="22"/>
        </w:rPr>
        <w:pPrChange w:id="3936" w:author="Author" w:date="2026-02-18T14:17:00Z">
          <w:pPr>
            <w:keepNext/>
            <w:keepLines/>
            <w:ind w:left="567" w:hanging="567"/>
          </w:pPr>
        </w:pPrChange>
      </w:pPr>
      <w:del w:id="3937" w:author="Author" w:date="2026-02-18T14:17:00Z">
        <w:r>
          <w:rPr>
            <w:szCs w:val="22"/>
          </w:rPr>
          <w:delText>•</w:delText>
        </w:r>
        <w:r>
          <w:rPr>
            <w:szCs w:val="22"/>
          </w:rPr>
          <w:tab/>
        </w:r>
      </w:del>
      <w:r>
        <w:rPr>
          <w:szCs w:val="22"/>
        </w:rPr>
        <w:t xml:space="preserve">Ak pacient váži </w:t>
      </w:r>
      <w:r>
        <w:rPr>
          <w:b/>
          <w:szCs w:val="22"/>
        </w:rPr>
        <w:t>30 kg alebo viac</w:t>
      </w:r>
      <w:r>
        <w:rPr>
          <w:szCs w:val="22"/>
        </w:rPr>
        <w:t>: dávka je 162 mg (obsah 1 naplnenej injekčnej striekačky), raz za týždeň</w:t>
      </w:r>
    </w:p>
    <w:bookmarkEnd w:id="3933"/>
    <w:p w14:paraId="4CC4091C" w14:textId="77777777" w:rsidR="009700E5" w:rsidRDefault="009700E5">
      <w:pPr>
        <w:ind w:left="567" w:hanging="567"/>
        <w:rPr>
          <w:szCs w:val="22"/>
        </w:rPr>
        <w:pPrChange w:id="3938" w:author="Author" w:date="2026-02-18T14:17:00Z">
          <w:pPr/>
        </w:pPrChange>
      </w:pPr>
    </w:p>
    <w:p w14:paraId="179E5C7A" w14:textId="77777777" w:rsidR="009700E5" w:rsidRDefault="002C033C">
      <w:pPr>
        <w:keepNext/>
        <w:keepLines/>
        <w:rPr>
          <w:b/>
          <w:szCs w:val="22"/>
        </w:rPr>
      </w:pPr>
      <w:r>
        <w:rPr>
          <w:b/>
          <w:szCs w:val="22"/>
        </w:rPr>
        <w:t>Deti a dospievajúci s pJIA (vo veku 2 roky a starší)</w:t>
      </w:r>
    </w:p>
    <w:p w14:paraId="314E7DFA" w14:textId="77777777" w:rsidR="009700E5" w:rsidRDefault="002C033C">
      <w:pPr>
        <w:rPr>
          <w:b/>
          <w:szCs w:val="22"/>
        </w:rPr>
      </w:pPr>
      <w:r>
        <w:rPr>
          <w:b/>
          <w:szCs w:val="22"/>
        </w:rPr>
        <w:t>Zvyčajná dávka RoActemry závisí od telesnej hmotnosti pacienta.</w:t>
      </w:r>
    </w:p>
    <w:p w14:paraId="2B43A881" w14:textId="77777777" w:rsidR="009700E5" w:rsidRDefault="002C033C">
      <w:pPr>
        <w:pStyle w:val="ListParagraph"/>
        <w:numPr>
          <w:ilvl w:val="1"/>
          <w:numId w:val="281"/>
        </w:numPr>
        <w:ind w:left="567" w:hanging="567"/>
        <w:rPr>
          <w:bCs/>
          <w:szCs w:val="22"/>
        </w:rPr>
        <w:pPrChange w:id="3939" w:author="Author" w:date="2026-02-18T14:18:00Z">
          <w:pPr>
            <w:ind w:left="567" w:hanging="567"/>
          </w:pPr>
        </w:pPrChange>
      </w:pPr>
      <w:del w:id="3940" w:author="Author" w:date="2026-02-18T14:18:00Z">
        <w:r>
          <w:rPr>
            <w:szCs w:val="22"/>
          </w:rPr>
          <w:delText>•</w:delText>
        </w:r>
        <w:r>
          <w:rPr>
            <w:szCs w:val="22"/>
          </w:rPr>
          <w:tab/>
        </w:r>
      </w:del>
      <w:r>
        <w:rPr>
          <w:szCs w:val="22"/>
        </w:rPr>
        <w:t xml:space="preserve">Ak pacient váži </w:t>
      </w:r>
      <w:r>
        <w:rPr>
          <w:b/>
          <w:szCs w:val="22"/>
        </w:rPr>
        <w:t>menej ako 30 kg</w:t>
      </w:r>
      <w:r>
        <w:rPr>
          <w:szCs w:val="22"/>
        </w:rPr>
        <w:t xml:space="preserve">: dávka je 162 mg (obsah 1 naplnenej injekčnej striekačky), </w:t>
      </w:r>
      <w:r>
        <w:rPr>
          <w:b/>
          <w:szCs w:val="22"/>
        </w:rPr>
        <w:t>raz za 3 týždne</w:t>
      </w:r>
    </w:p>
    <w:p w14:paraId="5DA417AE" w14:textId="77777777" w:rsidR="009700E5" w:rsidRDefault="002C033C">
      <w:pPr>
        <w:pStyle w:val="ListParagraph"/>
        <w:numPr>
          <w:ilvl w:val="1"/>
          <w:numId w:val="283"/>
        </w:numPr>
        <w:ind w:left="567" w:hanging="567"/>
        <w:rPr>
          <w:bCs/>
          <w:szCs w:val="22"/>
        </w:rPr>
        <w:pPrChange w:id="3941" w:author="Author" w:date="2026-02-18T14:18:00Z">
          <w:pPr>
            <w:ind w:left="567" w:hanging="567"/>
          </w:pPr>
        </w:pPrChange>
      </w:pPr>
      <w:del w:id="3942" w:author="Author" w:date="2026-02-18T14:18:00Z">
        <w:r>
          <w:rPr>
            <w:szCs w:val="22"/>
          </w:rPr>
          <w:delText>•</w:delText>
        </w:r>
        <w:r>
          <w:rPr>
            <w:szCs w:val="22"/>
          </w:rPr>
          <w:tab/>
        </w:r>
      </w:del>
      <w:r>
        <w:rPr>
          <w:szCs w:val="22"/>
        </w:rPr>
        <w:t xml:space="preserve">Ak pacient váži </w:t>
      </w:r>
      <w:r>
        <w:rPr>
          <w:b/>
          <w:szCs w:val="22"/>
        </w:rPr>
        <w:t>30 kg alebo viac</w:t>
      </w:r>
      <w:r>
        <w:rPr>
          <w:szCs w:val="22"/>
        </w:rPr>
        <w:t xml:space="preserve">: dávka je 162 mg (obsah 1 naplnenej injekčnej striekačky), </w:t>
      </w:r>
      <w:r>
        <w:rPr>
          <w:b/>
          <w:szCs w:val="22"/>
        </w:rPr>
        <w:t>raz za 2 týždne</w:t>
      </w:r>
      <w:r>
        <w:rPr>
          <w:b/>
          <w:bCs/>
          <w:szCs w:val="22"/>
        </w:rPr>
        <w:t>.</w:t>
      </w:r>
    </w:p>
    <w:bookmarkEnd w:id="3932"/>
    <w:p w14:paraId="7B2D5E9A" w14:textId="77777777" w:rsidR="009700E5" w:rsidRDefault="009700E5">
      <w:pPr>
        <w:rPr>
          <w:szCs w:val="22"/>
        </w:rPr>
      </w:pPr>
    </w:p>
    <w:p w14:paraId="16932578" w14:textId="77777777" w:rsidR="009700E5" w:rsidRDefault="002C033C">
      <w:r>
        <w:rPr>
          <w:szCs w:val="22"/>
        </w:rPr>
        <w:t>RoActemra sa podáva injekciou pod kožu (</w:t>
      </w:r>
      <w:r>
        <w:rPr>
          <w:i/>
          <w:szCs w:val="22"/>
        </w:rPr>
        <w:t>subkutánne</w:t>
      </w:r>
      <w:r>
        <w:rPr>
          <w:szCs w:val="22"/>
        </w:rPr>
        <w:t xml:space="preserve">). Na začiatku liečby vám môže RoActemru </w:t>
      </w:r>
      <w:r>
        <w:t>injekčne podať váš lekár alebo zdravotná sestra. Lekár sa môže rozhodnúť, že si RoActemru môžete podať injekčne sám. V takomto prípade budete poučený, ako si máte injekčne podávať RoActemru.</w:t>
      </w:r>
    </w:p>
    <w:p w14:paraId="2611393F" w14:textId="77777777" w:rsidR="009700E5" w:rsidRDefault="002C033C">
      <w:bookmarkStart w:id="3943" w:name="_Hlk498333873"/>
      <w:r>
        <w:t>Rodičia a opatrovatelia budú poučení, ako majú injekčne podávať RoActemru pacientom, ktorí si ju sami nedokážu vpichnúť, napríklad deťom.</w:t>
      </w:r>
    </w:p>
    <w:bookmarkEnd w:id="3943"/>
    <w:p w14:paraId="7DCDF8C1" w14:textId="77777777" w:rsidR="009700E5" w:rsidRDefault="009700E5"/>
    <w:p w14:paraId="61CD0045" w14:textId="77777777" w:rsidR="009700E5" w:rsidRDefault="002C033C">
      <w:pPr>
        <w:rPr>
          <w:i/>
        </w:rPr>
      </w:pPr>
      <w:r>
        <w:t>Ak máte akékoľvek otázky o tom, ako si máte podávať injekciu alebo ako podať injekciu dieťaťu o ktoré sa staráte a ktoré je pacientom, obráťte sa na svojho lekára. Na konci tejto písomnej informácie pre používateľa nájdete podrobné „Pokyny na podávanie“.</w:t>
      </w:r>
    </w:p>
    <w:p w14:paraId="10903029" w14:textId="77777777" w:rsidR="009700E5" w:rsidRDefault="009700E5"/>
    <w:p w14:paraId="06944740" w14:textId="77777777" w:rsidR="009700E5" w:rsidRDefault="002C033C">
      <w:pPr>
        <w:keepNext/>
        <w:keepLines/>
        <w:rPr>
          <w:b/>
          <w:szCs w:val="22"/>
        </w:rPr>
      </w:pPr>
      <w:r>
        <w:rPr>
          <w:b/>
          <w:szCs w:val="22"/>
        </w:rPr>
        <w:lastRenderedPageBreak/>
        <w:t>Ak použijete viac RoActemry, ako máte</w:t>
      </w:r>
    </w:p>
    <w:p w14:paraId="017E1821" w14:textId="77777777" w:rsidR="009700E5" w:rsidRDefault="002C033C">
      <w:pPr>
        <w:keepNext/>
        <w:keepLines/>
      </w:pPr>
      <w:r>
        <w:t>Keďže RoActemra sa podáva v jednej naplnenej injekčnej striekačke, nie je pravdepodobné, že dostanete príliš veľké množstvo. Ak však budete mať akékoľvek obavy, poraďte sa so svojím lekárom, lekárnikom alebo zdravotnou sestrou.</w:t>
      </w:r>
    </w:p>
    <w:p w14:paraId="5D704E1A" w14:textId="77777777" w:rsidR="009700E5" w:rsidRDefault="009700E5"/>
    <w:p w14:paraId="38712A6B" w14:textId="77777777" w:rsidR="009700E5" w:rsidRDefault="002C033C">
      <w:pPr>
        <w:keepNext/>
        <w:keepLines/>
        <w:rPr>
          <w:b/>
          <w:szCs w:val="22"/>
        </w:rPr>
      </w:pPr>
      <w:r>
        <w:rPr>
          <w:b/>
          <w:szCs w:val="22"/>
        </w:rPr>
        <w:t>Ak dospelý s RA alebo OBA alebo dieťa alebo dospievajúci so sJIA vynechá dávku alebo na ňu zabudne</w:t>
      </w:r>
    </w:p>
    <w:p w14:paraId="68750A2F" w14:textId="77777777" w:rsidR="009700E5" w:rsidRDefault="002C033C">
      <w:pPr>
        <w:keepNext/>
        <w:keepLines/>
        <w:rPr>
          <w:szCs w:val="22"/>
        </w:rPr>
      </w:pPr>
      <w:r>
        <w:t>Je veľmi dôležité, aby ste RoActemru používali presne tak, ako vám nariadil váš lekár. Pamätajte si deň podania vašej ďalšej dávky</w:t>
      </w:r>
      <w:r>
        <w:rPr>
          <w:szCs w:val="22"/>
        </w:rPr>
        <w:t>.</w:t>
      </w:r>
    </w:p>
    <w:p w14:paraId="6D149991" w14:textId="77777777" w:rsidR="009700E5" w:rsidRDefault="002C033C">
      <w:pPr>
        <w:pStyle w:val="ListParagraph"/>
        <w:numPr>
          <w:ilvl w:val="1"/>
          <w:numId w:val="285"/>
        </w:numPr>
        <w:ind w:left="567" w:hanging="567"/>
        <w:rPr>
          <w:szCs w:val="22"/>
        </w:rPr>
        <w:pPrChange w:id="3944" w:author="Author" w:date="2026-02-18T14:24:00Z">
          <w:pPr>
            <w:ind w:left="567" w:hanging="567"/>
          </w:pPr>
        </w:pPrChange>
      </w:pPr>
      <w:del w:id="3945" w:author="Author" w:date="2026-02-18T14:24:00Z">
        <w:r>
          <w:rPr>
            <w:szCs w:val="22"/>
          </w:rPr>
          <w:delText>•</w:delText>
        </w:r>
        <w:r>
          <w:rPr>
            <w:szCs w:val="22"/>
          </w:rPr>
          <w:tab/>
        </w:r>
      </w:del>
      <w:r>
        <w:rPr>
          <w:szCs w:val="22"/>
        </w:rPr>
        <w:t>Ak ste si dávku, ktorú si podávate raz za týždeň, mali podať pred 7 alebo menej dňami, dávku si podajte v deň, v ktorý je plánovaná ďalšia dávka.</w:t>
      </w:r>
    </w:p>
    <w:p w14:paraId="4A54507A" w14:textId="77777777" w:rsidR="009700E5" w:rsidRDefault="002C033C">
      <w:pPr>
        <w:pStyle w:val="ListParagraph"/>
        <w:numPr>
          <w:ilvl w:val="1"/>
          <w:numId w:val="285"/>
        </w:numPr>
        <w:ind w:left="567" w:hanging="567"/>
        <w:rPr>
          <w:szCs w:val="22"/>
        </w:rPr>
        <w:pPrChange w:id="3946" w:author="Author" w:date="2026-02-18T14:24:00Z">
          <w:pPr>
            <w:ind w:left="567" w:hanging="567"/>
          </w:pPr>
        </w:pPrChange>
      </w:pPr>
      <w:del w:id="3947" w:author="Author" w:date="2026-02-18T14:24:00Z">
        <w:r>
          <w:rPr>
            <w:szCs w:val="22"/>
          </w:rPr>
          <w:delText>•</w:delText>
        </w:r>
        <w:r>
          <w:rPr>
            <w:szCs w:val="22"/>
          </w:rPr>
          <w:tab/>
        </w:r>
      </w:del>
      <w:r>
        <w:rPr>
          <w:szCs w:val="22"/>
        </w:rPr>
        <w:t>Ak ste si dávku, ktorú si podávate každý druhý týždeň, mali podať pred 7 alebo menej dňami, dávku si injekčne podajte hneď, ako si spomeniete, a vašu ďalšiu dávku si podajte v pôvodne plánovanom čase.</w:t>
      </w:r>
    </w:p>
    <w:p w14:paraId="1FA03B74" w14:textId="77777777" w:rsidR="009700E5" w:rsidRDefault="002C033C">
      <w:pPr>
        <w:pStyle w:val="ListParagraph"/>
        <w:numPr>
          <w:ilvl w:val="1"/>
          <w:numId w:val="285"/>
        </w:numPr>
        <w:ind w:left="567" w:hanging="567"/>
        <w:rPr>
          <w:szCs w:val="22"/>
        </w:rPr>
        <w:pPrChange w:id="3948" w:author="Author" w:date="2026-02-18T14:24:00Z">
          <w:pPr>
            <w:ind w:left="567" w:hanging="567"/>
          </w:pPr>
        </w:pPrChange>
      </w:pPr>
      <w:del w:id="3949" w:author="Author" w:date="2026-02-18T14:24:00Z">
        <w:r>
          <w:rPr>
            <w:szCs w:val="22"/>
          </w:rPr>
          <w:delText>•</w:delText>
        </w:r>
        <w:r>
          <w:rPr>
            <w:szCs w:val="22"/>
          </w:rPr>
          <w:tab/>
        </w:r>
      </w:del>
      <w:r>
        <w:rPr>
          <w:szCs w:val="22"/>
        </w:rPr>
        <w:t>Ak ste si dávku</w:t>
      </w:r>
      <w:ins w:id="3950" w:author="Author" w:date="2025-07-20T21:37:00Z">
        <w:r>
          <w:rPr>
            <w:szCs w:val="22"/>
          </w:rPr>
          <w:t xml:space="preserve">, ktorú si podávate </w:t>
        </w:r>
      </w:ins>
      <w:ins w:id="3951" w:author="Author" w:date="2026-02-19T09:00:00Z">
        <w:r>
          <w:rPr>
            <w:szCs w:val="22"/>
          </w:rPr>
          <w:t>raz za týždeň</w:t>
        </w:r>
      </w:ins>
      <w:ins w:id="3952" w:author="Author" w:date="2025-07-20T21:37:00Z">
        <w:r>
          <w:rPr>
            <w:szCs w:val="22"/>
          </w:rPr>
          <w:t xml:space="preserve"> alebo každý druhý týždeň,</w:t>
        </w:r>
      </w:ins>
      <w:r>
        <w:rPr>
          <w:szCs w:val="22"/>
        </w:rPr>
        <w:t xml:space="preserve"> mali podať pred viac ako 7 dňami, alebo si nie ste istý, kedy si máte podať injekciu RoActemry, zatelefonujte svojmu lekárovi alebo lekárnikovi.</w:t>
      </w:r>
    </w:p>
    <w:p w14:paraId="61159087" w14:textId="77777777" w:rsidR="009700E5" w:rsidRDefault="009700E5">
      <w:pPr>
        <w:ind w:left="567" w:hanging="567"/>
        <w:rPr>
          <w:szCs w:val="22"/>
        </w:rPr>
      </w:pPr>
    </w:p>
    <w:p w14:paraId="13567E83" w14:textId="77777777" w:rsidR="009700E5" w:rsidRDefault="002C033C">
      <w:pPr>
        <w:keepNext/>
        <w:keepLines/>
        <w:rPr>
          <w:b/>
          <w:szCs w:val="22"/>
        </w:rPr>
      </w:pPr>
      <w:r>
        <w:rPr>
          <w:b/>
          <w:szCs w:val="22"/>
        </w:rPr>
        <w:t>Ak dieťa alebo dospievajúci s pJIA vynechá dávku alebo na ňu zabudne</w:t>
      </w:r>
    </w:p>
    <w:p w14:paraId="7840178A" w14:textId="77777777" w:rsidR="009700E5" w:rsidRDefault="002C033C">
      <w:pPr>
        <w:keepNext/>
        <w:keepLines/>
        <w:rPr>
          <w:szCs w:val="22"/>
        </w:rPr>
      </w:pPr>
      <w:r>
        <w:t>Je veľmi dôležité používať RoActemru presne tak, ako to nariadil lekár. Pamätajte si deň podania ďalšej dávky</w:t>
      </w:r>
      <w:r>
        <w:rPr>
          <w:szCs w:val="22"/>
        </w:rPr>
        <w:t>.</w:t>
      </w:r>
    </w:p>
    <w:p w14:paraId="4DD412ED" w14:textId="77777777" w:rsidR="009700E5" w:rsidRDefault="002C033C">
      <w:pPr>
        <w:pStyle w:val="ListParagraph"/>
        <w:keepNext/>
        <w:keepLines/>
        <w:numPr>
          <w:ilvl w:val="1"/>
          <w:numId w:val="287"/>
        </w:numPr>
        <w:ind w:left="567" w:hanging="567"/>
        <w:rPr>
          <w:szCs w:val="22"/>
        </w:rPr>
        <w:pPrChange w:id="3953" w:author="Author" w:date="2026-02-18T14:25:00Z">
          <w:pPr>
            <w:keepNext/>
            <w:keepLines/>
            <w:ind w:left="567" w:hanging="567"/>
          </w:pPr>
        </w:pPrChange>
      </w:pPr>
      <w:del w:id="3954" w:author="Author" w:date="2026-02-18T14:24:00Z">
        <w:r>
          <w:rPr>
            <w:szCs w:val="22"/>
          </w:rPr>
          <w:delText>•</w:delText>
        </w:r>
        <w:r>
          <w:rPr>
            <w:szCs w:val="22"/>
          </w:rPr>
          <w:tab/>
        </w:r>
      </w:del>
      <w:r>
        <w:rPr>
          <w:szCs w:val="22"/>
        </w:rPr>
        <w:t>Ak mala byť dávka podaná pred 7 a menej dňami, dávku injekčne podajte hneď, ako si spomeniete, a ďalšiu dávku podajte v pôvodne plánovanom čase.</w:t>
      </w:r>
    </w:p>
    <w:p w14:paraId="5BE6E96F" w14:textId="77777777" w:rsidR="009700E5" w:rsidRDefault="002C033C">
      <w:pPr>
        <w:pStyle w:val="ListParagraph"/>
        <w:numPr>
          <w:ilvl w:val="1"/>
          <w:numId w:val="287"/>
        </w:numPr>
        <w:ind w:left="567" w:hanging="567"/>
        <w:rPr>
          <w:szCs w:val="22"/>
        </w:rPr>
        <w:pPrChange w:id="3955" w:author="Author" w:date="2026-02-18T14:25:00Z">
          <w:pPr>
            <w:ind w:left="567" w:hanging="567"/>
          </w:pPr>
        </w:pPrChange>
      </w:pPr>
      <w:del w:id="3956" w:author="Author" w:date="2026-02-18T14:24:00Z">
        <w:r>
          <w:rPr>
            <w:szCs w:val="22"/>
          </w:rPr>
          <w:delText>•</w:delText>
        </w:r>
        <w:r>
          <w:rPr>
            <w:szCs w:val="22"/>
          </w:rPr>
          <w:tab/>
        </w:r>
      </w:del>
      <w:r>
        <w:rPr>
          <w:szCs w:val="22"/>
        </w:rPr>
        <w:t>Ak mala byť dávka podaná pred viac ako 7 dňami, alebo si nie ste istý, kedy máte podať injekciu RoActemry, zatelefonujte lekárovi alebo lekárnikovi.</w:t>
      </w:r>
    </w:p>
    <w:p w14:paraId="44963146" w14:textId="77777777" w:rsidR="009700E5" w:rsidRDefault="009700E5"/>
    <w:p w14:paraId="50ED1E20" w14:textId="77777777" w:rsidR="009700E5" w:rsidRDefault="002C033C">
      <w:pPr>
        <w:rPr>
          <w:b/>
          <w:szCs w:val="22"/>
        </w:rPr>
      </w:pPr>
      <w:r>
        <w:rPr>
          <w:b/>
          <w:szCs w:val="22"/>
        </w:rPr>
        <w:t>Ak prestanete používať RoActemru</w:t>
      </w:r>
    </w:p>
    <w:p w14:paraId="33A98758" w14:textId="77777777" w:rsidR="009700E5" w:rsidRDefault="002C033C">
      <w:r>
        <w:t>Neprestaňte používať RoActemru bez toho, že by ste sa o tom najskôr poradili so svojím lekárom.</w:t>
      </w:r>
    </w:p>
    <w:p w14:paraId="09BA0D05" w14:textId="77777777" w:rsidR="009700E5" w:rsidRDefault="009700E5"/>
    <w:p w14:paraId="41922852" w14:textId="77777777" w:rsidR="009700E5" w:rsidRDefault="002C033C">
      <w:r>
        <w:t xml:space="preserve">Ak máte akékoľvek ďalšie otázky týkajúce sa použitia tohto lieku, </w:t>
      </w:r>
      <w:r>
        <w:rPr>
          <w:bCs/>
        </w:rPr>
        <w:t>opýtajte sa svojho lekára, lekárnika alebo zdravotnej sestry</w:t>
      </w:r>
      <w:r>
        <w:t>.</w:t>
      </w:r>
    </w:p>
    <w:p w14:paraId="1F21B1C6" w14:textId="77777777" w:rsidR="009700E5" w:rsidRDefault="009700E5"/>
    <w:p w14:paraId="6AADC68E" w14:textId="77777777" w:rsidR="009700E5" w:rsidRDefault="009700E5"/>
    <w:p w14:paraId="27A71652" w14:textId="77777777" w:rsidR="009700E5" w:rsidRDefault="002C033C">
      <w:pPr>
        <w:rPr>
          <w:szCs w:val="22"/>
        </w:rPr>
      </w:pPr>
      <w:r>
        <w:rPr>
          <w:b/>
          <w:szCs w:val="22"/>
        </w:rPr>
        <w:t>4.</w:t>
      </w:r>
      <w:r>
        <w:rPr>
          <w:b/>
          <w:szCs w:val="22"/>
        </w:rPr>
        <w:tab/>
        <w:t>Možné vedľajšie účinky</w:t>
      </w:r>
    </w:p>
    <w:p w14:paraId="50100E5F" w14:textId="77777777" w:rsidR="009700E5" w:rsidRDefault="009700E5"/>
    <w:p w14:paraId="13043066" w14:textId="77777777" w:rsidR="009700E5" w:rsidRDefault="002C033C">
      <w:r>
        <w:t>Tak ako všetky lieky, aj tento liek môže spôsobovať vedľajšie účinky, hoci sa neprejavia u každého.</w:t>
      </w:r>
    </w:p>
    <w:p w14:paraId="22C18363" w14:textId="77777777" w:rsidR="009700E5" w:rsidRDefault="002C033C">
      <w:r>
        <w:t>Vedľajšie účinky sa môžu vyskytnúť po 3 mesiacoch alebo ešte neskôr po podaní vašej poslednej dávky RoActemry.</w:t>
      </w:r>
    </w:p>
    <w:p w14:paraId="74DA27A1" w14:textId="77777777" w:rsidR="009700E5" w:rsidRDefault="009700E5"/>
    <w:p w14:paraId="702F544E" w14:textId="77777777" w:rsidR="009700E5" w:rsidRDefault="002C033C">
      <w:pPr>
        <w:rPr>
          <w:b/>
          <w:szCs w:val="22"/>
        </w:rPr>
      </w:pPr>
      <w:r>
        <w:rPr>
          <w:b/>
          <w:szCs w:val="22"/>
        </w:rPr>
        <w:t>Možné závažné vedľajšie účinky</w:t>
      </w:r>
    </w:p>
    <w:p w14:paraId="62C22840" w14:textId="77777777" w:rsidR="009700E5" w:rsidRDefault="002C033C">
      <w:pPr>
        <w:rPr>
          <w:i/>
        </w:rPr>
      </w:pPr>
      <w:r>
        <w:rPr>
          <w:b/>
          <w:bCs/>
          <w:szCs w:val="22"/>
        </w:rPr>
        <w:t>Ihneď</w:t>
      </w:r>
      <w:r>
        <w:rPr>
          <w:szCs w:val="22"/>
        </w:rPr>
        <w:t xml:space="preserve"> informujte svojho lekára, ak sa u vás vyskytne ktorýkoľvek z nasledujúcich vedľajších účinkov:</w:t>
      </w:r>
    </w:p>
    <w:p w14:paraId="4D8EF917" w14:textId="77777777" w:rsidR="009700E5" w:rsidRDefault="002C033C">
      <w:pPr>
        <w:rPr>
          <w:i/>
        </w:rPr>
      </w:pPr>
      <w:r>
        <w:rPr>
          <w:i/>
        </w:rPr>
        <w:t>Tieto sú časté: môžu postihovať menej ako 1 z 10 osôb</w:t>
      </w:r>
    </w:p>
    <w:p w14:paraId="00F6B908" w14:textId="77777777" w:rsidR="009700E5" w:rsidRDefault="009700E5"/>
    <w:p w14:paraId="14251AEF" w14:textId="77777777" w:rsidR="009700E5" w:rsidRDefault="002C033C">
      <w:r>
        <w:rPr>
          <w:b/>
        </w:rPr>
        <w:t xml:space="preserve">Alergické reakcie </w:t>
      </w:r>
      <w:r>
        <w:t>počas podávania injekcie alebo po jej podaní:</w:t>
      </w:r>
    </w:p>
    <w:p w14:paraId="6E87110C" w14:textId="77777777" w:rsidR="009700E5" w:rsidRDefault="002C033C">
      <w:pPr>
        <w:pStyle w:val="ListParagraph"/>
        <w:numPr>
          <w:ilvl w:val="1"/>
          <w:numId w:val="289"/>
        </w:numPr>
        <w:ind w:left="567" w:hanging="567"/>
        <w:pPrChange w:id="3957" w:author="Author" w:date="2026-02-18T14:25:00Z">
          <w:pPr>
            <w:ind w:left="567" w:hanging="567"/>
          </w:pPr>
        </w:pPrChange>
      </w:pPr>
      <w:del w:id="3958" w:author="Author" w:date="2026-02-18T14:25:00Z">
        <w:r>
          <w:delText>•</w:delText>
        </w:r>
        <w:r>
          <w:tab/>
        </w:r>
      </w:del>
      <w:r>
        <w:t>ťažkosti s dýchaním, pocit zovretia v hrudníku alebo pocit točenia hlavy</w:t>
      </w:r>
    </w:p>
    <w:p w14:paraId="4EA5F6FA" w14:textId="77777777" w:rsidR="009700E5" w:rsidRDefault="002C033C">
      <w:pPr>
        <w:pStyle w:val="ListParagraph"/>
        <w:numPr>
          <w:ilvl w:val="1"/>
          <w:numId w:val="289"/>
        </w:numPr>
        <w:ind w:left="567" w:hanging="567"/>
        <w:pPrChange w:id="3959" w:author="Author" w:date="2026-02-18T14:25:00Z">
          <w:pPr>
            <w:ind w:left="567" w:hanging="567"/>
          </w:pPr>
        </w:pPrChange>
      </w:pPr>
      <w:del w:id="3960" w:author="Author" w:date="2026-02-18T14:25:00Z">
        <w:r>
          <w:delText>•</w:delText>
        </w:r>
        <w:r>
          <w:tab/>
        </w:r>
      </w:del>
      <w:r>
        <w:t>vyrážka, svrbenie, žihľavka, opuch pier, jazyka alebo tváre</w:t>
      </w:r>
    </w:p>
    <w:p w14:paraId="5000AF8F" w14:textId="77777777" w:rsidR="009700E5" w:rsidRDefault="009700E5"/>
    <w:p w14:paraId="455BD984" w14:textId="77777777" w:rsidR="009700E5" w:rsidRDefault="002C033C">
      <w:pPr>
        <w:ind w:left="567" w:hanging="567"/>
        <w:rPr>
          <w:b/>
          <w:bCs/>
        </w:rPr>
      </w:pPr>
      <w:r>
        <w:rPr>
          <w:b/>
          <w:bCs/>
        </w:rPr>
        <w:t>Prejavy závažnej infekcie:</w:t>
      </w:r>
    </w:p>
    <w:p w14:paraId="6FB46B40" w14:textId="77777777" w:rsidR="009700E5" w:rsidRDefault="002C033C">
      <w:pPr>
        <w:pStyle w:val="ListParagraph"/>
        <w:numPr>
          <w:ilvl w:val="1"/>
          <w:numId w:val="291"/>
        </w:numPr>
        <w:ind w:left="567" w:hanging="567"/>
        <w:pPrChange w:id="3961" w:author="Author" w:date="2026-02-18T14:26:00Z">
          <w:pPr>
            <w:ind w:left="567" w:hanging="567"/>
          </w:pPr>
        </w:pPrChange>
      </w:pPr>
      <w:del w:id="3962" w:author="Author" w:date="2026-02-18T14:26:00Z">
        <w:r>
          <w:delText>•</w:delText>
        </w:r>
        <w:r>
          <w:tab/>
        </w:r>
      </w:del>
      <w:r>
        <w:t>horúčka a triaška</w:t>
      </w:r>
    </w:p>
    <w:p w14:paraId="77836F55" w14:textId="77777777" w:rsidR="009700E5" w:rsidRDefault="002C033C">
      <w:pPr>
        <w:pStyle w:val="ListParagraph"/>
        <w:numPr>
          <w:ilvl w:val="1"/>
          <w:numId w:val="291"/>
        </w:numPr>
        <w:ind w:left="567" w:hanging="567"/>
        <w:pPrChange w:id="3963" w:author="Author" w:date="2026-02-18T14:26:00Z">
          <w:pPr>
            <w:ind w:left="567" w:hanging="567"/>
          </w:pPr>
        </w:pPrChange>
      </w:pPr>
      <w:del w:id="3964" w:author="Author" w:date="2026-02-18T14:26:00Z">
        <w:r>
          <w:delText>•</w:delText>
        </w:r>
        <w:r>
          <w:tab/>
        </w:r>
      </w:del>
      <w:r>
        <w:t>pľuzgieriky v ústach alebo na koži</w:t>
      </w:r>
    </w:p>
    <w:p w14:paraId="0852FE1A" w14:textId="77777777" w:rsidR="009700E5" w:rsidRDefault="002C033C">
      <w:pPr>
        <w:pStyle w:val="ListParagraph"/>
        <w:numPr>
          <w:ilvl w:val="1"/>
          <w:numId w:val="291"/>
        </w:numPr>
        <w:ind w:left="567" w:hanging="567"/>
        <w:pPrChange w:id="3965" w:author="Author" w:date="2026-02-18T14:26:00Z">
          <w:pPr>
            <w:ind w:left="567" w:hanging="567"/>
          </w:pPr>
        </w:pPrChange>
      </w:pPr>
      <w:del w:id="3966" w:author="Author" w:date="2026-02-18T14:26:00Z">
        <w:r>
          <w:delText>•</w:delText>
        </w:r>
        <w:r>
          <w:tab/>
        </w:r>
      </w:del>
      <w:r>
        <w:t>bolesť žalúdka</w:t>
      </w:r>
    </w:p>
    <w:p w14:paraId="72EAE669" w14:textId="77777777" w:rsidR="009700E5" w:rsidRDefault="009700E5"/>
    <w:p w14:paraId="38964879" w14:textId="77777777" w:rsidR="009700E5" w:rsidRDefault="002C033C">
      <w:pPr>
        <w:ind w:left="567" w:hanging="567"/>
        <w:rPr>
          <w:b/>
          <w:bCs/>
          <w:szCs w:val="22"/>
        </w:rPr>
      </w:pPr>
      <w:r>
        <w:rPr>
          <w:b/>
          <w:bCs/>
          <w:szCs w:val="22"/>
        </w:rPr>
        <w:t>Prejavy a príznaky pečeňovej toxicity:</w:t>
      </w:r>
    </w:p>
    <w:p w14:paraId="78672D62" w14:textId="77777777" w:rsidR="009700E5" w:rsidRDefault="002C033C">
      <w:pPr>
        <w:ind w:left="567" w:hanging="567"/>
        <w:rPr>
          <w:b/>
          <w:bCs/>
          <w:szCs w:val="22"/>
        </w:rPr>
      </w:pPr>
      <w:r>
        <w:rPr>
          <w:i/>
        </w:rPr>
        <w:t>Tieto sú zriedkavé: môžu postihovať menej ako 1 z 1 000 osôb</w:t>
      </w:r>
    </w:p>
    <w:p w14:paraId="29450A3B" w14:textId="77777777" w:rsidR="009700E5" w:rsidRDefault="002C033C">
      <w:pPr>
        <w:pStyle w:val="ListParagraph"/>
        <w:numPr>
          <w:ilvl w:val="1"/>
          <w:numId w:val="293"/>
        </w:numPr>
        <w:ind w:left="567" w:hanging="567"/>
        <w:pPrChange w:id="3967" w:author="Author" w:date="2026-02-18T14:26:00Z">
          <w:pPr>
            <w:ind w:left="567" w:hanging="567"/>
          </w:pPr>
        </w:pPrChange>
      </w:pPr>
      <w:del w:id="3968" w:author="Author" w:date="2026-02-18T14:26:00Z">
        <w:r>
          <w:delText>•</w:delText>
        </w:r>
        <w:r>
          <w:tab/>
        </w:r>
      </w:del>
      <w:r>
        <w:t>únava</w:t>
      </w:r>
    </w:p>
    <w:p w14:paraId="58A63633" w14:textId="77777777" w:rsidR="009700E5" w:rsidRDefault="002C033C">
      <w:pPr>
        <w:pStyle w:val="ListParagraph"/>
        <w:numPr>
          <w:ilvl w:val="1"/>
          <w:numId w:val="293"/>
        </w:numPr>
        <w:ind w:left="567" w:hanging="567"/>
        <w:pPrChange w:id="3969" w:author="Author" w:date="2026-02-18T14:26:00Z">
          <w:pPr>
            <w:ind w:left="567" w:hanging="567"/>
          </w:pPr>
        </w:pPrChange>
      </w:pPr>
      <w:del w:id="3970" w:author="Author" w:date="2026-02-18T14:26:00Z">
        <w:r>
          <w:lastRenderedPageBreak/>
          <w:delText>•</w:delText>
        </w:r>
        <w:r>
          <w:tab/>
        </w:r>
      </w:del>
      <w:r>
        <w:t>bolesť brucha</w:t>
      </w:r>
    </w:p>
    <w:p w14:paraId="7B7A2847" w14:textId="77777777" w:rsidR="009700E5" w:rsidRDefault="002C033C">
      <w:pPr>
        <w:pStyle w:val="ListParagraph"/>
        <w:numPr>
          <w:ilvl w:val="1"/>
          <w:numId w:val="293"/>
        </w:numPr>
        <w:ind w:left="567" w:hanging="567"/>
        <w:pPrChange w:id="3971" w:author="Author" w:date="2026-02-18T14:26:00Z">
          <w:pPr>
            <w:ind w:left="567" w:hanging="567"/>
          </w:pPr>
        </w:pPrChange>
      </w:pPr>
      <w:del w:id="3972" w:author="Author" w:date="2026-02-18T14:26:00Z">
        <w:r>
          <w:delText>•</w:delText>
        </w:r>
        <w:r>
          <w:tab/>
        </w:r>
      </w:del>
      <w:r>
        <w:t>žltačka (žlté sfarbenie kože alebo očí)</w:t>
      </w:r>
    </w:p>
    <w:p w14:paraId="18681F43" w14:textId="77777777" w:rsidR="009700E5" w:rsidRDefault="009700E5"/>
    <w:p w14:paraId="6D83FD5E" w14:textId="77777777" w:rsidR="009700E5" w:rsidRDefault="002C033C">
      <w:r>
        <w:rPr>
          <w:b/>
          <w:bCs/>
        </w:rPr>
        <w:t>Zoznam ďalších možných vedľajších účinkov</w:t>
      </w:r>
    </w:p>
    <w:p w14:paraId="7B9BE98B" w14:textId="77777777" w:rsidR="009700E5" w:rsidRDefault="002C033C">
      <w:r>
        <w:t xml:space="preserve">Ak spozorujete ktorýkoľvek z uvedených príznakov, </w:t>
      </w:r>
      <w:r>
        <w:rPr>
          <w:b/>
          <w:bCs/>
        </w:rPr>
        <w:t>čo najskôr</w:t>
      </w:r>
      <w:r>
        <w:t xml:space="preserve"> to oznámte svojmu lekárovi:</w:t>
      </w:r>
    </w:p>
    <w:p w14:paraId="275B7701" w14:textId="77777777" w:rsidR="009700E5" w:rsidRDefault="009700E5">
      <w:pPr>
        <w:rPr>
          <w:bCs/>
        </w:rPr>
      </w:pPr>
    </w:p>
    <w:p w14:paraId="7AF11E6D" w14:textId="77777777" w:rsidR="009700E5" w:rsidRDefault="002C033C">
      <w:pPr>
        <w:keepNext/>
        <w:keepLines/>
        <w:rPr>
          <w:szCs w:val="22"/>
        </w:rPr>
      </w:pPr>
      <w:r>
        <w:rPr>
          <w:b/>
          <w:szCs w:val="22"/>
        </w:rPr>
        <w:t>Veľmi časté vedľajšie účinky:</w:t>
      </w:r>
    </w:p>
    <w:p w14:paraId="0F293D3A" w14:textId="77777777" w:rsidR="009700E5" w:rsidRDefault="002C033C">
      <w:pPr>
        <w:keepNext/>
        <w:keepLines/>
        <w:rPr>
          <w:i/>
        </w:rPr>
      </w:pPr>
      <w:r>
        <w:rPr>
          <w:i/>
        </w:rPr>
        <w:t>Môžu postihovať viac ako 1 z 10 osôb</w:t>
      </w:r>
    </w:p>
    <w:p w14:paraId="3C1E96D6" w14:textId="77777777" w:rsidR="009700E5" w:rsidRDefault="002C033C">
      <w:pPr>
        <w:pStyle w:val="ListParagraph"/>
        <w:numPr>
          <w:ilvl w:val="0"/>
          <w:numId w:val="198"/>
        </w:numPr>
        <w:ind w:left="567" w:hanging="567"/>
        <w:pPrChange w:id="3973" w:author="Author" w:date="2026-02-16T13:21:00Z">
          <w:pPr>
            <w:ind w:left="567" w:hanging="567"/>
          </w:pPr>
        </w:pPrChange>
      </w:pPr>
      <w:del w:id="3974" w:author="Author" w:date="2026-02-16T13:20:00Z">
        <w:r>
          <w:delText>•</w:delText>
        </w:r>
        <w:r>
          <w:tab/>
        </w:r>
      </w:del>
      <w:r>
        <w:t>infekcie horných dýchacích ciest s typickými príznakmi ako kašeľ, upchatý nos, nádcha, bolesť v hrdle a bolesť hlavy</w:t>
      </w:r>
    </w:p>
    <w:p w14:paraId="7C8D757E" w14:textId="77777777" w:rsidR="009700E5" w:rsidRDefault="002C033C">
      <w:pPr>
        <w:pStyle w:val="ListParagraph"/>
        <w:numPr>
          <w:ilvl w:val="0"/>
          <w:numId w:val="198"/>
        </w:numPr>
        <w:ind w:left="567" w:hanging="567"/>
        <w:rPr>
          <w:szCs w:val="22"/>
        </w:rPr>
        <w:pPrChange w:id="3975" w:author="Author" w:date="2026-02-16T13:21:00Z">
          <w:pPr>
            <w:ind w:left="567" w:hanging="567"/>
          </w:pPr>
        </w:pPrChange>
      </w:pPr>
      <w:del w:id="3976" w:author="Author" w:date="2026-02-16T13:20:00Z">
        <w:r>
          <w:delText>•</w:delText>
        </w:r>
        <w:r>
          <w:tab/>
        </w:r>
      </w:del>
      <w:r>
        <w:rPr>
          <w:szCs w:val="22"/>
        </w:rPr>
        <w:t>vysoké hladiny tukov v krvi (cholesterolu)</w:t>
      </w:r>
    </w:p>
    <w:p w14:paraId="59E1563D" w14:textId="77777777" w:rsidR="009700E5" w:rsidRDefault="002C033C">
      <w:pPr>
        <w:pStyle w:val="ListParagraph"/>
        <w:numPr>
          <w:ilvl w:val="0"/>
          <w:numId w:val="198"/>
        </w:numPr>
        <w:ind w:left="567" w:hanging="567"/>
        <w:pPrChange w:id="3977" w:author="Author" w:date="2026-02-16T13:21:00Z">
          <w:pPr>
            <w:ind w:left="567" w:hanging="567"/>
          </w:pPr>
        </w:pPrChange>
      </w:pPr>
      <w:del w:id="3978" w:author="Author" w:date="2026-02-16T13:20:00Z">
        <w:r>
          <w:delText>•</w:delText>
        </w:r>
        <w:r>
          <w:tab/>
        </w:r>
      </w:del>
      <w:r>
        <w:t>reakcie v mieste vpichu</w:t>
      </w:r>
    </w:p>
    <w:p w14:paraId="34B6388E" w14:textId="77777777" w:rsidR="009700E5" w:rsidRDefault="009700E5">
      <w:pPr>
        <w:ind w:left="567" w:hanging="567"/>
        <w:pPrChange w:id="3979" w:author="Author" w:date="2026-02-16T13:21:00Z">
          <w:pPr/>
        </w:pPrChange>
      </w:pPr>
    </w:p>
    <w:p w14:paraId="4DA4639F" w14:textId="77777777" w:rsidR="009700E5" w:rsidRDefault="002C033C">
      <w:pPr>
        <w:keepNext/>
        <w:keepLines/>
        <w:rPr>
          <w:b/>
          <w:szCs w:val="22"/>
        </w:rPr>
      </w:pPr>
      <w:r>
        <w:rPr>
          <w:b/>
          <w:szCs w:val="22"/>
        </w:rPr>
        <w:t>Časté vedľajšie účinky</w:t>
      </w:r>
      <w:r>
        <w:rPr>
          <w:b/>
          <w:bCs/>
          <w:szCs w:val="22"/>
        </w:rPr>
        <w:t>:</w:t>
      </w:r>
    </w:p>
    <w:p w14:paraId="368EA1E7" w14:textId="77777777" w:rsidR="009700E5" w:rsidRDefault="002C033C">
      <w:pPr>
        <w:keepNext/>
        <w:keepLines/>
        <w:rPr>
          <w:i/>
        </w:rPr>
      </w:pPr>
      <w:r>
        <w:rPr>
          <w:i/>
        </w:rPr>
        <w:t>Môžu postihovať menej ako 1 z 10 osôb</w:t>
      </w:r>
    </w:p>
    <w:p w14:paraId="18E5FE47" w14:textId="77777777" w:rsidR="009700E5" w:rsidRDefault="002C033C">
      <w:pPr>
        <w:pStyle w:val="ListParagraph"/>
        <w:keepNext/>
        <w:keepLines/>
        <w:numPr>
          <w:ilvl w:val="0"/>
          <w:numId w:val="196"/>
        </w:numPr>
        <w:ind w:left="567" w:hanging="567"/>
        <w:pPrChange w:id="3980" w:author="Author" w:date="2026-02-16T13:21:00Z">
          <w:pPr>
            <w:keepNext/>
            <w:keepLines/>
            <w:ind w:left="567" w:hanging="567"/>
          </w:pPr>
        </w:pPrChange>
      </w:pPr>
      <w:del w:id="3981" w:author="Author" w:date="2026-02-16T13:20:00Z">
        <w:r>
          <w:delText>•</w:delText>
        </w:r>
        <w:r>
          <w:tab/>
        </w:r>
      </w:del>
      <w:r>
        <w:rPr>
          <w:bCs/>
        </w:rPr>
        <w:t xml:space="preserve">pľúcna </w:t>
      </w:r>
      <w:r>
        <w:t>infekcia (pneumónia)</w:t>
      </w:r>
    </w:p>
    <w:p w14:paraId="4A5897B9" w14:textId="77777777" w:rsidR="009700E5" w:rsidRDefault="002C033C">
      <w:pPr>
        <w:pStyle w:val="ListParagraph"/>
        <w:numPr>
          <w:ilvl w:val="0"/>
          <w:numId w:val="196"/>
        </w:numPr>
        <w:ind w:left="567" w:hanging="567"/>
        <w:pPrChange w:id="3982" w:author="Author" w:date="2026-02-16T13:21:00Z">
          <w:pPr>
            <w:ind w:left="567" w:hanging="567"/>
          </w:pPr>
        </w:pPrChange>
      </w:pPr>
      <w:del w:id="3983" w:author="Author" w:date="2026-02-16T13:20:00Z">
        <w:r>
          <w:delText>•</w:delText>
        </w:r>
        <w:r>
          <w:tab/>
        </w:r>
      </w:del>
      <w:r>
        <w:t>pásový opar (herpes zoster)</w:t>
      </w:r>
    </w:p>
    <w:p w14:paraId="43C17B4F" w14:textId="77777777" w:rsidR="009700E5" w:rsidRDefault="002C033C">
      <w:pPr>
        <w:pStyle w:val="ListParagraph"/>
        <w:numPr>
          <w:ilvl w:val="0"/>
          <w:numId w:val="196"/>
        </w:numPr>
        <w:ind w:left="567" w:hanging="567"/>
        <w:pPrChange w:id="3984" w:author="Author" w:date="2026-02-16T13:21:00Z">
          <w:pPr>
            <w:ind w:left="567" w:hanging="567"/>
          </w:pPr>
        </w:pPrChange>
      </w:pPr>
      <w:del w:id="3985" w:author="Author" w:date="2026-02-16T13:20:00Z">
        <w:r>
          <w:delText>•</w:delText>
        </w:r>
        <w:r>
          <w:tab/>
        </w:r>
      </w:del>
      <w:r>
        <w:t>opar (orálny herpes simplex), pľuzgiere</w:t>
      </w:r>
    </w:p>
    <w:p w14:paraId="70A45D23" w14:textId="77777777" w:rsidR="009700E5" w:rsidRDefault="002C033C">
      <w:pPr>
        <w:pStyle w:val="ListParagraph"/>
        <w:numPr>
          <w:ilvl w:val="0"/>
          <w:numId w:val="196"/>
        </w:numPr>
        <w:ind w:left="567" w:hanging="567"/>
        <w:pPrChange w:id="3986" w:author="Author" w:date="2026-02-16T13:21:00Z">
          <w:pPr>
            <w:ind w:left="567" w:hanging="567"/>
          </w:pPr>
        </w:pPrChange>
      </w:pPr>
      <w:del w:id="3987" w:author="Author" w:date="2026-02-16T13:20:00Z">
        <w:r>
          <w:delText>•</w:delText>
        </w:r>
        <w:r>
          <w:tab/>
        </w:r>
      </w:del>
      <w:r>
        <w:t>kožná infekcia (celulitída) niekedy s horúčkou a triaškou</w:t>
      </w:r>
    </w:p>
    <w:p w14:paraId="6C9606F1" w14:textId="77777777" w:rsidR="009700E5" w:rsidRDefault="002C033C">
      <w:pPr>
        <w:pStyle w:val="ListParagraph"/>
        <w:numPr>
          <w:ilvl w:val="0"/>
          <w:numId w:val="196"/>
        </w:numPr>
        <w:ind w:left="567" w:hanging="567"/>
        <w:pPrChange w:id="3988" w:author="Author" w:date="2026-02-16T13:21:00Z">
          <w:pPr>
            <w:ind w:left="567" w:hanging="567"/>
          </w:pPr>
        </w:pPrChange>
      </w:pPr>
      <w:del w:id="3989" w:author="Author" w:date="2026-02-16T13:20:00Z">
        <w:r>
          <w:delText>•</w:delText>
        </w:r>
        <w:r>
          <w:tab/>
        </w:r>
      </w:del>
      <w:r>
        <w:t>vyrážka a svrbenie, žihľavka</w:t>
      </w:r>
    </w:p>
    <w:p w14:paraId="529535E0" w14:textId="77777777" w:rsidR="009700E5" w:rsidRDefault="002C033C">
      <w:pPr>
        <w:pStyle w:val="ListParagraph"/>
        <w:numPr>
          <w:ilvl w:val="0"/>
          <w:numId w:val="196"/>
        </w:numPr>
        <w:ind w:left="567" w:hanging="567"/>
        <w:pPrChange w:id="3990" w:author="Author" w:date="2026-02-16T13:21:00Z">
          <w:pPr>
            <w:ind w:left="567" w:hanging="567"/>
          </w:pPr>
        </w:pPrChange>
      </w:pPr>
      <w:del w:id="3991" w:author="Author" w:date="2026-02-16T13:20:00Z">
        <w:r>
          <w:delText>•</w:delText>
        </w:r>
        <w:r>
          <w:tab/>
        </w:r>
      </w:del>
      <w:r>
        <w:t>alergické reakcie (precitlivenosť)</w:t>
      </w:r>
    </w:p>
    <w:p w14:paraId="4140A2A0" w14:textId="77777777" w:rsidR="009700E5" w:rsidRDefault="002C033C">
      <w:pPr>
        <w:pStyle w:val="ListParagraph"/>
        <w:numPr>
          <w:ilvl w:val="0"/>
          <w:numId w:val="196"/>
        </w:numPr>
        <w:ind w:left="567" w:hanging="567"/>
        <w:pPrChange w:id="3992" w:author="Author" w:date="2026-02-16T13:21:00Z">
          <w:pPr>
            <w:ind w:left="567" w:hanging="567"/>
          </w:pPr>
        </w:pPrChange>
      </w:pPr>
      <w:del w:id="3993" w:author="Author" w:date="2026-02-16T13:20:00Z">
        <w:r>
          <w:delText>•</w:delText>
        </w:r>
        <w:r>
          <w:tab/>
        </w:r>
      </w:del>
      <w:r>
        <w:t>infekcia oka (konjunktivitída)</w:t>
      </w:r>
    </w:p>
    <w:p w14:paraId="67AB9C34" w14:textId="77777777" w:rsidR="009700E5" w:rsidRDefault="002C033C">
      <w:pPr>
        <w:pStyle w:val="ListParagraph"/>
        <w:numPr>
          <w:ilvl w:val="0"/>
          <w:numId w:val="196"/>
        </w:numPr>
        <w:ind w:left="567" w:hanging="567"/>
        <w:pPrChange w:id="3994" w:author="Author" w:date="2026-02-16T13:21:00Z">
          <w:pPr>
            <w:ind w:left="567" w:hanging="567"/>
          </w:pPr>
        </w:pPrChange>
      </w:pPr>
      <w:del w:id="3995" w:author="Author" w:date="2026-02-16T13:20:00Z">
        <w:r>
          <w:delText>•</w:delText>
        </w:r>
        <w:r>
          <w:tab/>
        </w:r>
      </w:del>
      <w:r>
        <w:t>bolesť hlavy, závrat, vysoký krvný tlak</w:t>
      </w:r>
    </w:p>
    <w:p w14:paraId="3D946D0E" w14:textId="77777777" w:rsidR="009700E5" w:rsidRDefault="002C033C">
      <w:pPr>
        <w:pStyle w:val="ListParagraph"/>
        <w:numPr>
          <w:ilvl w:val="0"/>
          <w:numId w:val="196"/>
        </w:numPr>
        <w:ind w:left="567" w:hanging="567"/>
        <w:pPrChange w:id="3996" w:author="Author" w:date="2026-02-16T13:21:00Z">
          <w:pPr>
            <w:ind w:left="567" w:hanging="567"/>
          </w:pPr>
        </w:pPrChange>
      </w:pPr>
      <w:del w:id="3997" w:author="Author" w:date="2026-02-16T13:20:00Z">
        <w:r>
          <w:delText>•</w:delText>
        </w:r>
        <w:r>
          <w:tab/>
        </w:r>
      </w:del>
      <w:r>
        <w:t>vriedky v ústnej dutine, bolesť žalúdka</w:t>
      </w:r>
    </w:p>
    <w:p w14:paraId="022876B9" w14:textId="77777777" w:rsidR="009700E5" w:rsidRDefault="002C033C">
      <w:pPr>
        <w:pStyle w:val="ListParagraph"/>
        <w:numPr>
          <w:ilvl w:val="0"/>
          <w:numId w:val="196"/>
        </w:numPr>
        <w:ind w:left="567" w:hanging="567"/>
        <w:pPrChange w:id="3998" w:author="Author" w:date="2026-02-16T13:21:00Z">
          <w:pPr>
            <w:ind w:left="567" w:hanging="567"/>
          </w:pPr>
        </w:pPrChange>
      </w:pPr>
      <w:del w:id="3999" w:author="Author" w:date="2026-02-16T13:20:00Z">
        <w:r>
          <w:delText>•</w:delText>
        </w:r>
        <w:r>
          <w:tab/>
        </w:r>
      </w:del>
      <w:r>
        <w:t>zadržovanie tekutiny (opuchy) dolných končatín, zvýšenie telesnej hmotnosti</w:t>
      </w:r>
    </w:p>
    <w:p w14:paraId="655F595E" w14:textId="77777777" w:rsidR="009700E5" w:rsidRDefault="002C033C">
      <w:pPr>
        <w:pStyle w:val="ListParagraph"/>
        <w:numPr>
          <w:ilvl w:val="0"/>
          <w:numId w:val="196"/>
        </w:numPr>
        <w:ind w:left="567" w:hanging="567"/>
        <w:pPrChange w:id="4000" w:author="Author" w:date="2026-02-16T13:21:00Z">
          <w:pPr>
            <w:ind w:left="567" w:hanging="567"/>
          </w:pPr>
        </w:pPrChange>
      </w:pPr>
      <w:del w:id="4001" w:author="Author" w:date="2026-02-16T13:20:00Z">
        <w:r>
          <w:delText>•</w:delText>
        </w:r>
        <w:r>
          <w:tab/>
        </w:r>
      </w:del>
      <w:r>
        <w:t>kašeľ, skrátenie dychu</w:t>
      </w:r>
    </w:p>
    <w:p w14:paraId="15F453E7" w14:textId="77777777" w:rsidR="009700E5" w:rsidRDefault="002C033C">
      <w:pPr>
        <w:pStyle w:val="ListParagraph"/>
        <w:numPr>
          <w:ilvl w:val="0"/>
          <w:numId w:val="196"/>
        </w:numPr>
        <w:ind w:left="567" w:hanging="567"/>
        <w:pPrChange w:id="4002" w:author="Author" w:date="2026-02-16T13:21:00Z">
          <w:pPr>
            <w:ind w:left="567" w:hanging="567"/>
          </w:pPr>
        </w:pPrChange>
      </w:pPr>
      <w:del w:id="4003" w:author="Author" w:date="2026-02-16T13:20:00Z">
        <w:r>
          <w:delText>•</w:delText>
        </w:r>
        <w:r>
          <w:tab/>
        </w:r>
      </w:del>
      <w:r>
        <w:t>nízky počet bielych krviniek preukázaný krvnými vyšetreniami (neutropénia, leukopénia)</w:t>
      </w:r>
    </w:p>
    <w:p w14:paraId="59438CD9" w14:textId="77777777" w:rsidR="009700E5" w:rsidRDefault="002C033C">
      <w:pPr>
        <w:pStyle w:val="ListParagraph"/>
        <w:numPr>
          <w:ilvl w:val="0"/>
          <w:numId w:val="196"/>
        </w:numPr>
        <w:ind w:left="567" w:hanging="567"/>
        <w:pPrChange w:id="4004" w:author="Author" w:date="2026-02-16T13:21:00Z">
          <w:pPr>
            <w:ind w:left="567" w:hanging="567"/>
          </w:pPr>
        </w:pPrChange>
      </w:pPr>
      <w:del w:id="4005" w:author="Author" w:date="2026-02-16T13:20:00Z">
        <w:r>
          <w:delText>•</w:delText>
        </w:r>
        <w:r>
          <w:tab/>
        </w:r>
      </w:del>
      <w:r>
        <w:t>abnormálne hodnoty funkčných vyšetrení pečene (zvýšené transaminázy)</w:t>
      </w:r>
    </w:p>
    <w:p w14:paraId="0F7F4910" w14:textId="77777777" w:rsidR="009700E5" w:rsidRDefault="002C033C">
      <w:pPr>
        <w:pStyle w:val="ListParagraph"/>
        <w:numPr>
          <w:ilvl w:val="0"/>
          <w:numId w:val="196"/>
        </w:numPr>
        <w:ind w:left="567" w:hanging="567"/>
        <w:rPr>
          <w:szCs w:val="22"/>
        </w:rPr>
        <w:pPrChange w:id="4006" w:author="Author" w:date="2026-02-16T13:21:00Z">
          <w:pPr>
            <w:ind w:left="567" w:hanging="567"/>
          </w:pPr>
        </w:pPrChange>
      </w:pPr>
      <w:del w:id="4007" w:author="Author" w:date="2026-02-16T13:20:00Z">
        <w:r>
          <w:delText>•</w:delText>
        </w:r>
        <w:r>
          <w:tab/>
        </w:r>
      </w:del>
      <w:r>
        <w:t>zvýšený bilirubín</w:t>
      </w:r>
      <w:r>
        <w:rPr>
          <w:szCs w:val="22"/>
        </w:rPr>
        <w:t xml:space="preserve"> zistený krvnými vyšetreniami</w:t>
      </w:r>
    </w:p>
    <w:p w14:paraId="21229154" w14:textId="77777777" w:rsidR="009700E5" w:rsidRDefault="002C033C">
      <w:pPr>
        <w:pStyle w:val="ListParagraph"/>
        <w:numPr>
          <w:ilvl w:val="0"/>
          <w:numId w:val="196"/>
        </w:numPr>
        <w:ind w:left="567" w:hanging="567"/>
        <w:pPrChange w:id="4008" w:author="Author" w:date="2026-02-16T13:21:00Z">
          <w:pPr>
            <w:ind w:left="567" w:hanging="567"/>
          </w:pPr>
        </w:pPrChange>
      </w:pPr>
      <w:del w:id="4009" w:author="Author" w:date="2026-02-16T13:20:00Z">
        <w:r>
          <w:delText>•</w:delText>
        </w:r>
        <w:r>
          <w:tab/>
        </w:r>
      </w:del>
      <w:r>
        <w:t>nízke hladiny fibrinogénu v krvi (proteín, ktorý sa podieľa na zrážaní krvi)</w:t>
      </w:r>
    </w:p>
    <w:p w14:paraId="462E04EE" w14:textId="77777777" w:rsidR="009700E5" w:rsidRDefault="009700E5">
      <w:pPr>
        <w:ind w:left="567" w:hanging="567"/>
        <w:pPrChange w:id="4010" w:author="Author" w:date="2026-02-16T13:21:00Z">
          <w:pPr/>
        </w:pPrChange>
      </w:pPr>
    </w:p>
    <w:p w14:paraId="6E7FE7E3" w14:textId="77777777" w:rsidR="009700E5" w:rsidRDefault="002C033C">
      <w:pPr>
        <w:keepNext/>
        <w:keepLines/>
        <w:ind w:right="-29"/>
        <w:outlineLvl w:val="0"/>
        <w:rPr>
          <w:szCs w:val="22"/>
        </w:rPr>
      </w:pPr>
      <w:r>
        <w:rPr>
          <w:b/>
          <w:szCs w:val="22"/>
        </w:rPr>
        <w:t>Menej časté vedľajšie účinky</w:t>
      </w:r>
      <w:r>
        <w:rPr>
          <w:b/>
          <w:bCs/>
          <w:szCs w:val="22"/>
        </w:rPr>
        <w:t>:</w:t>
      </w:r>
    </w:p>
    <w:p w14:paraId="3BEFEFF8" w14:textId="77777777" w:rsidR="009700E5" w:rsidRDefault="002C033C">
      <w:pPr>
        <w:keepNext/>
        <w:keepLines/>
        <w:rPr>
          <w:i/>
        </w:rPr>
      </w:pPr>
      <w:r>
        <w:rPr>
          <w:i/>
        </w:rPr>
        <w:t>Môžu postihovať menej ako 1 zo 100 osôb</w:t>
      </w:r>
    </w:p>
    <w:p w14:paraId="7ED5C459" w14:textId="77777777" w:rsidR="009700E5" w:rsidRDefault="002C033C">
      <w:pPr>
        <w:pStyle w:val="ListParagraph"/>
        <w:keepNext/>
        <w:keepLines/>
        <w:numPr>
          <w:ilvl w:val="0"/>
          <w:numId w:val="200"/>
        </w:numPr>
        <w:ind w:left="709" w:hanging="709"/>
        <w:pPrChange w:id="4011" w:author="Author" w:date="2026-02-16T13:20:00Z">
          <w:pPr>
            <w:keepNext/>
            <w:keepLines/>
            <w:ind w:left="567" w:hanging="567"/>
          </w:pPr>
        </w:pPrChange>
      </w:pPr>
      <w:del w:id="4012" w:author="Author" w:date="2026-02-16T13:20:00Z">
        <w:r>
          <w:delText>•</w:delText>
        </w:r>
        <w:r>
          <w:tab/>
        </w:r>
      </w:del>
      <w:r>
        <w:t>divertikulitída (horúčka, nevoľnosť, hnačka, zápcha, bolesť žalúdka)</w:t>
      </w:r>
    </w:p>
    <w:p w14:paraId="69DA8091" w14:textId="77777777" w:rsidR="009700E5" w:rsidRDefault="002C033C">
      <w:pPr>
        <w:pStyle w:val="ListParagraph"/>
        <w:keepNext/>
        <w:keepLines/>
        <w:numPr>
          <w:ilvl w:val="0"/>
          <w:numId w:val="200"/>
        </w:numPr>
        <w:ind w:left="709" w:hanging="709"/>
        <w:pPrChange w:id="4013" w:author="Author" w:date="2026-02-16T13:20:00Z">
          <w:pPr>
            <w:keepNext/>
            <w:keepLines/>
            <w:ind w:left="567" w:hanging="567"/>
          </w:pPr>
        </w:pPrChange>
      </w:pPr>
      <w:del w:id="4014" w:author="Author" w:date="2026-02-16T13:20:00Z">
        <w:r>
          <w:delText>•</w:delText>
        </w:r>
        <w:r>
          <w:tab/>
        </w:r>
      </w:del>
      <w:r>
        <w:t>červené, opuchnuté miesta v ústach</w:t>
      </w:r>
    </w:p>
    <w:p w14:paraId="7E832CCA" w14:textId="77777777" w:rsidR="009700E5" w:rsidRDefault="002C033C">
      <w:pPr>
        <w:pStyle w:val="ListParagraph"/>
        <w:numPr>
          <w:ilvl w:val="0"/>
          <w:numId w:val="200"/>
        </w:numPr>
        <w:ind w:left="709" w:hanging="709"/>
        <w:pPrChange w:id="4015" w:author="Author" w:date="2026-02-16T13:20:00Z">
          <w:pPr>
            <w:ind w:left="567" w:hanging="567"/>
          </w:pPr>
        </w:pPrChange>
      </w:pPr>
      <w:del w:id="4016" w:author="Author" w:date="2026-02-16T13:20:00Z">
        <w:r>
          <w:delText>•</w:delText>
        </w:r>
        <w:r>
          <w:tab/>
        </w:r>
      </w:del>
      <w:r>
        <w:t>vysoká hladina tukov v krvi (triacylglycerolov)</w:t>
      </w:r>
    </w:p>
    <w:p w14:paraId="095A33BA" w14:textId="77777777" w:rsidR="009700E5" w:rsidRDefault="002C033C">
      <w:pPr>
        <w:pStyle w:val="ListParagraph"/>
        <w:numPr>
          <w:ilvl w:val="0"/>
          <w:numId w:val="200"/>
        </w:numPr>
        <w:ind w:left="709" w:hanging="709"/>
        <w:pPrChange w:id="4017" w:author="Author" w:date="2026-02-16T13:20:00Z">
          <w:pPr>
            <w:ind w:left="567" w:hanging="567"/>
          </w:pPr>
        </w:pPrChange>
      </w:pPr>
      <w:del w:id="4018" w:author="Author" w:date="2026-02-16T13:20:00Z">
        <w:r>
          <w:delText>•</w:delText>
        </w:r>
        <w:r>
          <w:tab/>
        </w:r>
      </w:del>
      <w:r>
        <w:t>žalúdočný vred</w:t>
      </w:r>
    </w:p>
    <w:p w14:paraId="647F213D" w14:textId="77777777" w:rsidR="009700E5" w:rsidRDefault="002C033C">
      <w:pPr>
        <w:pStyle w:val="ListParagraph"/>
        <w:numPr>
          <w:ilvl w:val="0"/>
          <w:numId w:val="200"/>
        </w:numPr>
        <w:ind w:left="709" w:hanging="709"/>
        <w:pPrChange w:id="4019" w:author="Author" w:date="2026-02-16T13:20:00Z">
          <w:pPr>
            <w:ind w:left="567" w:hanging="567"/>
          </w:pPr>
        </w:pPrChange>
      </w:pPr>
      <w:del w:id="4020" w:author="Author" w:date="2026-02-16T13:20:00Z">
        <w:r>
          <w:delText>•</w:delText>
        </w:r>
        <w:r>
          <w:tab/>
        </w:r>
      </w:del>
      <w:r>
        <w:t>obličkové kamene</w:t>
      </w:r>
    </w:p>
    <w:p w14:paraId="7C2B039D" w14:textId="77777777" w:rsidR="009700E5" w:rsidRDefault="002C033C">
      <w:pPr>
        <w:pStyle w:val="ListParagraph"/>
        <w:numPr>
          <w:ilvl w:val="0"/>
          <w:numId w:val="200"/>
        </w:numPr>
        <w:ind w:left="709" w:hanging="709"/>
        <w:pPrChange w:id="4021" w:author="Author" w:date="2026-02-16T13:20:00Z">
          <w:pPr>
            <w:ind w:left="567" w:hanging="567"/>
          </w:pPr>
        </w:pPrChange>
      </w:pPr>
      <w:del w:id="4022" w:author="Author" w:date="2026-02-16T13:20:00Z">
        <w:r>
          <w:delText>•</w:delText>
        </w:r>
        <w:r>
          <w:tab/>
        </w:r>
      </w:del>
      <w:r>
        <w:t>znížená funkcia štítnej žľazy</w:t>
      </w:r>
    </w:p>
    <w:p w14:paraId="193691CD" w14:textId="77777777" w:rsidR="009700E5" w:rsidRDefault="009700E5">
      <w:pPr>
        <w:textAlignment w:val="top"/>
        <w:rPr>
          <w:rFonts w:eastAsia="SimSun"/>
          <w:b/>
          <w:color w:val="000000"/>
          <w:szCs w:val="22"/>
          <w:lang w:eastAsia="zh-CN"/>
        </w:rPr>
      </w:pPr>
    </w:p>
    <w:p w14:paraId="5D843160" w14:textId="77777777" w:rsidR="009700E5" w:rsidRDefault="002C033C">
      <w:pPr>
        <w:ind w:left="567" w:hanging="567"/>
        <w:rPr>
          <w:b/>
          <w:bCs/>
          <w:szCs w:val="22"/>
        </w:rPr>
      </w:pPr>
      <w:r>
        <w:rPr>
          <w:b/>
          <w:szCs w:val="22"/>
        </w:rPr>
        <w:t>Zriedkavé vedľajšie účinky</w:t>
      </w:r>
      <w:r>
        <w:rPr>
          <w:b/>
          <w:bCs/>
          <w:szCs w:val="22"/>
        </w:rPr>
        <w:t>:</w:t>
      </w:r>
    </w:p>
    <w:p w14:paraId="336709CA" w14:textId="77777777" w:rsidR="009700E5" w:rsidRDefault="002C033C">
      <w:pPr>
        <w:ind w:left="567" w:hanging="567"/>
        <w:rPr>
          <w:b/>
          <w:bCs/>
          <w:szCs w:val="22"/>
        </w:rPr>
      </w:pPr>
      <w:r>
        <w:rPr>
          <w:i/>
        </w:rPr>
        <w:t>Môžu postihovať menej ako 1 z 1 000 osôb</w:t>
      </w:r>
    </w:p>
    <w:p w14:paraId="12EF6307" w14:textId="77777777" w:rsidR="009700E5" w:rsidRDefault="002C033C">
      <w:pPr>
        <w:pStyle w:val="ListParagraph"/>
        <w:numPr>
          <w:ilvl w:val="0"/>
          <w:numId w:val="202"/>
        </w:numPr>
        <w:ind w:left="567" w:hanging="567"/>
        <w:rPr>
          <w:color w:val="222222"/>
          <w:szCs w:val="22"/>
          <w:shd w:val="clear" w:color="auto" w:fill="FFFFFF"/>
        </w:rPr>
        <w:pPrChange w:id="4023" w:author="Author" w:date="2026-02-16T13:21:00Z">
          <w:pPr>
            <w:ind w:left="567" w:hanging="567"/>
          </w:pPr>
        </w:pPrChange>
      </w:pPr>
      <w:del w:id="4024" w:author="Author" w:date="2026-02-16T13:21:00Z">
        <w:r>
          <w:delText>•</w:delText>
        </w:r>
        <w:r>
          <w:tab/>
        </w:r>
      </w:del>
      <w:r>
        <w:t>Stevensov</w:t>
      </w:r>
      <w:r>
        <w:noBreakHyphen/>
        <w:t xml:space="preserve">Johnsonov syndróm </w:t>
      </w:r>
      <w:r>
        <w:rPr>
          <w:szCs w:val="22"/>
        </w:rPr>
        <w:t>(kožná vyrážka, ktorá môže spôsobiť závažné pálenie a olupovanie kože</w:t>
      </w:r>
      <w:r>
        <w:rPr>
          <w:color w:val="222222"/>
          <w:szCs w:val="22"/>
          <w:shd w:val="clear" w:color="auto" w:fill="FFFFFF"/>
        </w:rPr>
        <w:t>)</w:t>
      </w:r>
    </w:p>
    <w:p w14:paraId="04B6B274" w14:textId="77777777" w:rsidR="009700E5" w:rsidRDefault="002C033C">
      <w:pPr>
        <w:pStyle w:val="ListParagraph"/>
        <w:numPr>
          <w:ilvl w:val="0"/>
          <w:numId w:val="202"/>
        </w:numPr>
        <w:ind w:left="567" w:hanging="567"/>
        <w:rPr>
          <w:color w:val="222222"/>
          <w:szCs w:val="22"/>
          <w:shd w:val="clear" w:color="auto" w:fill="FFFFFF"/>
        </w:rPr>
        <w:pPrChange w:id="4025" w:author="Author" w:date="2026-02-16T13:21:00Z">
          <w:pPr>
            <w:ind w:left="567" w:hanging="567"/>
          </w:pPr>
        </w:pPrChange>
      </w:pPr>
      <w:del w:id="4026" w:author="Author" w:date="2026-02-16T13:21:00Z">
        <w:r>
          <w:delText>•</w:delText>
        </w:r>
        <w:r>
          <w:tab/>
        </w:r>
      </w:del>
      <w:r>
        <w:t>smrteľné alergické reakcie (anafylaxia)</w:t>
      </w:r>
    </w:p>
    <w:p w14:paraId="6FE8B460" w14:textId="77777777" w:rsidR="009700E5" w:rsidRDefault="002C033C">
      <w:pPr>
        <w:pStyle w:val="ListParagraph"/>
        <w:numPr>
          <w:ilvl w:val="0"/>
          <w:numId w:val="202"/>
        </w:numPr>
        <w:ind w:left="567" w:hanging="567"/>
        <w:pPrChange w:id="4027" w:author="Author" w:date="2026-02-16T13:21:00Z">
          <w:pPr>
            <w:ind w:left="567" w:hanging="567"/>
          </w:pPr>
        </w:pPrChange>
      </w:pPr>
      <w:del w:id="4028" w:author="Author" w:date="2026-02-16T13:21:00Z">
        <w:r>
          <w:delText>•</w:delText>
        </w:r>
        <w:r>
          <w:tab/>
        </w:r>
      </w:del>
      <w:r>
        <w:t>zápal pečene (hepatitída), žltačka</w:t>
      </w:r>
    </w:p>
    <w:p w14:paraId="4D5CB578" w14:textId="77777777" w:rsidR="009700E5" w:rsidRDefault="009700E5">
      <w:pPr>
        <w:textAlignment w:val="top"/>
        <w:rPr>
          <w:rFonts w:eastAsia="SimSun"/>
          <w:b/>
          <w:color w:val="000000"/>
          <w:szCs w:val="22"/>
          <w:lang w:eastAsia="zh-CN"/>
        </w:rPr>
      </w:pPr>
    </w:p>
    <w:p w14:paraId="78AA9A53" w14:textId="77777777" w:rsidR="009700E5" w:rsidRDefault="002C033C">
      <w:pPr>
        <w:textAlignment w:val="top"/>
        <w:rPr>
          <w:rFonts w:eastAsia="SimSun"/>
          <w:b/>
          <w:color w:val="000000"/>
          <w:szCs w:val="22"/>
          <w:lang w:eastAsia="zh-CN"/>
        </w:rPr>
      </w:pPr>
      <w:r>
        <w:rPr>
          <w:rFonts w:eastAsia="SimSun"/>
          <w:b/>
          <w:color w:val="000000"/>
          <w:szCs w:val="22"/>
          <w:lang w:eastAsia="zh-CN"/>
        </w:rPr>
        <w:t>Veľmi zriedkavé vedľajšie účinky:</w:t>
      </w:r>
    </w:p>
    <w:p w14:paraId="43EF6B45" w14:textId="77777777" w:rsidR="009700E5" w:rsidRDefault="002C033C">
      <w:pPr>
        <w:rPr>
          <w:i/>
        </w:rPr>
      </w:pPr>
      <w:r>
        <w:rPr>
          <w:i/>
        </w:rPr>
        <w:t>Môžu postihovať menej ako 1 z 10 000 osôb</w:t>
      </w:r>
    </w:p>
    <w:p w14:paraId="52F31F7D" w14:textId="77777777" w:rsidR="009700E5" w:rsidRDefault="002C033C">
      <w:pPr>
        <w:pStyle w:val="ListParagraph"/>
        <w:numPr>
          <w:ilvl w:val="0"/>
          <w:numId w:val="204"/>
        </w:numPr>
        <w:ind w:left="567" w:hanging="567"/>
        <w:pPrChange w:id="4029" w:author="Author" w:date="2026-02-16T13:21:00Z">
          <w:pPr>
            <w:ind w:left="567" w:hanging="567"/>
          </w:pPr>
        </w:pPrChange>
      </w:pPr>
      <w:del w:id="4030" w:author="Author" w:date="2026-02-16T13:21:00Z">
        <w:r>
          <w:delText>•</w:delText>
        </w:r>
        <w:r>
          <w:tab/>
        </w:r>
      </w:del>
      <w:r>
        <w:t>nízke počty bielych krviniek, červených krviniek a krvných doštičiek v krvných vyšetreniach</w:t>
      </w:r>
    </w:p>
    <w:p w14:paraId="540BEE0D" w14:textId="77777777" w:rsidR="009700E5" w:rsidRDefault="002C033C">
      <w:pPr>
        <w:pStyle w:val="ListParagraph"/>
        <w:numPr>
          <w:ilvl w:val="0"/>
          <w:numId w:val="204"/>
        </w:numPr>
        <w:ind w:left="567" w:hanging="567"/>
        <w:pPrChange w:id="4031" w:author="Author" w:date="2026-02-16T13:21:00Z">
          <w:pPr>
            <w:ind w:left="567" w:hanging="567"/>
          </w:pPr>
        </w:pPrChange>
      </w:pPr>
      <w:del w:id="4032" w:author="Author" w:date="2026-02-16T13:21:00Z">
        <w:r>
          <w:delText>•</w:delText>
        </w:r>
        <w:r>
          <w:tab/>
        </w:r>
      </w:del>
      <w:r>
        <w:t>zlyhanie pečene</w:t>
      </w:r>
    </w:p>
    <w:p w14:paraId="68B85B49" w14:textId="77777777" w:rsidR="009700E5" w:rsidRDefault="009700E5">
      <w:pPr>
        <w:ind w:right="-29"/>
        <w:outlineLvl w:val="0"/>
        <w:rPr>
          <w:szCs w:val="22"/>
        </w:rPr>
      </w:pPr>
    </w:p>
    <w:p w14:paraId="0392F550" w14:textId="77777777" w:rsidR="009700E5" w:rsidRDefault="002C033C">
      <w:pPr>
        <w:keepNext/>
        <w:keepLines/>
        <w:ind w:right="-29"/>
        <w:outlineLvl w:val="0"/>
        <w:rPr>
          <w:b/>
          <w:szCs w:val="22"/>
        </w:rPr>
        <w:pPrChange w:id="4033" w:author="TCS" w:date="2026-02-25T23:05:00Z">
          <w:pPr>
            <w:ind w:right="-29"/>
            <w:outlineLvl w:val="0"/>
          </w:pPr>
        </w:pPrChange>
      </w:pPr>
      <w:bookmarkStart w:id="4034" w:name="_Hlk498334093"/>
      <w:r>
        <w:rPr>
          <w:b/>
          <w:szCs w:val="22"/>
        </w:rPr>
        <w:lastRenderedPageBreak/>
        <w:t>Vedľajšie účinky u detí a dospievajúcich so sJIA alebo pJIA</w:t>
      </w:r>
    </w:p>
    <w:p w14:paraId="37D99FDB" w14:textId="77777777" w:rsidR="009700E5" w:rsidRDefault="002C033C">
      <w:pPr>
        <w:keepNext/>
        <w:keepLines/>
        <w:ind w:right="-29"/>
        <w:outlineLvl w:val="0"/>
        <w:rPr>
          <w:szCs w:val="22"/>
        </w:rPr>
        <w:pPrChange w:id="4035" w:author="TCS" w:date="2026-02-25T23:05:00Z">
          <w:pPr>
            <w:ind w:right="-29"/>
            <w:outlineLvl w:val="0"/>
          </w:pPr>
        </w:pPrChange>
      </w:pPr>
      <w:r>
        <w:rPr>
          <w:szCs w:val="22"/>
        </w:rPr>
        <w:t>Vedľajšie účinky u detí a dospievajúcich so</w:t>
      </w:r>
      <w:r>
        <w:t> sJIA alebo pJIA sú vo všeobecnosti podobné vedľajším účinkom u dospelých. Niektoré vedľajšie účinky sú u detí a dospievajúcich pozorované častejšie: zápal nosovej dutiny a hrdla, bolesti hlavy, pocit nevoľnosti (nauzea) a nižší počet bielych krviniek.</w:t>
      </w:r>
    </w:p>
    <w:bookmarkEnd w:id="4034"/>
    <w:p w14:paraId="32D66B54" w14:textId="77777777" w:rsidR="009700E5" w:rsidRDefault="009700E5">
      <w:pPr>
        <w:ind w:right="-29"/>
        <w:outlineLvl w:val="0"/>
        <w:rPr>
          <w:szCs w:val="22"/>
        </w:rPr>
      </w:pPr>
    </w:p>
    <w:p w14:paraId="66E03607" w14:textId="77777777" w:rsidR="009700E5" w:rsidRDefault="002C033C">
      <w:pPr>
        <w:keepNext/>
        <w:keepLines/>
        <w:numPr>
          <w:ilvl w:val="12"/>
          <w:numId w:val="0"/>
        </w:numPr>
        <w:tabs>
          <w:tab w:val="left" w:pos="720"/>
        </w:tabs>
        <w:rPr>
          <w:b/>
          <w:szCs w:val="22"/>
        </w:rPr>
      </w:pPr>
      <w:r>
        <w:rPr>
          <w:b/>
          <w:szCs w:val="22"/>
        </w:rPr>
        <w:t>Hlásenie vedľajších účinkov</w:t>
      </w:r>
    </w:p>
    <w:p w14:paraId="42859371" w14:textId="77777777" w:rsidR="009700E5" w:rsidRDefault="002C033C">
      <w:pPr>
        <w:keepNext/>
        <w:keepLines/>
        <w:numPr>
          <w:ilvl w:val="12"/>
          <w:numId w:val="0"/>
        </w:numPr>
        <w:ind w:right="-2"/>
        <w:rPr>
          <w:szCs w:val="22"/>
        </w:rPr>
      </w:pPr>
      <w:r>
        <w:rPr>
          <w:szCs w:val="22"/>
        </w:rPr>
        <w:t xml:space="preserve">Ak sa u vás vyskytne akýkoľvek vedľajší účinok, obráťte sa na svojho lekára, lekárnika alebo zdravotnú sestru. To sa týka aj akýchkoľvek vedľajších účinkov, ktoré nie sú uvedené v tejto písomnej informácii. Vedľajšie účinky môžete hlásiť aj priamo na </w:t>
      </w:r>
      <w:r>
        <w:rPr>
          <w:rFonts w:cs="Calibri"/>
          <w:snapToGrid w:val="0"/>
          <w:highlight w:val="lightGray"/>
        </w:rPr>
        <w:t>národné centrum hlásenia uvedené v </w:t>
      </w:r>
      <w:hyperlink r:id="rId17" w:history="1">
        <w:r>
          <w:rPr>
            <w:rStyle w:val="Hyperlink"/>
            <w:rFonts w:cs="Calibri"/>
            <w:color w:val="0033CC"/>
            <w:highlight w:val="lightGray"/>
          </w:rPr>
          <w:t>Prílohe V</w:t>
        </w:r>
      </w:hyperlink>
      <w:r>
        <w:rPr>
          <w:szCs w:val="22"/>
        </w:rPr>
        <w:t>. Hlásením vedľajších účinkov môžete prispieť k získaniu ďalších informácií o bezpečnosti tohto lieku.</w:t>
      </w:r>
    </w:p>
    <w:p w14:paraId="19763B48" w14:textId="77777777" w:rsidR="009700E5" w:rsidRDefault="009700E5"/>
    <w:p w14:paraId="67CCFBD7" w14:textId="77777777" w:rsidR="009700E5" w:rsidRDefault="009700E5"/>
    <w:p w14:paraId="3DE65A45" w14:textId="77777777" w:rsidR="009700E5" w:rsidRDefault="002C033C">
      <w:pPr>
        <w:keepNext/>
        <w:keepLines/>
        <w:rPr>
          <w:szCs w:val="22"/>
        </w:rPr>
      </w:pPr>
      <w:r>
        <w:rPr>
          <w:b/>
          <w:szCs w:val="22"/>
        </w:rPr>
        <w:t>5.</w:t>
      </w:r>
      <w:r>
        <w:rPr>
          <w:b/>
          <w:szCs w:val="22"/>
        </w:rPr>
        <w:tab/>
        <w:t xml:space="preserve">Ako uchovávať </w:t>
      </w:r>
      <w:r>
        <w:rPr>
          <w:b/>
          <w:caps/>
          <w:szCs w:val="22"/>
        </w:rPr>
        <w:t>r</w:t>
      </w:r>
      <w:r>
        <w:rPr>
          <w:b/>
          <w:szCs w:val="22"/>
        </w:rPr>
        <w:t>o</w:t>
      </w:r>
      <w:r>
        <w:rPr>
          <w:b/>
          <w:caps/>
          <w:szCs w:val="22"/>
        </w:rPr>
        <w:t>a</w:t>
      </w:r>
      <w:r>
        <w:rPr>
          <w:b/>
          <w:szCs w:val="22"/>
        </w:rPr>
        <w:t>ctemru</w:t>
      </w:r>
    </w:p>
    <w:p w14:paraId="4921E9E0" w14:textId="77777777" w:rsidR="009700E5" w:rsidRDefault="009700E5">
      <w:pPr>
        <w:keepNext/>
        <w:keepLines/>
      </w:pPr>
    </w:p>
    <w:p w14:paraId="351603ED" w14:textId="77777777" w:rsidR="009700E5" w:rsidRDefault="002C033C">
      <w:pPr>
        <w:keepNext/>
        <w:keepLines/>
      </w:pPr>
      <w:r>
        <w:rPr>
          <w:bCs/>
        </w:rPr>
        <w:t xml:space="preserve">Tento liek </w:t>
      </w:r>
      <w:r>
        <w:t>uchovávajte mimo dohľadu a dosahu detí.</w:t>
      </w:r>
    </w:p>
    <w:p w14:paraId="28A174DD" w14:textId="77777777" w:rsidR="009700E5" w:rsidRDefault="009700E5"/>
    <w:p w14:paraId="550D0CFD" w14:textId="77777777" w:rsidR="009700E5" w:rsidRDefault="002C033C">
      <w:r>
        <w:t>Nepoužívajte tento liek po dátume exspirácie, ktorý je uvedený na označení naplnenej injekčnej striekačky a na škatuli po EXP. Dátum exspirácie sa vzťahuje na posledný deň v danom mesiaci.</w:t>
      </w:r>
    </w:p>
    <w:p w14:paraId="70B8236B" w14:textId="77777777" w:rsidR="009700E5" w:rsidRDefault="009700E5"/>
    <w:p w14:paraId="6333B415" w14:textId="77777777" w:rsidR="009700E5" w:rsidRDefault="002C033C">
      <w:r>
        <w:t>Uchovávajte v chladničke (2 °C </w:t>
      </w:r>
      <w:r>
        <w:noBreakHyphen/>
        <w:t> 8 °C). Neuchovávajte v mrazničke. Po vybratí z chladničky možno naplnenú injekčnú striekačku uchovávať až 2 týždne pri teplote do 30 °C.</w:t>
      </w:r>
    </w:p>
    <w:p w14:paraId="51907F57" w14:textId="77777777" w:rsidR="009700E5" w:rsidRDefault="009700E5"/>
    <w:p w14:paraId="2F721428" w14:textId="77777777" w:rsidR="009700E5" w:rsidRDefault="002C033C">
      <w:r>
        <w:t>Naplnené injekčné striekačky uchovávajte vo vonkajšom obale na ochranu pred svetlom a vlhkosťou.</w:t>
      </w:r>
    </w:p>
    <w:p w14:paraId="467C1D6B" w14:textId="77777777" w:rsidR="009700E5" w:rsidRDefault="009700E5"/>
    <w:p w14:paraId="22817860" w14:textId="77777777" w:rsidR="009700E5" w:rsidRDefault="002C033C">
      <w:r>
        <w:rPr>
          <w:rFonts w:eastAsia="SimSun"/>
          <w:szCs w:val="22"/>
          <w:lang w:eastAsia="zh-CN"/>
        </w:rPr>
        <w:t>Nepoužívajte, ak je liek zakalený alebo obsahuje čiastočky, ak má inú farbu než bezfarebnú až svetložltkastú, alebo ak ktorákoľvek časť naplnenej injekčnej striekačky javí známky poškodenia.</w:t>
      </w:r>
    </w:p>
    <w:p w14:paraId="5BF3C0EE" w14:textId="77777777" w:rsidR="009700E5" w:rsidRDefault="009700E5"/>
    <w:p w14:paraId="313D644C" w14:textId="77777777" w:rsidR="009700E5" w:rsidRDefault="002C033C">
      <w:pPr>
        <w:rPr>
          <w:color w:val="222222"/>
          <w:szCs w:val="22"/>
          <w:lang w:eastAsia="zh-CN"/>
        </w:rPr>
      </w:pPr>
      <w:r>
        <w:rPr>
          <w:szCs w:val="22"/>
        </w:rPr>
        <w:t xml:space="preserve">Naplnenou striekačkou sa nemá triasť. </w:t>
      </w:r>
      <w:r>
        <w:rPr>
          <w:rFonts w:eastAsia="SimSun"/>
          <w:szCs w:val="22"/>
          <w:lang w:eastAsia="zh-CN"/>
        </w:rPr>
        <w:t>Po odstránení viečka sa musí injekcia začať podávať do 5 minút, aby sa zabránilo vysušeniu lieku a zablokovaniu ihly. Ak sa naplnená striekačka nepoužije do 5 minút, musí sa vyhodiť do nádoby odolnej proti prepichnutiu a musí sa použiť nová naplnená striekačka.</w:t>
      </w:r>
    </w:p>
    <w:p w14:paraId="1B3D786D" w14:textId="77777777" w:rsidR="009700E5" w:rsidRDefault="009700E5">
      <w:pPr>
        <w:rPr>
          <w:color w:val="222222"/>
          <w:szCs w:val="22"/>
          <w:lang w:eastAsia="zh-CN"/>
        </w:rPr>
      </w:pPr>
    </w:p>
    <w:p w14:paraId="2041A5A5" w14:textId="77777777" w:rsidR="009700E5" w:rsidRDefault="002C033C">
      <w:pPr>
        <w:rPr>
          <w:color w:val="222222"/>
          <w:szCs w:val="22"/>
          <w:lang w:eastAsia="zh-CN"/>
        </w:rPr>
      </w:pPr>
      <w:r>
        <w:rPr>
          <w:color w:val="222222"/>
          <w:szCs w:val="22"/>
          <w:lang w:eastAsia="zh-CN"/>
        </w:rPr>
        <w:t>Ak po zavedení ihly nemôžete zatlačit piest, naplnenú striekačku musíte vyhodiť do nádoby odolnej proti prepichnutiu a použiť novú naplnenú striekačku.</w:t>
      </w:r>
    </w:p>
    <w:p w14:paraId="117C7FB0" w14:textId="77777777" w:rsidR="009700E5" w:rsidRDefault="009700E5"/>
    <w:p w14:paraId="703B471F" w14:textId="77777777" w:rsidR="009700E5" w:rsidRDefault="009700E5"/>
    <w:p w14:paraId="2D245557" w14:textId="77777777" w:rsidR="009700E5" w:rsidRDefault="002C033C">
      <w:pPr>
        <w:rPr>
          <w:b/>
          <w:szCs w:val="22"/>
        </w:rPr>
      </w:pPr>
      <w:r>
        <w:rPr>
          <w:b/>
          <w:szCs w:val="22"/>
        </w:rPr>
        <w:t>6.</w:t>
      </w:r>
      <w:r>
        <w:rPr>
          <w:b/>
          <w:szCs w:val="22"/>
        </w:rPr>
        <w:tab/>
        <w:t>Obsah balenia a ďalšie informácie</w:t>
      </w:r>
    </w:p>
    <w:p w14:paraId="65EAC5CB" w14:textId="77777777" w:rsidR="009700E5" w:rsidRDefault="009700E5">
      <w:pPr>
        <w:rPr>
          <w:b/>
          <w:bCs/>
          <w:szCs w:val="22"/>
        </w:rPr>
      </w:pPr>
    </w:p>
    <w:p w14:paraId="7AB2D8C1" w14:textId="77777777" w:rsidR="009700E5" w:rsidRDefault="002C033C">
      <w:pPr>
        <w:rPr>
          <w:b/>
          <w:bCs/>
          <w:szCs w:val="22"/>
        </w:rPr>
      </w:pPr>
      <w:r>
        <w:rPr>
          <w:b/>
          <w:bCs/>
          <w:szCs w:val="22"/>
        </w:rPr>
        <w:t>Čo RoActemra obsahuje</w:t>
      </w:r>
    </w:p>
    <w:p w14:paraId="3A32666A" w14:textId="77777777" w:rsidR="009700E5" w:rsidRDefault="002C033C">
      <w:pPr>
        <w:pStyle w:val="ListParagraph"/>
        <w:numPr>
          <w:ilvl w:val="1"/>
          <w:numId w:val="295"/>
        </w:numPr>
        <w:ind w:left="567" w:hanging="567"/>
        <w:pPrChange w:id="4036" w:author="Author" w:date="2026-02-18T14:27:00Z">
          <w:pPr>
            <w:ind w:left="567" w:hanging="567"/>
          </w:pPr>
        </w:pPrChange>
      </w:pPr>
      <w:del w:id="4037" w:author="Author" w:date="2026-02-18T14:27:00Z">
        <w:r>
          <w:delText>•</w:delText>
        </w:r>
        <w:r>
          <w:tab/>
        </w:r>
      </w:del>
      <w:r>
        <w:t>Liečivo je tocilizumab.</w:t>
      </w:r>
    </w:p>
    <w:p w14:paraId="3A8FC58D" w14:textId="77777777" w:rsidR="009700E5" w:rsidRDefault="002C033C">
      <w:pPr>
        <w:ind w:left="567" w:hanging="567"/>
        <w:pPrChange w:id="4038" w:author="Author" w:date="2026-02-18T14:30:00Z">
          <w:pPr>
            <w:ind w:left="567"/>
          </w:pPr>
        </w:pPrChange>
      </w:pPr>
      <w:r>
        <w:t>Každá naplnená injekčná striekačka obsahuje 162 mg tocilizumabu v 0,9 ml.</w:t>
      </w:r>
    </w:p>
    <w:p w14:paraId="389A9248" w14:textId="77777777" w:rsidR="009700E5" w:rsidRDefault="009700E5">
      <w:pPr>
        <w:ind w:left="567" w:hanging="425"/>
        <w:pPrChange w:id="4039" w:author="Author" w:date="2025-07-20T21:41:00Z">
          <w:pPr>
            <w:ind w:left="567" w:hanging="567"/>
          </w:pPr>
        </w:pPrChange>
      </w:pPr>
    </w:p>
    <w:p w14:paraId="1CEAA8C1" w14:textId="77777777" w:rsidR="009700E5" w:rsidRDefault="002C033C">
      <w:pPr>
        <w:pStyle w:val="ListParagraph"/>
        <w:numPr>
          <w:ilvl w:val="1"/>
          <w:numId w:val="297"/>
        </w:numPr>
        <w:ind w:left="709" w:hanging="709"/>
        <w:outlineLvl w:val="0"/>
        <w:rPr>
          <w:bCs/>
        </w:rPr>
        <w:pPrChange w:id="4040" w:author="Author" w:date="2026-02-18T14:28:00Z">
          <w:pPr>
            <w:ind w:left="567" w:hanging="567"/>
            <w:outlineLvl w:val="0"/>
          </w:pPr>
        </w:pPrChange>
      </w:pPr>
      <w:del w:id="4041" w:author="Author" w:date="2026-02-18T14:28:00Z">
        <w:r>
          <w:delText>•</w:delText>
        </w:r>
        <w:r>
          <w:tab/>
        </w:r>
      </w:del>
      <w:r>
        <w:t>Ďalšie zložky sú</w:t>
      </w:r>
      <w:r>
        <w:rPr>
          <w:bCs/>
        </w:rPr>
        <w:t xml:space="preserve"> h</w:t>
      </w:r>
      <w:r>
        <w:rPr>
          <w:bCs/>
          <w:szCs w:val="22"/>
        </w:rPr>
        <w:t>istidín, monohydrát histidíniumchloridu, arginín/arginíniumchlorid, metionín, p</w:t>
      </w:r>
      <w:r>
        <w:rPr>
          <w:bCs/>
        </w:rPr>
        <w:t>olysorbát 80 a voda na injekcie (pozri časť 2 „RoActemra obsahuje polysorbát</w:t>
      </w:r>
      <w:ins w:id="4042" w:author="Author" w:date="2025-07-20T21:41:00Z">
        <w:r>
          <w:rPr>
            <w:bCs/>
          </w:rPr>
          <w:t xml:space="preserve"> 80 (E</w:t>
        </w:r>
      </w:ins>
      <w:ins w:id="4043" w:author="Author" w:date="2025-07-21T11:17:00Z">
        <w:r>
          <w:rPr>
            <w:bCs/>
          </w:rPr>
          <w:t> </w:t>
        </w:r>
      </w:ins>
      <w:ins w:id="4044" w:author="Author" w:date="2025-07-20T21:41:00Z">
        <w:del w:id="4045" w:author="Author" w:date="2025-07-21T11:17:00Z">
          <w:r>
            <w:rPr>
              <w:bCs/>
            </w:rPr>
            <w:delText xml:space="preserve"> </w:delText>
          </w:r>
        </w:del>
        <w:r>
          <w:rPr>
            <w:bCs/>
          </w:rPr>
          <w:t>433)</w:t>
        </w:r>
      </w:ins>
      <w:r>
        <w:rPr>
          <w:bCs/>
        </w:rPr>
        <w:t>“).</w:t>
      </w:r>
    </w:p>
    <w:p w14:paraId="7158AA5C" w14:textId="77777777" w:rsidR="009700E5" w:rsidRDefault="009700E5">
      <w:pPr>
        <w:rPr>
          <w:bCs/>
        </w:rPr>
      </w:pPr>
    </w:p>
    <w:p w14:paraId="718C78BD" w14:textId="77777777" w:rsidR="009700E5" w:rsidRDefault="002C033C">
      <w:pPr>
        <w:keepNext/>
        <w:rPr>
          <w:b/>
          <w:bCs/>
          <w:szCs w:val="22"/>
        </w:rPr>
      </w:pPr>
      <w:r>
        <w:rPr>
          <w:b/>
          <w:bCs/>
          <w:szCs w:val="22"/>
        </w:rPr>
        <w:t>Ako vyzerá RoActemra a obsah balenia</w:t>
      </w:r>
    </w:p>
    <w:p w14:paraId="3500EB76" w14:textId="77777777" w:rsidR="009700E5" w:rsidRDefault="002C033C">
      <w:r>
        <w:t>RoActemra je injekčný roztok. Roztok je bezfarebný až svetložltkastý.</w:t>
      </w:r>
    </w:p>
    <w:p w14:paraId="7F55F0FE" w14:textId="77777777" w:rsidR="009700E5" w:rsidRDefault="002C033C">
      <w:pPr>
        <w:rPr>
          <w:bCs/>
          <w:u w:val="single"/>
        </w:rPr>
      </w:pPr>
      <w:r>
        <w:t xml:space="preserve">RoActemra sa dodáva v 0,9 ml </w:t>
      </w:r>
      <w:r>
        <w:rPr>
          <w:rFonts w:eastAsia="SimSun"/>
          <w:szCs w:val="22"/>
          <w:lang w:eastAsia="zh-CN"/>
        </w:rPr>
        <w:t xml:space="preserve">naplnenej injekčnej striekačke </w:t>
      </w:r>
      <w:r>
        <w:t>obsahujúcej 162 mg injekčného roztoku tocilizumabu. Každé balenie obsahuje 4 </w:t>
      </w:r>
      <w:r>
        <w:rPr>
          <w:rFonts w:eastAsia="SimSun"/>
          <w:szCs w:val="22"/>
          <w:lang w:eastAsia="zh-CN"/>
        </w:rPr>
        <w:t>naplnené injekčné striekačky</w:t>
      </w:r>
      <w:r>
        <w:t xml:space="preserve">, </w:t>
      </w:r>
      <w:r>
        <w:rPr>
          <w:bCs/>
        </w:rPr>
        <w:t>spoločné balenie obsahuje 12 (3 balenia x 4) naplnených injekčných striekačiek. Na trh nemusia byť uvedené všetky veľkosti balenia.</w:t>
      </w:r>
    </w:p>
    <w:p w14:paraId="1F0B4C64" w14:textId="77777777" w:rsidR="009700E5" w:rsidRDefault="009700E5">
      <w:pPr>
        <w:rPr>
          <w:bCs/>
        </w:rPr>
      </w:pPr>
    </w:p>
    <w:p w14:paraId="0F7E6595" w14:textId="77777777" w:rsidR="009700E5" w:rsidRDefault="002C033C">
      <w:pPr>
        <w:keepNext/>
        <w:keepLines/>
        <w:rPr>
          <w:b/>
          <w:bCs/>
          <w:szCs w:val="22"/>
        </w:rPr>
      </w:pPr>
      <w:r>
        <w:rPr>
          <w:b/>
          <w:bCs/>
          <w:szCs w:val="22"/>
        </w:rPr>
        <w:lastRenderedPageBreak/>
        <w:t>Držiteľ rozhodnutia o registrácii</w:t>
      </w:r>
    </w:p>
    <w:p w14:paraId="7F0BC304" w14:textId="77777777" w:rsidR="009700E5" w:rsidRDefault="002C033C">
      <w:pPr>
        <w:keepNext/>
        <w:keepLines/>
        <w:pPrChange w:id="4046" w:author="TCS" w:date="2026-03-20T13:43:00Z">
          <w:pPr/>
        </w:pPrChange>
      </w:pPr>
      <w:r>
        <w:t xml:space="preserve">Roche Registration GmbH </w:t>
      </w:r>
    </w:p>
    <w:p w14:paraId="01457202" w14:textId="77777777" w:rsidR="009700E5" w:rsidRDefault="002C033C">
      <w:pPr>
        <w:keepNext/>
        <w:keepLines/>
        <w:pPrChange w:id="4047" w:author="TCS" w:date="2026-03-20T13:43:00Z">
          <w:pPr/>
        </w:pPrChange>
      </w:pPr>
      <w:r>
        <w:t>Emil-Barell-Strasse 1</w:t>
      </w:r>
    </w:p>
    <w:p w14:paraId="60336C73" w14:textId="77777777" w:rsidR="009700E5" w:rsidRDefault="002C033C">
      <w:r>
        <w:t>79639 Grenzach-Wyhlen</w:t>
      </w:r>
    </w:p>
    <w:p w14:paraId="2FD45AAF" w14:textId="77777777" w:rsidR="009700E5" w:rsidRDefault="002C033C">
      <w:r>
        <w:t>Nemecko</w:t>
      </w:r>
    </w:p>
    <w:p w14:paraId="00A7C7E4" w14:textId="77777777" w:rsidR="009700E5" w:rsidRDefault="009700E5">
      <w:pPr>
        <w:rPr>
          <w:bCs/>
        </w:rPr>
      </w:pPr>
    </w:p>
    <w:p w14:paraId="3FAC20EA" w14:textId="77777777" w:rsidR="009700E5" w:rsidRDefault="002C033C">
      <w:pPr>
        <w:keepNext/>
        <w:keepLines/>
        <w:rPr>
          <w:b/>
          <w:bCs/>
          <w:szCs w:val="22"/>
        </w:rPr>
      </w:pPr>
      <w:r>
        <w:rPr>
          <w:b/>
          <w:bCs/>
          <w:szCs w:val="22"/>
        </w:rPr>
        <w:t>Výrobca</w:t>
      </w:r>
    </w:p>
    <w:p w14:paraId="4977757E" w14:textId="77777777" w:rsidR="009700E5" w:rsidRDefault="002C033C">
      <w:pPr>
        <w:keepNext/>
        <w:keepLines/>
      </w:pPr>
      <w:r>
        <w:t>Roche Pharma AG</w:t>
      </w:r>
    </w:p>
    <w:p w14:paraId="06E348D4" w14:textId="77777777" w:rsidR="009700E5" w:rsidRDefault="002C033C">
      <w:pPr>
        <w:keepNext/>
        <w:keepLines/>
      </w:pPr>
      <w:r>
        <w:t>Emil-Barell-Str. 1</w:t>
      </w:r>
    </w:p>
    <w:p w14:paraId="586DAFA0" w14:textId="77777777" w:rsidR="009700E5" w:rsidRDefault="002C033C">
      <w:pPr>
        <w:keepNext/>
        <w:keepLines/>
      </w:pPr>
      <w:r>
        <w:t>79639 Grenzach-Wyhlen</w:t>
      </w:r>
    </w:p>
    <w:p w14:paraId="02F77953" w14:textId="77777777" w:rsidR="009700E5" w:rsidRDefault="002C033C">
      <w:pPr>
        <w:keepNext/>
        <w:keepLines/>
      </w:pPr>
      <w:r>
        <w:t>Nemecko</w:t>
      </w:r>
    </w:p>
    <w:p w14:paraId="6AF623B7" w14:textId="77777777" w:rsidR="009700E5" w:rsidRDefault="009700E5"/>
    <w:p w14:paraId="7FC51705" w14:textId="77777777" w:rsidR="009700E5" w:rsidRDefault="002C033C">
      <w:pPr>
        <w:keepNext/>
        <w:keepLines/>
      </w:pPr>
      <w:r>
        <w:t>Ak potrebujete akúkoľvek informáciu o tomto lieku, kontaktujte miestneho zástupcu držiteľa rozhodnutia o registrácii:</w:t>
      </w:r>
    </w:p>
    <w:p w14:paraId="47110F2E" w14:textId="77777777" w:rsidR="009700E5" w:rsidRDefault="009700E5">
      <w:pPr>
        <w:keepNext/>
        <w:keepLines/>
      </w:pPr>
    </w:p>
    <w:tbl>
      <w:tblPr>
        <w:tblW w:w="9180" w:type="dxa"/>
        <w:tblLayout w:type="fixed"/>
        <w:tblLook w:val="0000" w:firstRow="0" w:lastRow="0" w:firstColumn="0" w:lastColumn="0" w:noHBand="0" w:noVBand="0"/>
      </w:tblPr>
      <w:tblGrid>
        <w:gridCol w:w="4590"/>
        <w:gridCol w:w="4590"/>
      </w:tblGrid>
      <w:tr w:rsidR="009700E5" w14:paraId="59FCFB01" w14:textId="77777777">
        <w:trPr>
          <w:cantSplit/>
          <w:del w:id="4048" w:author="Author" w:date="2025-07-24T11:09:00Z"/>
        </w:trPr>
        <w:tc>
          <w:tcPr>
            <w:tcW w:w="4590" w:type="dxa"/>
          </w:tcPr>
          <w:p w14:paraId="748034FE" w14:textId="77777777" w:rsidR="009700E5" w:rsidRDefault="002C033C">
            <w:pPr>
              <w:keepNext/>
              <w:keepLines/>
              <w:rPr>
                <w:del w:id="4049" w:author="Author" w:date="2025-07-24T11:09:00Z"/>
                <w:szCs w:val="22"/>
              </w:rPr>
            </w:pPr>
            <w:del w:id="4050" w:author="Author" w:date="2025-07-24T11:09:00Z">
              <w:r>
                <w:rPr>
                  <w:b/>
                  <w:szCs w:val="22"/>
                </w:rPr>
                <w:delText>België/Belgique/Belgien</w:delText>
              </w:r>
            </w:del>
          </w:p>
          <w:p w14:paraId="757DF9F1" w14:textId="77777777" w:rsidR="009700E5" w:rsidRDefault="002C033C">
            <w:pPr>
              <w:keepNext/>
              <w:keepLines/>
              <w:rPr>
                <w:del w:id="4051" w:author="Author" w:date="2025-07-24T11:09:00Z"/>
                <w:szCs w:val="22"/>
              </w:rPr>
            </w:pPr>
            <w:del w:id="4052" w:author="Author" w:date="2025-07-24T11:09:00Z">
              <w:r>
                <w:rPr>
                  <w:szCs w:val="22"/>
                </w:rPr>
                <w:delText>N.V. Roche S.A.</w:delText>
              </w:r>
            </w:del>
          </w:p>
          <w:p w14:paraId="7CEA948C" w14:textId="77777777" w:rsidR="009700E5" w:rsidRDefault="002C033C">
            <w:pPr>
              <w:keepNext/>
              <w:keepLines/>
              <w:rPr>
                <w:del w:id="4053" w:author="Author" w:date="2025-07-24T11:09:00Z"/>
                <w:szCs w:val="22"/>
              </w:rPr>
            </w:pPr>
            <w:del w:id="4054" w:author="Author" w:date="2025-07-24T11:09:00Z">
              <w:r>
                <w:rPr>
                  <w:szCs w:val="22"/>
                </w:rPr>
                <w:delText>Tél/Tel: +32 (0) 2 525 82 11</w:delText>
              </w:r>
            </w:del>
          </w:p>
          <w:p w14:paraId="4E51C4C1" w14:textId="77777777" w:rsidR="009700E5" w:rsidRDefault="009700E5">
            <w:pPr>
              <w:keepNext/>
              <w:keepLines/>
              <w:rPr>
                <w:del w:id="4055" w:author="Author" w:date="2025-07-24T11:09:00Z"/>
                <w:b/>
                <w:szCs w:val="22"/>
              </w:rPr>
            </w:pPr>
          </w:p>
        </w:tc>
        <w:tc>
          <w:tcPr>
            <w:tcW w:w="4590" w:type="dxa"/>
          </w:tcPr>
          <w:p w14:paraId="31F610BB" w14:textId="77777777" w:rsidR="009700E5" w:rsidRDefault="002C033C">
            <w:pPr>
              <w:keepNext/>
              <w:keepLines/>
              <w:suppressAutoHyphens/>
              <w:rPr>
                <w:del w:id="4056" w:author="Author" w:date="2025-07-24T11:09:00Z"/>
                <w:szCs w:val="22"/>
              </w:rPr>
            </w:pPr>
            <w:del w:id="4057" w:author="Author" w:date="2025-07-24T11:09:00Z">
              <w:r>
                <w:rPr>
                  <w:b/>
                  <w:szCs w:val="22"/>
                </w:rPr>
                <w:delText>Luxembourg/Luxemburg</w:delText>
              </w:r>
            </w:del>
          </w:p>
          <w:p w14:paraId="47ECAFFF" w14:textId="77777777" w:rsidR="009700E5" w:rsidRDefault="002C033C">
            <w:pPr>
              <w:keepNext/>
              <w:keepLines/>
              <w:rPr>
                <w:del w:id="4058" w:author="Author" w:date="2025-07-24T11:09:00Z"/>
                <w:szCs w:val="22"/>
              </w:rPr>
            </w:pPr>
            <w:del w:id="4059" w:author="Author" w:date="2025-07-24T11:09:00Z">
              <w:r>
                <w:rPr>
                  <w:szCs w:val="22"/>
                </w:rPr>
                <w:delText>(Voir/siehe Belgique/Belgien)</w:delText>
              </w:r>
            </w:del>
          </w:p>
          <w:p w14:paraId="5E28B036" w14:textId="77777777" w:rsidR="009700E5" w:rsidRDefault="009700E5">
            <w:pPr>
              <w:keepNext/>
              <w:keepLines/>
              <w:suppressAutoHyphens/>
              <w:rPr>
                <w:del w:id="4060" w:author="Author" w:date="2025-07-24T11:09:00Z"/>
                <w:b/>
                <w:szCs w:val="22"/>
              </w:rPr>
            </w:pPr>
          </w:p>
        </w:tc>
      </w:tr>
      <w:tr w:rsidR="009700E5" w14:paraId="5D0440EB" w14:textId="77777777">
        <w:trPr>
          <w:cantSplit/>
          <w:del w:id="4061" w:author="Author" w:date="2025-07-24T11:09:00Z"/>
        </w:trPr>
        <w:tc>
          <w:tcPr>
            <w:tcW w:w="4590" w:type="dxa"/>
          </w:tcPr>
          <w:p w14:paraId="59364B13" w14:textId="77777777" w:rsidR="009700E5" w:rsidRDefault="002C033C">
            <w:pPr>
              <w:autoSpaceDE w:val="0"/>
              <w:autoSpaceDN w:val="0"/>
              <w:adjustRightInd w:val="0"/>
              <w:rPr>
                <w:del w:id="4062" w:author="Author" w:date="2025-07-24T11:09:00Z"/>
                <w:b/>
                <w:bCs/>
                <w:szCs w:val="22"/>
              </w:rPr>
            </w:pPr>
            <w:del w:id="4063" w:author="Author" w:date="2025-07-24T11:09:00Z">
              <w:r>
                <w:rPr>
                  <w:b/>
                  <w:bCs/>
                  <w:szCs w:val="22"/>
                </w:rPr>
                <w:delText>България</w:delText>
              </w:r>
            </w:del>
          </w:p>
          <w:p w14:paraId="12EAFF75" w14:textId="77777777" w:rsidR="009700E5" w:rsidRDefault="002C033C">
            <w:pPr>
              <w:suppressAutoHyphens/>
              <w:rPr>
                <w:del w:id="4064" w:author="Author" w:date="2025-07-24T11:09:00Z"/>
                <w:szCs w:val="22"/>
              </w:rPr>
            </w:pPr>
            <w:del w:id="4065" w:author="Author" w:date="2025-07-24T11:09:00Z">
              <w:r>
                <w:rPr>
                  <w:szCs w:val="22"/>
                </w:rPr>
                <w:delText>Рош България ЕООД</w:delText>
              </w:r>
            </w:del>
          </w:p>
          <w:p w14:paraId="5C56E007" w14:textId="77777777" w:rsidR="009700E5" w:rsidRDefault="002C033C">
            <w:pPr>
              <w:suppressAutoHyphens/>
              <w:rPr>
                <w:del w:id="4066" w:author="Author" w:date="2025-07-24T11:09:00Z"/>
                <w:szCs w:val="22"/>
              </w:rPr>
            </w:pPr>
            <w:del w:id="4067" w:author="Author" w:date="2025-07-24T11:09:00Z">
              <w:r>
                <w:rPr>
                  <w:szCs w:val="22"/>
                </w:rPr>
                <w:delText>Тел: +359 2 474 5444</w:delText>
              </w:r>
            </w:del>
          </w:p>
          <w:p w14:paraId="0BDD530C" w14:textId="77777777" w:rsidR="009700E5" w:rsidRDefault="009700E5">
            <w:pPr>
              <w:suppressAutoHyphens/>
              <w:rPr>
                <w:del w:id="4068" w:author="Author" w:date="2025-07-24T11:09:00Z"/>
                <w:szCs w:val="22"/>
              </w:rPr>
            </w:pPr>
          </w:p>
        </w:tc>
        <w:tc>
          <w:tcPr>
            <w:tcW w:w="4590" w:type="dxa"/>
          </w:tcPr>
          <w:p w14:paraId="44C7B96B" w14:textId="77777777" w:rsidR="009700E5" w:rsidRDefault="002C033C">
            <w:pPr>
              <w:rPr>
                <w:del w:id="4069" w:author="Author" w:date="2025-07-24T11:09:00Z"/>
                <w:b/>
                <w:szCs w:val="22"/>
              </w:rPr>
            </w:pPr>
            <w:del w:id="4070" w:author="Author" w:date="2025-07-24T11:09:00Z">
              <w:r>
                <w:rPr>
                  <w:b/>
                  <w:szCs w:val="22"/>
                </w:rPr>
                <w:delText>Magyarország</w:delText>
              </w:r>
            </w:del>
          </w:p>
          <w:p w14:paraId="3D211157" w14:textId="77777777" w:rsidR="009700E5" w:rsidRDefault="002C033C">
            <w:pPr>
              <w:rPr>
                <w:del w:id="4071" w:author="Author" w:date="2025-07-24T11:09:00Z"/>
                <w:szCs w:val="22"/>
              </w:rPr>
            </w:pPr>
            <w:del w:id="4072" w:author="Author" w:date="2025-07-24T11:09:00Z">
              <w:r>
                <w:rPr>
                  <w:szCs w:val="22"/>
                </w:rPr>
                <w:delText>Roche (Magyarország) Kft.</w:delText>
              </w:r>
            </w:del>
          </w:p>
          <w:p w14:paraId="38A31DC8" w14:textId="77777777" w:rsidR="009700E5" w:rsidRDefault="002C033C">
            <w:pPr>
              <w:rPr>
                <w:del w:id="4073" w:author="Author" w:date="2025-07-24T11:09:00Z"/>
                <w:szCs w:val="22"/>
              </w:rPr>
            </w:pPr>
            <w:del w:id="4074" w:author="Author" w:date="2025-07-24T11:09:00Z">
              <w:r>
                <w:rPr>
                  <w:szCs w:val="22"/>
                </w:rPr>
                <w:delText>Tel: +36 - 1 279 4500</w:delText>
              </w:r>
            </w:del>
          </w:p>
          <w:p w14:paraId="64BA6010" w14:textId="77777777" w:rsidR="009700E5" w:rsidRDefault="009700E5">
            <w:pPr>
              <w:rPr>
                <w:del w:id="4075" w:author="Author" w:date="2025-07-24T11:09:00Z"/>
                <w:szCs w:val="22"/>
              </w:rPr>
            </w:pPr>
          </w:p>
        </w:tc>
      </w:tr>
      <w:tr w:rsidR="009700E5" w14:paraId="21F61F20" w14:textId="77777777">
        <w:trPr>
          <w:cantSplit/>
          <w:del w:id="4076" w:author="Author" w:date="2025-07-24T11:09:00Z"/>
        </w:trPr>
        <w:tc>
          <w:tcPr>
            <w:tcW w:w="4590" w:type="dxa"/>
          </w:tcPr>
          <w:p w14:paraId="073B61EC" w14:textId="77777777" w:rsidR="009700E5" w:rsidRDefault="002C033C">
            <w:pPr>
              <w:rPr>
                <w:del w:id="4077" w:author="Author" w:date="2025-07-24T11:09:00Z"/>
                <w:b/>
                <w:szCs w:val="22"/>
              </w:rPr>
            </w:pPr>
            <w:del w:id="4078" w:author="Author" w:date="2025-07-24T11:09:00Z">
              <w:r>
                <w:rPr>
                  <w:b/>
                  <w:szCs w:val="22"/>
                </w:rPr>
                <w:delText>Česká republika</w:delText>
              </w:r>
            </w:del>
          </w:p>
          <w:p w14:paraId="0C285974" w14:textId="77777777" w:rsidR="009700E5" w:rsidRDefault="002C033C">
            <w:pPr>
              <w:rPr>
                <w:del w:id="4079" w:author="Author" w:date="2025-07-24T11:09:00Z"/>
                <w:bCs/>
                <w:szCs w:val="22"/>
              </w:rPr>
            </w:pPr>
            <w:del w:id="4080" w:author="Author" w:date="2025-07-24T11:09:00Z">
              <w:r>
                <w:rPr>
                  <w:bCs/>
                  <w:szCs w:val="22"/>
                </w:rPr>
                <w:delText>Roche s. r. o.</w:delText>
              </w:r>
            </w:del>
          </w:p>
          <w:p w14:paraId="02FC6BE5" w14:textId="77777777" w:rsidR="009700E5" w:rsidRDefault="002C033C">
            <w:pPr>
              <w:rPr>
                <w:del w:id="4081" w:author="Author" w:date="2025-07-24T11:09:00Z"/>
                <w:szCs w:val="22"/>
              </w:rPr>
            </w:pPr>
            <w:del w:id="4082" w:author="Author" w:date="2025-07-24T11:09:00Z">
              <w:r>
                <w:rPr>
                  <w:szCs w:val="22"/>
                </w:rPr>
                <w:delText>Tel: +420 - 2 20382111</w:delText>
              </w:r>
            </w:del>
          </w:p>
          <w:p w14:paraId="28C3DEE0" w14:textId="77777777" w:rsidR="009700E5" w:rsidRDefault="009700E5">
            <w:pPr>
              <w:rPr>
                <w:del w:id="4083" w:author="Author" w:date="2025-07-24T11:09:00Z"/>
                <w:szCs w:val="22"/>
              </w:rPr>
            </w:pPr>
          </w:p>
        </w:tc>
        <w:tc>
          <w:tcPr>
            <w:tcW w:w="4590" w:type="dxa"/>
          </w:tcPr>
          <w:p w14:paraId="7D49F112" w14:textId="77777777" w:rsidR="009700E5" w:rsidRDefault="002C033C">
            <w:pPr>
              <w:rPr>
                <w:del w:id="4084" w:author="Author" w:date="2025-07-24T11:09:00Z"/>
                <w:b/>
                <w:szCs w:val="22"/>
              </w:rPr>
            </w:pPr>
            <w:del w:id="4085" w:author="Author" w:date="2025-07-24T11:09:00Z">
              <w:r>
                <w:rPr>
                  <w:b/>
                  <w:szCs w:val="22"/>
                </w:rPr>
                <w:delText>Malta</w:delText>
              </w:r>
            </w:del>
          </w:p>
          <w:p w14:paraId="18B22B24" w14:textId="77777777" w:rsidR="009700E5" w:rsidRDefault="002C033C">
            <w:pPr>
              <w:autoSpaceDE w:val="0"/>
              <w:autoSpaceDN w:val="0"/>
              <w:adjustRightInd w:val="0"/>
              <w:rPr>
                <w:del w:id="4086" w:author="Author" w:date="2025-07-24T11:09:00Z"/>
                <w:szCs w:val="22"/>
              </w:rPr>
            </w:pPr>
            <w:del w:id="4087" w:author="Author" w:date="2025-07-24T11:09:00Z">
              <w:r>
                <w:rPr>
                  <w:szCs w:val="22"/>
                </w:rPr>
                <w:delText>(See Ireland)</w:delText>
              </w:r>
            </w:del>
          </w:p>
          <w:p w14:paraId="062DB144" w14:textId="77777777" w:rsidR="009700E5" w:rsidRDefault="009700E5">
            <w:pPr>
              <w:autoSpaceDE w:val="0"/>
              <w:autoSpaceDN w:val="0"/>
              <w:adjustRightInd w:val="0"/>
              <w:rPr>
                <w:del w:id="4088" w:author="Author" w:date="2025-07-24T11:09:00Z"/>
                <w:szCs w:val="22"/>
              </w:rPr>
            </w:pPr>
          </w:p>
        </w:tc>
      </w:tr>
      <w:tr w:rsidR="009700E5" w14:paraId="7957D84C" w14:textId="77777777">
        <w:trPr>
          <w:cantSplit/>
          <w:del w:id="4089" w:author="Author" w:date="2025-07-24T11:09:00Z"/>
        </w:trPr>
        <w:tc>
          <w:tcPr>
            <w:tcW w:w="4590" w:type="dxa"/>
          </w:tcPr>
          <w:p w14:paraId="7A14C28C" w14:textId="77777777" w:rsidR="009700E5" w:rsidRDefault="002C033C">
            <w:pPr>
              <w:rPr>
                <w:del w:id="4090" w:author="Author" w:date="2025-07-24T11:09:00Z"/>
                <w:szCs w:val="22"/>
              </w:rPr>
            </w:pPr>
            <w:del w:id="4091" w:author="Author" w:date="2025-07-24T11:09:00Z">
              <w:r>
                <w:rPr>
                  <w:b/>
                  <w:szCs w:val="22"/>
                </w:rPr>
                <w:delText>Danmark</w:delText>
              </w:r>
            </w:del>
          </w:p>
          <w:p w14:paraId="09787058" w14:textId="77777777" w:rsidR="009700E5" w:rsidRDefault="002C033C">
            <w:pPr>
              <w:rPr>
                <w:del w:id="4092" w:author="Author" w:date="2025-07-24T11:09:00Z"/>
                <w:szCs w:val="22"/>
              </w:rPr>
            </w:pPr>
            <w:del w:id="4093" w:author="Author" w:date="2025-07-24T11:09:00Z">
              <w:r>
                <w:rPr>
                  <w:szCs w:val="22"/>
                </w:rPr>
                <w:delText>Roche Pharmaceuticals A/S</w:delText>
              </w:r>
            </w:del>
          </w:p>
          <w:p w14:paraId="6C7AA0A1" w14:textId="77777777" w:rsidR="009700E5" w:rsidRDefault="002C033C">
            <w:pPr>
              <w:rPr>
                <w:del w:id="4094" w:author="Author" w:date="2025-07-24T11:09:00Z"/>
                <w:szCs w:val="22"/>
              </w:rPr>
            </w:pPr>
            <w:del w:id="4095" w:author="Author" w:date="2025-07-24T11:09:00Z">
              <w:r>
                <w:rPr>
                  <w:szCs w:val="22"/>
                </w:rPr>
                <w:delText>Tlf: +45 - 36 39 99 99</w:delText>
              </w:r>
            </w:del>
          </w:p>
          <w:p w14:paraId="37713753" w14:textId="77777777" w:rsidR="009700E5" w:rsidRDefault="009700E5">
            <w:pPr>
              <w:rPr>
                <w:del w:id="4096" w:author="Author" w:date="2025-07-24T11:09:00Z"/>
                <w:b/>
                <w:szCs w:val="22"/>
              </w:rPr>
            </w:pPr>
          </w:p>
        </w:tc>
        <w:tc>
          <w:tcPr>
            <w:tcW w:w="4590" w:type="dxa"/>
          </w:tcPr>
          <w:p w14:paraId="0D64484B" w14:textId="77777777" w:rsidR="009700E5" w:rsidRDefault="002C033C">
            <w:pPr>
              <w:rPr>
                <w:del w:id="4097" w:author="Author" w:date="2025-07-24T11:09:00Z"/>
                <w:szCs w:val="22"/>
              </w:rPr>
            </w:pPr>
            <w:del w:id="4098" w:author="Author" w:date="2025-07-24T11:09:00Z">
              <w:r>
                <w:rPr>
                  <w:b/>
                  <w:szCs w:val="22"/>
                </w:rPr>
                <w:delText>Nederland</w:delText>
              </w:r>
            </w:del>
          </w:p>
          <w:p w14:paraId="5B361041" w14:textId="77777777" w:rsidR="009700E5" w:rsidRDefault="002C033C">
            <w:pPr>
              <w:rPr>
                <w:del w:id="4099" w:author="Author" w:date="2025-07-24T11:09:00Z"/>
                <w:szCs w:val="22"/>
              </w:rPr>
            </w:pPr>
            <w:del w:id="4100" w:author="Author" w:date="2025-07-24T11:09:00Z">
              <w:r>
                <w:rPr>
                  <w:szCs w:val="22"/>
                </w:rPr>
                <w:delText>Roche Nederland B.V.</w:delText>
              </w:r>
            </w:del>
          </w:p>
          <w:p w14:paraId="441A717E" w14:textId="77777777" w:rsidR="009700E5" w:rsidRDefault="002C033C">
            <w:pPr>
              <w:rPr>
                <w:del w:id="4101" w:author="Author" w:date="2025-07-24T11:09:00Z"/>
                <w:szCs w:val="22"/>
              </w:rPr>
            </w:pPr>
            <w:del w:id="4102" w:author="Author" w:date="2025-07-24T11:09:00Z">
              <w:r>
                <w:rPr>
                  <w:szCs w:val="22"/>
                </w:rPr>
                <w:delText>Tel: +31 (</w:delText>
              </w:r>
              <w:r>
                <w:rPr>
                  <w:snapToGrid w:val="0"/>
                  <w:szCs w:val="22"/>
                </w:rPr>
                <w:delText>0) 348 438050</w:delText>
              </w:r>
            </w:del>
          </w:p>
          <w:p w14:paraId="4580CD7C" w14:textId="77777777" w:rsidR="009700E5" w:rsidRDefault="009700E5">
            <w:pPr>
              <w:rPr>
                <w:del w:id="4103" w:author="Author" w:date="2025-07-24T11:09:00Z"/>
                <w:szCs w:val="22"/>
              </w:rPr>
            </w:pPr>
          </w:p>
        </w:tc>
      </w:tr>
      <w:tr w:rsidR="009700E5" w14:paraId="68EE2EC3" w14:textId="77777777">
        <w:trPr>
          <w:cantSplit/>
          <w:del w:id="4104" w:author="Author" w:date="2025-07-24T11:09:00Z"/>
        </w:trPr>
        <w:tc>
          <w:tcPr>
            <w:tcW w:w="4590" w:type="dxa"/>
          </w:tcPr>
          <w:p w14:paraId="3A11DC0A" w14:textId="77777777" w:rsidR="009700E5" w:rsidRDefault="002C033C">
            <w:pPr>
              <w:rPr>
                <w:del w:id="4105" w:author="Author" w:date="2025-07-24T11:09:00Z"/>
                <w:szCs w:val="22"/>
              </w:rPr>
            </w:pPr>
            <w:del w:id="4106" w:author="Author" w:date="2025-07-24T11:09:00Z">
              <w:r>
                <w:rPr>
                  <w:b/>
                  <w:szCs w:val="22"/>
                </w:rPr>
                <w:delText>Deutschland</w:delText>
              </w:r>
            </w:del>
          </w:p>
          <w:p w14:paraId="5A332BFF" w14:textId="77777777" w:rsidR="009700E5" w:rsidRDefault="002C033C">
            <w:pPr>
              <w:autoSpaceDE w:val="0"/>
              <w:autoSpaceDN w:val="0"/>
              <w:adjustRightInd w:val="0"/>
              <w:rPr>
                <w:del w:id="4107" w:author="Author" w:date="2025-07-24T11:09:00Z"/>
                <w:rFonts w:eastAsia="SimSun"/>
                <w:szCs w:val="22"/>
                <w:lang w:eastAsia="zh-CN"/>
              </w:rPr>
            </w:pPr>
            <w:del w:id="4108" w:author="Author" w:date="2025-07-24T11:09:00Z">
              <w:r>
                <w:rPr>
                  <w:rFonts w:eastAsia="SimSun"/>
                  <w:szCs w:val="22"/>
                  <w:lang w:eastAsia="zh-CN"/>
                </w:rPr>
                <w:delText>Roche Pharma AG</w:delText>
              </w:r>
            </w:del>
          </w:p>
          <w:p w14:paraId="782BB099" w14:textId="77777777" w:rsidR="009700E5" w:rsidRDefault="002C033C">
            <w:pPr>
              <w:rPr>
                <w:del w:id="4109" w:author="Author" w:date="2025-07-24T11:09:00Z"/>
                <w:szCs w:val="22"/>
              </w:rPr>
            </w:pPr>
            <w:del w:id="4110" w:author="Author" w:date="2025-07-24T11:09:00Z">
              <w:r>
                <w:rPr>
                  <w:rFonts w:eastAsia="SimSun"/>
                  <w:szCs w:val="22"/>
                  <w:lang w:eastAsia="zh-CN"/>
                </w:rPr>
                <w:delText>Tel: +49 (0) 7624 140</w:delText>
              </w:r>
              <w:r>
                <w:rPr>
                  <w:szCs w:val="22"/>
                </w:rPr>
                <w:delText xml:space="preserve"> </w:delText>
              </w:r>
            </w:del>
          </w:p>
          <w:p w14:paraId="3F22CB0D" w14:textId="77777777" w:rsidR="009700E5" w:rsidRDefault="002C033C">
            <w:pPr>
              <w:rPr>
                <w:del w:id="4111" w:author="Author" w:date="2025-07-24T11:09:00Z"/>
                <w:szCs w:val="22"/>
              </w:rPr>
            </w:pPr>
            <w:del w:id="4112" w:author="Author" w:date="2025-07-24T11:09:00Z">
              <w:r>
                <w:rPr>
                  <w:szCs w:val="22"/>
                </w:rPr>
                <w:delText>oder</w:delText>
              </w:r>
            </w:del>
          </w:p>
          <w:p w14:paraId="34D49A19" w14:textId="77777777" w:rsidR="009700E5" w:rsidRDefault="002C033C">
            <w:pPr>
              <w:rPr>
                <w:del w:id="4113" w:author="Author" w:date="2025-07-24T11:09:00Z"/>
                <w:rFonts w:eastAsia="MS PGothic"/>
                <w:bCs/>
                <w:szCs w:val="22"/>
                <w:lang w:eastAsia="zh-CN"/>
              </w:rPr>
            </w:pPr>
            <w:del w:id="4114" w:author="Author" w:date="2025-07-24T11:09:00Z">
              <w:r>
                <w:rPr>
                  <w:rFonts w:eastAsia="MS PGothic"/>
                  <w:bCs/>
                  <w:szCs w:val="22"/>
                  <w:lang w:eastAsia="zh-CN"/>
                </w:rPr>
                <w:delText>Chugai Pharma Europe Ltd.</w:delText>
              </w:r>
            </w:del>
          </w:p>
          <w:p w14:paraId="5B288BE5" w14:textId="77777777" w:rsidR="009700E5" w:rsidRDefault="002C033C">
            <w:pPr>
              <w:rPr>
                <w:del w:id="4115" w:author="Author" w:date="2025-07-24T11:09:00Z"/>
                <w:rFonts w:eastAsia="MS PGothic"/>
                <w:bCs/>
                <w:szCs w:val="22"/>
                <w:lang w:eastAsia="zh-CN"/>
              </w:rPr>
            </w:pPr>
            <w:del w:id="4116" w:author="Author" w:date="2025-07-24T11:09:00Z">
              <w:r>
                <w:rPr>
                  <w:rFonts w:eastAsia="MS PGothic"/>
                  <w:bCs/>
                  <w:szCs w:val="22"/>
                  <w:lang w:eastAsia="zh-CN"/>
                </w:rPr>
                <w:delText>Zweigniederlassung Deutschland</w:delText>
              </w:r>
            </w:del>
          </w:p>
          <w:p w14:paraId="3D8BAFBA" w14:textId="77777777" w:rsidR="009700E5" w:rsidRDefault="002C033C">
            <w:pPr>
              <w:autoSpaceDE w:val="0"/>
              <w:autoSpaceDN w:val="0"/>
              <w:adjustRightInd w:val="0"/>
              <w:rPr>
                <w:del w:id="4117" w:author="Author" w:date="2025-07-24T11:09:00Z"/>
                <w:rFonts w:eastAsia="SimSun"/>
                <w:szCs w:val="22"/>
                <w:lang w:eastAsia="zh-CN"/>
              </w:rPr>
            </w:pPr>
            <w:del w:id="4118" w:author="Author" w:date="2025-07-24T11:09:00Z">
              <w:r>
                <w:rPr>
                  <w:rFonts w:eastAsia="MS PGothic"/>
                  <w:bCs/>
                  <w:szCs w:val="22"/>
                  <w:lang w:eastAsia="zh-CN"/>
                </w:rPr>
                <w:delText>Tel: +49 (0) 69 663000 0</w:delText>
              </w:r>
            </w:del>
          </w:p>
          <w:p w14:paraId="32E13CC0" w14:textId="77777777" w:rsidR="009700E5" w:rsidRDefault="009700E5">
            <w:pPr>
              <w:autoSpaceDE w:val="0"/>
              <w:autoSpaceDN w:val="0"/>
              <w:adjustRightInd w:val="0"/>
              <w:rPr>
                <w:del w:id="4119" w:author="Author" w:date="2025-07-24T11:09:00Z"/>
                <w:b/>
                <w:szCs w:val="22"/>
              </w:rPr>
            </w:pPr>
          </w:p>
        </w:tc>
        <w:tc>
          <w:tcPr>
            <w:tcW w:w="4590" w:type="dxa"/>
          </w:tcPr>
          <w:p w14:paraId="05E464D9" w14:textId="77777777" w:rsidR="009700E5" w:rsidRDefault="002C033C">
            <w:pPr>
              <w:rPr>
                <w:del w:id="4120" w:author="Author" w:date="2025-07-24T11:09:00Z"/>
                <w:b/>
                <w:snapToGrid w:val="0"/>
                <w:szCs w:val="22"/>
              </w:rPr>
            </w:pPr>
            <w:del w:id="4121" w:author="Author" w:date="2025-07-24T11:09:00Z">
              <w:r>
                <w:rPr>
                  <w:b/>
                  <w:snapToGrid w:val="0"/>
                  <w:szCs w:val="22"/>
                </w:rPr>
                <w:delText>Norge</w:delText>
              </w:r>
            </w:del>
          </w:p>
          <w:p w14:paraId="25FD9D2B" w14:textId="77777777" w:rsidR="009700E5" w:rsidRDefault="002C033C">
            <w:pPr>
              <w:rPr>
                <w:del w:id="4122" w:author="Author" w:date="2025-07-24T11:09:00Z"/>
                <w:snapToGrid w:val="0"/>
                <w:szCs w:val="22"/>
              </w:rPr>
            </w:pPr>
            <w:del w:id="4123" w:author="Author" w:date="2025-07-24T11:09:00Z">
              <w:r>
                <w:rPr>
                  <w:snapToGrid w:val="0"/>
                  <w:szCs w:val="22"/>
                </w:rPr>
                <w:delText>Roche Norge AS</w:delText>
              </w:r>
            </w:del>
          </w:p>
          <w:p w14:paraId="0D834747" w14:textId="77777777" w:rsidR="009700E5" w:rsidRDefault="002C033C">
            <w:pPr>
              <w:rPr>
                <w:del w:id="4124" w:author="Author" w:date="2025-07-24T11:09:00Z"/>
                <w:szCs w:val="22"/>
              </w:rPr>
            </w:pPr>
            <w:del w:id="4125" w:author="Author" w:date="2025-07-24T11:09:00Z">
              <w:r>
                <w:rPr>
                  <w:snapToGrid w:val="0"/>
                  <w:szCs w:val="22"/>
                </w:rPr>
                <w:delText>Tlf: +47 - 22 78 90 00</w:delText>
              </w:r>
            </w:del>
          </w:p>
          <w:p w14:paraId="00521B4E" w14:textId="77777777" w:rsidR="009700E5" w:rsidRDefault="009700E5">
            <w:pPr>
              <w:rPr>
                <w:del w:id="4126" w:author="Author" w:date="2025-07-24T11:09:00Z"/>
                <w:szCs w:val="22"/>
              </w:rPr>
            </w:pPr>
          </w:p>
        </w:tc>
      </w:tr>
      <w:tr w:rsidR="009700E5" w14:paraId="358E0B2C" w14:textId="77777777">
        <w:trPr>
          <w:cantSplit/>
          <w:del w:id="4127" w:author="Author" w:date="2025-07-24T11:09:00Z"/>
        </w:trPr>
        <w:tc>
          <w:tcPr>
            <w:tcW w:w="4590" w:type="dxa"/>
          </w:tcPr>
          <w:p w14:paraId="1484EE39" w14:textId="77777777" w:rsidR="009700E5" w:rsidRDefault="002C033C">
            <w:pPr>
              <w:rPr>
                <w:del w:id="4128" w:author="Author" w:date="2025-07-24T11:09:00Z"/>
                <w:b/>
                <w:szCs w:val="22"/>
              </w:rPr>
            </w:pPr>
            <w:del w:id="4129" w:author="Author" w:date="2025-07-24T11:09:00Z">
              <w:r>
                <w:rPr>
                  <w:b/>
                  <w:szCs w:val="22"/>
                </w:rPr>
                <w:delText>Eesti</w:delText>
              </w:r>
            </w:del>
          </w:p>
          <w:p w14:paraId="4AB3BA7A" w14:textId="77777777" w:rsidR="009700E5" w:rsidRDefault="002C033C">
            <w:pPr>
              <w:rPr>
                <w:del w:id="4130" w:author="Author" w:date="2025-07-24T11:09:00Z"/>
                <w:szCs w:val="22"/>
              </w:rPr>
            </w:pPr>
            <w:del w:id="4131" w:author="Author" w:date="2025-07-24T11:09:00Z">
              <w:r>
                <w:rPr>
                  <w:bCs/>
                  <w:szCs w:val="22"/>
                </w:rPr>
                <w:delText>Roche Eesti OÜ</w:delText>
              </w:r>
            </w:del>
          </w:p>
          <w:p w14:paraId="6C05B5E1" w14:textId="77777777" w:rsidR="009700E5" w:rsidRDefault="002C033C">
            <w:pPr>
              <w:rPr>
                <w:del w:id="4132" w:author="Author" w:date="2025-07-24T11:09:00Z"/>
                <w:szCs w:val="22"/>
              </w:rPr>
            </w:pPr>
            <w:del w:id="4133" w:author="Author" w:date="2025-07-24T11:09:00Z">
              <w:r>
                <w:rPr>
                  <w:szCs w:val="22"/>
                </w:rPr>
                <w:delText>Tel: + 372 - 6 177 380</w:delText>
              </w:r>
            </w:del>
          </w:p>
          <w:p w14:paraId="321F7798" w14:textId="77777777" w:rsidR="009700E5" w:rsidRDefault="009700E5">
            <w:pPr>
              <w:rPr>
                <w:del w:id="4134" w:author="Author" w:date="2025-07-24T11:09:00Z"/>
                <w:szCs w:val="22"/>
              </w:rPr>
            </w:pPr>
          </w:p>
        </w:tc>
        <w:tc>
          <w:tcPr>
            <w:tcW w:w="4590" w:type="dxa"/>
          </w:tcPr>
          <w:p w14:paraId="7C3BC99F" w14:textId="77777777" w:rsidR="009700E5" w:rsidRDefault="002C033C">
            <w:pPr>
              <w:rPr>
                <w:del w:id="4135" w:author="Author" w:date="2025-07-24T11:09:00Z"/>
                <w:szCs w:val="22"/>
              </w:rPr>
            </w:pPr>
            <w:del w:id="4136" w:author="Author" w:date="2025-07-24T11:09:00Z">
              <w:r>
                <w:rPr>
                  <w:b/>
                  <w:szCs w:val="22"/>
                </w:rPr>
                <w:delText>Österreich</w:delText>
              </w:r>
            </w:del>
          </w:p>
          <w:p w14:paraId="1CB2DCF0" w14:textId="77777777" w:rsidR="009700E5" w:rsidRDefault="002C033C">
            <w:pPr>
              <w:rPr>
                <w:del w:id="4137" w:author="Author" w:date="2025-07-24T11:09:00Z"/>
                <w:szCs w:val="22"/>
              </w:rPr>
            </w:pPr>
            <w:del w:id="4138" w:author="Author" w:date="2025-07-24T11:09:00Z">
              <w:r>
                <w:rPr>
                  <w:szCs w:val="22"/>
                </w:rPr>
                <w:delText>Roche Austria GmbH</w:delText>
              </w:r>
            </w:del>
          </w:p>
          <w:p w14:paraId="14D2A68D" w14:textId="77777777" w:rsidR="009700E5" w:rsidRDefault="002C033C">
            <w:pPr>
              <w:rPr>
                <w:del w:id="4139" w:author="Author" w:date="2025-07-24T11:09:00Z"/>
                <w:szCs w:val="22"/>
              </w:rPr>
            </w:pPr>
            <w:del w:id="4140" w:author="Author" w:date="2025-07-24T11:09:00Z">
              <w:r>
                <w:rPr>
                  <w:szCs w:val="22"/>
                </w:rPr>
                <w:delText>Tel: +43 (0) 1 27739</w:delText>
              </w:r>
            </w:del>
          </w:p>
          <w:p w14:paraId="704C2E03" w14:textId="77777777" w:rsidR="009700E5" w:rsidRDefault="009700E5">
            <w:pPr>
              <w:rPr>
                <w:del w:id="4141" w:author="Author" w:date="2025-07-24T11:09:00Z"/>
                <w:szCs w:val="22"/>
              </w:rPr>
            </w:pPr>
          </w:p>
        </w:tc>
      </w:tr>
      <w:tr w:rsidR="009700E5" w14:paraId="46BAB84B" w14:textId="77777777">
        <w:trPr>
          <w:cantSplit/>
          <w:del w:id="4142" w:author="Author" w:date="2025-07-24T11:09:00Z"/>
        </w:trPr>
        <w:tc>
          <w:tcPr>
            <w:tcW w:w="4590" w:type="dxa"/>
          </w:tcPr>
          <w:p w14:paraId="254F67FC" w14:textId="77777777" w:rsidR="009700E5" w:rsidRDefault="002C033C">
            <w:pPr>
              <w:rPr>
                <w:del w:id="4143" w:author="Author" w:date="2025-07-24T11:09:00Z"/>
                <w:szCs w:val="22"/>
              </w:rPr>
            </w:pPr>
            <w:del w:id="4144" w:author="Author" w:date="2025-07-24T11:09:00Z">
              <w:r>
                <w:rPr>
                  <w:b/>
                  <w:szCs w:val="22"/>
                </w:rPr>
                <w:delText>Ελλάδα</w:delText>
              </w:r>
            </w:del>
          </w:p>
          <w:p w14:paraId="7254EF95" w14:textId="77777777" w:rsidR="009700E5" w:rsidRDefault="002C033C">
            <w:pPr>
              <w:rPr>
                <w:del w:id="4145" w:author="Author" w:date="2025-07-24T11:09:00Z"/>
                <w:szCs w:val="22"/>
              </w:rPr>
            </w:pPr>
            <w:del w:id="4146" w:author="Author" w:date="2025-07-24T11:09:00Z">
              <w:r>
                <w:rPr>
                  <w:szCs w:val="22"/>
                </w:rPr>
                <w:delText xml:space="preserve">Roche (Hellas) A.E. </w:delText>
              </w:r>
            </w:del>
          </w:p>
          <w:p w14:paraId="3F781A72" w14:textId="77777777" w:rsidR="009700E5" w:rsidRDefault="002C033C">
            <w:pPr>
              <w:rPr>
                <w:del w:id="4147" w:author="Author" w:date="2025-07-24T11:09:00Z"/>
                <w:szCs w:val="22"/>
              </w:rPr>
            </w:pPr>
            <w:del w:id="4148" w:author="Author" w:date="2025-07-24T11:09:00Z">
              <w:r>
                <w:rPr>
                  <w:szCs w:val="22"/>
                </w:rPr>
                <w:delText>Τηλ: +30 210 61 66 100</w:delText>
              </w:r>
            </w:del>
          </w:p>
          <w:p w14:paraId="7D9B4FDE" w14:textId="77777777" w:rsidR="009700E5" w:rsidRDefault="009700E5">
            <w:pPr>
              <w:rPr>
                <w:del w:id="4149" w:author="Author" w:date="2025-07-24T11:09:00Z"/>
                <w:szCs w:val="22"/>
              </w:rPr>
            </w:pPr>
          </w:p>
        </w:tc>
        <w:tc>
          <w:tcPr>
            <w:tcW w:w="4590" w:type="dxa"/>
          </w:tcPr>
          <w:p w14:paraId="4A53EA4A" w14:textId="77777777" w:rsidR="009700E5" w:rsidRDefault="002C033C">
            <w:pPr>
              <w:rPr>
                <w:del w:id="4150" w:author="Author" w:date="2025-07-24T11:09:00Z"/>
                <w:b/>
                <w:szCs w:val="22"/>
              </w:rPr>
            </w:pPr>
            <w:del w:id="4151" w:author="Author" w:date="2025-07-24T11:09:00Z">
              <w:r>
                <w:rPr>
                  <w:b/>
                  <w:szCs w:val="22"/>
                </w:rPr>
                <w:delText>Polska</w:delText>
              </w:r>
            </w:del>
          </w:p>
          <w:p w14:paraId="104FEF6E" w14:textId="77777777" w:rsidR="009700E5" w:rsidRDefault="002C033C">
            <w:pPr>
              <w:rPr>
                <w:del w:id="4152" w:author="Author" w:date="2025-07-24T11:09:00Z"/>
                <w:szCs w:val="22"/>
              </w:rPr>
            </w:pPr>
            <w:del w:id="4153" w:author="Author" w:date="2025-07-24T11:09:00Z">
              <w:r>
                <w:rPr>
                  <w:szCs w:val="22"/>
                </w:rPr>
                <w:delText>Roche Polska Sp.z o.o.</w:delText>
              </w:r>
            </w:del>
          </w:p>
          <w:p w14:paraId="65A0FA91" w14:textId="77777777" w:rsidR="009700E5" w:rsidRDefault="002C033C">
            <w:pPr>
              <w:rPr>
                <w:del w:id="4154" w:author="Author" w:date="2025-07-24T11:09:00Z"/>
                <w:szCs w:val="22"/>
              </w:rPr>
            </w:pPr>
            <w:del w:id="4155" w:author="Author" w:date="2025-07-24T11:09:00Z">
              <w:r>
                <w:rPr>
                  <w:szCs w:val="22"/>
                </w:rPr>
                <w:delText>Tel: +48 - 22 345 18 88</w:delText>
              </w:r>
            </w:del>
          </w:p>
          <w:p w14:paraId="6BB981F0" w14:textId="77777777" w:rsidR="009700E5" w:rsidRDefault="009700E5">
            <w:pPr>
              <w:rPr>
                <w:del w:id="4156" w:author="Author" w:date="2025-07-24T11:09:00Z"/>
                <w:szCs w:val="22"/>
              </w:rPr>
            </w:pPr>
          </w:p>
        </w:tc>
      </w:tr>
      <w:tr w:rsidR="009700E5" w14:paraId="5113336D" w14:textId="77777777">
        <w:trPr>
          <w:cantSplit/>
          <w:del w:id="4157" w:author="Author" w:date="2025-07-24T11:09:00Z"/>
        </w:trPr>
        <w:tc>
          <w:tcPr>
            <w:tcW w:w="4590" w:type="dxa"/>
          </w:tcPr>
          <w:p w14:paraId="043CE280" w14:textId="77777777" w:rsidR="009700E5" w:rsidRDefault="002C033C">
            <w:pPr>
              <w:rPr>
                <w:del w:id="4158" w:author="Author" w:date="2025-07-24T11:09:00Z"/>
                <w:b/>
                <w:szCs w:val="22"/>
              </w:rPr>
            </w:pPr>
            <w:del w:id="4159" w:author="Author" w:date="2025-07-24T11:09:00Z">
              <w:r>
                <w:rPr>
                  <w:b/>
                  <w:szCs w:val="22"/>
                </w:rPr>
                <w:delText>España</w:delText>
              </w:r>
            </w:del>
          </w:p>
          <w:p w14:paraId="2ECA0664" w14:textId="77777777" w:rsidR="009700E5" w:rsidRDefault="002C033C">
            <w:pPr>
              <w:rPr>
                <w:del w:id="4160" w:author="Author" w:date="2025-07-24T11:09:00Z"/>
                <w:szCs w:val="22"/>
              </w:rPr>
            </w:pPr>
            <w:del w:id="4161" w:author="Author" w:date="2025-07-24T11:09:00Z">
              <w:r>
                <w:rPr>
                  <w:szCs w:val="22"/>
                </w:rPr>
                <w:delText>Roche Farma S.A.</w:delText>
              </w:r>
            </w:del>
          </w:p>
          <w:p w14:paraId="17640585" w14:textId="77777777" w:rsidR="009700E5" w:rsidRDefault="002C033C">
            <w:pPr>
              <w:rPr>
                <w:del w:id="4162" w:author="Author" w:date="2025-07-24T11:09:00Z"/>
                <w:szCs w:val="22"/>
              </w:rPr>
            </w:pPr>
            <w:del w:id="4163" w:author="Author" w:date="2025-07-24T11:09:00Z">
              <w:r>
                <w:rPr>
                  <w:szCs w:val="22"/>
                </w:rPr>
                <w:delText>Tel: +34 - 91 324 81 00</w:delText>
              </w:r>
            </w:del>
          </w:p>
          <w:p w14:paraId="733474F6" w14:textId="77777777" w:rsidR="009700E5" w:rsidRDefault="009700E5">
            <w:pPr>
              <w:rPr>
                <w:del w:id="4164" w:author="Author" w:date="2025-07-24T11:09:00Z"/>
                <w:szCs w:val="22"/>
              </w:rPr>
            </w:pPr>
          </w:p>
        </w:tc>
        <w:tc>
          <w:tcPr>
            <w:tcW w:w="4590" w:type="dxa"/>
          </w:tcPr>
          <w:p w14:paraId="3E7803AB" w14:textId="77777777" w:rsidR="009700E5" w:rsidRDefault="002C033C">
            <w:pPr>
              <w:rPr>
                <w:del w:id="4165" w:author="Author" w:date="2025-07-24T11:09:00Z"/>
                <w:szCs w:val="22"/>
              </w:rPr>
            </w:pPr>
            <w:del w:id="4166" w:author="Author" w:date="2025-07-24T11:09:00Z">
              <w:r>
                <w:rPr>
                  <w:b/>
                  <w:szCs w:val="22"/>
                </w:rPr>
                <w:delText>Portugal</w:delText>
              </w:r>
            </w:del>
          </w:p>
          <w:p w14:paraId="1D318C2B" w14:textId="77777777" w:rsidR="009700E5" w:rsidRDefault="002C033C">
            <w:pPr>
              <w:rPr>
                <w:del w:id="4167" w:author="Author" w:date="2025-07-24T11:09:00Z"/>
                <w:szCs w:val="22"/>
              </w:rPr>
            </w:pPr>
            <w:del w:id="4168" w:author="Author" w:date="2025-07-24T11:09:00Z">
              <w:r>
                <w:rPr>
                  <w:szCs w:val="22"/>
                </w:rPr>
                <w:delText>Roche Farmacêutica Química, Lda</w:delText>
              </w:r>
            </w:del>
          </w:p>
          <w:p w14:paraId="10DB0752" w14:textId="77777777" w:rsidR="009700E5" w:rsidRDefault="002C033C">
            <w:pPr>
              <w:rPr>
                <w:del w:id="4169" w:author="Author" w:date="2025-07-24T11:09:00Z"/>
                <w:szCs w:val="22"/>
              </w:rPr>
            </w:pPr>
            <w:del w:id="4170" w:author="Author" w:date="2025-07-24T11:09:00Z">
              <w:r>
                <w:rPr>
                  <w:szCs w:val="22"/>
                </w:rPr>
                <w:delText>Tel: +351 - 21 425 70 00</w:delText>
              </w:r>
            </w:del>
          </w:p>
          <w:p w14:paraId="3DB48305" w14:textId="77777777" w:rsidR="009700E5" w:rsidRDefault="009700E5">
            <w:pPr>
              <w:rPr>
                <w:del w:id="4171" w:author="Author" w:date="2025-07-24T11:09:00Z"/>
                <w:szCs w:val="22"/>
              </w:rPr>
            </w:pPr>
          </w:p>
        </w:tc>
      </w:tr>
      <w:tr w:rsidR="009700E5" w14:paraId="19146328" w14:textId="77777777">
        <w:trPr>
          <w:cantSplit/>
          <w:del w:id="4172" w:author="Author" w:date="2025-07-24T11:09:00Z"/>
        </w:trPr>
        <w:tc>
          <w:tcPr>
            <w:tcW w:w="4590" w:type="dxa"/>
          </w:tcPr>
          <w:p w14:paraId="68A8C9EA" w14:textId="77777777" w:rsidR="009700E5" w:rsidRDefault="002C033C">
            <w:pPr>
              <w:rPr>
                <w:del w:id="4173" w:author="Author" w:date="2025-07-24T11:09:00Z"/>
                <w:szCs w:val="22"/>
              </w:rPr>
            </w:pPr>
            <w:del w:id="4174" w:author="Author" w:date="2025-07-24T11:09:00Z">
              <w:r>
                <w:rPr>
                  <w:b/>
                  <w:szCs w:val="22"/>
                </w:rPr>
                <w:lastRenderedPageBreak/>
                <w:delText>France</w:delText>
              </w:r>
            </w:del>
          </w:p>
          <w:p w14:paraId="2E5716BC" w14:textId="77777777" w:rsidR="009700E5" w:rsidRDefault="002C033C">
            <w:pPr>
              <w:autoSpaceDE w:val="0"/>
              <w:autoSpaceDN w:val="0"/>
              <w:adjustRightInd w:val="0"/>
              <w:rPr>
                <w:del w:id="4175" w:author="Author" w:date="2025-07-24T11:09:00Z"/>
                <w:rFonts w:eastAsia="SimSun"/>
                <w:szCs w:val="22"/>
                <w:lang w:eastAsia="zh-CN"/>
              </w:rPr>
            </w:pPr>
            <w:del w:id="4176" w:author="Author" w:date="2025-07-24T11:09:00Z">
              <w:r>
                <w:rPr>
                  <w:rFonts w:eastAsia="SimSun"/>
                  <w:szCs w:val="22"/>
                  <w:lang w:eastAsia="zh-CN"/>
                </w:rPr>
                <w:delText>Roche</w:delText>
              </w:r>
            </w:del>
          </w:p>
          <w:p w14:paraId="5E100662" w14:textId="77777777" w:rsidR="009700E5" w:rsidRDefault="002C033C">
            <w:pPr>
              <w:rPr>
                <w:del w:id="4177" w:author="Author" w:date="2025-07-24T11:09:00Z"/>
                <w:szCs w:val="22"/>
              </w:rPr>
            </w:pPr>
            <w:del w:id="4178" w:author="Author" w:date="2025-07-24T11:09:00Z">
              <w:r>
                <w:rPr>
                  <w:rFonts w:eastAsia="SimSun"/>
                  <w:szCs w:val="22"/>
                  <w:lang w:eastAsia="zh-CN"/>
                </w:rPr>
                <w:delText>Tél: +33 (0)</w:delText>
              </w:r>
              <w:r>
                <w:rPr>
                  <w:szCs w:val="22"/>
                </w:rPr>
                <w:delText>1 47 61 40 00</w:delText>
              </w:r>
            </w:del>
          </w:p>
          <w:p w14:paraId="27D1C082" w14:textId="77777777" w:rsidR="009700E5" w:rsidRDefault="002C033C">
            <w:pPr>
              <w:autoSpaceDE w:val="0"/>
              <w:autoSpaceDN w:val="0"/>
              <w:adjustRightInd w:val="0"/>
              <w:rPr>
                <w:del w:id="4179" w:author="Author" w:date="2025-07-24T11:09:00Z"/>
                <w:rFonts w:eastAsia="SimSun"/>
                <w:szCs w:val="22"/>
                <w:lang w:eastAsia="zh-CN"/>
              </w:rPr>
            </w:pPr>
            <w:del w:id="4180" w:author="Author" w:date="2025-07-24T11:09:00Z">
              <w:r>
                <w:rPr>
                  <w:rFonts w:eastAsia="SimSun"/>
                  <w:szCs w:val="22"/>
                  <w:lang w:eastAsia="zh-CN"/>
                </w:rPr>
                <w:delText>ou</w:delText>
              </w:r>
            </w:del>
          </w:p>
          <w:p w14:paraId="34D30C13" w14:textId="77777777" w:rsidR="009700E5" w:rsidRDefault="002C033C">
            <w:pPr>
              <w:autoSpaceDE w:val="0"/>
              <w:autoSpaceDN w:val="0"/>
              <w:adjustRightInd w:val="0"/>
              <w:rPr>
                <w:del w:id="4181" w:author="Author" w:date="2025-07-24T11:09:00Z"/>
                <w:rFonts w:eastAsia="SimSun"/>
                <w:szCs w:val="22"/>
                <w:lang w:eastAsia="zh-CN"/>
              </w:rPr>
            </w:pPr>
            <w:del w:id="4182" w:author="Author" w:date="2025-07-24T11:09:00Z">
              <w:r>
                <w:rPr>
                  <w:rFonts w:eastAsia="SimSun"/>
                  <w:szCs w:val="22"/>
                  <w:lang w:eastAsia="zh-CN"/>
                </w:rPr>
                <w:delText>Chugai Pharma France</w:delText>
              </w:r>
            </w:del>
          </w:p>
          <w:p w14:paraId="1F830E5E" w14:textId="77777777" w:rsidR="009700E5" w:rsidRDefault="002C033C">
            <w:pPr>
              <w:autoSpaceDE w:val="0"/>
              <w:autoSpaceDN w:val="0"/>
              <w:adjustRightInd w:val="0"/>
              <w:rPr>
                <w:del w:id="4183" w:author="Author" w:date="2025-07-24T11:09:00Z"/>
                <w:szCs w:val="22"/>
              </w:rPr>
            </w:pPr>
            <w:del w:id="4184" w:author="Author" w:date="2025-07-24T11:09:00Z">
              <w:r>
                <w:rPr>
                  <w:rFonts w:eastAsia="SimSun"/>
                  <w:szCs w:val="22"/>
                  <w:lang w:eastAsia="zh-CN"/>
                </w:rPr>
                <w:delText>Tél: +33 (0) 1 56 37 05 20</w:delText>
              </w:r>
            </w:del>
          </w:p>
          <w:p w14:paraId="01CB0159" w14:textId="77777777" w:rsidR="009700E5" w:rsidRDefault="009700E5">
            <w:pPr>
              <w:autoSpaceDE w:val="0"/>
              <w:autoSpaceDN w:val="0"/>
              <w:adjustRightInd w:val="0"/>
              <w:rPr>
                <w:del w:id="4185" w:author="Author" w:date="2025-07-24T11:09:00Z"/>
                <w:b/>
                <w:szCs w:val="22"/>
              </w:rPr>
            </w:pPr>
          </w:p>
          <w:p w14:paraId="63FF5499" w14:textId="77777777" w:rsidR="009700E5" w:rsidRDefault="002C033C">
            <w:pPr>
              <w:rPr>
                <w:del w:id="4186" w:author="Author" w:date="2025-07-24T11:09:00Z"/>
                <w:b/>
                <w:szCs w:val="22"/>
              </w:rPr>
            </w:pPr>
            <w:del w:id="4187" w:author="Author" w:date="2025-07-24T11:09:00Z">
              <w:r>
                <w:rPr>
                  <w:b/>
                  <w:szCs w:val="22"/>
                </w:rPr>
                <w:delText>Hrvatska</w:delText>
              </w:r>
            </w:del>
          </w:p>
          <w:p w14:paraId="555D644C" w14:textId="77777777" w:rsidR="009700E5" w:rsidRDefault="002C033C">
            <w:pPr>
              <w:rPr>
                <w:del w:id="4188" w:author="Author" w:date="2025-07-24T11:09:00Z"/>
                <w:szCs w:val="22"/>
              </w:rPr>
            </w:pPr>
            <w:del w:id="4189" w:author="Author" w:date="2025-07-24T11:09:00Z">
              <w:r>
                <w:rPr>
                  <w:szCs w:val="22"/>
                </w:rPr>
                <w:delText>Roche d.o.o</w:delText>
              </w:r>
            </w:del>
          </w:p>
          <w:p w14:paraId="7ADDABF8" w14:textId="77777777" w:rsidR="009700E5" w:rsidRDefault="002C033C">
            <w:pPr>
              <w:autoSpaceDE w:val="0"/>
              <w:autoSpaceDN w:val="0"/>
              <w:adjustRightInd w:val="0"/>
              <w:rPr>
                <w:del w:id="4190" w:author="Author" w:date="2025-07-24T11:09:00Z"/>
                <w:b/>
                <w:szCs w:val="22"/>
              </w:rPr>
            </w:pPr>
            <w:del w:id="4191" w:author="Author" w:date="2025-07-24T11:09:00Z">
              <w:r>
                <w:rPr>
                  <w:szCs w:val="22"/>
                </w:rPr>
                <w:delText>Tel: +385 1 47 22 333</w:delText>
              </w:r>
            </w:del>
          </w:p>
        </w:tc>
        <w:tc>
          <w:tcPr>
            <w:tcW w:w="4590" w:type="dxa"/>
          </w:tcPr>
          <w:p w14:paraId="251B4CAB" w14:textId="77777777" w:rsidR="009700E5" w:rsidRDefault="002C033C">
            <w:pPr>
              <w:tabs>
                <w:tab w:val="left" w:pos="-720"/>
                <w:tab w:val="left" w:pos="567"/>
                <w:tab w:val="left" w:pos="4536"/>
              </w:tabs>
              <w:suppressAutoHyphens/>
              <w:spacing w:line="260" w:lineRule="exact"/>
              <w:rPr>
                <w:del w:id="4192" w:author="Author" w:date="2025-07-24T11:09:00Z"/>
                <w:b/>
                <w:szCs w:val="22"/>
              </w:rPr>
            </w:pPr>
            <w:del w:id="4193" w:author="Author" w:date="2025-07-24T11:09:00Z">
              <w:r>
                <w:rPr>
                  <w:b/>
                  <w:szCs w:val="22"/>
                </w:rPr>
                <w:delText>România</w:delText>
              </w:r>
            </w:del>
          </w:p>
          <w:p w14:paraId="23591477" w14:textId="77777777" w:rsidR="009700E5" w:rsidRDefault="002C033C">
            <w:pPr>
              <w:tabs>
                <w:tab w:val="left" w:pos="-720"/>
                <w:tab w:val="left" w:pos="4536"/>
              </w:tabs>
              <w:suppressAutoHyphens/>
              <w:rPr>
                <w:del w:id="4194" w:author="Author" w:date="2025-07-24T11:09:00Z"/>
                <w:szCs w:val="22"/>
              </w:rPr>
            </w:pPr>
            <w:del w:id="4195" w:author="Author" w:date="2025-07-24T11:09:00Z">
              <w:r>
                <w:rPr>
                  <w:szCs w:val="22"/>
                </w:rPr>
                <w:delText>Roche România S.R.L.</w:delText>
              </w:r>
            </w:del>
          </w:p>
          <w:p w14:paraId="2B72D2A1" w14:textId="77777777" w:rsidR="009700E5" w:rsidRDefault="002C033C">
            <w:pPr>
              <w:tabs>
                <w:tab w:val="left" w:pos="-720"/>
                <w:tab w:val="left" w:pos="4536"/>
              </w:tabs>
              <w:suppressAutoHyphens/>
              <w:rPr>
                <w:del w:id="4196" w:author="Author" w:date="2025-07-24T11:09:00Z"/>
                <w:szCs w:val="22"/>
              </w:rPr>
            </w:pPr>
            <w:del w:id="4197" w:author="Author" w:date="2025-07-24T11:09:00Z">
              <w:r>
                <w:rPr>
                  <w:szCs w:val="22"/>
                </w:rPr>
                <w:delText>Tel: +40 21 206 47 01</w:delText>
              </w:r>
            </w:del>
          </w:p>
          <w:p w14:paraId="6F072335" w14:textId="77777777" w:rsidR="009700E5" w:rsidRDefault="009700E5">
            <w:pPr>
              <w:tabs>
                <w:tab w:val="left" w:pos="-720"/>
                <w:tab w:val="left" w:pos="4536"/>
              </w:tabs>
              <w:suppressAutoHyphens/>
              <w:rPr>
                <w:del w:id="4198" w:author="Author" w:date="2025-07-24T11:09:00Z"/>
                <w:szCs w:val="22"/>
              </w:rPr>
            </w:pPr>
          </w:p>
          <w:p w14:paraId="7FDE9559" w14:textId="77777777" w:rsidR="009700E5" w:rsidRDefault="009700E5">
            <w:pPr>
              <w:tabs>
                <w:tab w:val="left" w:pos="-720"/>
                <w:tab w:val="left" w:pos="4536"/>
              </w:tabs>
              <w:suppressAutoHyphens/>
              <w:rPr>
                <w:del w:id="4199" w:author="Author" w:date="2025-07-24T11:09:00Z"/>
                <w:szCs w:val="22"/>
              </w:rPr>
            </w:pPr>
          </w:p>
        </w:tc>
      </w:tr>
      <w:tr w:rsidR="009700E5" w14:paraId="792497D4" w14:textId="77777777">
        <w:trPr>
          <w:cantSplit/>
          <w:del w:id="4200" w:author="Author" w:date="2025-07-24T11:09:00Z"/>
        </w:trPr>
        <w:tc>
          <w:tcPr>
            <w:tcW w:w="4590" w:type="dxa"/>
          </w:tcPr>
          <w:p w14:paraId="3E2CB7B2" w14:textId="77777777" w:rsidR="009700E5" w:rsidRDefault="009700E5">
            <w:pPr>
              <w:rPr>
                <w:del w:id="4201" w:author="Author" w:date="2025-07-24T11:09:00Z"/>
                <w:b/>
                <w:szCs w:val="22"/>
              </w:rPr>
            </w:pPr>
          </w:p>
          <w:p w14:paraId="548FEA0D" w14:textId="77777777" w:rsidR="009700E5" w:rsidRDefault="002C033C">
            <w:pPr>
              <w:rPr>
                <w:del w:id="4202" w:author="Author" w:date="2025-07-24T11:09:00Z"/>
                <w:b/>
                <w:szCs w:val="22"/>
              </w:rPr>
            </w:pPr>
            <w:del w:id="4203" w:author="Author" w:date="2025-07-24T11:09:00Z">
              <w:r>
                <w:rPr>
                  <w:b/>
                  <w:szCs w:val="22"/>
                </w:rPr>
                <w:delText>Ireland</w:delText>
              </w:r>
            </w:del>
          </w:p>
          <w:p w14:paraId="3012CC04" w14:textId="77777777" w:rsidR="009700E5" w:rsidRDefault="002C033C">
            <w:pPr>
              <w:rPr>
                <w:del w:id="4204" w:author="Author" w:date="2025-07-24T11:09:00Z"/>
                <w:szCs w:val="22"/>
              </w:rPr>
            </w:pPr>
            <w:del w:id="4205" w:author="Author" w:date="2025-07-24T11:09:00Z">
              <w:r>
                <w:rPr>
                  <w:szCs w:val="22"/>
                </w:rPr>
                <w:delText>Roche Products (Ireland) Ltd.</w:delText>
              </w:r>
            </w:del>
          </w:p>
          <w:p w14:paraId="5C298061" w14:textId="77777777" w:rsidR="009700E5" w:rsidRDefault="002C033C">
            <w:pPr>
              <w:rPr>
                <w:del w:id="4206" w:author="Author" w:date="2025-07-24T11:09:00Z"/>
                <w:szCs w:val="22"/>
              </w:rPr>
            </w:pPr>
            <w:del w:id="4207" w:author="Author" w:date="2025-07-24T11:09:00Z">
              <w:r>
                <w:rPr>
                  <w:szCs w:val="22"/>
                </w:rPr>
                <w:delText>Tel: +353 (0) 1 469 0700</w:delText>
              </w:r>
            </w:del>
          </w:p>
          <w:p w14:paraId="3F2EFBA7" w14:textId="77777777" w:rsidR="009700E5" w:rsidRDefault="009700E5">
            <w:pPr>
              <w:rPr>
                <w:del w:id="4208" w:author="Author" w:date="2025-07-24T11:09:00Z"/>
                <w:szCs w:val="22"/>
              </w:rPr>
            </w:pPr>
          </w:p>
        </w:tc>
        <w:tc>
          <w:tcPr>
            <w:tcW w:w="4590" w:type="dxa"/>
          </w:tcPr>
          <w:p w14:paraId="08791D86" w14:textId="77777777" w:rsidR="009700E5" w:rsidRDefault="002C033C">
            <w:pPr>
              <w:rPr>
                <w:del w:id="4209" w:author="Author" w:date="2025-07-24T11:09:00Z"/>
                <w:b/>
                <w:szCs w:val="22"/>
              </w:rPr>
            </w:pPr>
            <w:del w:id="4210" w:author="Author" w:date="2025-07-24T11:09:00Z">
              <w:r>
                <w:rPr>
                  <w:b/>
                  <w:szCs w:val="22"/>
                </w:rPr>
                <w:delText>Slovenija</w:delText>
              </w:r>
            </w:del>
          </w:p>
          <w:p w14:paraId="296E47B7" w14:textId="77777777" w:rsidR="009700E5" w:rsidRDefault="002C033C">
            <w:pPr>
              <w:rPr>
                <w:del w:id="4211" w:author="Author" w:date="2025-07-24T11:09:00Z"/>
                <w:szCs w:val="22"/>
              </w:rPr>
            </w:pPr>
            <w:del w:id="4212" w:author="Author" w:date="2025-07-24T11:09:00Z">
              <w:r>
                <w:rPr>
                  <w:szCs w:val="22"/>
                </w:rPr>
                <w:delText>Roche farmacevtska družba d.o.o.</w:delText>
              </w:r>
            </w:del>
          </w:p>
          <w:p w14:paraId="06C20D81" w14:textId="77777777" w:rsidR="009700E5" w:rsidRDefault="002C033C">
            <w:pPr>
              <w:rPr>
                <w:del w:id="4213" w:author="Author" w:date="2025-07-24T11:09:00Z"/>
                <w:rFonts w:eastAsia="MS Mincho"/>
                <w:szCs w:val="22"/>
              </w:rPr>
            </w:pPr>
            <w:del w:id="4214" w:author="Author" w:date="2025-07-24T11:09:00Z">
              <w:r>
                <w:rPr>
                  <w:rFonts w:eastAsia="MS Mincho"/>
                  <w:szCs w:val="22"/>
                </w:rPr>
                <w:delText>Tel: +386 - 1 360 26 00</w:delText>
              </w:r>
            </w:del>
          </w:p>
          <w:p w14:paraId="5D8CAF0E" w14:textId="77777777" w:rsidR="009700E5" w:rsidRDefault="009700E5">
            <w:pPr>
              <w:rPr>
                <w:del w:id="4215" w:author="Author" w:date="2025-07-24T11:09:00Z"/>
                <w:szCs w:val="22"/>
              </w:rPr>
            </w:pPr>
          </w:p>
        </w:tc>
      </w:tr>
      <w:tr w:rsidR="009700E5" w14:paraId="58C32E75" w14:textId="77777777">
        <w:trPr>
          <w:cantSplit/>
          <w:del w:id="4216" w:author="Author" w:date="2025-07-24T11:09:00Z"/>
        </w:trPr>
        <w:tc>
          <w:tcPr>
            <w:tcW w:w="4590" w:type="dxa"/>
          </w:tcPr>
          <w:p w14:paraId="0BE1A7DD" w14:textId="77777777" w:rsidR="009700E5" w:rsidRDefault="002C033C">
            <w:pPr>
              <w:tabs>
                <w:tab w:val="left" w:pos="720"/>
              </w:tabs>
              <w:rPr>
                <w:del w:id="4217" w:author="Author" w:date="2025-07-24T11:09:00Z"/>
                <w:b/>
                <w:snapToGrid w:val="0"/>
                <w:szCs w:val="22"/>
              </w:rPr>
            </w:pPr>
            <w:del w:id="4218" w:author="Author" w:date="2025-07-24T11:09:00Z">
              <w:r>
                <w:rPr>
                  <w:b/>
                  <w:snapToGrid w:val="0"/>
                  <w:szCs w:val="22"/>
                </w:rPr>
                <w:delText>Ísland</w:delText>
              </w:r>
            </w:del>
          </w:p>
          <w:p w14:paraId="6AF188E6" w14:textId="77777777" w:rsidR="009700E5" w:rsidRDefault="002C033C">
            <w:pPr>
              <w:tabs>
                <w:tab w:val="left" w:pos="720"/>
              </w:tabs>
              <w:rPr>
                <w:del w:id="4219" w:author="Author" w:date="2025-07-24T11:09:00Z"/>
                <w:snapToGrid w:val="0"/>
                <w:szCs w:val="22"/>
              </w:rPr>
            </w:pPr>
            <w:del w:id="4220" w:author="Author" w:date="2025-07-24T11:09:00Z">
              <w:r>
                <w:rPr>
                  <w:snapToGrid w:val="0"/>
                  <w:szCs w:val="22"/>
                </w:rPr>
                <w:delText xml:space="preserve">Roche </w:delText>
              </w:r>
              <w:r>
                <w:rPr>
                  <w:szCs w:val="22"/>
                </w:rPr>
                <w:delText>Pharmaceuticals A/S</w:delText>
              </w:r>
            </w:del>
          </w:p>
          <w:p w14:paraId="4F1DC18F" w14:textId="77777777" w:rsidR="009700E5" w:rsidRDefault="002C033C">
            <w:pPr>
              <w:tabs>
                <w:tab w:val="left" w:pos="720"/>
              </w:tabs>
              <w:rPr>
                <w:del w:id="4221" w:author="Author" w:date="2025-07-24T11:09:00Z"/>
                <w:snapToGrid w:val="0"/>
                <w:szCs w:val="22"/>
              </w:rPr>
            </w:pPr>
            <w:del w:id="4222" w:author="Author" w:date="2025-07-24T11:09:00Z">
              <w:r>
                <w:rPr>
                  <w:szCs w:val="22"/>
                </w:rPr>
                <w:delText>c/o Icepharma hf</w:delText>
              </w:r>
            </w:del>
          </w:p>
          <w:p w14:paraId="43977B44" w14:textId="77777777" w:rsidR="009700E5" w:rsidRPr="009700E5" w:rsidRDefault="002C033C">
            <w:pPr>
              <w:rPr>
                <w:del w:id="4223" w:author="Author" w:date="2025-07-24T11:09:00Z"/>
                <w:snapToGrid w:val="0"/>
                <w:szCs w:val="22"/>
                <w:rPrChange w:id="4224" w:author="Author" w:date="2025-08-22T15:12:00Z">
                  <w:rPr>
                    <w:del w:id="4225" w:author="Author" w:date="2025-07-24T11:09:00Z"/>
                    <w:rFonts w:ascii="Arial" w:hAnsi="Arial"/>
                    <w:snapToGrid w:val="0"/>
                  </w:rPr>
                </w:rPrChange>
              </w:rPr>
            </w:pPr>
            <w:del w:id="4226" w:author="Author" w:date="2025-07-24T11:09:00Z">
              <w:r>
                <w:rPr>
                  <w:szCs w:val="22"/>
                </w:rPr>
                <w:delText>Sími</w:delText>
              </w:r>
              <w:r>
                <w:rPr>
                  <w:snapToGrid w:val="0"/>
                  <w:szCs w:val="22"/>
                </w:rPr>
                <w:delText>: +354 540 8000</w:delText>
              </w:r>
            </w:del>
          </w:p>
          <w:p w14:paraId="2560C442" w14:textId="77777777" w:rsidR="009700E5" w:rsidRDefault="009700E5">
            <w:pPr>
              <w:tabs>
                <w:tab w:val="left" w:pos="720"/>
              </w:tabs>
              <w:autoSpaceDE w:val="0"/>
              <w:autoSpaceDN w:val="0"/>
              <w:adjustRightInd w:val="0"/>
              <w:rPr>
                <w:del w:id="4227" w:author="Author" w:date="2025-07-24T11:09:00Z"/>
                <w:b/>
                <w:szCs w:val="22"/>
              </w:rPr>
            </w:pPr>
          </w:p>
        </w:tc>
        <w:tc>
          <w:tcPr>
            <w:tcW w:w="4590" w:type="dxa"/>
          </w:tcPr>
          <w:p w14:paraId="0C55E8AE" w14:textId="77777777" w:rsidR="009700E5" w:rsidRDefault="002C033C">
            <w:pPr>
              <w:rPr>
                <w:del w:id="4228" w:author="Author" w:date="2025-07-24T11:09:00Z"/>
                <w:b/>
                <w:szCs w:val="22"/>
              </w:rPr>
            </w:pPr>
            <w:del w:id="4229" w:author="Author" w:date="2025-07-24T11:09:00Z">
              <w:r>
                <w:rPr>
                  <w:b/>
                  <w:szCs w:val="22"/>
                </w:rPr>
                <w:delText>Slovenská republika</w:delText>
              </w:r>
            </w:del>
          </w:p>
          <w:p w14:paraId="56CC0060" w14:textId="77777777" w:rsidR="009700E5" w:rsidRDefault="002C033C">
            <w:pPr>
              <w:rPr>
                <w:del w:id="4230" w:author="Author" w:date="2025-07-24T11:09:00Z"/>
                <w:szCs w:val="22"/>
              </w:rPr>
            </w:pPr>
            <w:del w:id="4231" w:author="Author" w:date="2025-07-24T11:09:00Z">
              <w:r>
                <w:rPr>
                  <w:szCs w:val="22"/>
                </w:rPr>
                <w:delText>Roche Slovensko, s.r.o.</w:delText>
              </w:r>
            </w:del>
          </w:p>
          <w:p w14:paraId="6B37404F" w14:textId="77777777" w:rsidR="009700E5" w:rsidRDefault="002C033C">
            <w:pPr>
              <w:rPr>
                <w:del w:id="4232" w:author="Author" w:date="2025-07-24T11:09:00Z"/>
                <w:szCs w:val="22"/>
              </w:rPr>
            </w:pPr>
            <w:del w:id="4233" w:author="Author" w:date="2025-07-24T11:09:00Z">
              <w:r>
                <w:rPr>
                  <w:szCs w:val="22"/>
                </w:rPr>
                <w:delText>Tel: +421 - 2 52638201</w:delText>
              </w:r>
            </w:del>
          </w:p>
          <w:p w14:paraId="41AB03F2" w14:textId="77777777" w:rsidR="009700E5" w:rsidRDefault="009700E5">
            <w:pPr>
              <w:rPr>
                <w:del w:id="4234" w:author="Author" w:date="2025-07-24T11:09:00Z"/>
                <w:b/>
                <w:szCs w:val="22"/>
              </w:rPr>
            </w:pPr>
          </w:p>
        </w:tc>
      </w:tr>
      <w:tr w:rsidR="009700E5" w14:paraId="2CF242A8" w14:textId="77777777">
        <w:trPr>
          <w:cantSplit/>
          <w:del w:id="4235" w:author="Author" w:date="2025-07-24T11:09:00Z"/>
        </w:trPr>
        <w:tc>
          <w:tcPr>
            <w:tcW w:w="4590" w:type="dxa"/>
          </w:tcPr>
          <w:p w14:paraId="52DA2CA6" w14:textId="77777777" w:rsidR="009700E5" w:rsidRDefault="002C033C">
            <w:pPr>
              <w:rPr>
                <w:del w:id="4236" w:author="Author" w:date="2025-07-24T11:09:00Z"/>
                <w:szCs w:val="22"/>
              </w:rPr>
            </w:pPr>
            <w:del w:id="4237" w:author="Author" w:date="2025-07-24T11:09:00Z">
              <w:r>
                <w:rPr>
                  <w:b/>
                  <w:szCs w:val="22"/>
                </w:rPr>
                <w:delText>Italia</w:delText>
              </w:r>
            </w:del>
          </w:p>
          <w:p w14:paraId="16EFB699" w14:textId="77777777" w:rsidR="009700E5" w:rsidRDefault="002C033C">
            <w:pPr>
              <w:rPr>
                <w:del w:id="4238" w:author="Author" w:date="2025-07-24T11:09:00Z"/>
                <w:szCs w:val="22"/>
              </w:rPr>
            </w:pPr>
            <w:del w:id="4239" w:author="Author" w:date="2025-07-24T11:09:00Z">
              <w:r>
                <w:rPr>
                  <w:szCs w:val="22"/>
                </w:rPr>
                <w:delText>Roche S.p.A.</w:delText>
              </w:r>
            </w:del>
          </w:p>
          <w:p w14:paraId="053CBA57" w14:textId="77777777" w:rsidR="009700E5" w:rsidRDefault="002C033C">
            <w:pPr>
              <w:rPr>
                <w:del w:id="4240" w:author="Author" w:date="2025-07-24T11:09:00Z"/>
                <w:b/>
                <w:szCs w:val="22"/>
              </w:rPr>
            </w:pPr>
            <w:del w:id="4241" w:author="Author" w:date="2025-07-24T11:09:00Z">
              <w:r>
                <w:rPr>
                  <w:szCs w:val="22"/>
                </w:rPr>
                <w:delText>Tel: +39 - 039 2471</w:delText>
              </w:r>
            </w:del>
          </w:p>
        </w:tc>
        <w:tc>
          <w:tcPr>
            <w:tcW w:w="4590" w:type="dxa"/>
          </w:tcPr>
          <w:p w14:paraId="05C55C46" w14:textId="77777777" w:rsidR="009700E5" w:rsidRDefault="002C033C">
            <w:pPr>
              <w:rPr>
                <w:del w:id="4242" w:author="Author" w:date="2025-07-24T11:09:00Z"/>
                <w:b/>
                <w:szCs w:val="22"/>
              </w:rPr>
            </w:pPr>
            <w:del w:id="4243" w:author="Author" w:date="2025-07-24T11:09:00Z">
              <w:r>
                <w:rPr>
                  <w:b/>
                  <w:szCs w:val="22"/>
                </w:rPr>
                <w:delText>Suomi/Finland</w:delText>
              </w:r>
            </w:del>
          </w:p>
          <w:p w14:paraId="7F719389" w14:textId="77777777" w:rsidR="009700E5" w:rsidRDefault="002C033C">
            <w:pPr>
              <w:rPr>
                <w:del w:id="4244" w:author="Author" w:date="2025-07-24T11:09:00Z"/>
                <w:snapToGrid w:val="0"/>
                <w:szCs w:val="22"/>
              </w:rPr>
            </w:pPr>
            <w:del w:id="4245" w:author="Author" w:date="2025-07-24T11:09:00Z">
              <w:r>
                <w:rPr>
                  <w:szCs w:val="22"/>
                </w:rPr>
                <w:delText>Roche Oy</w:delText>
              </w:r>
              <w:r>
                <w:rPr>
                  <w:snapToGrid w:val="0"/>
                  <w:szCs w:val="22"/>
                </w:rPr>
                <w:delText xml:space="preserve"> </w:delText>
              </w:r>
            </w:del>
          </w:p>
          <w:p w14:paraId="4335F21E" w14:textId="77777777" w:rsidR="009700E5" w:rsidRDefault="002C033C">
            <w:pPr>
              <w:rPr>
                <w:del w:id="4246" w:author="Author" w:date="2025-07-24T11:09:00Z"/>
                <w:szCs w:val="22"/>
              </w:rPr>
            </w:pPr>
            <w:del w:id="4247" w:author="Author" w:date="2025-07-24T11:09:00Z">
              <w:r>
                <w:rPr>
                  <w:szCs w:val="22"/>
                </w:rPr>
                <w:delText>Puh/Tel: +358 (0) 10 554 500</w:delText>
              </w:r>
            </w:del>
          </w:p>
          <w:p w14:paraId="079652C7" w14:textId="77777777" w:rsidR="009700E5" w:rsidRDefault="009700E5">
            <w:pPr>
              <w:rPr>
                <w:del w:id="4248" w:author="Author" w:date="2025-07-24T11:09:00Z"/>
                <w:szCs w:val="22"/>
              </w:rPr>
            </w:pPr>
          </w:p>
        </w:tc>
      </w:tr>
      <w:tr w:rsidR="009700E5" w14:paraId="6328BBA6" w14:textId="77777777">
        <w:trPr>
          <w:cantSplit/>
          <w:del w:id="4249" w:author="Author" w:date="2025-07-24T11:09:00Z"/>
        </w:trPr>
        <w:tc>
          <w:tcPr>
            <w:tcW w:w="4590" w:type="dxa"/>
          </w:tcPr>
          <w:p w14:paraId="64F400DE" w14:textId="77777777" w:rsidR="009700E5" w:rsidRPr="009700E5" w:rsidRDefault="002C033C">
            <w:pPr>
              <w:rPr>
                <w:del w:id="4250" w:author="Author" w:date="2025-07-24T11:09:00Z"/>
                <w:szCs w:val="22"/>
                <w:rPrChange w:id="4251" w:author="Author" w:date="2025-08-22T15:12:00Z">
                  <w:rPr>
                    <w:del w:id="4252" w:author="Author" w:date="2025-07-24T11:09:00Z"/>
                    <w:rFonts w:ascii="Arial" w:hAnsi="Arial" w:cs="Arial"/>
                    <w:sz w:val="20"/>
                  </w:rPr>
                </w:rPrChange>
              </w:rPr>
            </w:pPr>
            <w:del w:id="4253" w:author="Author" w:date="2025-07-24T11:09:00Z">
              <w:r>
                <w:rPr>
                  <w:b/>
                  <w:szCs w:val="22"/>
                </w:rPr>
                <w:delText>Kύπρος</w:delText>
              </w:r>
            </w:del>
          </w:p>
          <w:p w14:paraId="7FD23CAE" w14:textId="77777777" w:rsidR="009700E5" w:rsidRDefault="002C033C">
            <w:pPr>
              <w:pStyle w:val="Standard1"/>
              <w:rPr>
                <w:del w:id="4254" w:author="Author" w:date="2025-07-24T11:09:00Z"/>
                <w:rFonts w:ascii="Times New Roman" w:hAnsi="Times New Roman"/>
                <w:noProof/>
                <w:sz w:val="22"/>
                <w:szCs w:val="22"/>
                <w:lang w:val="sk-SK"/>
              </w:rPr>
            </w:pPr>
            <w:del w:id="4255" w:author="Author" w:date="2025-07-24T11:09:00Z">
              <w:r>
                <w:rPr>
                  <w:rFonts w:ascii="Times New Roman" w:hAnsi="Times New Roman"/>
                  <w:noProof/>
                  <w:sz w:val="22"/>
                  <w:szCs w:val="22"/>
                  <w:lang w:val="sk-SK"/>
                </w:rPr>
                <w:delText>Roche (Hellas) A.E.</w:delText>
              </w:r>
            </w:del>
          </w:p>
          <w:p w14:paraId="3F6EDEF7" w14:textId="77777777" w:rsidR="009700E5" w:rsidRDefault="002C033C">
            <w:pPr>
              <w:rPr>
                <w:del w:id="4256" w:author="Author" w:date="2025-07-24T11:09:00Z"/>
                <w:szCs w:val="22"/>
              </w:rPr>
            </w:pPr>
            <w:del w:id="4257" w:author="Author" w:date="2025-07-24T11:09:00Z">
              <w:r>
                <w:rPr>
                  <w:szCs w:val="22"/>
                </w:rPr>
                <w:delText>Τηλ: +30 210 61 66 100</w:delText>
              </w:r>
            </w:del>
          </w:p>
          <w:p w14:paraId="1B6C7808" w14:textId="77777777" w:rsidR="009700E5" w:rsidRDefault="009700E5">
            <w:pPr>
              <w:rPr>
                <w:del w:id="4258" w:author="Author" w:date="2025-07-24T11:09:00Z"/>
                <w:szCs w:val="22"/>
              </w:rPr>
            </w:pPr>
          </w:p>
        </w:tc>
        <w:tc>
          <w:tcPr>
            <w:tcW w:w="4590" w:type="dxa"/>
          </w:tcPr>
          <w:p w14:paraId="2B459DA1" w14:textId="77777777" w:rsidR="009700E5" w:rsidRDefault="002C033C">
            <w:pPr>
              <w:rPr>
                <w:del w:id="4259" w:author="Author" w:date="2025-07-24T11:09:00Z"/>
                <w:szCs w:val="22"/>
              </w:rPr>
            </w:pPr>
            <w:del w:id="4260" w:author="Author" w:date="2025-07-24T11:09:00Z">
              <w:r>
                <w:rPr>
                  <w:b/>
                  <w:szCs w:val="22"/>
                </w:rPr>
                <w:delText>Sverige</w:delText>
              </w:r>
            </w:del>
          </w:p>
          <w:p w14:paraId="28BCF159" w14:textId="77777777" w:rsidR="009700E5" w:rsidRDefault="002C033C">
            <w:pPr>
              <w:rPr>
                <w:del w:id="4261" w:author="Author" w:date="2025-07-24T11:09:00Z"/>
                <w:szCs w:val="22"/>
              </w:rPr>
            </w:pPr>
            <w:del w:id="4262" w:author="Author" w:date="2025-07-24T11:09:00Z">
              <w:r>
                <w:rPr>
                  <w:szCs w:val="22"/>
                </w:rPr>
                <w:delText>Roche AB</w:delText>
              </w:r>
            </w:del>
          </w:p>
          <w:p w14:paraId="73839E39" w14:textId="77777777" w:rsidR="009700E5" w:rsidRDefault="002C033C">
            <w:pPr>
              <w:suppressAutoHyphens/>
              <w:rPr>
                <w:del w:id="4263" w:author="Author" w:date="2025-07-24T11:09:00Z"/>
                <w:szCs w:val="22"/>
              </w:rPr>
            </w:pPr>
            <w:del w:id="4264" w:author="Author" w:date="2025-07-24T11:09:00Z">
              <w:r>
                <w:rPr>
                  <w:szCs w:val="22"/>
                </w:rPr>
                <w:delText>Tel: +46 (0) 8 726 1200</w:delText>
              </w:r>
            </w:del>
          </w:p>
          <w:p w14:paraId="1B59E812" w14:textId="77777777" w:rsidR="009700E5" w:rsidRDefault="009700E5">
            <w:pPr>
              <w:rPr>
                <w:del w:id="4265" w:author="Author" w:date="2025-07-24T11:09:00Z"/>
                <w:szCs w:val="22"/>
              </w:rPr>
            </w:pPr>
          </w:p>
        </w:tc>
      </w:tr>
      <w:tr w:rsidR="009700E5" w14:paraId="0103E2C0" w14:textId="77777777">
        <w:trPr>
          <w:cantSplit/>
          <w:del w:id="4266" w:author="Author" w:date="2025-07-24T11:09:00Z"/>
        </w:trPr>
        <w:tc>
          <w:tcPr>
            <w:tcW w:w="4590" w:type="dxa"/>
          </w:tcPr>
          <w:p w14:paraId="2CB3C997" w14:textId="77777777" w:rsidR="009700E5" w:rsidRDefault="002C033C">
            <w:pPr>
              <w:rPr>
                <w:del w:id="4267" w:author="Author" w:date="2025-07-24T11:09:00Z"/>
                <w:b/>
                <w:szCs w:val="22"/>
              </w:rPr>
            </w:pPr>
            <w:del w:id="4268" w:author="Author" w:date="2025-07-24T11:09:00Z">
              <w:r>
                <w:rPr>
                  <w:b/>
                  <w:szCs w:val="22"/>
                </w:rPr>
                <w:delText>Latvija</w:delText>
              </w:r>
            </w:del>
          </w:p>
          <w:p w14:paraId="08496A1E" w14:textId="77777777" w:rsidR="009700E5" w:rsidRDefault="002C033C">
            <w:pPr>
              <w:rPr>
                <w:del w:id="4269" w:author="Author" w:date="2025-07-24T11:09:00Z"/>
                <w:szCs w:val="22"/>
              </w:rPr>
            </w:pPr>
            <w:del w:id="4270" w:author="Author" w:date="2025-07-24T11:09:00Z">
              <w:r>
                <w:rPr>
                  <w:bCs/>
                  <w:szCs w:val="22"/>
                </w:rPr>
                <w:delText>Roche Latvija SIA</w:delText>
              </w:r>
            </w:del>
          </w:p>
          <w:p w14:paraId="0378C696" w14:textId="77777777" w:rsidR="009700E5" w:rsidRDefault="002C033C">
            <w:pPr>
              <w:rPr>
                <w:del w:id="4271" w:author="Author" w:date="2025-07-24T11:09:00Z"/>
                <w:szCs w:val="22"/>
              </w:rPr>
            </w:pPr>
            <w:del w:id="4272" w:author="Author" w:date="2025-07-24T11:09:00Z">
              <w:r>
                <w:rPr>
                  <w:szCs w:val="22"/>
                </w:rPr>
                <w:delText>Tel: +371 - 6 7039831</w:delText>
              </w:r>
            </w:del>
          </w:p>
          <w:p w14:paraId="4B67191F" w14:textId="77777777" w:rsidR="009700E5" w:rsidRDefault="009700E5">
            <w:pPr>
              <w:rPr>
                <w:del w:id="4273" w:author="Author" w:date="2025-07-24T11:09:00Z"/>
                <w:b/>
                <w:szCs w:val="22"/>
              </w:rPr>
            </w:pPr>
          </w:p>
        </w:tc>
        <w:tc>
          <w:tcPr>
            <w:tcW w:w="4590" w:type="dxa"/>
          </w:tcPr>
          <w:p w14:paraId="4D3B8FAE" w14:textId="77777777" w:rsidR="009700E5" w:rsidRDefault="009700E5">
            <w:pPr>
              <w:rPr>
                <w:del w:id="4274" w:author="Author" w:date="2025-07-24T11:09:00Z"/>
                <w:szCs w:val="22"/>
              </w:rPr>
            </w:pPr>
          </w:p>
        </w:tc>
      </w:tr>
      <w:tr w:rsidR="009700E5" w14:paraId="6E4FCB25" w14:textId="77777777">
        <w:trPr>
          <w:cantSplit/>
          <w:del w:id="4275" w:author="Author" w:date="2025-07-24T11:09:00Z"/>
        </w:trPr>
        <w:tc>
          <w:tcPr>
            <w:tcW w:w="4590" w:type="dxa"/>
          </w:tcPr>
          <w:p w14:paraId="0D1E9FBE" w14:textId="77777777" w:rsidR="009700E5" w:rsidRDefault="002C033C">
            <w:pPr>
              <w:suppressAutoHyphens/>
              <w:rPr>
                <w:del w:id="4276" w:author="Author" w:date="2025-07-24T11:09:00Z"/>
                <w:b/>
                <w:szCs w:val="22"/>
              </w:rPr>
            </w:pPr>
            <w:del w:id="4277" w:author="Author" w:date="2025-07-24T11:09:00Z">
              <w:r>
                <w:rPr>
                  <w:b/>
                  <w:szCs w:val="22"/>
                </w:rPr>
                <w:delText>Lietuva</w:delText>
              </w:r>
            </w:del>
          </w:p>
          <w:p w14:paraId="6AE2F425" w14:textId="77777777" w:rsidR="009700E5" w:rsidRDefault="002C033C">
            <w:pPr>
              <w:suppressAutoHyphens/>
              <w:rPr>
                <w:del w:id="4278" w:author="Author" w:date="2025-07-24T11:09:00Z"/>
                <w:szCs w:val="22"/>
              </w:rPr>
            </w:pPr>
            <w:del w:id="4279" w:author="Author" w:date="2025-07-24T11:09:00Z">
              <w:r>
                <w:rPr>
                  <w:szCs w:val="22"/>
                </w:rPr>
                <w:delText>UAB “Roche Lietuva”</w:delText>
              </w:r>
            </w:del>
          </w:p>
          <w:p w14:paraId="1FBD16A8" w14:textId="77777777" w:rsidR="009700E5" w:rsidRDefault="002C033C">
            <w:pPr>
              <w:suppressAutoHyphens/>
              <w:rPr>
                <w:del w:id="4280" w:author="Author" w:date="2025-07-24T11:09:00Z"/>
                <w:szCs w:val="22"/>
              </w:rPr>
            </w:pPr>
            <w:del w:id="4281" w:author="Author" w:date="2025-07-24T11:09:00Z">
              <w:r>
                <w:rPr>
                  <w:szCs w:val="22"/>
                </w:rPr>
                <w:delText>Tel: +370 5 2546799</w:delText>
              </w:r>
            </w:del>
          </w:p>
          <w:p w14:paraId="341AF9C8" w14:textId="77777777" w:rsidR="009700E5" w:rsidRDefault="009700E5">
            <w:pPr>
              <w:rPr>
                <w:del w:id="4282" w:author="Author" w:date="2025-07-24T11:09:00Z"/>
                <w:szCs w:val="22"/>
              </w:rPr>
            </w:pPr>
          </w:p>
        </w:tc>
        <w:tc>
          <w:tcPr>
            <w:tcW w:w="4590" w:type="dxa"/>
          </w:tcPr>
          <w:p w14:paraId="09ED43D4" w14:textId="77777777" w:rsidR="009700E5" w:rsidRDefault="009700E5">
            <w:pPr>
              <w:suppressAutoHyphens/>
              <w:rPr>
                <w:del w:id="4283" w:author="Author" w:date="2025-07-24T11:09:00Z"/>
                <w:szCs w:val="22"/>
              </w:rPr>
            </w:pPr>
          </w:p>
        </w:tc>
      </w:tr>
      <w:tr w:rsidR="009700E5" w14:paraId="3E21C80D" w14:textId="77777777">
        <w:trPr>
          <w:cantSplit/>
          <w:ins w:id="4284" w:author="Author" w:date="2025-07-24T11:09:00Z"/>
        </w:trPr>
        <w:tc>
          <w:tcPr>
            <w:tcW w:w="4590" w:type="dxa"/>
          </w:tcPr>
          <w:p w14:paraId="06312DF3" w14:textId="77777777" w:rsidR="009700E5" w:rsidRPr="009700E5" w:rsidRDefault="002C033C">
            <w:pPr>
              <w:pStyle w:val="Standard1"/>
              <w:rPr>
                <w:ins w:id="4285" w:author="Author" w:date="2025-07-24T11:09:00Z"/>
                <w:rFonts w:ascii="Times New Roman" w:hAnsi="Times New Roman"/>
                <w:b/>
                <w:noProof/>
                <w:sz w:val="22"/>
                <w:szCs w:val="22"/>
                <w:lang w:val="sk-SK"/>
                <w:rPrChange w:id="4286" w:author="Author" w:date="2025-08-22T15:12:00Z">
                  <w:rPr>
                    <w:ins w:id="4287" w:author="Author" w:date="2025-07-24T11:09:00Z"/>
                    <w:b/>
                    <w:lang w:val="de-DE"/>
                  </w:rPr>
                </w:rPrChange>
              </w:rPr>
            </w:pPr>
            <w:bookmarkStart w:id="4288" w:name="_Hlk204168204"/>
            <w:ins w:id="4289" w:author="Author" w:date="2025-07-24T11:09:00Z">
              <w:r>
                <w:rPr>
                  <w:rFonts w:ascii="Times New Roman" w:hAnsi="Times New Roman"/>
                  <w:b/>
                  <w:noProof/>
                  <w:sz w:val="22"/>
                  <w:szCs w:val="22"/>
                  <w:lang w:val="sk-SK"/>
                  <w:rPrChange w:id="4290" w:author="Author" w:date="2025-08-22T15:12:00Z">
                    <w:rPr>
                      <w:b/>
                      <w:lang w:val="de-DE"/>
                    </w:rPr>
                  </w:rPrChange>
                </w:rPr>
                <w:t>België/Belgique/Belgien</w:t>
              </w:r>
              <w:r>
                <w:rPr>
                  <w:rFonts w:ascii="Times New Roman" w:hAnsi="Times New Roman"/>
                  <w:b/>
                  <w:noProof/>
                  <w:sz w:val="22"/>
                  <w:szCs w:val="22"/>
                  <w:lang w:val="sk-SK"/>
                  <w:rPrChange w:id="4291" w:author="Author" w:date="2025-08-22T15:12:00Z">
                    <w:rPr>
                      <w:b/>
                      <w:szCs w:val="22"/>
                      <w:lang w:val="de-DE"/>
                    </w:rPr>
                  </w:rPrChange>
                </w:rPr>
                <w:t>,</w:t>
              </w:r>
            </w:ins>
          </w:p>
          <w:p w14:paraId="27BC7F26" w14:textId="77777777" w:rsidR="009700E5" w:rsidRPr="009700E5" w:rsidRDefault="002C033C">
            <w:pPr>
              <w:pStyle w:val="Standard1"/>
              <w:suppressAutoHyphens/>
              <w:rPr>
                <w:ins w:id="4292" w:author="Author" w:date="2025-07-24T11:09:00Z"/>
                <w:rFonts w:ascii="Times New Roman" w:hAnsi="Times New Roman"/>
                <w:noProof/>
                <w:sz w:val="22"/>
                <w:szCs w:val="22"/>
                <w:lang w:val="sk-SK"/>
                <w:rPrChange w:id="4293" w:author="Author" w:date="2025-08-22T15:12:00Z">
                  <w:rPr>
                    <w:ins w:id="4294" w:author="Author" w:date="2025-07-24T11:09:00Z"/>
                    <w:lang w:val="de-DE"/>
                  </w:rPr>
                </w:rPrChange>
              </w:rPr>
            </w:pPr>
            <w:ins w:id="4295" w:author="Author" w:date="2025-07-24T11:09:00Z">
              <w:r>
                <w:rPr>
                  <w:rFonts w:ascii="Times New Roman" w:hAnsi="Times New Roman"/>
                  <w:b/>
                  <w:noProof/>
                  <w:sz w:val="22"/>
                  <w:szCs w:val="22"/>
                  <w:lang w:val="sk-SK"/>
                  <w:rPrChange w:id="4296" w:author="Author" w:date="2025-08-22T15:12:00Z">
                    <w:rPr>
                      <w:b/>
                      <w:lang w:val="de-DE"/>
                    </w:rPr>
                  </w:rPrChange>
                </w:rPr>
                <w:t>Luxembourg/Luxemburg</w:t>
              </w:r>
            </w:ins>
          </w:p>
          <w:p w14:paraId="05668D4E" w14:textId="77777777" w:rsidR="009700E5" w:rsidRPr="009700E5" w:rsidRDefault="002C033C">
            <w:pPr>
              <w:pStyle w:val="Standard1"/>
              <w:rPr>
                <w:ins w:id="4297" w:author="Author" w:date="2025-07-24T11:09:00Z"/>
                <w:rFonts w:ascii="Times New Roman" w:hAnsi="Times New Roman"/>
                <w:noProof/>
                <w:sz w:val="22"/>
                <w:szCs w:val="22"/>
                <w:lang w:val="sk-SK"/>
                <w:rPrChange w:id="4298" w:author="Author" w:date="2025-08-22T15:12:00Z">
                  <w:rPr>
                    <w:ins w:id="4299" w:author="Author" w:date="2025-07-24T11:09:00Z"/>
                    <w:lang w:val="de-DE"/>
                  </w:rPr>
                </w:rPrChange>
              </w:rPr>
            </w:pPr>
            <w:ins w:id="4300" w:author="Author" w:date="2025-07-24T11:09:00Z">
              <w:r>
                <w:rPr>
                  <w:rFonts w:ascii="Times New Roman" w:hAnsi="Times New Roman"/>
                  <w:noProof/>
                  <w:sz w:val="22"/>
                  <w:szCs w:val="22"/>
                  <w:lang w:val="sk-SK"/>
                  <w:rPrChange w:id="4301" w:author="Author" w:date="2025-08-22T15:12:00Z">
                    <w:rPr>
                      <w:lang w:val="de-DE"/>
                    </w:rPr>
                  </w:rPrChange>
                </w:rPr>
                <w:t>N.V. Roche S.A.</w:t>
              </w:r>
            </w:ins>
          </w:p>
          <w:p w14:paraId="4A479B2A" w14:textId="77777777" w:rsidR="009700E5" w:rsidRPr="009700E5" w:rsidRDefault="002C033C">
            <w:pPr>
              <w:pStyle w:val="Standard1"/>
              <w:rPr>
                <w:ins w:id="4302" w:author="Author" w:date="2025-07-24T11:09:00Z"/>
                <w:rFonts w:ascii="Times New Roman" w:hAnsi="Times New Roman"/>
                <w:bCs/>
                <w:noProof/>
                <w:sz w:val="22"/>
                <w:szCs w:val="22"/>
                <w:lang w:val="sk-SK"/>
                <w:rPrChange w:id="4303" w:author="Author" w:date="2025-08-22T15:12:00Z">
                  <w:rPr>
                    <w:ins w:id="4304" w:author="Author" w:date="2025-07-24T11:09:00Z"/>
                    <w:bCs/>
                    <w:noProof/>
                    <w:szCs w:val="22"/>
                  </w:rPr>
                </w:rPrChange>
              </w:rPr>
            </w:pPr>
            <w:ins w:id="4305" w:author="Author" w:date="2025-07-24T11:09:00Z">
              <w:r>
                <w:rPr>
                  <w:rFonts w:ascii="Times New Roman" w:hAnsi="Times New Roman"/>
                  <w:bCs/>
                  <w:noProof/>
                  <w:sz w:val="22"/>
                  <w:szCs w:val="22"/>
                  <w:lang w:val="sk-SK"/>
                  <w:rPrChange w:id="4306" w:author="Author" w:date="2025-08-22T15:12:00Z">
                    <w:rPr>
                      <w:bCs/>
                      <w:noProof/>
                      <w:szCs w:val="22"/>
                    </w:rPr>
                  </w:rPrChange>
                </w:rPr>
                <w:t>België/Belgique/Belgien</w:t>
              </w:r>
            </w:ins>
          </w:p>
          <w:p w14:paraId="38186C15" w14:textId="77777777" w:rsidR="009700E5" w:rsidRPr="009700E5" w:rsidRDefault="002C033C">
            <w:pPr>
              <w:pStyle w:val="Standard1"/>
              <w:rPr>
                <w:ins w:id="4307" w:author="Author" w:date="2025-07-24T11:09:00Z"/>
                <w:rFonts w:ascii="Times New Roman" w:hAnsi="Times New Roman"/>
                <w:noProof/>
                <w:sz w:val="22"/>
                <w:szCs w:val="22"/>
                <w:lang w:val="sk-SK"/>
                <w:rPrChange w:id="4308" w:author="Author" w:date="2025-08-22T15:12:00Z">
                  <w:rPr>
                    <w:ins w:id="4309" w:author="Author" w:date="2025-07-24T11:09:00Z"/>
                  </w:rPr>
                </w:rPrChange>
              </w:rPr>
            </w:pPr>
            <w:ins w:id="4310" w:author="Author" w:date="2025-07-24T11:09:00Z">
              <w:r>
                <w:rPr>
                  <w:rFonts w:ascii="Times New Roman" w:hAnsi="Times New Roman"/>
                  <w:noProof/>
                  <w:sz w:val="22"/>
                  <w:szCs w:val="22"/>
                  <w:lang w:val="sk-SK"/>
                  <w:rPrChange w:id="4311" w:author="Author" w:date="2025-08-22T15:12:00Z">
                    <w:rPr/>
                  </w:rPrChange>
                </w:rPr>
                <w:t>Tél/Tel: +32 (0) 2 525 82 11</w:t>
              </w:r>
            </w:ins>
          </w:p>
          <w:p w14:paraId="1BF72298" w14:textId="77777777" w:rsidR="009700E5" w:rsidRPr="009700E5" w:rsidRDefault="009700E5">
            <w:pPr>
              <w:pStyle w:val="Standard1"/>
              <w:rPr>
                <w:ins w:id="4312" w:author="Author" w:date="2025-07-24T11:09:00Z"/>
                <w:rFonts w:ascii="Times New Roman" w:hAnsi="Times New Roman"/>
                <w:b/>
                <w:noProof/>
                <w:sz w:val="22"/>
                <w:szCs w:val="22"/>
                <w:lang w:val="sk-SK"/>
                <w:rPrChange w:id="4313" w:author="Author" w:date="2025-08-22T15:12:00Z">
                  <w:rPr>
                    <w:ins w:id="4314" w:author="Author" w:date="2025-07-24T11:09:00Z"/>
                    <w:b/>
                  </w:rPr>
                </w:rPrChange>
              </w:rPr>
            </w:pPr>
          </w:p>
        </w:tc>
        <w:tc>
          <w:tcPr>
            <w:tcW w:w="4590" w:type="dxa"/>
          </w:tcPr>
          <w:p w14:paraId="72F6E733" w14:textId="77777777" w:rsidR="009700E5" w:rsidRPr="009700E5" w:rsidRDefault="002C033C">
            <w:pPr>
              <w:pStyle w:val="Standard1"/>
              <w:rPr>
                <w:ins w:id="4315" w:author="Author" w:date="2025-07-24T11:09:00Z"/>
                <w:rFonts w:ascii="Times New Roman" w:hAnsi="Times New Roman"/>
                <w:b/>
                <w:noProof/>
                <w:sz w:val="22"/>
                <w:szCs w:val="22"/>
                <w:lang w:val="sk-SK"/>
                <w:rPrChange w:id="4316" w:author="Author" w:date="2025-08-22T15:12:00Z">
                  <w:rPr>
                    <w:ins w:id="4317" w:author="Author" w:date="2025-07-24T11:09:00Z"/>
                    <w:b/>
                    <w:noProof/>
                    <w:szCs w:val="22"/>
                    <w:lang w:val="it-IT"/>
                  </w:rPr>
                </w:rPrChange>
              </w:rPr>
            </w:pPr>
            <w:ins w:id="4318" w:author="Author" w:date="2025-07-24T11:09:00Z">
              <w:r>
                <w:rPr>
                  <w:rFonts w:ascii="Times New Roman" w:hAnsi="Times New Roman"/>
                  <w:b/>
                  <w:noProof/>
                  <w:sz w:val="22"/>
                  <w:szCs w:val="22"/>
                  <w:lang w:val="sk-SK"/>
                  <w:rPrChange w:id="4319" w:author="Author" w:date="2025-08-22T15:12:00Z">
                    <w:rPr>
                      <w:b/>
                      <w:noProof/>
                      <w:szCs w:val="22"/>
                      <w:lang w:val="it-IT"/>
                    </w:rPr>
                  </w:rPrChange>
                </w:rPr>
                <w:t>Latvija</w:t>
              </w:r>
            </w:ins>
          </w:p>
          <w:p w14:paraId="05108265" w14:textId="77777777" w:rsidR="009700E5" w:rsidRPr="009700E5" w:rsidRDefault="002C033C">
            <w:pPr>
              <w:pStyle w:val="Standard1"/>
              <w:rPr>
                <w:ins w:id="4320" w:author="Author" w:date="2025-07-24T11:09:00Z"/>
                <w:rFonts w:ascii="Times New Roman" w:hAnsi="Times New Roman"/>
                <w:noProof/>
                <w:sz w:val="22"/>
                <w:szCs w:val="22"/>
                <w:lang w:val="sk-SK"/>
                <w:rPrChange w:id="4321" w:author="Author" w:date="2025-08-22T15:12:00Z">
                  <w:rPr>
                    <w:ins w:id="4322" w:author="Author" w:date="2025-07-24T11:09:00Z"/>
                    <w:noProof/>
                    <w:szCs w:val="22"/>
                    <w:lang w:val="it-IT"/>
                  </w:rPr>
                </w:rPrChange>
              </w:rPr>
            </w:pPr>
            <w:ins w:id="4323" w:author="Author" w:date="2025-07-24T11:09:00Z">
              <w:r>
                <w:rPr>
                  <w:rFonts w:ascii="Times New Roman" w:hAnsi="Times New Roman"/>
                  <w:bCs/>
                  <w:noProof/>
                  <w:sz w:val="22"/>
                  <w:szCs w:val="22"/>
                  <w:lang w:val="sk-SK"/>
                  <w:rPrChange w:id="4324" w:author="Author" w:date="2025-08-22T15:12:00Z">
                    <w:rPr>
                      <w:bCs/>
                      <w:noProof/>
                      <w:szCs w:val="22"/>
                      <w:lang w:val="it-IT"/>
                    </w:rPr>
                  </w:rPrChange>
                </w:rPr>
                <w:t>Roche Latvija SIA</w:t>
              </w:r>
            </w:ins>
          </w:p>
          <w:p w14:paraId="656721B3" w14:textId="77777777" w:rsidR="009700E5" w:rsidRPr="009700E5" w:rsidRDefault="002C033C">
            <w:pPr>
              <w:pStyle w:val="Standard1"/>
              <w:rPr>
                <w:ins w:id="4325" w:author="Author" w:date="2025-07-24T11:09:00Z"/>
                <w:rFonts w:ascii="Times New Roman" w:hAnsi="Times New Roman"/>
                <w:noProof/>
                <w:sz w:val="22"/>
                <w:szCs w:val="22"/>
                <w:lang w:val="sk-SK"/>
                <w:rPrChange w:id="4326" w:author="Author" w:date="2025-08-22T15:12:00Z">
                  <w:rPr>
                    <w:ins w:id="4327" w:author="Author" w:date="2025-07-24T11:09:00Z"/>
                    <w:noProof/>
                    <w:szCs w:val="22"/>
                    <w:lang w:val="it-IT"/>
                  </w:rPr>
                </w:rPrChange>
              </w:rPr>
            </w:pPr>
            <w:ins w:id="4328" w:author="Author" w:date="2025-07-24T11:09:00Z">
              <w:r>
                <w:rPr>
                  <w:rFonts w:ascii="Times New Roman" w:hAnsi="Times New Roman"/>
                  <w:noProof/>
                  <w:sz w:val="22"/>
                  <w:szCs w:val="22"/>
                  <w:lang w:val="sk-SK"/>
                  <w:rPrChange w:id="4329" w:author="Author" w:date="2025-08-22T15:12:00Z">
                    <w:rPr>
                      <w:noProof/>
                      <w:szCs w:val="22"/>
                      <w:lang w:val="it-IT"/>
                    </w:rPr>
                  </w:rPrChange>
                </w:rPr>
                <w:t>Tel: +371 - 6 7039831</w:t>
              </w:r>
            </w:ins>
          </w:p>
          <w:p w14:paraId="4084B508" w14:textId="77777777" w:rsidR="009700E5" w:rsidRPr="009700E5" w:rsidRDefault="009700E5">
            <w:pPr>
              <w:pStyle w:val="Standard1"/>
              <w:suppressAutoHyphens/>
              <w:rPr>
                <w:ins w:id="4330" w:author="Author" w:date="2025-07-24T11:09:00Z"/>
                <w:rFonts w:ascii="Times New Roman" w:hAnsi="Times New Roman"/>
                <w:b/>
                <w:noProof/>
                <w:sz w:val="22"/>
                <w:szCs w:val="22"/>
                <w:lang w:val="sk-SK"/>
                <w:rPrChange w:id="4331" w:author="Author" w:date="2025-08-22T15:12:00Z">
                  <w:rPr>
                    <w:ins w:id="4332" w:author="Author" w:date="2025-07-24T11:09:00Z"/>
                    <w:b/>
                    <w:lang w:val="it-IT"/>
                  </w:rPr>
                </w:rPrChange>
              </w:rPr>
            </w:pPr>
          </w:p>
        </w:tc>
      </w:tr>
      <w:tr w:rsidR="009700E5" w14:paraId="5045ECB1" w14:textId="77777777">
        <w:trPr>
          <w:cantSplit/>
          <w:ins w:id="4333" w:author="Author" w:date="2025-07-24T11:09:00Z"/>
        </w:trPr>
        <w:tc>
          <w:tcPr>
            <w:tcW w:w="4590" w:type="dxa"/>
          </w:tcPr>
          <w:p w14:paraId="310473E3" w14:textId="77777777" w:rsidR="009700E5" w:rsidRPr="009700E5" w:rsidRDefault="002C033C">
            <w:pPr>
              <w:pStyle w:val="Standard1"/>
              <w:rPr>
                <w:ins w:id="4334" w:author="Author" w:date="2025-07-24T11:09:00Z"/>
                <w:rFonts w:ascii="Times New Roman" w:hAnsi="Times New Roman"/>
                <w:b/>
                <w:noProof/>
                <w:sz w:val="22"/>
                <w:szCs w:val="22"/>
                <w:lang w:val="sk-SK"/>
                <w:rPrChange w:id="4335" w:author="Author" w:date="2025-08-22T15:12:00Z">
                  <w:rPr>
                    <w:ins w:id="4336" w:author="Author" w:date="2025-07-24T11:09:00Z"/>
                    <w:b/>
                    <w:lang w:val="it-IT"/>
                  </w:rPr>
                </w:rPrChange>
              </w:rPr>
            </w:pPr>
            <w:ins w:id="4337" w:author="Author" w:date="2025-07-24T11:09:00Z">
              <w:r>
                <w:rPr>
                  <w:rFonts w:ascii="Times New Roman" w:hAnsi="Times New Roman"/>
                  <w:b/>
                  <w:bCs/>
                  <w:noProof/>
                  <w:sz w:val="22"/>
                  <w:szCs w:val="22"/>
                  <w:lang w:val="sk-SK"/>
                  <w:rPrChange w:id="4338" w:author="Author" w:date="2025-08-22T15:12:00Z">
                    <w:rPr>
                      <w:b/>
                      <w:bCs/>
                      <w:szCs w:val="22"/>
                      <w:lang w:val="en-GB"/>
                    </w:rPr>
                  </w:rPrChange>
                </w:rPr>
                <w:t>България</w:t>
              </w:r>
            </w:ins>
          </w:p>
          <w:p w14:paraId="12DEAB27" w14:textId="77777777" w:rsidR="009700E5" w:rsidRPr="009700E5" w:rsidRDefault="002C033C">
            <w:pPr>
              <w:pStyle w:val="Standard1"/>
              <w:suppressAutoHyphens/>
              <w:rPr>
                <w:ins w:id="4339" w:author="Author" w:date="2025-07-24T11:09:00Z"/>
                <w:rFonts w:ascii="Times New Roman" w:hAnsi="Times New Roman"/>
                <w:noProof/>
                <w:sz w:val="22"/>
                <w:szCs w:val="22"/>
                <w:lang w:val="sk-SK"/>
                <w:rPrChange w:id="4340" w:author="Author" w:date="2025-08-22T15:12:00Z">
                  <w:rPr>
                    <w:ins w:id="4341" w:author="Author" w:date="2025-07-24T11:09:00Z"/>
                    <w:lang w:val="it-IT"/>
                  </w:rPr>
                </w:rPrChange>
              </w:rPr>
            </w:pPr>
            <w:ins w:id="4342" w:author="Author" w:date="2025-07-24T11:09:00Z">
              <w:r>
                <w:rPr>
                  <w:rFonts w:ascii="Times New Roman" w:hAnsi="Times New Roman"/>
                  <w:noProof/>
                  <w:sz w:val="22"/>
                  <w:szCs w:val="22"/>
                  <w:lang w:val="sk-SK"/>
                  <w:rPrChange w:id="4343" w:author="Author" w:date="2025-08-22T15:12:00Z">
                    <w:rPr>
                      <w:noProof/>
                      <w:szCs w:val="22"/>
                      <w:lang w:val="en-GB"/>
                    </w:rPr>
                  </w:rPrChange>
                </w:rPr>
                <w:t>Рош</w:t>
              </w:r>
              <w:r>
                <w:rPr>
                  <w:rFonts w:ascii="Times New Roman" w:hAnsi="Times New Roman"/>
                  <w:noProof/>
                  <w:sz w:val="22"/>
                  <w:szCs w:val="22"/>
                  <w:lang w:val="sk-SK"/>
                  <w:rPrChange w:id="4344" w:author="Author" w:date="2025-08-22T15:12:00Z">
                    <w:rPr>
                      <w:lang w:val="it-IT"/>
                    </w:rPr>
                  </w:rPrChange>
                </w:rPr>
                <w:t xml:space="preserve"> </w:t>
              </w:r>
              <w:r>
                <w:rPr>
                  <w:rFonts w:ascii="Times New Roman" w:hAnsi="Times New Roman"/>
                  <w:noProof/>
                  <w:sz w:val="22"/>
                  <w:szCs w:val="22"/>
                  <w:lang w:val="sk-SK"/>
                  <w:rPrChange w:id="4345" w:author="Author" w:date="2025-08-22T15:12:00Z">
                    <w:rPr>
                      <w:noProof/>
                      <w:szCs w:val="22"/>
                      <w:lang w:val="en-GB"/>
                    </w:rPr>
                  </w:rPrChange>
                </w:rPr>
                <w:t>България</w:t>
              </w:r>
              <w:r>
                <w:rPr>
                  <w:rFonts w:ascii="Times New Roman" w:hAnsi="Times New Roman"/>
                  <w:noProof/>
                  <w:sz w:val="22"/>
                  <w:szCs w:val="22"/>
                  <w:lang w:val="sk-SK"/>
                  <w:rPrChange w:id="4346" w:author="Author" w:date="2025-08-22T15:12:00Z">
                    <w:rPr>
                      <w:lang w:val="it-IT"/>
                    </w:rPr>
                  </w:rPrChange>
                </w:rPr>
                <w:t xml:space="preserve"> </w:t>
              </w:r>
              <w:r>
                <w:rPr>
                  <w:rFonts w:ascii="Times New Roman" w:hAnsi="Times New Roman"/>
                  <w:noProof/>
                  <w:sz w:val="22"/>
                  <w:szCs w:val="22"/>
                  <w:lang w:val="sk-SK"/>
                  <w:rPrChange w:id="4347" w:author="Author" w:date="2025-08-22T15:12:00Z">
                    <w:rPr>
                      <w:noProof/>
                      <w:szCs w:val="22"/>
                      <w:lang w:val="en-GB"/>
                    </w:rPr>
                  </w:rPrChange>
                </w:rPr>
                <w:t>ЕООД</w:t>
              </w:r>
            </w:ins>
          </w:p>
          <w:p w14:paraId="0358A8ED" w14:textId="77777777" w:rsidR="009700E5" w:rsidRPr="009700E5" w:rsidRDefault="002C033C">
            <w:pPr>
              <w:pStyle w:val="Standard1"/>
              <w:suppressAutoHyphens/>
              <w:rPr>
                <w:ins w:id="4348" w:author="Author" w:date="2025-07-24T11:09:00Z"/>
                <w:rFonts w:ascii="Times New Roman" w:hAnsi="Times New Roman"/>
                <w:noProof/>
                <w:sz w:val="22"/>
                <w:szCs w:val="22"/>
                <w:lang w:val="sk-SK"/>
                <w:rPrChange w:id="4349" w:author="Author" w:date="2025-08-22T15:12:00Z">
                  <w:rPr>
                    <w:ins w:id="4350" w:author="Author" w:date="2025-07-24T11:09:00Z"/>
                    <w:lang w:val="it-IT"/>
                  </w:rPr>
                </w:rPrChange>
              </w:rPr>
            </w:pPr>
            <w:ins w:id="4351" w:author="Author" w:date="2025-07-24T11:09:00Z">
              <w:r>
                <w:rPr>
                  <w:rFonts w:ascii="Times New Roman" w:hAnsi="Times New Roman"/>
                  <w:noProof/>
                  <w:sz w:val="22"/>
                  <w:szCs w:val="22"/>
                  <w:lang w:val="sk-SK"/>
                  <w:rPrChange w:id="4352" w:author="Author" w:date="2025-08-22T15:12:00Z">
                    <w:rPr>
                      <w:noProof/>
                      <w:szCs w:val="22"/>
                      <w:lang w:val="en-GB"/>
                    </w:rPr>
                  </w:rPrChange>
                </w:rPr>
                <w:t>Тел</w:t>
              </w:r>
              <w:r>
                <w:rPr>
                  <w:rFonts w:ascii="Times New Roman" w:hAnsi="Times New Roman"/>
                  <w:noProof/>
                  <w:sz w:val="22"/>
                  <w:szCs w:val="22"/>
                  <w:lang w:val="sk-SK"/>
                  <w:rPrChange w:id="4353" w:author="Author" w:date="2025-08-22T15:12:00Z">
                    <w:rPr>
                      <w:lang w:val="it-IT"/>
                    </w:rPr>
                  </w:rPrChange>
                </w:rPr>
                <w:t>: +359 2 474 5444</w:t>
              </w:r>
            </w:ins>
          </w:p>
        </w:tc>
        <w:tc>
          <w:tcPr>
            <w:tcW w:w="4590" w:type="dxa"/>
          </w:tcPr>
          <w:p w14:paraId="7B553096" w14:textId="77777777" w:rsidR="009700E5" w:rsidRPr="009700E5" w:rsidRDefault="002C033C">
            <w:pPr>
              <w:pStyle w:val="Standard1"/>
              <w:suppressAutoHyphens/>
              <w:rPr>
                <w:ins w:id="4354" w:author="Author" w:date="2025-07-24T11:09:00Z"/>
                <w:rFonts w:ascii="Times New Roman" w:hAnsi="Times New Roman"/>
                <w:b/>
                <w:noProof/>
                <w:sz w:val="22"/>
                <w:szCs w:val="22"/>
                <w:lang w:val="sk-SK"/>
                <w:rPrChange w:id="4355" w:author="Author" w:date="2025-08-22T15:12:00Z">
                  <w:rPr>
                    <w:ins w:id="4356" w:author="Author" w:date="2025-07-24T11:09:00Z"/>
                    <w:b/>
                    <w:noProof/>
                    <w:szCs w:val="22"/>
                  </w:rPr>
                </w:rPrChange>
              </w:rPr>
            </w:pPr>
            <w:ins w:id="4357" w:author="Author" w:date="2025-07-24T11:09:00Z">
              <w:r>
                <w:rPr>
                  <w:rFonts w:ascii="Times New Roman" w:hAnsi="Times New Roman"/>
                  <w:b/>
                  <w:noProof/>
                  <w:sz w:val="22"/>
                  <w:szCs w:val="22"/>
                  <w:lang w:val="sk-SK"/>
                  <w:rPrChange w:id="4358" w:author="Author" w:date="2025-08-22T15:12:00Z">
                    <w:rPr>
                      <w:b/>
                      <w:noProof/>
                      <w:szCs w:val="22"/>
                    </w:rPr>
                  </w:rPrChange>
                </w:rPr>
                <w:t>Lietuva</w:t>
              </w:r>
            </w:ins>
          </w:p>
          <w:p w14:paraId="0E35D5F1" w14:textId="77777777" w:rsidR="009700E5" w:rsidRPr="009700E5" w:rsidRDefault="002C033C">
            <w:pPr>
              <w:pStyle w:val="Standard1"/>
              <w:suppressAutoHyphens/>
              <w:rPr>
                <w:ins w:id="4359" w:author="Author" w:date="2025-07-24T11:09:00Z"/>
                <w:rFonts w:ascii="Times New Roman" w:hAnsi="Times New Roman"/>
                <w:noProof/>
                <w:sz w:val="22"/>
                <w:szCs w:val="22"/>
                <w:lang w:val="sk-SK"/>
                <w:rPrChange w:id="4360" w:author="Author" w:date="2025-08-22T15:12:00Z">
                  <w:rPr>
                    <w:ins w:id="4361" w:author="Author" w:date="2025-07-24T11:09:00Z"/>
                  </w:rPr>
                </w:rPrChange>
              </w:rPr>
            </w:pPr>
            <w:ins w:id="4362" w:author="Author" w:date="2025-07-24T11:09:00Z">
              <w:r>
                <w:rPr>
                  <w:rFonts w:ascii="Times New Roman" w:hAnsi="Times New Roman"/>
                  <w:noProof/>
                  <w:sz w:val="22"/>
                  <w:szCs w:val="22"/>
                  <w:lang w:val="sk-SK"/>
                  <w:rPrChange w:id="4363" w:author="Author" w:date="2025-08-22T15:12:00Z">
                    <w:rPr>
                      <w:noProof/>
                      <w:szCs w:val="22"/>
                    </w:rPr>
                  </w:rPrChange>
                </w:rPr>
                <w:t>UAB “</w:t>
              </w:r>
              <w:r>
                <w:rPr>
                  <w:rFonts w:ascii="Times New Roman" w:hAnsi="Times New Roman"/>
                  <w:noProof/>
                  <w:sz w:val="22"/>
                  <w:szCs w:val="22"/>
                  <w:lang w:val="sk-SK"/>
                  <w:rPrChange w:id="4364" w:author="Author" w:date="2025-08-22T15:12:00Z">
                    <w:rPr/>
                  </w:rPrChange>
                </w:rPr>
                <w:t xml:space="preserve">Roche </w:t>
              </w:r>
              <w:r>
                <w:rPr>
                  <w:rFonts w:ascii="Times New Roman" w:hAnsi="Times New Roman"/>
                  <w:noProof/>
                  <w:sz w:val="22"/>
                  <w:szCs w:val="22"/>
                  <w:lang w:val="sk-SK"/>
                  <w:rPrChange w:id="4365" w:author="Author" w:date="2025-08-22T15:12:00Z">
                    <w:rPr>
                      <w:noProof/>
                      <w:szCs w:val="22"/>
                    </w:rPr>
                  </w:rPrChange>
                </w:rPr>
                <w:t>Lietuva”</w:t>
              </w:r>
            </w:ins>
          </w:p>
          <w:p w14:paraId="425D444F" w14:textId="77777777" w:rsidR="009700E5" w:rsidRPr="009700E5" w:rsidRDefault="002C033C">
            <w:pPr>
              <w:pStyle w:val="Standard1"/>
              <w:suppressAutoHyphens/>
              <w:rPr>
                <w:ins w:id="4366" w:author="Author" w:date="2025-07-24T11:09:00Z"/>
                <w:rFonts w:ascii="Times New Roman" w:hAnsi="Times New Roman"/>
                <w:noProof/>
                <w:sz w:val="22"/>
                <w:szCs w:val="22"/>
                <w:lang w:val="sk-SK"/>
                <w:rPrChange w:id="4367" w:author="Author" w:date="2025-08-22T15:12:00Z">
                  <w:rPr>
                    <w:ins w:id="4368" w:author="Author" w:date="2025-07-24T11:09:00Z"/>
                  </w:rPr>
                </w:rPrChange>
              </w:rPr>
            </w:pPr>
            <w:ins w:id="4369" w:author="Author" w:date="2025-07-24T11:09:00Z">
              <w:r>
                <w:rPr>
                  <w:rFonts w:ascii="Times New Roman" w:hAnsi="Times New Roman"/>
                  <w:noProof/>
                  <w:sz w:val="22"/>
                  <w:szCs w:val="22"/>
                  <w:lang w:val="sk-SK"/>
                  <w:rPrChange w:id="4370" w:author="Author" w:date="2025-08-22T15:12:00Z">
                    <w:rPr/>
                  </w:rPrChange>
                </w:rPr>
                <w:t>Tel: +</w:t>
              </w:r>
              <w:r>
                <w:rPr>
                  <w:rFonts w:ascii="Times New Roman" w:hAnsi="Times New Roman"/>
                  <w:noProof/>
                  <w:sz w:val="22"/>
                  <w:szCs w:val="22"/>
                  <w:lang w:val="sk-SK"/>
                  <w:rPrChange w:id="4371" w:author="Author" w:date="2025-08-22T15:12:00Z">
                    <w:rPr>
                      <w:noProof/>
                      <w:szCs w:val="22"/>
                    </w:rPr>
                  </w:rPrChange>
                </w:rPr>
                <w:t>370 5 2546799</w:t>
              </w:r>
            </w:ins>
          </w:p>
          <w:p w14:paraId="0F1268AA" w14:textId="77777777" w:rsidR="009700E5" w:rsidRPr="009700E5" w:rsidRDefault="009700E5">
            <w:pPr>
              <w:pStyle w:val="Standard1"/>
              <w:rPr>
                <w:ins w:id="4372" w:author="Author" w:date="2025-07-24T11:09:00Z"/>
                <w:rFonts w:ascii="Times New Roman" w:hAnsi="Times New Roman"/>
                <w:noProof/>
                <w:sz w:val="22"/>
                <w:szCs w:val="22"/>
                <w:lang w:val="sk-SK"/>
                <w:rPrChange w:id="4373" w:author="Author" w:date="2025-08-22T15:12:00Z">
                  <w:rPr>
                    <w:ins w:id="4374" w:author="Author" w:date="2025-07-24T11:09:00Z"/>
                  </w:rPr>
                </w:rPrChange>
              </w:rPr>
            </w:pPr>
          </w:p>
        </w:tc>
      </w:tr>
      <w:tr w:rsidR="009700E5" w14:paraId="1D724A35" w14:textId="77777777">
        <w:trPr>
          <w:cantSplit/>
          <w:ins w:id="4375" w:author="Author" w:date="2025-07-24T11:09:00Z"/>
        </w:trPr>
        <w:tc>
          <w:tcPr>
            <w:tcW w:w="4590" w:type="dxa"/>
          </w:tcPr>
          <w:p w14:paraId="25961F37" w14:textId="77777777" w:rsidR="009700E5" w:rsidRPr="009700E5" w:rsidRDefault="002C033C">
            <w:pPr>
              <w:pStyle w:val="Standard1"/>
              <w:rPr>
                <w:ins w:id="4376" w:author="Author" w:date="2025-07-24T11:09:00Z"/>
                <w:rFonts w:ascii="Times New Roman" w:hAnsi="Times New Roman"/>
                <w:b/>
                <w:noProof/>
                <w:sz w:val="22"/>
                <w:szCs w:val="22"/>
                <w:lang w:val="sk-SK"/>
                <w:rPrChange w:id="4377" w:author="Author" w:date="2025-08-22T15:12:00Z">
                  <w:rPr>
                    <w:ins w:id="4378" w:author="Author" w:date="2025-07-24T11:09:00Z"/>
                    <w:b/>
                    <w:lang w:val="pl-PL"/>
                  </w:rPr>
                </w:rPrChange>
              </w:rPr>
            </w:pPr>
            <w:ins w:id="4379" w:author="Author" w:date="2025-07-24T11:09:00Z">
              <w:r>
                <w:rPr>
                  <w:rFonts w:ascii="Times New Roman" w:hAnsi="Times New Roman"/>
                  <w:b/>
                  <w:noProof/>
                  <w:sz w:val="22"/>
                  <w:szCs w:val="22"/>
                  <w:lang w:val="sk-SK"/>
                  <w:rPrChange w:id="4380" w:author="Author" w:date="2025-08-22T15:12:00Z">
                    <w:rPr>
                      <w:b/>
                      <w:lang w:val="pl-PL"/>
                    </w:rPr>
                  </w:rPrChange>
                </w:rPr>
                <w:t>Česká republika</w:t>
              </w:r>
            </w:ins>
          </w:p>
          <w:p w14:paraId="0B383D73" w14:textId="77777777" w:rsidR="009700E5" w:rsidRPr="009700E5" w:rsidRDefault="002C033C">
            <w:pPr>
              <w:pStyle w:val="Standard1"/>
              <w:rPr>
                <w:ins w:id="4381" w:author="Author" w:date="2025-07-24T11:09:00Z"/>
                <w:rFonts w:ascii="Times New Roman" w:hAnsi="Times New Roman"/>
                <w:noProof/>
                <w:sz w:val="22"/>
                <w:szCs w:val="22"/>
                <w:lang w:val="sk-SK"/>
                <w:rPrChange w:id="4382" w:author="Author" w:date="2025-08-22T15:12:00Z">
                  <w:rPr>
                    <w:ins w:id="4383" w:author="Author" w:date="2025-07-24T11:09:00Z"/>
                    <w:lang w:val="pl-PL"/>
                  </w:rPr>
                </w:rPrChange>
              </w:rPr>
            </w:pPr>
            <w:ins w:id="4384" w:author="Author" w:date="2025-07-24T11:09:00Z">
              <w:r>
                <w:rPr>
                  <w:rFonts w:ascii="Times New Roman" w:hAnsi="Times New Roman"/>
                  <w:noProof/>
                  <w:sz w:val="22"/>
                  <w:szCs w:val="22"/>
                  <w:lang w:val="sk-SK"/>
                  <w:rPrChange w:id="4385" w:author="Author" w:date="2025-08-22T15:12:00Z">
                    <w:rPr>
                      <w:lang w:val="pl-PL"/>
                    </w:rPr>
                  </w:rPrChange>
                </w:rPr>
                <w:t>Roche s. r. o.</w:t>
              </w:r>
            </w:ins>
          </w:p>
          <w:p w14:paraId="079A2EA9" w14:textId="77777777" w:rsidR="009700E5" w:rsidRPr="009700E5" w:rsidRDefault="002C033C">
            <w:pPr>
              <w:pStyle w:val="Standard1"/>
              <w:rPr>
                <w:ins w:id="4386" w:author="Author" w:date="2025-07-24T11:09:00Z"/>
                <w:rFonts w:ascii="Times New Roman" w:hAnsi="Times New Roman"/>
                <w:noProof/>
                <w:sz w:val="22"/>
                <w:szCs w:val="22"/>
                <w:lang w:val="sk-SK"/>
                <w:rPrChange w:id="4387" w:author="Author" w:date="2025-08-22T15:12:00Z">
                  <w:rPr>
                    <w:ins w:id="4388" w:author="Author" w:date="2025-07-24T11:09:00Z"/>
                    <w:lang w:val="de-DE"/>
                  </w:rPr>
                </w:rPrChange>
              </w:rPr>
            </w:pPr>
            <w:ins w:id="4389" w:author="Author" w:date="2025-07-24T11:09:00Z">
              <w:r>
                <w:rPr>
                  <w:rFonts w:ascii="Times New Roman" w:hAnsi="Times New Roman"/>
                  <w:noProof/>
                  <w:sz w:val="22"/>
                  <w:szCs w:val="22"/>
                  <w:lang w:val="sk-SK"/>
                  <w:rPrChange w:id="4390" w:author="Author" w:date="2025-08-22T15:12:00Z">
                    <w:rPr>
                      <w:lang w:val="de-DE"/>
                    </w:rPr>
                  </w:rPrChange>
                </w:rPr>
                <w:t>Tel: +420 - 2 20382111</w:t>
              </w:r>
            </w:ins>
          </w:p>
        </w:tc>
        <w:tc>
          <w:tcPr>
            <w:tcW w:w="4590" w:type="dxa"/>
          </w:tcPr>
          <w:p w14:paraId="40FCC09E" w14:textId="77777777" w:rsidR="009700E5" w:rsidRPr="009700E5" w:rsidRDefault="002C033C">
            <w:pPr>
              <w:pStyle w:val="Standard1"/>
              <w:rPr>
                <w:ins w:id="4391" w:author="Author" w:date="2025-07-24T11:09:00Z"/>
                <w:rFonts w:ascii="Times New Roman" w:hAnsi="Times New Roman"/>
                <w:b/>
                <w:bCs/>
                <w:noProof/>
                <w:sz w:val="22"/>
                <w:szCs w:val="22"/>
                <w:lang w:val="sk-SK"/>
                <w:rPrChange w:id="4392" w:author="Author" w:date="2025-08-22T15:12:00Z">
                  <w:rPr>
                    <w:ins w:id="4393" w:author="Author" w:date="2025-07-24T11:09:00Z"/>
                    <w:b/>
                    <w:bCs/>
                    <w:lang w:val="en-GB"/>
                  </w:rPr>
                </w:rPrChange>
              </w:rPr>
            </w:pPr>
            <w:ins w:id="4394" w:author="Author" w:date="2025-07-24T11:09:00Z">
              <w:r>
                <w:rPr>
                  <w:rFonts w:ascii="Times New Roman" w:hAnsi="Times New Roman"/>
                  <w:b/>
                  <w:bCs/>
                  <w:noProof/>
                  <w:sz w:val="22"/>
                  <w:szCs w:val="22"/>
                  <w:lang w:val="sk-SK"/>
                  <w:rPrChange w:id="4395" w:author="Author" w:date="2025-08-22T15:12:00Z">
                    <w:rPr>
                      <w:b/>
                      <w:bCs/>
                      <w:lang w:val="en-GB"/>
                    </w:rPr>
                  </w:rPrChange>
                </w:rPr>
                <w:t>Magyarország</w:t>
              </w:r>
            </w:ins>
          </w:p>
          <w:p w14:paraId="3B764238" w14:textId="77777777" w:rsidR="009700E5" w:rsidRPr="009700E5" w:rsidRDefault="002C033C">
            <w:pPr>
              <w:pStyle w:val="Standard1"/>
              <w:rPr>
                <w:ins w:id="4396" w:author="Author" w:date="2025-07-24T11:09:00Z"/>
                <w:rFonts w:ascii="Times New Roman" w:hAnsi="Times New Roman"/>
                <w:noProof/>
                <w:sz w:val="22"/>
                <w:szCs w:val="22"/>
                <w:lang w:val="sk-SK"/>
                <w:rPrChange w:id="4397" w:author="Author" w:date="2025-08-22T15:12:00Z">
                  <w:rPr>
                    <w:ins w:id="4398" w:author="Author" w:date="2025-07-24T11:09:00Z"/>
                  </w:rPr>
                </w:rPrChange>
              </w:rPr>
            </w:pPr>
            <w:ins w:id="4399" w:author="Author" w:date="2025-07-24T11:09:00Z">
              <w:r>
                <w:rPr>
                  <w:rFonts w:ascii="Times New Roman" w:hAnsi="Times New Roman"/>
                  <w:noProof/>
                  <w:sz w:val="22"/>
                  <w:szCs w:val="22"/>
                  <w:lang w:val="sk-SK"/>
                  <w:rPrChange w:id="4400" w:author="Author" w:date="2025-08-22T15:12:00Z">
                    <w:rPr>
                      <w:lang w:val="en-GB"/>
                    </w:rPr>
                  </w:rPrChange>
                </w:rPr>
                <w:t>Roche (Magyarország) Kft.</w:t>
              </w:r>
            </w:ins>
          </w:p>
          <w:p w14:paraId="42D7297F" w14:textId="77777777" w:rsidR="009700E5" w:rsidRPr="009700E5" w:rsidRDefault="002C033C">
            <w:pPr>
              <w:pStyle w:val="Standard1"/>
              <w:rPr>
                <w:ins w:id="4401" w:author="Author" w:date="2025-07-24T11:09:00Z"/>
                <w:rFonts w:ascii="Times New Roman" w:hAnsi="Times New Roman"/>
                <w:noProof/>
                <w:sz w:val="22"/>
                <w:szCs w:val="22"/>
                <w:lang w:val="sk-SK"/>
                <w:rPrChange w:id="4402" w:author="Author" w:date="2025-08-22T15:12:00Z">
                  <w:rPr>
                    <w:ins w:id="4403" w:author="Author" w:date="2025-07-24T11:09:00Z"/>
                    <w:szCs w:val="22"/>
                  </w:rPr>
                </w:rPrChange>
              </w:rPr>
            </w:pPr>
            <w:ins w:id="4404" w:author="Author" w:date="2025-07-24T11:09:00Z">
              <w:r>
                <w:rPr>
                  <w:rFonts w:ascii="Times New Roman" w:hAnsi="Times New Roman"/>
                  <w:noProof/>
                  <w:sz w:val="22"/>
                  <w:szCs w:val="22"/>
                  <w:lang w:val="sk-SK"/>
                  <w:rPrChange w:id="4405" w:author="Author" w:date="2025-08-22T15:12:00Z">
                    <w:rPr>
                      <w:szCs w:val="22"/>
                    </w:rPr>
                  </w:rPrChange>
                </w:rPr>
                <w:t>Tel: +36 - 1 279 4500</w:t>
              </w:r>
            </w:ins>
          </w:p>
          <w:p w14:paraId="535FCE18" w14:textId="77777777" w:rsidR="009700E5" w:rsidRPr="009700E5" w:rsidRDefault="009700E5">
            <w:pPr>
              <w:pStyle w:val="Standard1"/>
              <w:rPr>
                <w:ins w:id="4406" w:author="Author" w:date="2025-07-24T11:09:00Z"/>
                <w:rFonts w:ascii="Times New Roman" w:hAnsi="Times New Roman"/>
                <w:noProof/>
                <w:sz w:val="22"/>
                <w:szCs w:val="22"/>
                <w:lang w:val="sk-SK"/>
                <w:rPrChange w:id="4407" w:author="Author" w:date="2025-08-22T15:12:00Z">
                  <w:rPr>
                    <w:ins w:id="4408" w:author="Author" w:date="2025-07-24T11:09:00Z"/>
                    <w:noProof/>
                    <w:szCs w:val="22"/>
                    <w:lang w:val="en-GB"/>
                  </w:rPr>
                </w:rPrChange>
              </w:rPr>
            </w:pPr>
          </w:p>
        </w:tc>
      </w:tr>
      <w:tr w:rsidR="009700E5" w14:paraId="69366487" w14:textId="77777777">
        <w:trPr>
          <w:cantSplit/>
          <w:ins w:id="4409" w:author="Author" w:date="2025-07-24T11:09:00Z"/>
        </w:trPr>
        <w:tc>
          <w:tcPr>
            <w:tcW w:w="4590" w:type="dxa"/>
          </w:tcPr>
          <w:p w14:paraId="4495A4C7" w14:textId="77777777" w:rsidR="009700E5" w:rsidRPr="009700E5" w:rsidRDefault="002C033C">
            <w:pPr>
              <w:pStyle w:val="Standard1"/>
              <w:rPr>
                <w:ins w:id="4410" w:author="Author" w:date="2025-07-24T11:09:00Z"/>
                <w:rFonts w:ascii="Times New Roman" w:hAnsi="Times New Roman"/>
                <w:noProof/>
                <w:sz w:val="22"/>
                <w:szCs w:val="22"/>
                <w:lang w:val="sk-SK"/>
                <w:rPrChange w:id="4411" w:author="Author" w:date="2025-08-22T15:12:00Z">
                  <w:rPr>
                    <w:ins w:id="4412" w:author="Author" w:date="2025-07-24T11:09:00Z"/>
                    <w:noProof/>
                    <w:szCs w:val="22"/>
                    <w:lang w:val="en-GB"/>
                  </w:rPr>
                </w:rPrChange>
              </w:rPr>
            </w:pPr>
            <w:ins w:id="4413" w:author="Author" w:date="2025-07-24T11:09:00Z">
              <w:r>
                <w:rPr>
                  <w:rFonts w:ascii="Times New Roman" w:hAnsi="Times New Roman"/>
                  <w:b/>
                  <w:noProof/>
                  <w:sz w:val="22"/>
                  <w:szCs w:val="22"/>
                  <w:lang w:val="sk-SK"/>
                  <w:rPrChange w:id="4414" w:author="Author" w:date="2025-08-22T15:12:00Z">
                    <w:rPr>
                      <w:b/>
                      <w:noProof/>
                      <w:szCs w:val="22"/>
                      <w:lang w:val="en-GB"/>
                    </w:rPr>
                  </w:rPrChange>
                </w:rPr>
                <w:t>Danmark</w:t>
              </w:r>
            </w:ins>
          </w:p>
          <w:p w14:paraId="3BDF31BF" w14:textId="77777777" w:rsidR="009700E5" w:rsidRPr="009700E5" w:rsidRDefault="002C033C">
            <w:pPr>
              <w:pStyle w:val="Standard1"/>
              <w:rPr>
                <w:ins w:id="4415" w:author="Author" w:date="2025-07-24T11:09:00Z"/>
                <w:rFonts w:ascii="Times New Roman" w:hAnsi="Times New Roman"/>
                <w:noProof/>
                <w:sz w:val="22"/>
                <w:szCs w:val="22"/>
                <w:lang w:val="sk-SK"/>
                <w:rPrChange w:id="4416" w:author="Author" w:date="2025-08-22T15:12:00Z">
                  <w:rPr>
                    <w:ins w:id="4417" w:author="Author" w:date="2025-07-24T11:09:00Z"/>
                    <w:lang w:val="en-GB"/>
                  </w:rPr>
                </w:rPrChange>
              </w:rPr>
            </w:pPr>
            <w:ins w:id="4418" w:author="Author" w:date="2025-07-24T11:09:00Z">
              <w:r>
                <w:rPr>
                  <w:rFonts w:ascii="Times New Roman" w:hAnsi="Times New Roman"/>
                  <w:noProof/>
                  <w:sz w:val="22"/>
                  <w:szCs w:val="22"/>
                  <w:lang w:val="sk-SK"/>
                  <w:rPrChange w:id="4419" w:author="Author" w:date="2025-08-22T15:12:00Z">
                    <w:rPr>
                      <w:lang w:val="en-GB"/>
                    </w:rPr>
                  </w:rPrChange>
                </w:rPr>
                <w:t>Roche Pharmaceuticals A/S</w:t>
              </w:r>
            </w:ins>
          </w:p>
          <w:p w14:paraId="7C8442DA" w14:textId="77777777" w:rsidR="009700E5" w:rsidRPr="009700E5" w:rsidRDefault="002C033C">
            <w:pPr>
              <w:pStyle w:val="Standard1"/>
              <w:rPr>
                <w:ins w:id="4420" w:author="Author" w:date="2025-07-24T11:09:00Z"/>
                <w:rFonts w:ascii="Times New Roman" w:hAnsi="Times New Roman"/>
                <w:noProof/>
                <w:sz w:val="22"/>
                <w:szCs w:val="22"/>
                <w:lang w:val="sk-SK"/>
                <w:rPrChange w:id="4421" w:author="Author" w:date="2025-08-22T15:12:00Z">
                  <w:rPr>
                    <w:ins w:id="4422" w:author="Author" w:date="2025-07-24T11:09:00Z"/>
                    <w:noProof/>
                    <w:szCs w:val="22"/>
                    <w:lang w:val="en-GB"/>
                  </w:rPr>
                </w:rPrChange>
              </w:rPr>
            </w:pPr>
            <w:ins w:id="4423" w:author="Author" w:date="2025-07-24T11:09:00Z">
              <w:r>
                <w:rPr>
                  <w:rFonts w:ascii="Times New Roman" w:hAnsi="Times New Roman"/>
                  <w:noProof/>
                  <w:sz w:val="22"/>
                  <w:szCs w:val="22"/>
                  <w:lang w:val="sk-SK"/>
                  <w:rPrChange w:id="4424" w:author="Author" w:date="2025-08-22T15:12:00Z">
                    <w:rPr>
                      <w:noProof/>
                      <w:szCs w:val="22"/>
                      <w:lang w:val="en-GB"/>
                    </w:rPr>
                  </w:rPrChange>
                </w:rPr>
                <w:t>Tlf.: +45 - 36 39 99 99</w:t>
              </w:r>
            </w:ins>
          </w:p>
          <w:p w14:paraId="7905968F" w14:textId="77777777" w:rsidR="009700E5" w:rsidRPr="009700E5" w:rsidRDefault="009700E5">
            <w:pPr>
              <w:pStyle w:val="Standard1"/>
              <w:rPr>
                <w:ins w:id="4425" w:author="Author" w:date="2025-07-24T11:09:00Z"/>
                <w:rFonts w:ascii="Times New Roman" w:hAnsi="Times New Roman"/>
                <w:b/>
                <w:noProof/>
                <w:sz w:val="22"/>
                <w:szCs w:val="22"/>
                <w:lang w:val="sk-SK"/>
                <w:rPrChange w:id="4426" w:author="Author" w:date="2025-08-22T15:12:00Z">
                  <w:rPr>
                    <w:ins w:id="4427" w:author="Author" w:date="2025-07-24T11:09:00Z"/>
                    <w:b/>
                    <w:noProof/>
                    <w:szCs w:val="22"/>
                    <w:lang w:val="en-GB"/>
                  </w:rPr>
                </w:rPrChange>
              </w:rPr>
            </w:pPr>
          </w:p>
        </w:tc>
        <w:tc>
          <w:tcPr>
            <w:tcW w:w="4590" w:type="dxa"/>
          </w:tcPr>
          <w:p w14:paraId="666DE568" w14:textId="77777777" w:rsidR="009700E5" w:rsidRPr="009700E5" w:rsidRDefault="002C033C">
            <w:pPr>
              <w:pStyle w:val="Standard1"/>
              <w:rPr>
                <w:ins w:id="4428" w:author="Author" w:date="2025-07-24T11:09:00Z"/>
                <w:rFonts w:ascii="Times New Roman" w:hAnsi="Times New Roman"/>
                <w:noProof/>
                <w:sz w:val="22"/>
                <w:szCs w:val="22"/>
                <w:lang w:val="sk-SK"/>
                <w:rPrChange w:id="4429" w:author="Author" w:date="2025-08-22T15:12:00Z">
                  <w:rPr>
                    <w:ins w:id="4430" w:author="Author" w:date="2025-07-24T11:09:00Z"/>
                    <w:lang w:val="de-DE"/>
                  </w:rPr>
                </w:rPrChange>
              </w:rPr>
            </w:pPr>
            <w:ins w:id="4431" w:author="Author" w:date="2025-07-24T11:09:00Z">
              <w:r>
                <w:rPr>
                  <w:rFonts w:ascii="Times New Roman" w:hAnsi="Times New Roman"/>
                  <w:b/>
                  <w:noProof/>
                  <w:sz w:val="22"/>
                  <w:szCs w:val="22"/>
                  <w:lang w:val="sk-SK"/>
                  <w:rPrChange w:id="4432" w:author="Author" w:date="2025-08-22T15:12:00Z">
                    <w:rPr>
                      <w:b/>
                      <w:lang w:val="de-DE"/>
                    </w:rPr>
                  </w:rPrChange>
                </w:rPr>
                <w:t>Nederland</w:t>
              </w:r>
            </w:ins>
          </w:p>
          <w:p w14:paraId="2106B18E" w14:textId="77777777" w:rsidR="009700E5" w:rsidRPr="009700E5" w:rsidRDefault="002C033C">
            <w:pPr>
              <w:pStyle w:val="Standard1"/>
              <w:rPr>
                <w:ins w:id="4433" w:author="Author" w:date="2025-07-24T11:09:00Z"/>
                <w:rFonts w:ascii="Times New Roman" w:hAnsi="Times New Roman"/>
                <w:noProof/>
                <w:sz w:val="22"/>
                <w:szCs w:val="22"/>
                <w:lang w:val="sk-SK"/>
                <w:rPrChange w:id="4434" w:author="Author" w:date="2025-08-22T15:12:00Z">
                  <w:rPr>
                    <w:ins w:id="4435" w:author="Author" w:date="2025-07-24T11:09:00Z"/>
                    <w:lang w:val="de-DE"/>
                  </w:rPr>
                </w:rPrChange>
              </w:rPr>
            </w:pPr>
            <w:ins w:id="4436" w:author="Author" w:date="2025-07-24T11:09:00Z">
              <w:r>
                <w:rPr>
                  <w:rFonts w:ascii="Times New Roman" w:hAnsi="Times New Roman"/>
                  <w:noProof/>
                  <w:sz w:val="22"/>
                  <w:szCs w:val="22"/>
                  <w:lang w:val="sk-SK"/>
                  <w:rPrChange w:id="4437" w:author="Author" w:date="2025-08-22T15:12:00Z">
                    <w:rPr>
                      <w:lang w:val="de-DE"/>
                    </w:rPr>
                  </w:rPrChange>
                </w:rPr>
                <w:t>Roche Nederland B.V.</w:t>
              </w:r>
            </w:ins>
          </w:p>
          <w:p w14:paraId="18D66835" w14:textId="77777777" w:rsidR="009700E5" w:rsidRPr="009700E5" w:rsidRDefault="002C033C">
            <w:pPr>
              <w:pStyle w:val="Standard1"/>
              <w:rPr>
                <w:ins w:id="4438" w:author="Author" w:date="2025-07-24T11:09:00Z"/>
                <w:rFonts w:ascii="Times New Roman" w:hAnsi="Times New Roman"/>
                <w:noProof/>
                <w:sz w:val="22"/>
                <w:szCs w:val="22"/>
                <w:lang w:val="sk-SK"/>
                <w:rPrChange w:id="4439" w:author="Author" w:date="2025-08-22T15:12:00Z">
                  <w:rPr>
                    <w:ins w:id="4440" w:author="Author" w:date="2025-07-24T11:09:00Z"/>
                    <w:noProof/>
                    <w:szCs w:val="22"/>
                    <w:lang w:val="en-GB"/>
                  </w:rPr>
                </w:rPrChange>
              </w:rPr>
            </w:pPr>
            <w:ins w:id="4441" w:author="Author" w:date="2025-07-24T11:09:00Z">
              <w:r>
                <w:rPr>
                  <w:rFonts w:ascii="Times New Roman" w:hAnsi="Times New Roman"/>
                  <w:noProof/>
                  <w:sz w:val="22"/>
                  <w:szCs w:val="22"/>
                  <w:lang w:val="sk-SK"/>
                  <w:rPrChange w:id="4442" w:author="Author" w:date="2025-08-22T15:12:00Z">
                    <w:rPr>
                      <w:noProof/>
                      <w:szCs w:val="22"/>
                      <w:lang w:val="en-GB"/>
                    </w:rPr>
                  </w:rPrChange>
                </w:rPr>
                <w:t>Tel: +31 (</w:t>
              </w:r>
              <w:r>
                <w:rPr>
                  <w:rFonts w:ascii="Times New Roman" w:hAnsi="Times New Roman"/>
                  <w:noProof/>
                  <w:snapToGrid w:val="0"/>
                  <w:sz w:val="22"/>
                  <w:szCs w:val="22"/>
                  <w:lang w:val="sk-SK"/>
                  <w:rPrChange w:id="4443" w:author="Author" w:date="2025-08-22T15:12:00Z">
                    <w:rPr>
                      <w:noProof/>
                      <w:snapToGrid w:val="0"/>
                      <w:szCs w:val="22"/>
                      <w:lang w:val="en-GB"/>
                    </w:rPr>
                  </w:rPrChange>
                </w:rPr>
                <w:t>0) 348 438050</w:t>
              </w:r>
            </w:ins>
          </w:p>
          <w:p w14:paraId="74688800" w14:textId="77777777" w:rsidR="009700E5" w:rsidRPr="009700E5" w:rsidRDefault="009700E5">
            <w:pPr>
              <w:pStyle w:val="Standard1"/>
              <w:rPr>
                <w:ins w:id="4444" w:author="Author" w:date="2025-07-24T11:09:00Z"/>
                <w:rFonts w:ascii="Times New Roman" w:hAnsi="Times New Roman"/>
                <w:noProof/>
                <w:sz w:val="22"/>
                <w:szCs w:val="22"/>
                <w:lang w:val="sk-SK"/>
                <w:rPrChange w:id="4445" w:author="Author" w:date="2025-08-22T15:12:00Z">
                  <w:rPr>
                    <w:ins w:id="4446" w:author="Author" w:date="2025-07-24T11:09:00Z"/>
                    <w:noProof/>
                    <w:szCs w:val="22"/>
                    <w:lang w:val="en-GB"/>
                  </w:rPr>
                </w:rPrChange>
              </w:rPr>
            </w:pPr>
          </w:p>
        </w:tc>
      </w:tr>
      <w:tr w:rsidR="009700E5" w14:paraId="40FE9226" w14:textId="77777777">
        <w:trPr>
          <w:cantSplit/>
          <w:ins w:id="4447" w:author="Author" w:date="2025-07-24T11:09:00Z"/>
        </w:trPr>
        <w:tc>
          <w:tcPr>
            <w:tcW w:w="4590" w:type="dxa"/>
          </w:tcPr>
          <w:p w14:paraId="66BB8B0C" w14:textId="77777777" w:rsidR="009700E5" w:rsidRPr="009700E5" w:rsidRDefault="002C033C">
            <w:pPr>
              <w:pStyle w:val="Standard1"/>
              <w:rPr>
                <w:ins w:id="4448" w:author="Author" w:date="2025-07-24T11:09:00Z"/>
                <w:rFonts w:ascii="Times New Roman" w:hAnsi="Times New Roman"/>
                <w:noProof/>
                <w:sz w:val="22"/>
                <w:szCs w:val="22"/>
                <w:lang w:val="sk-SK"/>
                <w:rPrChange w:id="4449" w:author="Author" w:date="2025-08-22T15:12:00Z">
                  <w:rPr>
                    <w:ins w:id="4450" w:author="Author" w:date="2025-07-24T11:09:00Z"/>
                    <w:lang w:val="de-DE"/>
                  </w:rPr>
                </w:rPrChange>
              </w:rPr>
            </w:pPr>
            <w:ins w:id="4451" w:author="Author" w:date="2025-07-24T11:09:00Z">
              <w:r>
                <w:rPr>
                  <w:rFonts w:ascii="Times New Roman" w:hAnsi="Times New Roman"/>
                  <w:b/>
                  <w:noProof/>
                  <w:sz w:val="22"/>
                  <w:szCs w:val="22"/>
                  <w:lang w:val="sk-SK"/>
                  <w:rPrChange w:id="4452" w:author="Author" w:date="2025-08-22T15:12:00Z">
                    <w:rPr>
                      <w:b/>
                      <w:lang w:val="de-DE"/>
                    </w:rPr>
                  </w:rPrChange>
                </w:rPr>
                <w:lastRenderedPageBreak/>
                <w:t>Deutschland</w:t>
              </w:r>
            </w:ins>
          </w:p>
          <w:p w14:paraId="43D23CCD" w14:textId="77777777" w:rsidR="009700E5" w:rsidRPr="009700E5" w:rsidRDefault="002C033C">
            <w:pPr>
              <w:pStyle w:val="Standard1"/>
              <w:rPr>
                <w:ins w:id="4453" w:author="Author" w:date="2025-07-24T11:09:00Z"/>
                <w:rFonts w:ascii="Times New Roman" w:hAnsi="Times New Roman"/>
                <w:noProof/>
                <w:sz w:val="22"/>
                <w:szCs w:val="22"/>
                <w:lang w:val="sk-SK"/>
                <w:rPrChange w:id="4454" w:author="Author" w:date="2025-08-22T15:12:00Z">
                  <w:rPr>
                    <w:ins w:id="4455" w:author="Author" w:date="2025-07-24T11:09:00Z"/>
                    <w:lang w:val="de-DE"/>
                  </w:rPr>
                </w:rPrChange>
              </w:rPr>
            </w:pPr>
            <w:ins w:id="4456" w:author="Author" w:date="2025-07-24T11:09:00Z">
              <w:r>
                <w:rPr>
                  <w:rFonts w:ascii="Times New Roman" w:hAnsi="Times New Roman"/>
                  <w:noProof/>
                  <w:sz w:val="22"/>
                  <w:szCs w:val="22"/>
                  <w:lang w:val="sk-SK"/>
                  <w:rPrChange w:id="4457" w:author="Author" w:date="2025-08-22T15:12:00Z">
                    <w:rPr>
                      <w:lang w:val="de-DE"/>
                    </w:rPr>
                  </w:rPrChange>
                </w:rPr>
                <w:t>Roche Pharma AG</w:t>
              </w:r>
            </w:ins>
          </w:p>
          <w:p w14:paraId="73735E75" w14:textId="77777777" w:rsidR="009700E5" w:rsidRPr="009700E5" w:rsidRDefault="002C033C">
            <w:pPr>
              <w:pStyle w:val="Standard1"/>
              <w:rPr>
                <w:ins w:id="4458" w:author="Author" w:date="2025-07-24T11:09:00Z"/>
                <w:rFonts w:ascii="Times New Roman" w:hAnsi="Times New Roman"/>
                <w:noProof/>
                <w:sz w:val="22"/>
                <w:szCs w:val="22"/>
                <w:lang w:val="sk-SK"/>
                <w:rPrChange w:id="4459" w:author="Author" w:date="2025-08-22T15:12:00Z">
                  <w:rPr>
                    <w:ins w:id="4460" w:author="Author" w:date="2025-07-24T11:09:00Z"/>
                    <w:lang w:val="de-DE"/>
                  </w:rPr>
                </w:rPrChange>
              </w:rPr>
            </w:pPr>
            <w:ins w:id="4461" w:author="Author" w:date="2025-07-24T11:09:00Z">
              <w:r>
                <w:rPr>
                  <w:rFonts w:ascii="Times New Roman" w:hAnsi="Times New Roman"/>
                  <w:noProof/>
                  <w:sz w:val="22"/>
                  <w:szCs w:val="22"/>
                  <w:lang w:val="sk-SK"/>
                  <w:rPrChange w:id="4462" w:author="Author" w:date="2025-08-22T15:12:00Z">
                    <w:rPr>
                      <w:lang w:val="de-DE"/>
                    </w:rPr>
                  </w:rPrChange>
                </w:rPr>
                <w:t xml:space="preserve">Tel: +49 (0) 7624 140 </w:t>
              </w:r>
            </w:ins>
          </w:p>
          <w:p w14:paraId="2BFBB47A" w14:textId="77777777" w:rsidR="009700E5" w:rsidRPr="009700E5" w:rsidRDefault="009700E5">
            <w:pPr>
              <w:pStyle w:val="Standard1"/>
              <w:rPr>
                <w:ins w:id="4463" w:author="Author" w:date="2025-07-24T11:09:00Z"/>
                <w:rFonts w:ascii="Times New Roman" w:hAnsi="Times New Roman"/>
                <w:b/>
                <w:noProof/>
                <w:sz w:val="22"/>
                <w:szCs w:val="22"/>
                <w:lang w:val="sk-SK"/>
                <w:rPrChange w:id="4464" w:author="Author" w:date="2025-08-22T15:12:00Z">
                  <w:rPr>
                    <w:ins w:id="4465" w:author="Author" w:date="2025-07-24T11:09:00Z"/>
                    <w:b/>
                    <w:lang w:val="de-DE"/>
                  </w:rPr>
                </w:rPrChange>
              </w:rPr>
            </w:pPr>
          </w:p>
        </w:tc>
        <w:tc>
          <w:tcPr>
            <w:tcW w:w="4590" w:type="dxa"/>
          </w:tcPr>
          <w:p w14:paraId="72477D77" w14:textId="77777777" w:rsidR="009700E5" w:rsidRPr="009700E5" w:rsidRDefault="002C033C">
            <w:pPr>
              <w:pStyle w:val="Standard1"/>
              <w:rPr>
                <w:ins w:id="4466" w:author="Author" w:date="2025-07-24T11:09:00Z"/>
                <w:rFonts w:ascii="Times New Roman" w:hAnsi="Times New Roman"/>
                <w:b/>
                <w:noProof/>
                <w:snapToGrid w:val="0"/>
                <w:sz w:val="22"/>
                <w:szCs w:val="22"/>
                <w:lang w:val="sk-SK"/>
                <w:rPrChange w:id="4467" w:author="Author" w:date="2025-08-22T15:12:00Z">
                  <w:rPr>
                    <w:ins w:id="4468" w:author="Author" w:date="2025-07-24T11:09:00Z"/>
                    <w:b/>
                    <w:noProof/>
                    <w:snapToGrid w:val="0"/>
                    <w:szCs w:val="22"/>
                    <w:lang w:val="en-GB"/>
                  </w:rPr>
                </w:rPrChange>
              </w:rPr>
            </w:pPr>
            <w:ins w:id="4469" w:author="Author" w:date="2025-07-24T11:09:00Z">
              <w:r>
                <w:rPr>
                  <w:rFonts w:ascii="Times New Roman" w:hAnsi="Times New Roman"/>
                  <w:b/>
                  <w:noProof/>
                  <w:snapToGrid w:val="0"/>
                  <w:sz w:val="22"/>
                  <w:szCs w:val="22"/>
                  <w:lang w:val="sk-SK"/>
                  <w:rPrChange w:id="4470" w:author="Author" w:date="2025-08-22T15:12:00Z">
                    <w:rPr>
                      <w:b/>
                      <w:noProof/>
                      <w:snapToGrid w:val="0"/>
                      <w:szCs w:val="22"/>
                      <w:lang w:val="en-GB"/>
                    </w:rPr>
                  </w:rPrChange>
                </w:rPr>
                <w:t>Norge</w:t>
              </w:r>
            </w:ins>
          </w:p>
          <w:p w14:paraId="3BA53392" w14:textId="77777777" w:rsidR="009700E5" w:rsidRPr="009700E5" w:rsidRDefault="002C033C">
            <w:pPr>
              <w:pStyle w:val="Standard1"/>
              <w:rPr>
                <w:ins w:id="4471" w:author="Author" w:date="2025-07-24T11:09:00Z"/>
                <w:rFonts w:ascii="Times New Roman" w:hAnsi="Times New Roman"/>
                <w:noProof/>
                <w:snapToGrid w:val="0"/>
                <w:sz w:val="22"/>
                <w:szCs w:val="22"/>
                <w:lang w:val="sk-SK"/>
                <w:rPrChange w:id="4472" w:author="Author" w:date="2025-08-22T15:12:00Z">
                  <w:rPr>
                    <w:ins w:id="4473" w:author="Author" w:date="2025-07-24T11:09:00Z"/>
                    <w:noProof/>
                    <w:snapToGrid w:val="0"/>
                    <w:szCs w:val="22"/>
                    <w:lang w:val="en-GB"/>
                  </w:rPr>
                </w:rPrChange>
              </w:rPr>
            </w:pPr>
            <w:ins w:id="4474" w:author="Author" w:date="2025-07-24T11:09:00Z">
              <w:r>
                <w:rPr>
                  <w:rFonts w:ascii="Times New Roman" w:hAnsi="Times New Roman"/>
                  <w:noProof/>
                  <w:snapToGrid w:val="0"/>
                  <w:sz w:val="22"/>
                  <w:szCs w:val="22"/>
                  <w:lang w:val="sk-SK"/>
                  <w:rPrChange w:id="4475" w:author="Author" w:date="2025-08-22T15:12:00Z">
                    <w:rPr>
                      <w:noProof/>
                      <w:snapToGrid w:val="0"/>
                      <w:szCs w:val="22"/>
                      <w:lang w:val="en-GB"/>
                    </w:rPr>
                  </w:rPrChange>
                </w:rPr>
                <w:t>Roche Norge AS</w:t>
              </w:r>
            </w:ins>
          </w:p>
          <w:p w14:paraId="4BB82CE6" w14:textId="77777777" w:rsidR="009700E5" w:rsidRPr="009700E5" w:rsidRDefault="002C033C">
            <w:pPr>
              <w:pStyle w:val="Standard1"/>
              <w:rPr>
                <w:ins w:id="4476" w:author="Author" w:date="2025-07-24T11:09:00Z"/>
                <w:rFonts w:ascii="Times New Roman" w:hAnsi="Times New Roman"/>
                <w:noProof/>
                <w:sz w:val="22"/>
                <w:szCs w:val="22"/>
                <w:lang w:val="sk-SK"/>
                <w:rPrChange w:id="4477" w:author="Author" w:date="2025-08-22T15:12:00Z">
                  <w:rPr>
                    <w:ins w:id="4478" w:author="Author" w:date="2025-07-24T11:09:00Z"/>
                    <w:noProof/>
                    <w:szCs w:val="22"/>
                    <w:lang w:val="en-GB"/>
                  </w:rPr>
                </w:rPrChange>
              </w:rPr>
            </w:pPr>
            <w:ins w:id="4479" w:author="Author" w:date="2025-07-24T11:09:00Z">
              <w:r>
                <w:rPr>
                  <w:rFonts w:ascii="Times New Roman" w:hAnsi="Times New Roman"/>
                  <w:noProof/>
                  <w:snapToGrid w:val="0"/>
                  <w:sz w:val="22"/>
                  <w:szCs w:val="22"/>
                  <w:lang w:val="sk-SK"/>
                  <w:rPrChange w:id="4480" w:author="Author" w:date="2025-08-22T15:12:00Z">
                    <w:rPr>
                      <w:noProof/>
                      <w:snapToGrid w:val="0"/>
                      <w:szCs w:val="22"/>
                      <w:lang w:val="en-GB"/>
                    </w:rPr>
                  </w:rPrChange>
                </w:rPr>
                <w:t>Tlf: +47 - 22 78 90 00</w:t>
              </w:r>
            </w:ins>
          </w:p>
          <w:p w14:paraId="739F4A9E" w14:textId="77777777" w:rsidR="009700E5" w:rsidRPr="009700E5" w:rsidRDefault="009700E5">
            <w:pPr>
              <w:pStyle w:val="Standard1"/>
              <w:rPr>
                <w:ins w:id="4481" w:author="Author" w:date="2025-07-24T11:09:00Z"/>
                <w:rFonts w:ascii="Times New Roman" w:hAnsi="Times New Roman"/>
                <w:noProof/>
                <w:sz w:val="22"/>
                <w:szCs w:val="22"/>
                <w:lang w:val="sk-SK"/>
                <w:rPrChange w:id="4482" w:author="Author" w:date="2025-08-22T15:12:00Z">
                  <w:rPr>
                    <w:ins w:id="4483" w:author="Author" w:date="2025-07-24T11:09:00Z"/>
                    <w:noProof/>
                    <w:szCs w:val="22"/>
                    <w:lang w:val="en-GB"/>
                  </w:rPr>
                </w:rPrChange>
              </w:rPr>
            </w:pPr>
          </w:p>
        </w:tc>
      </w:tr>
      <w:tr w:rsidR="009700E5" w14:paraId="00FE5A88" w14:textId="77777777">
        <w:trPr>
          <w:cantSplit/>
          <w:ins w:id="4484" w:author="Author" w:date="2025-07-24T11:09:00Z"/>
        </w:trPr>
        <w:tc>
          <w:tcPr>
            <w:tcW w:w="4590" w:type="dxa"/>
          </w:tcPr>
          <w:p w14:paraId="0139944D" w14:textId="77777777" w:rsidR="009700E5" w:rsidRPr="009700E5" w:rsidRDefault="002C033C">
            <w:pPr>
              <w:pStyle w:val="Standard1"/>
              <w:rPr>
                <w:ins w:id="4485" w:author="Author" w:date="2025-07-24T11:09:00Z"/>
                <w:rFonts w:ascii="Times New Roman" w:hAnsi="Times New Roman"/>
                <w:b/>
                <w:noProof/>
                <w:sz w:val="22"/>
                <w:szCs w:val="22"/>
                <w:lang w:val="sk-SK"/>
                <w:rPrChange w:id="4486" w:author="Author" w:date="2025-08-22T15:12:00Z">
                  <w:rPr>
                    <w:ins w:id="4487" w:author="Author" w:date="2025-07-24T11:09:00Z"/>
                    <w:b/>
                    <w:lang w:val="it-IT"/>
                  </w:rPr>
                </w:rPrChange>
              </w:rPr>
            </w:pPr>
            <w:ins w:id="4488" w:author="Author" w:date="2025-07-24T11:09:00Z">
              <w:r>
                <w:rPr>
                  <w:rFonts w:ascii="Times New Roman" w:hAnsi="Times New Roman"/>
                  <w:b/>
                  <w:noProof/>
                  <w:sz w:val="22"/>
                  <w:szCs w:val="22"/>
                  <w:lang w:val="sk-SK"/>
                  <w:rPrChange w:id="4489" w:author="Author" w:date="2025-08-22T15:12:00Z">
                    <w:rPr>
                      <w:b/>
                      <w:lang w:val="it-IT"/>
                    </w:rPr>
                  </w:rPrChange>
                </w:rPr>
                <w:t>Eesti</w:t>
              </w:r>
            </w:ins>
          </w:p>
          <w:p w14:paraId="18FAEEF2" w14:textId="77777777" w:rsidR="009700E5" w:rsidRPr="009700E5" w:rsidRDefault="002C033C">
            <w:pPr>
              <w:pStyle w:val="Standard1"/>
              <w:rPr>
                <w:ins w:id="4490" w:author="Author" w:date="2025-07-24T11:09:00Z"/>
                <w:rFonts w:ascii="Times New Roman" w:hAnsi="Times New Roman"/>
                <w:noProof/>
                <w:sz w:val="22"/>
                <w:szCs w:val="22"/>
                <w:lang w:val="sk-SK"/>
                <w:rPrChange w:id="4491" w:author="Author" w:date="2025-08-22T15:12:00Z">
                  <w:rPr>
                    <w:ins w:id="4492" w:author="Author" w:date="2025-07-24T11:09:00Z"/>
                    <w:lang w:val="it-IT"/>
                  </w:rPr>
                </w:rPrChange>
              </w:rPr>
            </w:pPr>
            <w:ins w:id="4493" w:author="Author" w:date="2025-07-24T11:09:00Z">
              <w:r>
                <w:rPr>
                  <w:rFonts w:ascii="Times New Roman" w:hAnsi="Times New Roman"/>
                  <w:noProof/>
                  <w:sz w:val="22"/>
                  <w:szCs w:val="22"/>
                  <w:lang w:val="sk-SK"/>
                  <w:rPrChange w:id="4494" w:author="Author" w:date="2025-08-22T15:12:00Z">
                    <w:rPr>
                      <w:lang w:val="it-IT"/>
                    </w:rPr>
                  </w:rPrChange>
                </w:rPr>
                <w:t>Roche Eesti OÜ</w:t>
              </w:r>
            </w:ins>
          </w:p>
          <w:p w14:paraId="6DAD6A64" w14:textId="77777777" w:rsidR="009700E5" w:rsidRPr="009700E5" w:rsidRDefault="002C033C">
            <w:pPr>
              <w:pStyle w:val="Standard1"/>
              <w:rPr>
                <w:ins w:id="4495" w:author="Author" w:date="2025-07-24T11:09:00Z"/>
                <w:rFonts w:ascii="Times New Roman" w:hAnsi="Times New Roman"/>
                <w:noProof/>
                <w:sz w:val="22"/>
                <w:szCs w:val="22"/>
                <w:lang w:val="sk-SK"/>
                <w:rPrChange w:id="4496" w:author="Author" w:date="2025-08-22T15:12:00Z">
                  <w:rPr>
                    <w:ins w:id="4497" w:author="Author" w:date="2025-07-24T11:09:00Z"/>
                    <w:lang w:val="it-IT"/>
                  </w:rPr>
                </w:rPrChange>
              </w:rPr>
            </w:pPr>
            <w:ins w:id="4498" w:author="Author" w:date="2025-07-24T11:09:00Z">
              <w:r>
                <w:rPr>
                  <w:rFonts w:ascii="Times New Roman" w:hAnsi="Times New Roman"/>
                  <w:noProof/>
                  <w:sz w:val="22"/>
                  <w:szCs w:val="22"/>
                  <w:lang w:val="sk-SK"/>
                  <w:rPrChange w:id="4499" w:author="Author" w:date="2025-08-22T15:12:00Z">
                    <w:rPr>
                      <w:lang w:val="it-IT"/>
                    </w:rPr>
                  </w:rPrChange>
                </w:rPr>
                <w:t>Tel: + 372 - 6 177 380</w:t>
              </w:r>
            </w:ins>
          </w:p>
          <w:p w14:paraId="30D777AD" w14:textId="77777777" w:rsidR="009700E5" w:rsidRPr="009700E5" w:rsidRDefault="009700E5">
            <w:pPr>
              <w:pStyle w:val="Standard1"/>
              <w:rPr>
                <w:ins w:id="4500" w:author="Author" w:date="2025-07-24T11:09:00Z"/>
                <w:rFonts w:ascii="Times New Roman" w:hAnsi="Times New Roman"/>
                <w:noProof/>
                <w:sz w:val="22"/>
                <w:szCs w:val="22"/>
                <w:lang w:val="sk-SK"/>
                <w:rPrChange w:id="4501" w:author="Author" w:date="2025-08-22T15:12:00Z">
                  <w:rPr>
                    <w:ins w:id="4502" w:author="Author" w:date="2025-07-24T11:09:00Z"/>
                    <w:lang w:val="it-IT"/>
                  </w:rPr>
                </w:rPrChange>
              </w:rPr>
            </w:pPr>
          </w:p>
        </w:tc>
        <w:tc>
          <w:tcPr>
            <w:tcW w:w="4590" w:type="dxa"/>
          </w:tcPr>
          <w:p w14:paraId="5516F4F3" w14:textId="77777777" w:rsidR="009700E5" w:rsidRPr="009700E5" w:rsidRDefault="002C033C">
            <w:pPr>
              <w:pStyle w:val="Standard1"/>
              <w:rPr>
                <w:ins w:id="4503" w:author="Author" w:date="2025-07-24T11:09:00Z"/>
                <w:rFonts w:ascii="Times New Roman" w:hAnsi="Times New Roman"/>
                <w:noProof/>
                <w:sz w:val="22"/>
                <w:szCs w:val="22"/>
                <w:lang w:val="sk-SK"/>
                <w:rPrChange w:id="4504" w:author="Author" w:date="2025-08-22T15:12:00Z">
                  <w:rPr>
                    <w:ins w:id="4505" w:author="Author" w:date="2025-07-24T11:09:00Z"/>
                    <w:lang w:val="de-DE"/>
                  </w:rPr>
                </w:rPrChange>
              </w:rPr>
            </w:pPr>
            <w:ins w:id="4506" w:author="Author" w:date="2025-07-24T11:09:00Z">
              <w:r>
                <w:rPr>
                  <w:rFonts w:ascii="Times New Roman" w:hAnsi="Times New Roman"/>
                  <w:b/>
                  <w:noProof/>
                  <w:sz w:val="22"/>
                  <w:szCs w:val="22"/>
                  <w:lang w:val="sk-SK"/>
                  <w:rPrChange w:id="4507" w:author="Author" w:date="2025-08-22T15:12:00Z">
                    <w:rPr>
                      <w:b/>
                      <w:lang w:val="de-DE"/>
                    </w:rPr>
                  </w:rPrChange>
                </w:rPr>
                <w:t>Österreich</w:t>
              </w:r>
            </w:ins>
          </w:p>
          <w:p w14:paraId="6CBFE498" w14:textId="77777777" w:rsidR="009700E5" w:rsidRPr="009700E5" w:rsidRDefault="002C033C">
            <w:pPr>
              <w:pStyle w:val="Standard1"/>
              <w:rPr>
                <w:ins w:id="4508" w:author="Author" w:date="2025-07-24T11:09:00Z"/>
                <w:rFonts w:ascii="Times New Roman" w:hAnsi="Times New Roman"/>
                <w:noProof/>
                <w:sz w:val="22"/>
                <w:szCs w:val="22"/>
                <w:lang w:val="sk-SK"/>
                <w:rPrChange w:id="4509" w:author="Author" w:date="2025-08-22T15:12:00Z">
                  <w:rPr>
                    <w:ins w:id="4510" w:author="Author" w:date="2025-07-24T11:09:00Z"/>
                    <w:lang w:val="de-DE"/>
                  </w:rPr>
                </w:rPrChange>
              </w:rPr>
            </w:pPr>
            <w:ins w:id="4511" w:author="Author" w:date="2025-07-24T11:09:00Z">
              <w:r>
                <w:rPr>
                  <w:rFonts w:ascii="Times New Roman" w:hAnsi="Times New Roman"/>
                  <w:noProof/>
                  <w:sz w:val="22"/>
                  <w:szCs w:val="22"/>
                  <w:lang w:val="sk-SK"/>
                  <w:rPrChange w:id="4512" w:author="Author" w:date="2025-08-22T15:12:00Z">
                    <w:rPr>
                      <w:lang w:val="de-DE"/>
                    </w:rPr>
                  </w:rPrChange>
                </w:rPr>
                <w:t>Roche Austria GmbH</w:t>
              </w:r>
            </w:ins>
          </w:p>
          <w:p w14:paraId="18B17EA7" w14:textId="77777777" w:rsidR="009700E5" w:rsidRPr="009700E5" w:rsidRDefault="002C033C">
            <w:pPr>
              <w:pStyle w:val="Standard1"/>
              <w:rPr>
                <w:ins w:id="4513" w:author="Author" w:date="2025-07-24T11:09:00Z"/>
                <w:rFonts w:ascii="Times New Roman" w:hAnsi="Times New Roman"/>
                <w:noProof/>
                <w:sz w:val="22"/>
                <w:szCs w:val="22"/>
                <w:lang w:val="sk-SK"/>
                <w:rPrChange w:id="4514" w:author="Author" w:date="2025-08-22T15:12:00Z">
                  <w:rPr>
                    <w:ins w:id="4515" w:author="Author" w:date="2025-07-24T11:09:00Z"/>
                    <w:lang w:val="de-DE"/>
                  </w:rPr>
                </w:rPrChange>
              </w:rPr>
            </w:pPr>
            <w:ins w:id="4516" w:author="Author" w:date="2025-07-24T11:09:00Z">
              <w:r>
                <w:rPr>
                  <w:rFonts w:ascii="Times New Roman" w:hAnsi="Times New Roman"/>
                  <w:noProof/>
                  <w:sz w:val="22"/>
                  <w:szCs w:val="22"/>
                  <w:lang w:val="sk-SK"/>
                  <w:rPrChange w:id="4517" w:author="Author" w:date="2025-08-22T15:12:00Z">
                    <w:rPr>
                      <w:lang w:val="de-DE"/>
                    </w:rPr>
                  </w:rPrChange>
                </w:rPr>
                <w:t>Tel: +43 (0) 1 27739</w:t>
              </w:r>
            </w:ins>
          </w:p>
          <w:p w14:paraId="6C5481A4" w14:textId="77777777" w:rsidR="009700E5" w:rsidRPr="009700E5" w:rsidRDefault="009700E5">
            <w:pPr>
              <w:pStyle w:val="Standard1"/>
              <w:rPr>
                <w:ins w:id="4518" w:author="Author" w:date="2025-07-24T11:09:00Z"/>
                <w:rFonts w:ascii="Times New Roman" w:hAnsi="Times New Roman"/>
                <w:noProof/>
                <w:sz w:val="22"/>
                <w:szCs w:val="22"/>
                <w:lang w:val="sk-SK"/>
                <w:rPrChange w:id="4519" w:author="Author" w:date="2025-08-22T15:12:00Z">
                  <w:rPr>
                    <w:ins w:id="4520" w:author="Author" w:date="2025-07-24T11:09:00Z"/>
                    <w:lang w:val="de-DE"/>
                  </w:rPr>
                </w:rPrChange>
              </w:rPr>
            </w:pPr>
          </w:p>
        </w:tc>
      </w:tr>
      <w:tr w:rsidR="009700E5" w14:paraId="5871CBAF" w14:textId="77777777">
        <w:trPr>
          <w:cantSplit/>
          <w:ins w:id="4521" w:author="Author" w:date="2025-07-24T11:09:00Z"/>
        </w:trPr>
        <w:tc>
          <w:tcPr>
            <w:tcW w:w="4590" w:type="dxa"/>
          </w:tcPr>
          <w:p w14:paraId="38E3C0E3" w14:textId="77777777" w:rsidR="009700E5" w:rsidRPr="009700E5" w:rsidRDefault="002C033C">
            <w:pPr>
              <w:pStyle w:val="Standard1"/>
              <w:rPr>
                <w:ins w:id="4522" w:author="Author" w:date="2025-07-24T11:09:00Z"/>
                <w:rFonts w:ascii="Times New Roman" w:hAnsi="Times New Roman"/>
                <w:noProof/>
                <w:sz w:val="22"/>
                <w:szCs w:val="22"/>
                <w:lang w:val="sk-SK"/>
                <w:rPrChange w:id="4523" w:author="Author" w:date="2025-08-22T15:12:00Z">
                  <w:rPr>
                    <w:ins w:id="4524" w:author="Author" w:date="2025-07-24T11:09:00Z"/>
                    <w:lang w:val="de-DE"/>
                  </w:rPr>
                </w:rPrChange>
              </w:rPr>
            </w:pPr>
            <w:ins w:id="4525" w:author="Author" w:date="2025-07-24T11:09:00Z">
              <w:r>
                <w:rPr>
                  <w:rFonts w:ascii="Times New Roman" w:hAnsi="Times New Roman"/>
                  <w:b/>
                  <w:noProof/>
                  <w:sz w:val="22"/>
                  <w:szCs w:val="22"/>
                  <w:lang w:val="sk-SK"/>
                  <w:rPrChange w:id="4526" w:author="Author" w:date="2025-08-22T15:12:00Z">
                    <w:rPr>
                      <w:b/>
                      <w:noProof/>
                      <w:szCs w:val="22"/>
                      <w:lang w:val="en-GB"/>
                    </w:rPr>
                  </w:rPrChange>
                </w:rPr>
                <w:t>Ελλάδα</w:t>
              </w:r>
              <w:r>
                <w:rPr>
                  <w:rFonts w:ascii="Times New Roman" w:hAnsi="Times New Roman"/>
                  <w:b/>
                  <w:noProof/>
                  <w:sz w:val="22"/>
                  <w:szCs w:val="22"/>
                  <w:lang w:val="sk-SK"/>
                  <w:rPrChange w:id="4527" w:author="Author" w:date="2025-08-22T15:12:00Z">
                    <w:rPr>
                      <w:b/>
                      <w:noProof/>
                      <w:szCs w:val="22"/>
                      <w:lang w:val="de-DE"/>
                    </w:rPr>
                  </w:rPrChange>
                </w:rPr>
                <w:t>, K</w:t>
              </w:r>
              <w:r>
                <w:rPr>
                  <w:rFonts w:ascii="Times New Roman" w:hAnsi="Times New Roman"/>
                  <w:b/>
                  <w:noProof/>
                  <w:sz w:val="22"/>
                  <w:szCs w:val="22"/>
                  <w:lang w:val="sk-SK"/>
                  <w:rPrChange w:id="4528" w:author="Author" w:date="2025-08-22T15:12:00Z">
                    <w:rPr>
                      <w:b/>
                      <w:noProof/>
                      <w:szCs w:val="22"/>
                      <w:lang w:val="en-GB"/>
                    </w:rPr>
                  </w:rPrChange>
                </w:rPr>
                <w:t>ύπρος</w:t>
              </w:r>
            </w:ins>
          </w:p>
          <w:p w14:paraId="146BA820" w14:textId="77777777" w:rsidR="009700E5" w:rsidRPr="009700E5" w:rsidRDefault="002C033C">
            <w:pPr>
              <w:pStyle w:val="Standard1"/>
              <w:rPr>
                <w:ins w:id="4529" w:author="Author" w:date="2025-07-24T11:09:00Z"/>
                <w:rFonts w:ascii="Times New Roman" w:hAnsi="Times New Roman"/>
                <w:noProof/>
                <w:sz w:val="22"/>
                <w:szCs w:val="22"/>
                <w:lang w:val="sk-SK"/>
                <w:rPrChange w:id="4530" w:author="Author" w:date="2025-08-22T15:12:00Z">
                  <w:rPr>
                    <w:ins w:id="4531" w:author="Author" w:date="2025-07-24T11:09:00Z"/>
                    <w:lang w:val="de-DE"/>
                  </w:rPr>
                </w:rPrChange>
              </w:rPr>
            </w:pPr>
            <w:ins w:id="4532" w:author="Author" w:date="2025-07-24T11:09:00Z">
              <w:r>
                <w:rPr>
                  <w:rFonts w:ascii="Times New Roman" w:hAnsi="Times New Roman"/>
                  <w:noProof/>
                  <w:sz w:val="22"/>
                  <w:szCs w:val="22"/>
                  <w:lang w:val="sk-SK"/>
                  <w:rPrChange w:id="4533" w:author="Author" w:date="2025-08-22T15:12:00Z">
                    <w:rPr>
                      <w:lang w:val="de-DE"/>
                    </w:rPr>
                  </w:rPrChange>
                </w:rPr>
                <w:t xml:space="preserve">Roche (Hellas) A.E. </w:t>
              </w:r>
            </w:ins>
          </w:p>
          <w:p w14:paraId="011D8289" w14:textId="77777777" w:rsidR="009700E5" w:rsidRPr="009700E5" w:rsidRDefault="002C033C">
            <w:pPr>
              <w:pStyle w:val="Standard1"/>
              <w:rPr>
                <w:ins w:id="4534" w:author="Author" w:date="2025-07-24T11:09:00Z"/>
                <w:rFonts w:ascii="Times New Roman" w:hAnsi="Times New Roman"/>
                <w:bCs/>
                <w:noProof/>
                <w:sz w:val="22"/>
                <w:szCs w:val="22"/>
                <w:lang w:val="sk-SK"/>
                <w:rPrChange w:id="4535" w:author="Author" w:date="2025-08-22T15:12:00Z">
                  <w:rPr>
                    <w:ins w:id="4536" w:author="Author" w:date="2025-07-24T11:09:00Z"/>
                    <w:bCs/>
                    <w:noProof/>
                    <w:szCs w:val="22"/>
                    <w:lang w:val="en-GB"/>
                  </w:rPr>
                </w:rPrChange>
              </w:rPr>
            </w:pPr>
            <w:ins w:id="4537" w:author="Author" w:date="2025-07-24T11:09:00Z">
              <w:r>
                <w:rPr>
                  <w:rFonts w:ascii="Times New Roman" w:hAnsi="Times New Roman"/>
                  <w:bCs/>
                  <w:noProof/>
                  <w:sz w:val="22"/>
                  <w:szCs w:val="22"/>
                  <w:lang w:val="sk-SK"/>
                  <w:rPrChange w:id="4538" w:author="Author" w:date="2025-08-22T15:12:00Z">
                    <w:rPr>
                      <w:bCs/>
                      <w:noProof/>
                      <w:szCs w:val="22"/>
                      <w:lang w:val="en-GB"/>
                    </w:rPr>
                  </w:rPrChange>
                </w:rPr>
                <w:t>Ελλάδα</w:t>
              </w:r>
            </w:ins>
          </w:p>
          <w:p w14:paraId="64256A01" w14:textId="77777777" w:rsidR="009700E5" w:rsidRPr="009700E5" w:rsidRDefault="002C033C">
            <w:pPr>
              <w:pStyle w:val="Standard1"/>
              <w:rPr>
                <w:ins w:id="4539" w:author="Author" w:date="2025-07-24T11:09:00Z"/>
                <w:rFonts w:ascii="Times New Roman" w:hAnsi="Times New Roman"/>
                <w:noProof/>
                <w:sz w:val="22"/>
                <w:szCs w:val="22"/>
                <w:lang w:val="sk-SK"/>
                <w:rPrChange w:id="4540" w:author="Author" w:date="2025-08-22T15:12:00Z">
                  <w:rPr>
                    <w:ins w:id="4541" w:author="Author" w:date="2025-07-24T11:09:00Z"/>
                    <w:noProof/>
                    <w:szCs w:val="22"/>
                    <w:lang w:val="en-GB"/>
                  </w:rPr>
                </w:rPrChange>
              </w:rPr>
            </w:pPr>
            <w:ins w:id="4542" w:author="Author" w:date="2025-07-24T11:09:00Z">
              <w:r>
                <w:rPr>
                  <w:rFonts w:ascii="Times New Roman" w:hAnsi="Times New Roman"/>
                  <w:noProof/>
                  <w:sz w:val="22"/>
                  <w:szCs w:val="22"/>
                  <w:lang w:val="sk-SK"/>
                  <w:rPrChange w:id="4543" w:author="Author" w:date="2025-08-22T15:12:00Z">
                    <w:rPr>
                      <w:noProof/>
                      <w:szCs w:val="22"/>
                      <w:lang w:val="en-GB"/>
                    </w:rPr>
                  </w:rPrChange>
                </w:rPr>
                <w:t>Τηλ: +30 210 61 66 100</w:t>
              </w:r>
            </w:ins>
          </w:p>
          <w:p w14:paraId="0A6096F6" w14:textId="77777777" w:rsidR="009700E5" w:rsidRPr="009700E5" w:rsidRDefault="009700E5">
            <w:pPr>
              <w:pStyle w:val="Standard1"/>
              <w:rPr>
                <w:ins w:id="4544" w:author="Author" w:date="2025-07-24T11:09:00Z"/>
                <w:rFonts w:ascii="Times New Roman" w:hAnsi="Times New Roman"/>
                <w:noProof/>
                <w:sz w:val="22"/>
                <w:szCs w:val="22"/>
                <w:lang w:val="sk-SK"/>
                <w:rPrChange w:id="4545" w:author="Author" w:date="2025-08-22T15:12:00Z">
                  <w:rPr>
                    <w:ins w:id="4546" w:author="Author" w:date="2025-07-24T11:09:00Z"/>
                    <w:noProof/>
                    <w:szCs w:val="22"/>
                    <w:lang w:val="en-GB"/>
                  </w:rPr>
                </w:rPrChange>
              </w:rPr>
            </w:pPr>
          </w:p>
        </w:tc>
        <w:tc>
          <w:tcPr>
            <w:tcW w:w="4590" w:type="dxa"/>
          </w:tcPr>
          <w:p w14:paraId="368C1E34" w14:textId="77777777" w:rsidR="009700E5" w:rsidRPr="009700E5" w:rsidRDefault="002C033C">
            <w:pPr>
              <w:pStyle w:val="Standard1"/>
              <w:rPr>
                <w:ins w:id="4547" w:author="Author" w:date="2025-07-24T11:09:00Z"/>
                <w:rFonts w:ascii="Times New Roman" w:hAnsi="Times New Roman"/>
                <w:b/>
                <w:noProof/>
                <w:sz w:val="22"/>
                <w:szCs w:val="22"/>
                <w:lang w:val="sk-SK"/>
                <w:rPrChange w:id="4548" w:author="Author" w:date="2025-08-22T15:12:00Z">
                  <w:rPr>
                    <w:ins w:id="4549" w:author="Author" w:date="2025-07-24T11:09:00Z"/>
                    <w:b/>
                    <w:lang w:val="pl-PL"/>
                  </w:rPr>
                </w:rPrChange>
              </w:rPr>
            </w:pPr>
            <w:ins w:id="4550" w:author="Author" w:date="2025-07-24T11:09:00Z">
              <w:r>
                <w:rPr>
                  <w:rFonts w:ascii="Times New Roman" w:hAnsi="Times New Roman"/>
                  <w:b/>
                  <w:noProof/>
                  <w:sz w:val="22"/>
                  <w:szCs w:val="22"/>
                  <w:lang w:val="sk-SK"/>
                  <w:rPrChange w:id="4551" w:author="Author" w:date="2025-08-22T15:12:00Z">
                    <w:rPr>
                      <w:b/>
                      <w:lang w:val="pl-PL"/>
                    </w:rPr>
                  </w:rPrChange>
                </w:rPr>
                <w:t>Polska</w:t>
              </w:r>
            </w:ins>
          </w:p>
          <w:p w14:paraId="386F8BA1" w14:textId="77777777" w:rsidR="009700E5" w:rsidRPr="009700E5" w:rsidRDefault="002C033C">
            <w:pPr>
              <w:pStyle w:val="Standard1"/>
              <w:rPr>
                <w:ins w:id="4552" w:author="Author" w:date="2025-07-24T11:09:00Z"/>
                <w:rFonts w:ascii="Times New Roman" w:hAnsi="Times New Roman"/>
                <w:noProof/>
                <w:sz w:val="22"/>
                <w:szCs w:val="22"/>
                <w:lang w:val="sk-SK"/>
                <w:rPrChange w:id="4553" w:author="Author" w:date="2025-08-22T15:12:00Z">
                  <w:rPr>
                    <w:ins w:id="4554" w:author="Author" w:date="2025-07-24T11:09:00Z"/>
                    <w:lang w:val="pl-PL"/>
                  </w:rPr>
                </w:rPrChange>
              </w:rPr>
            </w:pPr>
            <w:ins w:id="4555" w:author="Author" w:date="2025-07-24T11:09:00Z">
              <w:r>
                <w:rPr>
                  <w:rFonts w:ascii="Times New Roman" w:hAnsi="Times New Roman"/>
                  <w:noProof/>
                  <w:sz w:val="22"/>
                  <w:szCs w:val="22"/>
                  <w:lang w:val="sk-SK"/>
                  <w:rPrChange w:id="4556" w:author="Author" w:date="2025-08-22T15:12:00Z">
                    <w:rPr>
                      <w:lang w:val="pl-PL"/>
                    </w:rPr>
                  </w:rPrChange>
                </w:rPr>
                <w:t>Roche Polska Sp.z o.o.</w:t>
              </w:r>
            </w:ins>
          </w:p>
          <w:p w14:paraId="2A4C780E" w14:textId="77777777" w:rsidR="009700E5" w:rsidRPr="009700E5" w:rsidRDefault="002C033C">
            <w:pPr>
              <w:pStyle w:val="Standard1"/>
              <w:rPr>
                <w:ins w:id="4557" w:author="Author" w:date="2025-07-24T11:09:00Z"/>
                <w:rFonts w:ascii="Times New Roman" w:hAnsi="Times New Roman"/>
                <w:noProof/>
                <w:sz w:val="22"/>
                <w:szCs w:val="22"/>
                <w:lang w:val="sk-SK"/>
                <w:rPrChange w:id="4558" w:author="Author" w:date="2025-08-22T15:12:00Z">
                  <w:rPr>
                    <w:ins w:id="4559" w:author="Author" w:date="2025-07-24T11:09:00Z"/>
                    <w:noProof/>
                    <w:szCs w:val="22"/>
                    <w:lang w:val="en-GB"/>
                  </w:rPr>
                </w:rPrChange>
              </w:rPr>
            </w:pPr>
            <w:ins w:id="4560" w:author="Author" w:date="2025-07-24T11:09:00Z">
              <w:r>
                <w:rPr>
                  <w:rFonts w:ascii="Times New Roman" w:hAnsi="Times New Roman"/>
                  <w:noProof/>
                  <w:sz w:val="22"/>
                  <w:szCs w:val="22"/>
                  <w:lang w:val="sk-SK"/>
                  <w:rPrChange w:id="4561" w:author="Author" w:date="2025-08-22T15:12:00Z">
                    <w:rPr>
                      <w:noProof/>
                      <w:szCs w:val="22"/>
                      <w:lang w:val="en-GB"/>
                    </w:rPr>
                  </w:rPrChange>
                </w:rPr>
                <w:t>Tel: +48 - 22 345 18 88</w:t>
              </w:r>
            </w:ins>
          </w:p>
          <w:p w14:paraId="52A67F63" w14:textId="77777777" w:rsidR="009700E5" w:rsidRPr="009700E5" w:rsidRDefault="009700E5">
            <w:pPr>
              <w:pStyle w:val="Standard1"/>
              <w:rPr>
                <w:ins w:id="4562" w:author="Author" w:date="2025-07-24T11:09:00Z"/>
                <w:rFonts w:ascii="Times New Roman" w:hAnsi="Times New Roman"/>
                <w:noProof/>
                <w:sz w:val="22"/>
                <w:szCs w:val="22"/>
                <w:lang w:val="sk-SK"/>
                <w:rPrChange w:id="4563" w:author="Author" w:date="2025-08-22T15:12:00Z">
                  <w:rPr>
                    <w:ins w:id="4564" w:author="Author" w:date="2025-07-24T11:09:00Z"/>
                    <w:noProof/>
                    <w:szCs w:val="22"/>
                    <w:lang w:val="en-GB"/>
                  </w:rPr>
                </w:rPrChange>
              </w:rPr>
            </w:pPr>
          </w:p>
        </w:tc>
      </w:tr>
      <w:tr w:rsidR="009700E5" w14:paraId="2BA5B219" w14:textId="77777777">
        <w:trPr>
          <w:cantSplit/>
          <w:ins w:id="4565" w:author="Author" w:date="2025-07-24T11:09:00Z"/>
        </w:trPr>
        <w:tc>
          <w:tcPr>
            <w:tcW w:w="4590" w:type="dxa"/>
          </w:tcPr>
          <w:p w14:paraId="209FE6CC" w14:textId="77777777" w:rsidR="009700E5" w:rsidRPr="009700E5" w:rsidRDefault="002C033C">
            <w:pPr>
              <w:pStyle w:val="Standard1"/>
              <w:rPr>
                <w:ins w:id="4566" w:author="Author" w:date="2025-07-24T11:09:00Z"/>
                <w:rFonts w:ascii="Times New Roman" w:hAnsi="Times New Roman"/>
                <w:b/>
                <w:noProof/>
                <w:sz w:val="22"/>
                <w:szCs w:val="22"/>
                <w:lang w:val="sk-SK"/>
                <w:rPrChange w:id="4567" w:author="Author" w:date="2025-08-22T15:12:00Z">
                  <w:rPr>
                    <w:ins w:id="4568" w:author="Author" w:date="2025-07-24T11:09:00Z"/>
                    <w:b/>
                  </w:rPr>
                </w:rPrChange>
              </w:rPr>
            </w:pPr>
            <w:ins w:id="4569" w:author="Author" w:date="2025-07-24T11:09:00Z">
              <w:r>
                <w:rPr>
                  <w:rFonts w:ascii="Times New Roman" w:hAnsi="Times New Roman"/>
                  <w:b/>
                  <w:noProof/>
                  <w:sz w:val="22"/>
                  <w:szCs w:val="22"/>
                  <w:lang w:val="sk-SK"/>
                  <w:rPrChange w:id="4570" w:author="Author" w:date="2025-08-22T15:12:00Z">
                    <w:rPr>
                      <w:b/>
                    </w:rPr>
                  </w:rPrChange>
                </w:rPr>
                <w:t>España</w:t>
              </w:r>
            </w:ins>
          </w:p>
          <w:p w14:paraId="3165DB01" w14:textId="77777777" w:rsidR="009700E5" w:rsidRPr="009700E5" w:rsidRDefault="002C033C">
            <w:pPr>
              <w:pStyle w:val="Standard1"/>
              <w:rPr>
                <w:ins w:id="4571" w:author="Author" w:date="2025-07-24T11:09:00Z"/>
                <w:rFonts w:ascii="Times New Roman" w:hAnsi="Times New Roman"/>
                <w:noProof/>
                <w:sz w:val="22"/>
                <w:szCs w:val="22"/>
                <w:lang w:val="sk-SK"/>
                <w:rPrChange w:id="4572" w:author="Author" w:date="2025-08-22T15:12:00Z">
                  <w:rPr>
                    <w:ins w:id="4573" w:author="Author" w:date="2025-07-24T11:09:00Z"/>
                  </w:rPr>
                </w:rPrChange>
              </w:rPr>
            </w:pPr>
            <w:ins w:id="4574" w:author="Author" w:date="2025-07-24T11:09:00Z">
              <w:r>
                <w:rPr>
                  <w:rFonts w:ascii="Times New Roman" w:hAnsi="Times New Roman"/>
                  <w:noProof/>
                  <w:sz w:val="22"/>
                  <w:szCs w:val="22"/>
                  <w:lang w:val="sk-SK"/>
                  <w:rPrChange w:id="4575" w:author="Author" w:date="2025-08-22T15:12:00Z">
                    <w:rPr/>
                  </w:rPrChange>
                </w:rPr>
                <w:t>Roche Farma S.A.</w:t>
              </w:r>
            </w:ins>
          </w:p>
          <w:p w14:paraId="2B8F865D" w14:textId="77777777" w:rsidR="009700E5" w:rsidRPr="009700E5" w:rsidRDefault="002C033C">
            <w:pPr>
              <w:pStyle w:val="Standard1"/>
              <w:rPr>
                <w:ins w:id="4576" w:author="Author" w:date="2025-07-24T11:09:00Z"/>
                <w:rFonts w:ascii="Times New Roman" w:hAnsi="Times New Roman"/>
                <w:noProof/>
                <w:sz w:val="22"/>
                <w:szCs w:val="22"/>
                <w:lang w:val="sk-SK"/>
                <w:rPrChange w:id="4577" w:author="Author" w:date="2025-08-22T15:12:00Z">
                  <w:rPr>
                    <w:ins w:id="4578" w:author="Author" w:date="2025-07-24T11:09:00Z"/>
                    <w:noProof/>
                    <w:szCs w:val="22"/>
                    <w:lang w:val="en-GB"/>
                  </w:rPr>
                </w:rPrChange>
              </w:rPr>
            </w:pPr>
            <w:ins w:id="4579" w:author="Author" w:date="2025-07-24T11:09:00Z">
              <w:r>
                <w:rPr>
                  <w:rFonts w:ascii="Times New Roman" w:hAnsi="Times New Roman"/>
                  <w:noProof/>
                  <w:sz w:val="22"/>
                  <w:szCs w:val="22"/>
                  <w:lang w:val="sk-SK"/>
                  <w:rPrChange w:id="4580" w:author="Author" w:date="2025-08-22T15:12:00Z">
                    <w:rPr>
                      <w:noProof/>
                      <w:szCs w:val="22"/>
                      <w:lang w:val="en-GB"/>
                    </w:rPr>
                  </w:rPrChange>
                </w:rPr>
                <w:t>Tel: +34 - 91 324 81 00</w:t>
              </w:r>
            </w:ins>
          </w:p>
          <w:p w14:paraId="3C225ED3" w14:textId="77777777" w:rsidR="009700E5" w:rsidRPr="009700E5" w:rsidRDefault="009700E5">
            <w:pPr>
              <w:pStyle w:val="Standard1"/>
              <w:rPr>
                <w:ins w:id="4581" w:author="Author" w:date="2025-07-24T11:09:00Z"/>
                <w:rFonts w:ascii="Times New Roman" w:hAnsi="Times New Roman"/>
                <w:noProof/>
                <w:sz w:val="22"/>
                <w:szCs w:val="22"/>
                <w:lang w:val="sk-SK"/>
                <w:rPrChange w:id="4582" w:author="Author" w:date="2025-08-22T15:12:00Z">
                  <w:rPr>
                    <w:ins w:id="4583" w:author="Author" w:date="2025-07-24T11:09:00Z"/>
                    <w:noProof/>
                    <w:szCs w:val="22"/>
                    <w:lang w:val="en-GB"/>
                  </w:rPr>
                </w:rPrChange>
              </w:rPr>
            </w:pPr>
          </w:p>
        </w:tc>
        <w:tc>
          <w:tcPr>
            <w:tcW w:w="4590" w:type="dxa"/>
          </w:tcPr>
          <w:p w14:paraId="0D9C919B" w14:textId="77777777" w:rsidR="009700E5" w:rsidRPr="009700E5" w:rsidRDefault="002C033C">
            <w:pPr>
              <w:pStyle w:val="Standard1"/>
              <w:rPr>
                <w:ins w:id="4584" w:author="Author" w:date="2025-07-24T11:09:00Z"/>
                <w:rFonts w:ascii="Times New Roman" w:hAnsi="Times New Roman"/>
                <w:noProof/>
                <w:sz w:val="22"/>
                <w:szCs w:val="22"/>
                <w:lang w:val="sk-SK"/>
                <w:rPrChange w:id="4585" w:author="Author" w:date="2025-08-22T15:12:00Z">
                  <w:rPr>
                    <w:ins w:id="4586" w:author="Author" w:date="2025-07-24T11:09:00Z"/>
                    <w:lang w:val="pt-BR"/>
                  </w:rPr>
                </w:rPrChange>
              </w:rPr>
            </w:pPr>
            <w:ins w:id="4587" w:author="Author" w:date="2025-07-24T11:09:00Z">
              <w:r>
                <w:rPr>
                  <w:rFonts w:ascii="Times New Roman" w:hAnsi="Times New Roman"/>
                  <w:b/>
                  <w:noProof/>
                  <w:sz w:val="22"/>
                  <w:szCs w:val="22"/>
                  <w:lang w:val="sk-SK"/>
                  <w:rPrChange w:id="4588" w:author="Author" w:date="2025-08-22T15:12:00Z">
                    <w:rPr>
                      <w:b/>
                      <w:lang w:val="pt-BR"/>
                    </w:rPr>
                  </w:rPrChange>
                </w:rPr>
                <w:t>Portugal</w:t>
              </w:r>
            </w:ins>
          </w:p>
          <w:p w14:paraId="4A8AAFB0" w14:textId="77777777" w:rsidR="009700E5" w:rsidRPr="009700E5" w:rsidRDefault="002C033C">
            <w:pPr>
              <w:pStyle w:val="Standard1"/>
              <w:rPr>
                <w:ins w:id="4589" w:author="Author" w:date="2025-07-24T11:09:00Z"/>
                <w:rFonts w:ascii="Times New Roman" w:hAnsi="Times New Roman"/>
                <w:noProof/>
                <w:sz w:val="22"/>
                <w:szCs w:val="22"/>
                <w:lang w:val="sk-SK"/>
                <w:rPrChange w:id="4590" w:author="Author" w:date="2025-08-22T15:12:00Z">
                  <w:rPr>
                    <w:ins w:id="4591" w:author="Author" w:date="2025-07-24T11:09:00Z"/>
                    <w:lang w:val="pt-BR"/>
                  </w:rPr>
                </w:rPrChange>
              </w:rPr>
            </w:pPr>
            <w:ins w:id="4592" w:author="Author" w:date="2025-07-24T11:09:00Z">
              <w:r>
                <w:rPr>
                  <w:rFonts w:ascii="Times New Roman" w:hAnsi="Times New Roman"/>
                  <w:noProof/>
                  <w:sz w:val="22"/>
                  <w:szCs w:val="22"/>
                  <w:lang w:val="sk-SK"/>
                  <w:rPrChange w:id="4593" w:author="Author" w:date="2025-08-22T15:12:00Z">
                    <w:rPr>
                      <w:lang w:val="pt-BR"/>
                    </w:rPr>
                  </w:rPrChange>
                </w:rPr>
                <w:t>Roche Farmacêutica Química, Lda</w:t>
              </w:r>
            </w:ins>
          </w:p>
          <w:p w14:paraId="4582DE9C" w14:textId="77777777" w:rsidR="009700E5" w:rsidRPr="009700E5" w:rsidRDefault="002C033C">
            <w:pPr>
              <w:pStyle w:val="Standard1"/>
              <w:rPr>
                <w:ins w:id="4594" w:author="Author" w:date="2025-07-24T11:09:00Z"/>
                <w:rFonts w:ascii="Times New Roman" w:hAnsi="Times New Roman"/>
                <w:noProof/>
                <w:sz w:val="22"/>
                <w:szCs w:val="22"/>
                <w:lang w:val="sk-SK"/>
                <w:rPrChange w:id="4595" w:author="Author" w:date="2025-08-22T15:12:00Z">
                  <w:rPr>
                    <w:ins w:id="4596" w:author="Author" w:date="2025-07-24T11:09:00Z"/>
                    <w:lang w:val="pt-BR"/>
                  </w:rPr>
                </w:rPrChange>
              </w:rPr>
            </w:pPr>
            <w:ins w:id="4597" w:author="Author" w:date="2025-07-24T11:09:00Z">
              <w:r>
                <w:rPr>
                  <w:rFonts w:ascii="Times New Roman" w:hAnsi="Times New Roman"/>
                  <w:noProof/>
                  <w:sz w:val="22"/>
                  <w:szCs w:val="22"/>
                  <w:lang w:val="sk-SK"/>
                  <w:rPrChange w:id="4598" w:author="Author" w:date="2025-08-22T15:12:00Z">
                    <w:rPr>
                      <w:lang w:val="pt-BR"/>
                    </w:rPr>
                  </w:rPrChange>
                </w:rPr>
                <w:t>Tel: +351 - 21 425 70 00</w:t>
              </w:r>
            </w:ins>
          </w:p>
          <w:p w14:paraId="48A2E12F" w14:textId="77777777" w:rsidR="009700E5" w:rsidRPr="009700E5" w:rsidRDefault="009700E5">
            <w:pPr>
              <w:pStyle w:val="Standard1"/>
              <w:rPr>
                <w:ins w:id="4599" w:author="Author" w:date="2025-07-24T11:09:00Z"/>
                <w:rFonts w:ascii="Times New Roman" w:hAnsi="Times New Roman"/>
                <w:noProof/>
                <w:sz w:val="22"/>
                <w:szCs w:val="22"/>
                <w:lang w:val="sk-SK"/>
                <w:rPrChange w:id="4600" w:author="Author" w:date="2025-08-22T15:12:00Z">
                  <w:rPr>
                    <w:ins w:id="4601" w:author="Author" w:date="2025-07-24T11:09:00Z"/>
                    <w:lang w:val="pt-BR"/>
                  </w:rPr>
                </w:rPrChange>
              </w:rPr>
            </w:pPr>
          </w:p>
        </w:tc>
      </w:tr>
      <w:tr w:rsidR="009700E5" w14:paraId="046D2463" w14:textId="77777777">
        <w:trPr>
          <w:cantSplit/>
          <w:trHeight w:val="1407"/>
          <w:ins w:id="4602" w:author="Author" w:date="2025-07-24T11:09:00Z"/>
        </w:trPr>
        <w:tc>
          <w:tcPr>
            <w:tcW w:w="4590" w:type="dxa"/>
          </w:tcPr>
          <w:p w14:paraId="0EAE43C0" w14:textId="77777777" w:rsidR="009700E5" w:rsidRPr="009700E5" w:rsidRDefault="002C033C">
            <w:pPr>
              <w:pStyle w:val="Standard1"/>
              <w:rPr>
                <w:ins w:id="4603" w:author="Author" w:date="2025-07-24T11:09:00Z"/>
                <w:rFonts w:ascii="Times New Roman" w:hAnsi="Times New Roman"/>
                <w:noProof/>
                <w:sz w:val="22"/>
                <w:szCs w:val="22"/>
                <w:lang w:val="sk-SK"/>
                <w:rPrChange w:id="4604" w:author="Author" w:date="2025-08-22T15:12:00Z">
                  <w:rPr>
                    <w:ins w:id="4605" w:author="Author" w:date="2025-07-24T11:09:00Z"/>
                    <w:noProof/>
                    <w:szCs w:val="22"/>
                    <w:lang w:val="en-GB"/>
                  </w:rPr>
                </w:rPrChange>
              </w:rPr>
            </w:pPr>
            <w:ins w:id="4606" w:author="Author" w:date="2025-07-24T11:09:00Z">
              <w:r>
                <w:rPr>
                  <w:rFonts w:ascii="Times New Roman" w:hAnsi="Times New Roman"/>
                  <w:b/>
                  <w:noProof/>
                  <w:sz w:val="22"/>
                  <w:szCs w:val="22"/>
                  <w:lang w:val="sk-SK"/>
                  <w:rPrChange w:id="4607" w:author="Author" w:date="2025-08-22T15:12:00Z">
                    <w:rPr>
                      <w:b/>
                      <w:noProof/>
                      <w:szCs w:val="22"/>
                      <w:lang w:val="en-GB"/>
                    </w:rPr>
                  </w:rPrChange>
                </w:rPr>
                <w:t>France</w:t>
              </w:r>
            </w:ins>
          </w:p>
          <w:p w14:paraId="4E69C7FC" w14:textId="77777777" w:rsidR="009700E5" w:rsidRPr="009700E5" w:rsidRDefault="002C033C">
            <w:pPr>
              <w:pStyle w:val="Standard1"/>
              <w:rPr>
                <w:ins w:id="4608" w:author="Author" w:date="2025-07-24T11:09:00Z"/>
                <w:rFonts w:ascii="Times New Roman" w:hAnsi="Times New Roman"/>
                <w:noProof/>
                <w:sz w:val="22"/>
                <w:szCs w:val="22"/>
                <w:lang w:val="sk-SK"/>
                <w:rPrChange w:id="4609" w:author="Author" w:date="2025-08-22T15:12:00Z">
                  <w:rPr>
                    <w:ins w:id="4610" w:author="Author" w:date="2025-07-24T11:09:00Z"/>
                    <w:noProof/>
                    <w:szCs w:val="22"/>
                    <w:lang w:val="en-GB"/>
                  </w:rPr>
                </w:rPrChange>
              </w:rPr>
            </w:pPr>
            <w:ins w:id="4611" w:author="Author" w:date="2025-07-24T11:09:00Z">
              <w:r>
                <w:rPr>
                  <w:rFonts w:ascii="Times New Roman" w:hAnsi="Times New Roman"/>
                  <w:noProof/>
                  <w:sz w:val="22"/>
                  <w:szCs w:val="22"/>
                  <w:lang w:val="sk-SK"/>
                  <w:rPrChange w:id="4612" w:author="Author" w:date="2025-08-22T15:12:00Z">
                    <w:rPr>
                      <w:noProof/>
                      <w:szCs w:val="22"/>
                      <w:lang w:val="en-GB"/>
                    </w:rPr>
                  </w:rPrChange>
                </w:rPr>
                <w:t>Roche</w:t>
              </w:r>
            </w:ins>
          </w:p>
          <w:p w14:paraId="4B29E0F8" w14:textId="77777777" w:rsidR="009700E5" w:rsidRPr="009700E5" w:rsidRDefault="002C033C">
            <w:pPr>
              <w:pStyle w:val="Standard1"/>
              <w:rPr>
                <w:ins w:id="4613" w:author="Author" w:date="2025-07-24T11:09:00Z"/>
                <w:rFonts w:ascii="Times New Roman" w:hAnsi="Times New Roman"/>
                <w:noProof/>
                <w:sz w:val="22"/>
                <w:szCs w:val="22"/>
                <w:lang w:val="sk-SK"/>
                <w:rPrChange w:id="4614" w:author="Author" w:date="2025-08-22T15:12:00Z">
                  <w:rPr>
                    <w:ins w:id="4615" w:author="Author" w:date="2025-07-24T11:09:00Z"/>
                    <w:noProof/>
                    <w:szCs w:val="22"/>
                    <w:lang w:val="en-GB"/>
                  </w:rPr>
                </w:rPrChange>
              </w:rPr>
            </w:pPr>
            <w:ins w:id="4616" w:author="Author" w:date="2025-07-24T11:09:00Z">
              <w:r>
                <w:rPr>
                  <w:rFonts w:ascii="Times New Roman" w:hAnsi="Times New Roman"/>
                  <w:noProof/>
                  <w:sz w:val="22"/>
                  <w:szCs w:val="22"/>
                  <w:lang w:val="sk-SK"/>
                  <w:rPrChange w:id="4617" w:author="Author" w:date="2025-08-22T15:12:00Z">
                    <w:rPr>
                      <w:noProof/>
                      <w:szCs w:val="22"/>
                      <w:lang w:val="en-GB"/>
                    </w:rPr>
                  </w:rPrChange>
                </w:rPr>
                <w:t>Tél: +33 (0) 1 47 61 40 00</w:t>
              </w:r>
            </w:ins>
          </w:p>
          <w:p w14:paraId="20A85C71" w14:textId="77777777" w:rsidR="009700E5" w:rsidRPr="009700E5" w:rsidRDefault="009700E5">
            <w:pPr>
              <w:pStyle w:val="Standard1"/>
              <w:rPr>
                <w:ins w:id="4618" w:author="Author" w:date="2025-07-24T11:09:00Z"/>
                <w:rFonts w:ascii="Times New Roman" w:hAnsi="Times New Roman"/>
                <w:b/>
                <w:noProof/>
                <w:sz w:val="22"/>
                <w:szCs w:val="22"/>
                <w:lang w:val="sk-SK"/>
                <w:rPrChange w:id="4619" w:author="Author" w:date="2025-08-22T15:12:00Z">
                  <w:rPr>
                    <w:ins w:id="4620" w:author="Author" w:date="2025-07-24T11:09:00Z"/>
                    <w:b/>
                    <w:noProof/>
                    <w:szCs w:val="22"/>
                    <w:lang w:val="en-GB"/>
                  </w:rPr>
                </w:rPrChange>
              </w:rPr>
            </w:pPr>
          </w:p>
        </w:tc>
        <w:tc>
          <w:tcPr>
            <w:tcW w:w="4590" w:type="dxa"/>
          </w:tcPr>
          <w:p w14:paraId="75EF266D" w14:textId="77777777" w:rsidR="009700E5" w:rsidRPr="009700E5" w:rsidRDefault="002C033C">
            <w:pPr>
              <w:pStyle w:val="Standard1"/>
              <w:tabs>
                <w:tab w:val="left" w:pos="-720"/>
                <w:tab w:val="left" w:pos="567"/>
                <w:tab w:val="left" w:pos="4536"/>
              </w:tabs>
              <w:suppressAutoHyphens/>
              <w:spacing w:line="260" w:lineRule="exact"/>
              <w:rPr>
                <w:ins w:id="4621" w:author="Author" w:date="2025-07-24T11:09:00Z"/>
                <w:rFonts w:ascii="Times New Roman" w:hAnsi="Times New Roman"/>
                <w:b/>
                <w:noProof/>
                <w:sz w:val="22"/>
                <w:szCs w:val="22"/>
                <w:lang w:val="sk-SK"/>
                <w:rPrChange w:id="4622" w:author="Author" w:date="2025-08-22T15:12:00Z">
                  <w:rPr>
                    <w:ins w:id="4623" w:author="Author" w:date="2025-07-24T11:09:00Z"/>
                    <w:b/>
                    <w:lang w:val="it-IT"/>
                  </w:rPr>
                </w:rPrChange>
              </w:rPr>
            </w:pPr>
            <w:ins w:id="4624" w:author="Author" w:date="2025-07-24T11:09:00Z">
              <w:r>
                <w:rPr>
                  <w:rFonts w:ascii="Times New Roman" w:hAnsi="Times New Roman"/>
                  <w:b/>
                  <w:noProof/>
                  <w:sz w:val="22"/>
                  <w:szCs w:val="22"/>
                  <w:lang w:val="sk-SK"/>
                  <w:rPrChange w:id="4625" w:author="Author" w:date="2025-08-22T15:12:00Z">
                    <w:rPr>
                      <w:b/>
                      <w:lang w:val="it-IT"/>
                    </w:rPr>
                  </w:rPrChange>
                </w:rPr>
                <w:t>România</w:t>
              </w:r>
            </w:ins>
          </w:p>
          <w:p w14:paraId="72A21975" w14:textId="77777777" w:rsidR="009700E5" w:rsidRPr="009700E5" w:rsidRDefault="002C033C">
            <w:pPr>
              <w:pStyle w:val="Standard1"/>
              <w:tabs>
                <w:tab w:val="left" w:pos="-720"/>
                <w:tab w:val="left" w:pos="4536"/>
              </w:tabs>
              <w:suppressAutoHyphens/>
              <w:rPr>
                <w:ins w:id="4626" w:author="Author" w:date="2025-07-24T11:09:00Z"/>
                <w:rFonts w:ascii="Times New Roman" w:hAnsi="Times New Roman"/>
                <w:noProof/>
                <w:sz w:val="22"/>
                <w:szCs w:val="22"/>
                <w:lang w:val="sk-SK"/>
                <w:rPrChange w:id="4627" w:author="Author" w:date="2025-08-22T15:12:00Z">
                  <w:rPr>
                    <w:ins w:id="4628" w:author="Author" w:date="2025-07-24T11:09:00Z"/>
                    <w:lang w:val="it-IT"/>
                  </w:rPr>
                </w:rPrChange>
              </w:rPr>
            </w:pPr>
            <w:ins w:id="4629" w:author="Author" w:date="2025-07-24T11:09:00Z">
              <w:r>
                <w:rPr>
                  <w:rFonts w:ascii="Times New Roman" w:hAnsi="Times New Roman"/>
                  <w:noProof/>
                  <w:sz w:val="22"/>
                  <w:szCs w:val="22"/>
                  <w:lang w:val="sk-SK"/>
                  <w:rPrChange w:id="4630" w:author="Author" w:date="2025-08-22T15:12:00Z">
                    <w:rPr>
                      <w:lang w:val="it-IT"/>
                    </w:rPr>
                  </w:rPrChange>
                </w:rPr>
                <w:t>Roche România S.R.L.</w:t>
              </w:r>
            </w:ins>
          </w:p>
          <w:p w14:paraId="4FB79311" w14:textId="77777777" w:rsidR="009700E5" w:rsidRPr="009700E5" w:rsidRDefault="002C033C">
            <w:pPr>
              <w:pStyle w:val="Standard1"/>
              <w:tabs>
                <w:tab w:val="left" w:pos="-720"/>
                <w:tab w:val="left" w:pos="4536"/>
              </w:tabs>
              <w:suppressAutoHyphens/>
              <w:rPr>
                <w:ins w:id="4631" w:author="Author" w:date="2025-07-24T11:09:00Z"/>
                <w:rFonts w:ascii="Times New Roman" w:hAnsi="Times New Roman"/>
                <w:noProof/>
                <w:sz w:val="22"/>
                <w:szCs w:val="22"/>
                <w:lang w:val="sk-SK"/>
                <w:rPrChange w:id="4632" w:author="Author" w:date="2025-08-22T15:12:00Z">
                  <w:rPr>
                    <w:ins w:id="4633" w:author="Author" w:date="2025-07-24T11:09:00Z"/>
                    <w:noProof/>
                    <w:szCs w:val="22"/>
                    <w:lang w:val="en-GB"/>
                  </w:rPr>
                </w:rPrChange>
              </w:rPr>
            </w:pPr>
            <w:ins w:id="4634" w:author="Author" w:date="2025-07-24T11:09:00Z">
              <w:r>
                <w:rPr>
                  <w:rFonts w:ascii="Times New Roman" w:hAnsi="Times New Roman"/>
                  <w:noProof/>
                  <w:sz w:val="22"/>
                  <w:szCs w:val="22"/>
                  <w:lang w:val="sk-SK"/>
                  <w:rPrChange w:id="4635" w:author="Author" w:date="2025-08-22T15:12:00Z">
                    <w:rPr>
                      <w:noProof/>
                      <w:szCs w:val="22"/>
                      <w:lang w:val="en-GB"/>
                    </w:rPr>
                  </w:rPrChange>
                </w:rPr>
                <w:t>Tel: +40 21 206 47 01</w:t>
              </w:r>
            </w:ins>
          </w:p>
          <w:p w14:paraId="5091CCDD" w14:textId="77777777" w:rsidR="009700E5" w:rsidRPr="009700E5" w:rsidRDefault="009700E5">
            <w:pPr>
              <w:pStyle w:val="Standard1"/>
              <w:tabs>
                <w:tab w:val="left" w:pos="-720"/>
                <w:tab w:val="left" w:pos="4536"/>
              </w:tabs>
              <w:suppressAutoHyphens/>
              <w:rPr>
                <w:ins w:id="4636" w:author="Author" w:date="2025-07-24T11:09:00Z"/>
                <w:rFonts w:ascii="Times New Roman" w:hAnsi="Times New Roman"/>
                <w:noProof/>
                <w:sz w:val="22"/>
                <w:szCs w:val="22"/>
                <w:lang w:val="sk-SK"/>
                <w:rPrChange w:id="4637" w:author="Author" w:date="2025-08-22T15:12:00Z">
                  <w:rPr>
                    <w:ins w:id="4638" w:author="Author" w:date="2025-07-24T11:09:00Z"/>
                    <w:noProof/>
                    <w:szCs w:val="22"/>
                    <w:lang w:val="en-GB"/>
                  </w:rPr>
                </w:rPrChange>
              </w:rPr>
            </w:pPr>
          </w:p>
        </w:tc>
      </w:tr>
      <w:tr w:rsidR="009700E5" w14:paraId="5E707E1C" w14:textId="77777777">
        <w:trPr>
          <w:cantSplit/>
          <w:trHeight w:val="1407"/>
          <w:ins w:id="4639" w:author="Author" w:date="2025-07-24T11:09:00Z"/>
        </w:trPr>
        <w:tc>
          <w:tcPr>
            <w:tcW w:w="4590" w:type="dxa"/>
          </w:tcPr>
          <w:p w14:paraId="6A19A53B" w14:textId="77777777" w:rsidR="009700E5" w:rsidRPr="009700E5" w:rsidRDefault="002C033C">
            <w:pPr>
              <w:pStyle w:val="Standard1"/>
              <w:rPr>
                <w:ins w:id="4640" w:author="Author" w:date="2025-07-24T11:09:00Z"/>
                <w:rFonts w:ascii="Times New Roman" w:hAnsi="Times New Roman"/>
                <w:b/>
                <w:noProof/>
                <w:sz w:val="22"/>
                <w:szCs w:val="22"/>
                <w:lang w:val="sk-SK"/>
                <w:rPrChange w:id="4641" w:author="Author" w:date="2025-08-22T15:12:00Z">
                  <w:rPr>
                    <w:ins w:id="4642" w:author="Author" w:date="2025-07-24T11:09:00Z"/>
                    <w:b/>
                    <w:lang w:val="de-DE"/>
                  </w:rPr>
                </w:rPrChange>
              </w:rPr>
            </w:pPr>
            <w:ins w:id="4643" w:author="Author" w:date="2025-07-24T11:09:00Z">
              <w:r>
                <w:rPr>
                  <w:rFonts w:ascii="Times New Roman" w:hAnsi="Times New Roman"/>
                  <w:b/>
                  <w:noProof/>
                  <w:sz w:val="22"/>
                  <w:szCs w:val="22"/>
                  <w:lang w:val="sk-SK"/>
                  <w:rPrChange w:id="4644" w:author="Author" w:date="2025-08-22T15:12:00Z">
                    <w:rPr>
                      <w:b/>
                      <w:lang w:val="de-DE"/>
                    </w:rPr>
                  </w:rPrChange>
                </w:rPr>
                <w:t>Hrvatska</w:t>
              </w:r>
            </w:ins>
          </w:p>
          <w:p w14:paraId="74E4BC45" w14:textId="77777777" w:rsidR="009700E5" w:rsidRPr="009700E5" w:rsidRDefault="002C033C">
            <w:pPr>
              <w:pStyle w:val="Standard1"/>
              <w:rPr>
                <w:ins w:id="4645" w:author="Author" w:date="2025-07-24T11:09:00Z"/>
                <w:rFonts w:ascii="Times New Roman" w:hAnsi="Times New Roman"/>
                <w:noProof/>
                <w:sz w:val="22"/>
                <w:szCs w:val="22"/>
                <w:lang w:val="sk-SK"/>
                <w:rPrChange w:id="4646" w:author="Author" w:date="2025-08-22T15:12:00Z">
                  <w:rPr>
                    <w:ins w:id="4647" w:author="Author" w:date="2025-07-24T11:09:00Z"/>
                    <w:lang w:val="de-DE"/>
                  </w:rPr>
                </w:rPrChange>
              </w:rPr>
            </w:pPr>
            <w:ins w:id="4648" w:author="Author" w:date="2025-07-24T11:09:00Z">
              <w:r>
                <w:rPr>
                  <w:rFonts w:ascii="Times New Roman" w:hAnsi="Times New Roman"/>
                  <w:noProof/>
                  <w:sz w:val="22"/>
                  <w:szCs w:val="22"/>
                  <w:lang w:val="sk-SK"/>
                  <w:rPrChange w:id="4649" w:author="Author" w:date="2025-08-22T15:12:00Z">
                    <w:rPr>
                      <w:lang w:val="de-DE"/>
                    </w:rPr>
                  </w:rPrChange>
                </w:rPr>
                <w:t>Roche d.o.o.</w:t>
              </w:r>
            </w:ins>
          </w:p>
          <w:p w14:paraId="06179C3B" w14:textId="77777777" w:rsidR="009700E5" w:rsidRPr="009700E5" w:rsidRDefault="002C033C">
            <w:pPr>
              <w:pStyle w:val="Standard1"/>
              <w:rPr>
                <w:ins w:id="4650" w:author="Author" w:date="2025-07-24T11:09:00Z"/>
                <w:rFonts w:ascii="Times New Roman" w:hAnsi="Times New Roman"/>
                <w:b/>
                <w:noProof/>
                <w:sz w:val="22"/>
                <w:szCs w:val="22"/>
                <w:lang w:val="sk-SK"/>
                <w:rPrChange w:id="4651" w:author="Author" w:date="2025-08-22T15:12:00Z">
                  <w:rPr>
                    <w:ins w:id="4652" w:author="Author" w:date="2025-07-24T11:09:00Z"/>
                    <w:b/>
                    <w:noProof/>
                    <w:szCs w:val="22"/>
                    <w:lang w:val="en-GB"/>
                  </w:rPr>
                </w:rPrChange>
              </w:rPr>
            </w:pPr>
            <w:ins w:id="4653" w:author="Author" w:date="2025-07-24T11:09:00Z">
              <w:r>
                <w:rPr>
                  <w:rFonts w:ascii="Times New Roman" w:hAnsi="Times New Roman"/>
                  <w:noProof/>
                  <w:sz w:val="22"/>
                  <w:szCs w:val="22"/>
                  <w:lang w:val="sk-SK"/>
                  <w:rPrChange w:id="4654" w:author="Author" w:date="2025-08-22T15:12:00Z">
                    <w:rPr>
                      <w:noProof/>
                      <w:szCs w:val="22"/>
                      <w:lang w:val="en-GB"/>
                    </w:rPr>
                  </w:rPrChange>
                </w:rPr>
                <w:t>Tel: +385 1 47 22 333</w:t>
              </w:r>
            </w:ins>
          </w:p>
          <w:p w14:paraId="52D12BF8" w14:textId="77777777" w:rsidR="009700E5" w:rsidRPr="009700E5" w:rsidRDefault="009700E5">
            <w:pPr>
              <w:pStyle w:val="Standard1"/>
              <w:rPr>
                <w:ins w:id="4655" w:author="Author" w:date="2025-07-24T11:09:00Z"/>
                <w:rFonts w:ascii="Times New Roman" w:hAnsi="Times New Roman"/>
                <w:b/>
                <w:noProof/>
                <w:sz w:val="22"/>
                <w:szCs w:val="22"/>
                <w:lang w:val="sk-SK"/>
                <w:rPrChange w:id="4656" w:author="Author" w:date="2025-08-22T15:12:00Z">
                  <w:rPr>
                    <w:ins w:id="4657" w:author="Author" w:date="2025-07-24T11:09:00Z"/>
                    <w:b/>
                    <w:lang w:val="en-GB"/>
                  </w:rPr>
                </w:rPrChange>
              </w:rPr>
            </w:pPr>
          </w:p>
        </w:tc>
        <w:tc>
          <w:tcPr>
            <w:tcW w:w="4590" w:type="dxa"/>
          </w:tcPr>
          <w:p w14:paraId="3D90AD33" w14:textId="77777777" w:rsidR="009700E5" w:rsidRPr="009700E5" w:rsidRDefault="002C033C">
            <w:pPr>
              <w:pStyle w:val="Standard1"/>
              <w:rPr>
                <w:ins w:id="4658" w:author="Author" w:date="2025-07-24T11:09:00Z"/>
                <w:rFonts w:ascii="Times New Roman" w:hAnsi="Times New Roman"/>
                <w:b/>
                <w:noProof/>
                <w:sz w:val="22"/>
                <w:szCs w:val="22"/>
                <w:lang w:val="sk-SK"/>
                <w:rPrChange w:id="4659" w:author="Author" w:date="2025-08-22T15:12:00Z">
                  <w:rPr>
                    <w:ins w:id="4660" w:author="Author" w:date="2025-07-24T11:09:00Z"/>
                    <w:b/>
                    <w:noProof/>
                    <w:szCs w:val="22"/>
                    <w:lang w:val="en-GB"/>
                  </w:rPr>
                </w:rPrChange>
              </w:rPr>
            </w:pPr>
            <w:ins w:id="4661" w:author="Author" w:date="2025-07-24T11:09:00Z">
              <w:r>
                <w:rPr>
                  <w:rFonts w:ascii="Times New Roman" w:hAnsi="Times New Roman"/>
                  <w:b/>
                  <w:noProof/>
                  <w:sz w:val="22"/>
                  <w:szCs w:val="22"/>
                  <w:lang w:val="sk-SK"/>
                  <w:rPrChange w:id="4662" w:author="Author" w:date="2025-08-22T15:12:00Z">
                    <w:rPr>
                      <w:b/>
                      <w:noProof/>
                      <w:szCs w:val="22"/>
                      <w:lang w:val="en-GB"/>
                    </w:rPr>
                  </w:rPrChange>
                </w:rPr>
                <w:t>Slovenija</w:t>
              </w:r>
            </w:ins>
          </w:p>
          <w:p w14:paraId="72514AC7" w14:textId="77777777" w:rsidR="009700E5" w:rsidRPr="009700E5" w:rsidRDefault="002C033C">
            <w:pPr>
              <w:pStyle w:val="Standard1"/>
              <w:rPr>
                <w:ins w:id="4663" w:author="Author" w:date="2025-07-24T11:09:00Z"/>
                <w:rFonts w:ascii="Times New Roman" w:hAnsi="Times New Roman"/>
                <w:noProof/>
                <w:sz w:val="22"/>
                <w:szCs w:val="22"/>
                <w:lang w:val="sk-SK"/>
                <w:rPrChange w:id="4664" w:author="Author" w:date="2025-08-22T15:12:00Z">
                  <w:rPr>
                    <w:ins w:id="4665" w:author="Author" w:date="2025-07-24T11:09:00Z"/>
                    <w:noProof/>
                    <w:szCs w:val="22"/>
                    <w:lang w:val="en-GB"/>
                  </w:rPr>
                </w:rPrChange>
              </w:rPr>
            </w:pPr>
            <w:ins w:id="4666" w:author="Author" w:date="2025-07-24T11:09:00Z">
              <w:r>
                <w:rPr>
                  <w:rFonts w:ascii="Times New Roman" w:hAnsi="Times New Roman"/>
                  <w:noProof/>
                  <w:sz w:val="22"/>
                  <w:szCs w:val="22"/>
                  <w:lang w:val="sk-SK"/>
                  <w:rPrChange w:id="4667" w:author="Author" w:date="2025-08-22T15:12:00Z">
                    <w:rPr>
                      <w:noProof/>
                      <w:szCs w:val="22"/>
                      <w:lang w:val="en-GB"/>
                    </w:rPr>
                  </w:rPrChange>
                </w:rPr>
                <w:t>Roche farmacevtska družba d.o.o.</w:t>
              </w:r>
            </w:ins>
          </w:p>
          <w:p w14:paraId="33AE988C" w14:textId="77777777" w:rsidR="009700E5" w:rsidRPr="009700E5" w:rsidRDefault="002C033C">
            <w:pPr>
              <w:pStyle w:val="Standard1"/>
              <w:rPr>
                <w:ins w:id="4668" w:author="Author" w:date="2025-07-24T11:09:00Z"/>
                <w:rFonts w:ascii="Times New Roman" w:eastAsia="MS Mincho" w:hAnsi="Times New Roman"/>
                <w:noProof/>
                <w:sz w:val="22"/>
                <w:szCs w:val="22"/>
                <w:lang w:val="sk-SK"/>
                <w:rPrChange w:id="4669" w:author="Author" w:date="2025-08-22T15:12:00Z">
                  <w:rPr>
                    <w:ins w:id="4670" w:author="Author" w:date="2025-07-24T11:09:00Z"/>
                    <w:rFonts w:eastAsia="MS Mincho"/>
                    <w:noProof/>
                    <w:szCs w:val="22"/>
                    <w:lang w:val="en-GB"/>
                  </w:rPr>
                </w:rPrChange>
              </w:rPr>
            </w:pPr>
            <w:ins w:id="4671" w:author="Author" w:date="2025-07-24T11:09:00Z">
              <w:r>
                <w:rPr>
                  <w:rFonts w:ascii="Times New Roman" w:eastAsia="MS Mincho" w:hAnsi="Times New Roman"/>
                  <w:noProof/>
                  <w:sz w:val="22"/>
                  <w:szCs w:val="22"/>
                  <w:lang w:val="sk-SK"/>
                  <w:rPrChange w:id="4672" w:author="Author" w:date="2025-08-22T15:12:00Z">
                    <w:rPr>
                      <w:rFonts w:eastAsia="MS Mincho"/>
                      <w:noProof/>
                      <w:szCs w:val="22"/>
                      <w:lang w:val="en-GB"/>
                    </w:rPr>
                  </w:rPrChange>
                </w:rPr>
                <w:t>Tel: +386 - 1 360 26 00</w:t>
              </w:r>
            </w:ins>
          </w:p>
          <w:p w14:paraId="4C1F0E32" w14:textId="77777777" w:rsidR="009700E5" w:rsidRPr="009700E5" w:rsidRDefault="009700E5">
            <w:pPr>
              <w:pStyle w:val="Standard1"/>
              <w:rPr>
                <w:ins w:id="4673" w:author="Author" w:date="2025-07-24T11:09:00Z"/>
                <w:rFonts w:ascii="Times New Roman" w:hAnsi="Times New Roman"/>
                <w:b/>
                <w:noProof/>
                <w:sz w:val="22"/>
                <w:szCs w:val="22"/>
                <w:lang w:val="sk-SK"/>
                <w:rPrChange w:id="4674" w:author="Author" w:date="2025-08-22T15:12:00Z">
                  <w:rPr>
                    <w:ins w:id="4675" w:author="Author" w:date="2025-07-24T11:09:00Z"/>
                    <w:b/>
                    <w:lang w:val="en-GB"/>
                  </w:rPr>
                </w:rPrChange>
              </w:rPr>
            </w:pPr>
          </w:p>
        </w:tc>
      </w:tr>
      <w:tr w:rsidR="009700E5" w14:paraId="3D84AEE1" w14:textId="77777777">
        <w:trPr>
          <w:cantSplit/>
          <w:ins w:id="4676" w:author="Author" w:date="2025-07-24T11:09:00Z"/>
        </w:trPr>
        <w:tc>
          <w:tcPr>
            <w:tcW w:w="4590" w:type="dxa"/>
          </w:tcPr>
          <w:p w14:paraId="1CA2F23C" w14:textId="77777777" w:rsidR="009700E5" w:rsidRPr="009700E5" w:rsidRDefault="002C033C">
            <w:pPr>
              <w:pStyle w:val="Standard1"/>
              <w:rPr>
                <w:ins w:id="4677" w:author="Author" w:date="2025-07-24T11:09:00Z"/>
                <w:rFonts w:ascii="Times New Roman" w:hAnsi="Times New Roman"/>
                <w:b/>
                <w:noProof/>
                <w:sz w:val="22"/>
                <w:szCs w:val="22"/>
                <w:lang w:val="sk-SK"/>
                <w:rPrChange w:id="4678" w:author="Author" w:date="2025-08-22T15:12:00Z">
                  <w:rPr>
                    <w:ins w:id="4679" w:author="Author" w:date="2025-07-24T11:09:00Z"/>
                    <w:b/>
                    <w:noProof/>
                    <w:szCs w:val="22"/>
                    <w:lang w:val="en-GB"/>
                  </w:rPr>
                </w:rPrChange>
              </w:rPr>
            </w:pPr>
            <w:ins w:id="4680" w:author="Author" w:date="2025-07-24T11:09:00Z">
              <w:r>
                <w:rPr>
                  <w:rFonts w:ascii="Times New Roman" w:hAnsi="Times New Roman"/>
                  <w:b/>
                  <w:noProof/>
                  <w:sz w:val="22"/>
                  <w:szCs w:val="22"/>
                  <w:lang w:val="sk-SK"/>
                  <w:rPrChange w:id="4681" w:author="Author" w:date="2025-08-22T15:12:00Z">
                    <w:rPr>
                      <w:b/>
                      <w:noProof/>
                      <w:szCs w:val="22"/>
                      <w:lang w:val="en-GB"/>
                    </w:rPr>
                  </w:rPrChange>
                </w:rPr>
                <w:t>Ireland, Malta</w:t>
              </w:r>
            </w:ins>
          </w:p>
          <w:p w14:paraId="32339727" w14:textId="77777777" w:rsidR="009700E5" w:rsidRPr="009700E5" w:rsidRDefault="002C033C">
            <w:pPr>
              <w:pStyle w:val="Standard1"/>
              <w:rPr>
                <w:ins w:id="4682" w:author="Author" w:date="2025-07-24T11:09:00Z"/>
                <w:rFonts w:ascii="Times New Roman" w:hAnsi="Times New Roman"/>
                <w:noProof/>
                <w:sz w:val="22"/>
                <w:szCs w:val="22"/>
                <w:lang w:val="sk-SK"/>
                <w:rPrChange w:id="4683" w:author="Author" w:date="2025-08-22T15:12:00Z">
                  <w:rPr>
                    <w:ins w:id="4684" w:author="Author" w:date="2025-07-24T11:09:00Z"/>
                    <w:noProof/>
                    <w:szCs w:val="22"/>
                    <w:lang w:val="en-GB"/>
                  </w:rPr>
                </w:rPrChange>
              </w:rPr>
            </w:pPr>
            <w:ins w:id="4685" w:author="Author" w:date="2025-07-24T11:09:00Z">
              <w:r>
                <w:rPr>
                  <w:rFonts w:ascii="Times New Roman" w:hAnsi="Times New Roman"/>
                  <w:noProof/>
                  <w:sz w:val="22"/>
                  <w:szCs w:val="22"/>
                  <w:lang w:val="sk-SK"/>
                  <w:rPrChange w:id="4686" w:author="Author" w:date="2025-08-22T15:12:00Z">
                    <w:rPr>
                      <w:noProof/>
                      <w:szCs w:val="22"/>
                      <w:lang w:val="en-GB"/>
                    </w:rPr>
                  </w:rPrChange>
                </w:rPr>
                <w:t>Roche Products (Ireland) Ltd.</w:t>
              </w:r>
            </w:ins>
          </w:p>
          <w:p w14:paraId="003A8538" w14:textId="77777777" w:rsidR="009700E5" w:rsidRPr="009700E5" w:rsidRDefault="002C033C">
            <w:pPr>
              <w:pStyle w:val="Standard1"/>
              <w:rPr>
                <w:ins w:id="4687" w:author="Author" w:date="2025-07-24T11:09:00Z"/>
                <w:rFonts w:ascii="Times New Roman" w:hAnsi="Times New Roman"/>
                <w:noProof/>
                <w:sz w:val="22"/>
                <w:szCs w:val="22"/>
                <w:lang w:val="sk-SK"/>
                <w:rPrChange w:id="4688" w:author="Author" w:date="2025-08-22T15:12:00Z">
                  <w:rPr>
                    <w:ins w:id="4689" w:author="Author" w:date="2025-07-24T11:09:00Z"/>
                    <w:noProof/>
                    <w:szCs w:val="22"/>
                    <w:lang w:val="en-GB"/>
                  </w:rPr>
                </w:rPrChange>
              </w:rPr>
            </w:pPr>
            <w:ins w:id="4690" w:author="Author" w:date="2025-07-24T11:09:00Z">
              <w:r>
                <w:rPr>
                  <w:rFonts w:ascii="Times New Roman" w:hAnsi="Times New Roman"/>
                  <w:noProof/>
                  <w:sz w:val="22"/>
                  <w:szCs w:val="22"/>
                  <w:lang w:val="sk-SK"/>
                  <w:rPrChange w:id="4691" w:author="Author" w:date="2025-08-22T15:12:00Z">
                    <w:rPr>
                      <w:noProof/>
                      <w:szCs w:val="22"/>
                      <w:lang w:val="en-GB"/>
                    </w:rPr>
                  </w:rPrChange>
                </w:rPr>
                <w:t>Ireland/L-Irlanda</w:t>
              </w:r>
            </w:ins>
          </w:p>
          <w:p w14:paraId="601564D9" w14:textId="77777777" w:rsidR="009700E5" w:rsidRPr="009700E5" w:rsidRDefault="002C033C">
            <w:pPr>
              <w:pStyle w:val="Standard1"/>
              <w:rPr>
                <w:ins w:id="4692" w:author="Author" w:date="2025-07-24T11:09:00Z"/>
                <w:rFonts w:ascii="Times New Roman" w:hAnsi="Times New Roman"/>
                <w:noProof/>
                <w:sz w:val="22"/>
                <w:szCs w:val="22"/>
                <w:lang w:val="sk-SK"/>
                <w:rPrChange w:id="4693" w:author="Author" w:date="2025-08-22T15:12:00Z">
                  <w:rPr>
                    <w:ins w:id="4694" w:author="Author" w:date="2025-07-24T11:09:00Z"/>
                    <w:noProof/>
                    <w:szCs w:val="22"/>
                    <w:lang w:val="en-GB"/>
                  </w:rPr>
                </w:rPrChange>
              </w:rPr>
            </w:pPr>
            <w:ins w:id="4695" w:author="Author" w:date="2025-07-24T11:09:00Z">
              <w:r>
                <w:rPr>
                  <w:rFonts w:ascii="Times New Roman" w:hAnsi="Times New Roman"/>
                  <w:noProof/>
                  <w:sz w:val="22"/>
                  <w:szCs w:val="22"/>
                  <w:lang w:val="sk-SK"/>
                  <w:rPrChange w:id="4696" w:author="Author" w:date="2025-08-22T15:12:00Z">
                    <w:rPr>
                      <w:noProof/>
                      <w:szCs w:val="22"/>
                      <w:lang w:val="en-GB"/>
                    </w:rPr>
                  </w:rPrChange>
                </w:rPr>
                <w:t>Tel: +353 (0) 1 469 0700</w:t>
              </w:r>
            </w:ins>
          </w:p>
          <w:p w14:paraId="2FCAB8D1" w14:textId="77777777" w:rsidR="009700E5" w:rsidRPr="009700E5" w:rsidRDefault="009700E5">
            <w:pPr>
              <w:pStyle w:val="Standard1"/>
              <w:rPr>
                <w:ins w:id="4697" w:author="Author" w:date="2025-07-24T11:09:00Z"/>
                <w:rFonts w:ascii="Times New Roman" w:hAnsi="Times New Roman"/>
                <w:noProof/>
                <w:sz w:val="22"/>
                <w:szCs w:val="22"/>
                <w:lang w:val="sk-SK"/>
                <w:rPrChange w:id="4698" w:author="Author" w:date="2025-08-22T15:12:00Z">
                  <w:rPr>
                    <w:ins w:id="4699" w:author="Author" w:date="2025-07-24T11:09:00Z"/>
                    <w:lang w:val="en-GB"/>
                  </w:rPr>
                </w:rPrChange>
              </w:rPr>
            </w:pPr>
          </w:p>
        </w:tc>
        <w:tc>
          <w:tcPr>
            <w:tcW w:w="4590" w:type="dxa"/>
          </w:tcPr>
          <w:p w14:paraId="0F2105F1" w14:textId="77777777" w:rsidR="009700E5" w:rsidRPr="009700E5" w:rsidRDefault="002C033C">
            <w:pPr>
              <w:pStyle w:val="Standard1"/>
              <w:rPr>
                <w:ins w:id="4700" w:author="Author" w:date="2025-07-24T11:09:00Z"/>
                <w:rFonts w:ascii="Times New Roman" w:hAnsi="Times New Roman"/>
                <w:b/>
                <w:noProof/>
                <w:sz w:val="22"/>
                <w:szCs w:val="22"/>
                <w:lang w:val="sk-SK"/>
                <w:rPrChange w:id="4701" w:author="Author" w:date="2025-08-22T15:12:00Z">
                  <w:rPr>
                    <w:ins w:id="4702" w:author="Author" w:date="2025-07-24T11:09:00Z"/>
                    <w:b/>
                    <w:lang w:val="it-IT"/>
                  </w:rPr>
                </w:rPrChange>
              </w:rPr>
            </w:pPr>
            <w:ins w:id="4703" w:author="Author" w:date="2025-07-24T11:09:00Z">
              <w:r>
                <w:rPr>
                  <w:rFonts w:ascii="Times New Roman" w:hAnsi="Times New Roman"/>
                  <w:b/>
                  <w:noProof/>
                  <w:sz w:val="22"/>
                  <w:szCs w:val="22"/>
                  <w:lang w:val="sk-SK"/>
                  <w:rPrChange w:id="4704" w:author="Author" w:date="2025-08-22T15:12:00Z">
                    <w:rPr>
                      <w:b/>
                      <w:lang w:val="it-IT"/>
                    </w:rPr>
                  </w:rPrChange>
                </w:rPr>
                <w:t xml:space="preserve">Slovenská republika </w:t>
              </w:r>
            </w:ins>
          </w:p>
          <w:p w14:paraId="00EDA421" w14:textId="77777777" w:rsidR="009700E5" w:rsidRPr="009700E5" w:rsidRDefault="002C033C">
            <w:pPr>
              <w:pStyle w:val="Standard1"/>
              <w:rPr>
                <w:ins w:id="4705" w:author="Author" w:date="2025-07-24T11:09:00Z"/>
                <w:rFonts w:ascii="Times New Roman" w:hAnsi="Times New Roman"/>
                <w:noProof/>
                <w:sz w:val="22"/>
                <w:szCs w:val="22"/>
                <w:lang w:val="sk-SK"/>
                <w:rPrChange w:id="4706" w:author="Author" w:date="2025-08-22T15:12:00Z">
                  <w:rPr>
                    <w:ins w:id="4707" w:author="Author" w:date="2025-07-24T11:09:00Z"/>
                    <w:lang w:val="it-IT"/>
                  </w:rPr>
                </w:rPrChange>
              </w:rPr>
            </w:pPr>
            <w:ins w:id="4708" w:author="Author" w:date="2025-07-24T11:09:00Z">
              <w:r>
                <w:rPr>
                  <w:rFonts w:ascii="Times New Roman" w:hAnsi="Times New Roman"/>
                  <w:noProof/>
                  <w:sz w:val="22"/>
                  <w:szCs w:val="22"/>
                  <w:lang w:val="sk-SK"/>
                  <w:rPrChange w:id="4709" w:author="Author" w:date="2025-08-22T15:12:00Z">
                    <w:rPr>
                      <w:lang w:val="it-IT"/>
                    </w:rPr>
                  </w:rPrChange>
                </w:rPr>
                <w:t>Roche Slovensko, s.r.o.</w:t>
              </w:r>
            </w:ins>
          </w:p>
          <w:p w14:paraId="37BE3498" w14:textId="77777777" w:rsidR="009700E5" w:rsidRPr="009700E5" w:rsidRDefault="002C033C">
            <w:pPr>
              <w:pStyle w:val="Standard1"/>
              <w:rPr>
                <w:ins w:id="4710" w:author="Author" w:date="2025-07-24T11:09:00Z"/>
                <w:rFonts w:ascii="Times New Roman" w:hAnsi="Times New Roman"/>
                <w:noProof/>
                <w:sz w:val="22"/>
                <w:szCs w:val="22"/>
                <w:lang w:val="sk-SK"/>
                <w:rPrChange w:id="4711" w:author="Author" w:date="2025-08-22T15:12:00Z">
                  <w:rPr>
                    <w:ins w:id="4712" w:author="Author" w:date="2025-07-24T11:09:00Z"/>
                    <w:noProof/>
                    <w:szCs w:val="22"/>
                    <w:lang w:val="en-GB"/>
                  </w:rPr>
                </w:rPrChange>
              </w:rPr>
            </w:pPr>
            <w:ins w:id="4713" w:author="Author" w:date="2025-07-24T11:09:00Z">
              <w:r>
                <w:rPr>
                  <w:rFonts w:ascii="Times New Roman" w:hAnsi="Times New Roman"/>
                  <w:noProof/>
                  <w:sz w:val="22"/>
                  <w:szCs w:val="22"/>
                  <w:lang w:val="sk-SK"/>
                  <w:rPrChange w:id="4714" w:author="Author" w:date="2025-08-22T15:12:00Z">
                    <w:rPr>
                      <w:noProof/>
                      <w:szCs w:val="22"/>
                      <w:lang w:val="en-GB"/>
                    </w:rPr>
                  </w:rPrChange>
                </w:rPr>
                <w:t>Tel: +421 - 2 52638201</w:t>
              </w:r>
            </w:ins>
          </w:p>
          <w:p w14:paraId="16F48450" w14:textId="77777777" w:rsidR="009700E5" w:rsidRPr="009700E5" w:rsidRDefault="009700E5">
            <w:pPr>
              <w:pStyle w:val="Standard1"/>
              <w:rPr>
                <w:ins w:id="4715" w:author="Author" w:date="2025-07-24T11:09:00Z"/>
                <w:rFonts w:ascii="Times New Roman" w:hAnsi="Times New Roman"/>
                <w:noProof/>
                <w:sz w:val="22"/>
                <w:szCs w:val="22"/>
                <w:lang w:val="sk-SK"/>
                <w:rPrChange w:id="4716" w:author="Author" w:date="2025-08-22T15:12:00Z">
                  <w:rPr>
                    <w:ins w:id="4717" w:author="Author" w:date="2025-07-24T11:09:00Z"/>
                    <w:lang w:val="en-GB"/>
                  </w:rPr>
                </w:rPrChange>
              </w:rPr>
            </w:pPr>
          </w:p>
        </w:tc>
      </w:tr>
      <w:tr w:rsidR="009700E5" w14:paraId="70014098" w14:textId="77777777">
        <w:trPr>
          <w:cantSplit/>
          <w:ins w:id="4718" w:author="Author" w:date="2025-07-24T11:09:00Z"/>
        </w:trPr>
        <w:tc>
          <w:tcPr>
            <w:tcW w:w="4590" w:type="dxa"/>
          </w:tcPr>
          <w:p w14:paraId="2635C1F6" w14:textId="77777777" w:rsidR="009700E5" w:rsidRPr="009700E5" w:rsidRDefault="002C033C">
            <w:pPr>
              <w:pStyle w:val="Standard1"/>
              <w:tabs>
                <w:tab w:val="left" w:pos="720"/>
              </w:tabs>
              <w:rPr>
                <w:ins w:id="4719" w:author="Author" w:date="2025-07-24T11:09:00Z"/>
                <w:rFonts w:ascii="Times New Roman" w:hAnsi="Times New Roman"/>
                <w:b/>
                <w:noProof/>
                <w:snapToGrid w:val="0"/>
                <w:sz w:val="22"/>
                <w:szCs w:val="22"/>
                <w:lang w:val="sk-SK"/>
                <w:rPrChange w:id="4720" w:author="Author" w:date="2025-08-22T15:12:00Z">
                  <w:rPr>
                    <w:ins w:id="4721" w:author="Author" w:date="2025-07-24T11:09:00Z"/>
                    <w:b/>
                    <w:noProof/>
                    <w:snapToGrid w:val="0"/>
                    <w:szCs w:val="22"/>
                    <w:lang w:val="en-GB"/>
                  </w:rPr>
                </w:rPrChange>
              </w:rPr>
            </w:pPr>
            <w:ins w:id="4722" w:author="Author" w:date="2025-07-24T11:09:00Z">
              <w:r>
                <w:rPr>
                  <w:rFonts w:ascii="Times New Roman" w:hAnsi="Times New Roman"/>
                  <w:b/>
                  <w:noProof/>
                  <w:snapToGrid w:val="0"/>
                  <w:sz w:val="22"/>
                  <w:szCs w:val="22"/>
                  <w:lang w:val="sk-SK"/>
                  <w:rPrChange w:id="4723" w:author="Author" w:date="2025-08-22T15:12:00Z">
                    <w:rPr>
                      <w:b/>
                      <w:noProof/>
                      <w:snapToGrid w:val="0"/>
                      <w:szCs w:val="22"/>
                      <w:lang w:val="en-GB"/>
                    </w:rPr>
                  </w:rPrChange>
                </w:rPr>
                <w:t xml:space="preserve">Ísland </w:t>
              </w:r>
            </w:ins>
          </w:p>
          <w:p w14:paraId="775EB422" w14:textId="77777777" w:rsidR="009700E5" w:rsidRPr="009700E5" w:rsidRDefault="002C033C">
            <w:pPr>
              <w:pStyle w:val="Standard1"/>
              <w:tabs>
                <w:tab w:val="left" w:pos="720"/>
              </w:tabs>
              <w:rPr>
                <w:ins w:id="4724" w:author="Author" w:date="2025-07-24T11:09:00Z"/>
                <w:rFonts w:ascii="Times New Roman" w:hAnsi="Times New Roman"/>
                <w:noProof/>
                <w:sz w:val="22"/>
                <w:szCs w:val="22"/>
                <w:lang w:val="sk-SK"/>
                <w:rPrChange w:id="4725" w:author="Author" w:date="2025-08-22T15:12:00Z">
                  <w:rPr>
                    <w:ins w:id="4726" w:author="Author" w:date="2025-07-24T11:09:00Z"/>
                    <w:lang w:val="en-GB"/>
                  </w:rPr>
                </w:rPrChange>
              </w:rPr>
            </w:pPr>
            <w:ins w:id="4727" w:author="Author" w:date="2025-07-24T11:09:00Z">
              <w:r>
                <w:rPr>
                  <w:rFonts w:ascii="Times New Roman" w:hAnsi="Times New Roman"/>
                  <w:noProof/>
                  <w:sz w:val="22"/>
                  <w:szCs w:val="22"/>
                  <w:lang w:val="sk-SK"/>
                  <w:rPrChange w:id="4728" w:author="Author" w:date="2025-08-22T15:12:00Z">
                    <w:rPr>
                      <w:lang w:val="en-GB"/>
                    </w:rPr>
                  </w:rPrChange>
                </w:rPr>
                <w:t>Roche Pharmaceuticals A/S</w:t>
              </w:r>
            </w:ins>
          </w:p>
          <w:p w14:paraId="07317E48" w14:textId="77777777" w:rsidR="009700E5" w:rsidRPr="009700E5" w:rsidRDefault="002C033C">
            <w:pPr>
              <w:pStyle w:val="Standard1"/>
              <w:tabs>
                <w:tab w:val="left" w:pos="720"/>
              </w:tabs>
              <w:rPr>
                <w:ins w:id="4729" w:author="Author" w:date="2025-07-24T11:09:00Z"/>
                <w:rFonts w:ascii="Times New Roman" w:hAnsi="Times New Roman"/>
                <w:noProof/>
                <w:snapToGrid w:val="0"/>
                <w:sz w:val="22"/>
                <w:szCs w:val="22"/>
                <w:lang w:val="sk-SK"/>
                <w:rPrChange w:id="4730" w:author="Author" w:date="2025-08-22T15:12:00Z">
                  <w:rPr>
                    <w:ins w:id="4731" w:author="Author" w:date="2025-07-24T11:09:00Z"/>
                    <w:noProof/>
                    <w:snapToGrid w:val="0"/>
                    <w:szCs w:val="22"/>
                    <w:lang w:val="en-GB"/>
                  </w:rPr>
                </w:rPrChange>
              </w:rPr>
            </w:pPr>
            <w:ins w:id="4732" w:author="Author" w:date="2025-07-24T11:09:00Z">
              <w:r>
                <w:rPr>
                  <w:rFonts w:ascii="Times New Roman" w:hAnsi="Times New Roman"/>
                  <w:noProof/>
                  <w:sz w:val="22"/>
                  <w:szCs w:val="22"/>
                  <w:lang w:val="sk-SK"/>
                  <w:rPrChange w:id="4733" w:author="Author" w:date="2025-08-22T15:12:00Z">
                    <w:rPr>
                      <w:noProof/>
                      <w:szCs w:val="22"/>
                      <w:lang w:val="en-GB"/>
                    </w:rPr>
                  </w:rPrChange>
                </w:rPr>
                <w:t>c/o Icepharma hf</w:t>
              </w:r>
            </w:ins>
          </w:p>
          <w:p w14:paraId="10C64270" w14:textId="77777777" w:rsidR="009700E5" w:rsidRPr="009700E5" w:rsidRDefault="002C033C">
            <w:pPr>
              <w:pStyle w:val="Standard1"/>
              <w:rPr>
                <w:ins w:id="4734" w:author="Author" w:date="2025-07-24T11:09:00Z"/>
                <w:rFonts w:ascii="Times New Roman" w:hAnsi="Times New Roman"/>
                <w:noProof/>
                <w:snapToGrid w:val="0"/>
                <w:sz w:val="22"/>
                <w:szCs w:val="22"/>
                <w:lang w:val="sk-SK"/>
                <w:rPrChange w:id="4735" w:author="Author" w:date="2025-08-22T15:12:00Z">
                  <w:rPr>
                    <w:ins w:id="4736" w:author="Author" w:date="2025-07-24T11:09:00Z"/>
                    <w:noProof/>
                    <w:snapToGrid w:val="0"/>
                    <w:szCs w:val="22"/>
                    <w:lang w:val="en-GB"/>
                  </w:rPr>
                </w:rPrChange>
              </w:rPr>
            </w:pPr>
            <w:ins w:id="4737" w:author="Author" w:date="2025-07-24T11:09:00Z">
              <w:r>
                <w:rPr>
                  <w:rFonts w:ascii="Times New Roman" w:hAnsi="Times New Roman"/>
                  <w:noProof/>
                  <w:sz w:val="22"/>
                  <w:szCs w:val="22"/>
                  <w:lang w:val="sk-SK"/>
                  <w:rPrChange w:id="4738" w:author="Author" w:date="2025-08-22T15:12:00Z">
                    <w:rPr>
                      <w:noProof/>
                      <w:szCs w:val="22"/>
                      <w:lang w:val="en-GB"/>
                    </w:rPr>
                  </w:rPrChange>
                </w:rPr>
                <w:t>Sími</w:t>
              </w:r>
              <w:r>
                <w:rPr>
                  <w:rFonts w:ascii="Times New Roman" w:hAnsi="Times New Roman"/>
                  <w:noProof/>
                  <w:snapToGrid w:val="0"/>
                  <w:sz w:val="22"/>
                  <w:szCs w:val="22"/>
                  <w:lang w:val="sk-SK"/>
                  <w:rPrChange w:id="4739" w:author="Author" w:date="2025-08-22T15:12:00Z">
                    <w:rPr>
                      <w:noProof/>
                      <w:snapToGrid w:val="0"/>
                      <w:szCs w:val="22"/>
                      <w:lang w:val="en-GB"/>
                    </w:rPr>
                  </w:rPrChange>
                </w:rPr>
                <w:t>: +354 540 8000</w:t>
              </w:r>
            </w:ins>
          </w:p>
          <w:p w14:paraId="20EF7198" w14:textId="77777777" w:rsidR="009700E5" w:rsidRPr="009700E5" w:rsidRDefault="009700E5">
            <w:pPr>
              <w:pStyle w:val="Standard1"/>
              <w:tabs>
                <w:tab w:val="left" w:pos="720"/>
              </w:tabs>
              <w:rPr>
                <w:ins w:id="4740" w:author="Author" w:date="2025-07-24T11:09:00Z"/>
                <w:rFonts w:ascii="Times New Roman" w:hAnsi="Times New Roman"/>
                <w:b/>
                <w:noProof/>
                <w:sz w:val="22"/>
                <w:szCs w:val="22"/>
                <w:lang w:val="sk-SK"/>
                <w:rPrChange w:id="4741" w:author="Author" w:date="2025-08-22T15:12:00Z">
                  <w:rPr>
                    <w:ins w:id="4742" w:author="Author" w:date="2025-07-24T11:09:00Z"/>
                    <w:b/>
                    <w:noProof/>
                    <w:szCs w:val="22"/>
                    <w:lang w:val="en-GB"/>
                  </w:rPr>
                </w:rPrChange>
              </w:rPr>
            </w:pPr>
          </w:p>
        </w:tc>
        <w:tc>
          <w:tcPr>
            <w:tcW w:w="4590" w:type="dxa"/>
          </w:tcPr>
          <w:p w14:paraId="1CE5A2D2" w14:textId="77777777" w:rsidR="009700E5" w:rsidRPr="009700E5" w:rsidRDefault="002C033C">
            <w:pPr>
              <w:pStyle w:val="Standard1"/>
              <w:rPr>
                <w:ins w:id="4743" w:author="Author" w:date="2025-07-24T11:09:00Z"/>
                <w:rFonts w:ascii="Times New Roman" w:hAnsi="Times New Roman"/>
                <w:b/>
                <w:noProof/>
                <w:sz w:val="22"/>
                <w:szCs w:val="22"/>
                <w:lang w:val="sk-SK"/>
                <w:rPrChange w:id="4744" w:author="Author" w:date="2025-08-22T15:12:00Z">
                  <w:rPr>
                    <w:ins w:id="4745" w:author="Author" w:date="2025-07-24T11:09:00Z"/>
                    <w:b/>
                    <w:lang w:val="de-DE"/>
                  </w:rPr>
                </w:rPrChange>
              </w:rPr>
            </w:pPr>
            <w:ins w:id="4746" w:author="Author" w:date="2025-07-24T11:09:00Z">
              <w:r>
                <w:rPr>
                  <w:rFonts w:ascii="Times New Roman" w:hAnsi="Times New Roman"/>
                  <w:b/>
                  <w:noProof/>
                  <w:sz w:val="22"/>
                  <w:szCs w:val="22"/>
                  <w:lang w:val="sk-SK"/>
                  <w:rPrChange w:id="4747" w:author="Author" w:date="2025-08-22T15:12:00Z">
                    <w:rPr>
                      <w:b/>
                      <w:lang w:val="de-DE"/>
                    </w:rPr>
                  </w:rPrChange>
                </w:rPr>
                <w:t>Suomi/Finland</w:t>
              </w:r>
            </w:ins>
          </w:p>
          <w:p w14:paraId="30A41A85" w14:textId="77777777" w:rsidR="009700E5" w:rsidRPr="009700E5" w:rsidRDefault="002C033C">
            <w:pPr>
              <w:pStyle w:val="Standard1"/>
              <w:rPr>
                <w:ins w:id="4748" w:author="Author" w:date="2025-07-24T11:09:00Z"/>
                <w:rFonts w:ascii="Times New Roman" w:hAnsi="Times New Roman"/>
                <w:noProof/>
                <w:sz w:val="22"/>
                <w:szCs w:val="22"/>
                <w:lang w:val="sk-SK"/>
                <w:rPrChange w:id="4749" w:author="Author" w:date="2025-08-22T15:12:00Z">
                  <w:rPr>
                    <w:ins w:id="4750" w:author="Author" w:date="2025-07-24T11:09:00Z"/>
                    <w:lang w:val="de-DE"/>
                  </w:rPr>
                </w:rPrChange>
              </w:rPr>
            </w:pPr>
            <w:ins w:id="4751" w:author="Author" w:date="2025-07-24T11:09:00Z">
              <w:r>
                <w:rPr>
                  <w:rFonts w:ascii="Times New Roman" w:hAnsi="Times New Roman"/>
                  <w:noProof/>
                  <w:sz w:val="22"/>
                  <w:szCs w:val="22"/>
                  <w:lang w:val="sk-SK"/>
                  <w:rPrChange w:id="4752" w:author="Author" w:date="2025-08-22T15:12:00Z">
                    <w:rPr>
                      <w:lang w:val="de-DE"/>
                    </w:rPr>
                  </w:rPrChange>
                </w:rPr>
                <w:t xml:space="preserve">Roche Oy </w:t>
              </w:r>
            </w:ins>
          </w:p>
          <w:p w14:paraId="229A3E0E" w14:textId="77777777" w:rsidR="009700E5" w:rsidRPr="009700E5" w:rsidRDefault="002C033C">
            <w:pPr>
              <w:pStyle w:val="Standard1"/>
              <w:rPr>
                <w:ins w:id="4753" w:author="Author" w:date="2025-07-24T11:09:00Z"/>
                <w:rFonts w:ascii="Times New Roman" w:hAnsi="Times New Roman"/>
                <w:noProof/>
                <w:sz w:val="22"/>
                <w:szCs w:val="22"/>
                <w:lang w:val="sk-SK"/>
                <w:rPrChange w:id="4754" w:author="Author" w:date="2025-08-22T15:12:00Z">
                  <w:rPr>
                    <w:ins w:id="4755" w:author="Author" w:date="2025-07-24T11:09:00Z"/>
                    <w:lang w:val="de-DE"/>
                  </w:rPr>
                </w:rPrChange>
              </w:rPr>
            </w:pPr>
            <w:ins w:id="4756" w:author="Author" w:date="2025-07-24T11:09:00Z">
              <w:r>
                <w:rPr>
                  <w:rFonts w:ascii="Times New Roman" w:hAnsi="Times New Roman"/>
                  <w:noProof/>
                  <w:sz w:val="22"/>
                  <w:szCs w:val="22"/>
                  <w:lang w:val="sk-SK"/>
                  <w:rPrChange w:id="4757" w:author="Author" w:date="2025-08-22T15:12:00Z">
                    <w:rPr>
                      <w:lang w:val="de-DE"/>
                    </w:rPr>
                  </w:rPrChange>
                </w:rPr>
                <w:t>Puh/Tel: +358 (0) 10 554 500</w:t>
              </w:r>
            </w:ins>
          </w:p>
          <w:p w14:paraId="124B5B7B" w14:textId="77777777" w:rsidR="009700E5" w:rsidRPr="009700E5" w:rsidRDefault="009700E5">
            <w:pPr>
              <w:pStyle w:val="Standard1"/>
              <w:rPr>
                <w:ins w:id="4758" w:author="Author" w:date="2025-07-24T11:09:00Z"/>
                <w:rFonts w:ascii="Times New Roman" w:hAnsi="Times New Roman"/>
                <w:b/>
                <w:noProof/>
                <w:sz w:val="22"/>
                <w:szCs w:val="22"/>
                <w:lang w:val="sk-SK"/>
                <w:rPrChange w:id="4759" w:author="Author" w:date="2025-08-22T15:12:00Z">
                  <w:rPr>
                    <w:ins w:id="4760" w:author="Author" w:date="2025-07-24T11:09:00Z"/>
                    <w:b/>
                    <w:lang w:val="de-DE"/>
                  </w:rPr>
                </w:rPrChange>
              </w:rPr>
            </w:pPr>
          </w:p>
        </w:tc>
      </w:tr>
      <w:tr w:rsidR="009700E5" w14:paraId="77ECB1E0" w14:textId="77777777">
        <w:trPr>
          <w:cantSplit/>
          <w:ins w:id="4761" w:author="Author" w:date="2025-07-24T11:09:00Z"/>
        </w:trPr>
        <w:tc>
          <w:tcPr>
            <w:tcW w:w="4590" w:type="dxa"/>
          </w:tcPr>
          <w:p w14:paraId="7B17E8EC" w14:textId="77777777" w:rsidR="009700E5" w:rsidRPr="009700E5" w:rsidRDefault="002C033C">
            <w:pPr>
              <w:pStyle w:val="Standard1"/>
              <w:rPr>
                <w:ins w:id="4762" w:author="Author" w:date="2025-07-24T11:09:00Z"/>
                <w:rFonts w:ascii="Times New Roman" w:hAnsi="Times New Roman"/>
                <w:noProof/>
                <w:sz w:val="22"/>
                <w:szCs w:val="22"/>
                <w:lang w:val="sk-SK"/>
                <w:rPrChange w:id="4763" w:author="Author" w:date="2025-08-22T15:12:00Z">
                  <w:rPr>
                    <w:ins w:id="4764" w:author="Author" w:date="2025-07-24T11:09:00Z"/>
                    <w:lang w:val="it-IT"/>
                  </w:rPr>
                </w:rPrChange>
              </w:rPr>
            </w:pPr>
            <w:ins w:id="4765" w:author="Author" w:date="2025-07-24T11:09:00Z">
              <w:r>
                <w:rPr>
                  <w:rFonts w:ascii="Times New Roman" w:hAnsi="Times New Roman"/>
                  <w:b/>
                  <w:noProof/>
                  <w:sz w:val="22"/>
                  <w:szCs w:val="22"/>
                  <w:lang w:val="sk-SK"/>
                  <w:rPrChange w:id="4766" w:author="Author" w:date="2025-08-22T15:12:00Z">
                    <w:rPr>
                      <w:b/>
                      <w:lang w:val="it-IT"/>
                    </w:rPr>
                  </w:rPrChange>
                </w:rPr>
                <w:t>Italia</w:t>
              </w:r>
            </w:ins>
          </w:p>
          <w:p w14:paraId="5F4FA08A" w14:textId="77777777" w:rsidR="009700E5" w:rsidRPr="009700E5" w:rsidRDefault="002C033C">
            <w:pPr>
              <w:pStyle w:val="Standard1"/>
              <w:rPr>
                <w:ins w:id="4767" w:author="Author" w:date="2025-07-24T11:09:00Z"/>
                <w:rFonts w:ascii="Times New Roman" w:hAnsi="Times New Roman"/>
                <w:noProof/>
                <w:sz w:val="22"/>
                <w:szCs w:val="22"/>
                <w:lang w:val="sk-SK"/>
                <w:rPrChange w:id="4768" w:author="Author" w:date="2025-08-22T15:12:00Z">
                  <w:rPr>
                    <w:ins w:id="4769" w:author="Author" w:date="2025-07-24T11:09:00Z"/>
                    <w:lang w:val="de-DE"/>
                  </w:rPr>
                </w:rPrChange>
              </w:rPr>
            </w:pPr>
            <w:ins w:id="4770" w:author="Author" w:date="2025-07-24T11:09:00Z">
              <w:r>
                <w:rPr>
                  <w:rFonts w:ascii="Times New Roman" w:hAnsi="Times New Roman"/>
                  <w:noProof/>
                  <w:sz w:val="22"/>
                  <w:szCs w:val="22"/>
                  <w:lang w:val="sk-SK"/>
                  <w:rPrChange w:id="4771" w:author="Author" w:date="2025-08-22T15:12:00Z">
                    <w:rPr>
                      <w:lang w:val="de-DE"/>
                    </w:rPr>
                  </w:rPrChange>
                </w:rPr>
                <w:t xml:space="preserve">Roche </w:t>
              </w:r>
              <w:r>
                <w:rPr>
                  <w:rFonts w:ascii="Times New Roman" w:hAnsi="Times New Roman"/>
                  <w:noProof/>
                  <w:sz w:val="22"/>
                  <w:szCs w:val="22"/>
                  <w:lang w:val="sk-SK"/>
                  <w:rPrChange w:id="4772" w:author="Author" w:date="2025-08-22T15:12:00Z">
                    <w:rPr>
                      <w:szCs w:val="22"/>
                      <w:lang w:val="de-DE"/>
                    </w:rPr>
                  </w:rPrChange>
                </w:rPr>
                <w:t>S.p.</w:t>
              </w:r>
              <w:r>
                <w:rPr>
                  <w:rFonts w:ascii="Times New Roman" w:hAnsi="Times New Roman"/>
                  <w:noProof/>
                  <w:sz w:val="22"/>
                  <w:szCs w:val="22"/>
                  <w:lang w:val="sk-SK"/>
                  <w:rPrChange w:id="4773" w:author="Author" w:date="2025-08-22T15:12:00Z">
                    <w:rPr>
                      <w:lang w:val="de-DE"/>
                    </w:rPr>
                  </w:rPrChange>
                </w:rPr>
                <w:t>A.</w:t>
              </w:r>
            </w:ins>
          </w:p>
          <w:p w14:paraId="0CCEC340" w14:textId="77777777" w:rsidR="009700E5" w:rsidRPr="009700E5" w:rsidRDefault="002C033C">
            <w:pPr>
              <w:pStyle w:val="Standard1"/>
              <w:rPr>
                <w:ins w:id="4774" w:author="Author" w:date="2025-07-24T11:09:00Z"/>
                <w:rFonts w:ascii="Times New Roman" w:hAnsi="Times New Roman"/>
                <w:noProof/>
                <w:sz w:val="22"/>
                <w:szCs w:val="22"/>
                <w:lang w:val="sk-SK"/>
                <w:rPrChange w:id="4775" w:author="Author" w:date="2025-08-22T15:12:00Z">
                  <w:rPr>
                    <w:ins w:id="4776" w:author="Author" w:date="2025-07-24T11:09:00Z"/>
                    <w:noProof/>
                    <w:szCs w:val="22"/>
                    <w:lang w:val="de-CH"/>
                  </w:rPr>
                </w:rPrChange>
              </w:rPr>
            </w:pPr>
            <w:ins w:id="4777" w:author="Author" w:date="2025-07-24T11:09:00Z">
              <w:r>
                <w:rPr>
                  <w:rFonts w:ascii="Times New Roman" w:hAnsi="Times New Roman"/>
                  <w:noProof/>
                  <w:sz w:val="22"/>
                  <w:szCs w:val="22"/>
                  <w:lang w:val="sk-SK"/>
                  <w:rPrChange w:id="4778" w:author="Author" w:date="2025-08-22T15:12:00Z">
                    <w:rPr>
                      <w:noProof/>
                      <w:szCs w:val="22"/>
                      <w:lang w:val="de-CH"/>
                    </w:rPr>
                  </w:rPrChange>
                </w:rPr>
                <w:t>Tel: +39 - 039 2471</w:t>
              </w:r>
            </w:ins>
          </w:p>
          <w:p w14:paraId="73251E0D" w14:textId="77777777" w:rsidR="009700E5" w:rsidRPr="009700E5" w:rsidRDefault="009700E5">
            <w:pPr>
              <w:pStyle w:val="Standard1"/>
              <w:rPr>
                <w:ins w:id="4779" w:author="Author" w:date="2025-07-24T11:09:00Z"/>
                <w:rFonts w:ascii="Times New Roman" w:hAnsi="Times New Roman"/>
                <w:b/>
                <w:noProof/>
                <w:sz w:val="22"/>
                <w:szCs w:val="22"/>
                <w:lang w:val="sk-SK"/>
                <w:rPrChange w:id="4780" w:author="Author" w:date="2025-08-22T15:12:00Z">
                  <w:rPr>
                    <w:ins w:id="4781" w:author="Author" w:date="2025-07-24T11:09:00Z"/>
                    <w:b/>
                    <w:lang w:val="de-CH"/>
                  </w:rPr>
                </w:rPrChange>
              </w:rPr>
            </w:pPr>
          </w:p>
        </w:tc>
        <w:tc>
          <w:tcPr>
            <w:tcW w:w="4590" w:type="dxa"/>
          </w:tcPr>
          <w:p w14:paraId="71FED494" w14:textId="77777777" w:rsidR="009700E5" w:rsidRPr="009700E5" w:rsidRDefault="002C033C">
            <w:pPr>
              <w:pStyle w:val="Standard1"/>
              <w:rPr>
                <w:ins w:id="4782" w:author="Author" w:date="2025-07-24T11:09:00Z"/>
                <w:rFonts w:ascii="Times New Roman" w:hAnsi="Times New Roman"/>
                <w:noProof/>
                <w:sz w:val="22"/>
                <w:szCs w:val="22"/>
                <w:lang w:val="sk-SK"/>
                <w:rPrChange w:id="4783" w:author="Author" w:date="2025-08-22T15:12:00Z">
                  <w:rPr>
                    <w:ins w:id="4784" w:author="Author" w:date="2025-07-24T11:09:00Z"/>
                    <w:noProof/>
                    <w:szCs w:val="22"/>
                    <w:lang w:val="en-GB"/>
                  </w:rPr>
                </w:rPrChange>
              </w:rPr>
            </w:pPr>
            <w:ins w:id="4785" w:author="Author" w:date="2025-07-24T11:09:00Z">
              <w:r>
                <w:rPr>
                  <w:rFonts w:ascii="Times New Roman" w:hAnsi="Times New Roman"/>
                  <w:b/>
                  <w:noProof/>
                  <w:sz w:val="22"/>
                  <w:szCs w:val="22"/>
                  <w:lang w:val="sk-SK"/>
                  <w:rPrChange w:id="4786" w:author="Author" w:date="2025-08-22T15:12:00Z">
                    <w:rPr>
                      <w:b/>
                      <w:noProof/>
                      <w:szCs w:val="22"/>
                      <w:lang w:val="en-GB"/>
                    </w:rPr>
                  </w:rPrChange>
                </w:rPr>
                <w:t>Sverige</w:t>
              </w:r>
            </w:ins>
          </w:p>
          <w:p w14:paraId="582E1558" w14:textId="77777777" w:rsidR="009700E5" w:rsidRPr="009700E5" w:rsidRDefault="002C033C">
            <w:pPr>
              <w:pStyle w:val="Standard1"/>
              <w:rPr>
                <w:ins w:id="4787" w:author="Author" w:date="2025-07-24T11:09:00Z"/>
                <w:rFonts w:ascii="Times New Roman" w:hAnsi="Times New Roman"/>
                <w:noProof/>
                <w:sz w:val="22"/>
                <w:szCs w:val="22"/>
                <w:lang w:val="sk-SK"/>
                <w:rPrChange w:id="4788" w:author="Author" w:date="2025-08-22T15:12:00Z">
                  <w:rPr>
                    <w:ins w:id="4789" w:author="Author" w:date="2025-07-24T11:09:00Z"/>
                    <w:noProof/>
                    <w:szCs w:val="22"/>
                    <w:lang w:val="en-GB"/>
                  </w:rPr>
                </w:rPrChange>
              </w:rPr>
            </w:pPr>
            <w:ins w:id="4790" w:author="Author" w:date="2025-07-24T11:09:00Z">
              <w:r>
                <w:rPr>
                  <w:rFonts w:ascii="Times New Roman" w:hAnsi="Times New Roman"/>
                  <w:noProof/>
                  <w:sz w:val="22"/>
                  <w:szCs w:val="22"/>
                  <w:lang w:val="sk-SK"/>
                  <w:rPrChange w:id="4791" w:author="Author" w:date="2025-08-22T15:12:00Z">
                    <w:rPr>
                      <w:noProof/>
                      <w:szCs w:val="22"/>
                      <w:lang w:val="en-GB"/>
                    </w:rPr>
                  </w:rPrChange>
                </w:rPr>
                <w:t>Roche AB</w:t>
              </w:r>
            </w:ins>
          </w:p>
          <w:p w14:paraId="7AF5BA3D" w14:textId="77777777" w:rsidR="009700E5" w:rsidRPr="009700E5" w:rsidRDefault="002C033C">
            <w:pPr>
              <w:pStyle w:val="Standard1"/>
              <w:suppressAutoHyphens/>
              <w:rPr>
                <w:ins w:id="4792" w:author="Author" w:date="2025-07-24T11:09:00Z"/>
                <w:rFonts w:ascii="Times New Roman" w:hAnsi="Times New Roman"/>
                <w:noProof/>
                <w:sz w:val="22"/>
                <w:szCs w:val="22"/>
                <w:lang w:val="sk-SK"/>
                <w:rPrChange w:id="4793" w:author="Author" w:date="2025-08-22T15:12:00Z">
                  <w:rPr>
                    <w:ins w:id="4794" w:author="Author" w:date="2025-07-24T11:09:00Z"/>
                    <w:noProof/>
                    <w:szCs w:val="22"/>
                    <w:lang w:val="en-GB"/>
                  </w:rPr>
                </w:rPrChange>
              </w:rPr>
            </w:pPr>
            <w:ins w:id="4795" w:author="Author" w:date="2025-07-24T11:09:00Z">
              <w:r>
                <w:rPr>
                  <w:rFonts w:ascii="Times New Roman" w:hAnsi="Times New Roman"/>
                  <w:noProof/>
                  <w:sz w:val="22"/>
                  <w:szCs w:val="22"/>
                  <w:lang w:val="sk-SK"/>
                  <w:rPrChange w:id="4796" w:author="Author" w:date="2025-08-22T15:12:00Z">
                    <w:rPr>
                      <w:noProof/>
                      <w:szCs w:val="22"/>
                      <w:lang w:val="en-GB"/>
                    </w:rPr>
                  </w:rPrChange>
                </w:rPr>
                <w:t>Tel: +46 (0) 8 726 1200</w:t>
              </w:r>
            </w:ins>
          </w:p>
          <w:p w14:paraId="3FF6BE3B" w14:textId="77777777" w:rsidR="009700E5" w:rsidRPr="009700E5" w:rsidRDefault="009700E5">
            <w:pPr>
              <w:pStyle w:val="Standard1"/>
              <w:rPr>
                <w:ins w:id="4797" w:author="Author" w:date="2025-07-24T11:09:00Z"/>
                <w:rFonts w:ascii="Times New Roman" w:hAnsi="Times New Roman"/>
                <w:noProof/>
                <w:sz w:val="22"/>
                <w:szCs w:val="22"/>
                <w:lang w:val="sk-SK"/>
                <w:rPrChange w:id="4798" w:author="Author" w:date="2025-08-22T15:12:00Z">
                  <w:rPr>
                    <w:ins w:id="4799" w:author="Author" w:date="2025-07-24T11:09:00Z"/>
                    <w:lang w:val="de-DE"/>
                  </w:rPr>
                </w:rPrChange>
              </w:rPr>
            </w:pPr>
          </w:p>
        </w:tc>
      </w:tr>
      <w:bookmarkEnd w:id="4288"/>
    </w:tbl>
    <w:p w14:paraId="4E70D36A" w14:textId="77777777" w:rsidR="009700E5" w:rsidRDefault="009700E5">
      <w:pPr>
        <w:ind w:right="-449"/>
      </w:pPr>
    </w:p>
    <w:p w14:paraId="596B58DB" w14:textId="77777777" w:rsidR="009700E5" w:rsidRDefault="002C033C">
      <w:pPr>
        <w:numPr>
          <w:ilvl w:val="12"/>
          <w:numId w:val="0"/>
        </w:numPr>
        <w:ind w:right="-2"/>
        <w:outlineLvl w:val="0"/>
        <w:rPr>
          <w:szCs w:val="24"/>
        </w:rPr>
      </w:pPr>
      <w:r>
        <w:rPr>
          <w:b/>
          <w:szCs w:val="22"/>
        </w:rPr>
        <w:t xml:space="preserve">Táto písomná informácia bola naposledy aktualizovaná v </w:t>
      </w:r>
    </w:p>
    <w:p w14:paraId="063CB11D" w14:textId="77777777" w:rsidR="009700E5" w:rsidRDefault="009700E5">
      <w:pPr>
        <w:ind w:right="-449"/>
        <w:rPr>
          <w:b/>
        </w:rPr>
      </w:pPr>
    </w:p>
    <w:p w14:paraId="61635A0F" w14:textId="77777777" w:rsidR="009700E5" w:rsidRDefault="002C033C">
      <w:pPr>
        <w:ind w:right="-449"/>
        <w:rPr>
          <w:b/>
          <w:bCs/>
        </w:rPr>
      </w:pPr>
      <w:r>
        <w:rPr>
          <w:b/>
          <w:bCs/>
        </w:rPr>
        <w:t>Ďalšie zdroje informácií</w:t>
      </w:r>
    </w:p>
    <w:p w14:paraId="3B82D7F4" w14:textId="77777777" w:rsidR="009700E5" w:rsidRDefault="002C033C">
      <w:pPr>
        <w:ind w:right="-449"/>
        <w:rPr>
          <w:bCs/>
        </w:rPr>
      </w:pPr>
      <w:r>
        <w:rPr>
          <w:bCs/>
        </w:rPr>
        <w:t xml:space="preserve">Podrobné informácie o tomto lieku sú dostupné na internetovej stránke Európskej agentúry pre lieky </w:t>
      </w:r>
      <w:hyperlink r:id="rId18" w:history="1">
        <w:r>
          <w:rPr>
            <w:rStyle w:val="Hyperlink"/>
            <w:bCs/>
          </w:rPr>
          <w:t>https://www.ema.europa.eu</w:t>
        </w:r>
      </w:hyperlink>
      <w:r>
        <w:rPr>
          <w:bCs/>
        </w:rPr>
        <w:t>.</w:t>
      </w:r>
    </w:p>
    <w:p w14:paraId="25A371B3" w14:textId="77777777" w:rsidR="009700E5" w:rsidRDefault="009700E5">
      <w:pPr>
        <w:ind w:right="-449"/>
      </w:pPr>
    </w:p>
    <w:p w14:paraId="0A4DB380" w14:textId="77777777" w:rsidR="009700E5" w:rsidRDefault="002C033C">
      <w:pPr>
        <w:autoSpaceDE w:val="0"/>
        <w:autoSpaceDN w:val="0"/>
        <w:adjustRightInd w:val="0"/>
        <w:rPr>
          <w:b/>
          <w:color w:val="231F20"/>
          <w:szCs w:val="22"/>
        </w:rPr>
      </w:pPr>
      <w:r>
        <w:rPr>
          <w:b/>
          <w:szCs w:val="22"/>
        </w:rPr>
        <w:br w:type="page"/>
      </w:r>
      <w:r>
        <w:rPr>
          <w:b/>
          <w:szCs w:val="22"/>
        </w:rPr>
        <w:lastRenderedPageBreak/>
        <w:t>Čo potrebujem vedieť, aby som naplnenú injekčnú striekačku RoActemry používal bezpečne</w:t>
      </w:r>
      <w:r>
        <w:rPr>
          <w:b/>
          <w:color w:val="231F20"/>
          <w:szCs w:val="22"/>
        </w:rPr>
        <w:t>?</w:t>
      </w:r>
    </w:p>
    <w:p w14:paraId="61EBF650" w14:textId="77777777" w:rsidR="009700E5" w:rsidRDefault="009700E5">
      <w:pPr>
        <w:autoSpaceDE w:val="0"/>
        <w:autoSpaceDN w:val="0"/>
        <w:adjustRightInd w:val="0"/>
        <w:rPr>
          <w:color w:val="231F20"/>
          <w:sz w:val="24"/>
          <w:szCs w:val="24"/>
        </w:rPr>
      </w:pPr>
    </w:p>
    <w:p w14:paraId="34553979" w14:textId="77777777" w:rsidR="009700E5" w:rsidRDefault="002C033C">
      <w:pPr>
        <w:autoSpaceDE w:val="0"/>
        <w:autoSpaceDN w:val="0"/>
        <w:adjustRightInd w:val="0"/>
        <w:rPr>
          <w:szCs w:val="22"/>
        </w:rPr>
      </w:pPr>
      <w:r>
        <w:rPr>
          <w:color w:val="231F20"/>
        </w:rPr>
        <w:t>Je dôležité, aby ste si prečítali, pochopili a dodržiavali tieto pokyny, aby ste vy alebo osoba, ktorá sa o vás stará, správne používali injekčnú striekačku RoActemry. Tieto pokyny nenahrádzajú inštruktáž od vášho lekára</w:t>
      </w:r>
      <w:r>
        <w:rPr>
          <w:szCs w:val="22"/>
        </w:rPr>
        <w:t xml:space="preserve">. </w:t>
      </w:r>
      <w:r>
        <w:rPr>
          <w:color w:val="231F20"/>
        </w:rPr>
        <w:t>Váš lekár vám musí ukázať, ako injekčnú striekačku RoActemry správne pripraviť a vpichnúť predtým, ako ju po prvýkrát použijete. Obráťte sa na vášho lekára s akýmikoľvek otázkami, ktoré môžete mať. Nepokúšajte sa podať si injekciu, pokým si nie ste istý, že rozumiete, ako používať injekčnú striekačku RoActemry</w:t>
      </w:r>
      <w:r>
        <w:rPr>
          <w:szCs w:val="22"/>
        </w:rPr>
        <w:t>.</w:t>
      </w:r>
    </w:p>
    <w:p w14:paraId="448AABB3" w14:textId="77777777" w:rsidR="009700E5" w:rsidRDefault="009700E5">
      <w:pPr>
        <w:autoSpaceDE w:val="0"/>
        <w:autoSpaceDN w:val="0"/>
        <w:adjustRightInd w:val="0"/>
        <w:rPr>
          <w:szCs w:val="22"/>
        </w:rPr>
      </w:pPr>
    </w:p>
    <w:p w14:paraId="16E9DC94" w14:textId="77777777" w:rsidR="009700E5" w:rsidRDefault="002C033C">
      <w:pPr>
        <w:autoSpaceDE w:val="0"/>
        <w:autoSpaceDN w:val="0"/>
        <w:adjustRightInd w:val="0"/>
        <w:rPr>
          <w:color w:val="231F20"/>
        </w:rPr>
      </w:pPr>
      <w:r>
        <w:rPr>
          <w:color w:val="231F20"/>
        </w:rPr>
        <w:t>Prečítajte si, prosím, aj písomnú informáciu pre používateľa, ktorá je priložená k injekčnej striekačke RoActemry, pre najdôležitejšie informácie, ktoré potrebujete vedieť o vašom lieku. Je dôležité, aby ste počas používania RoActemry zostali v starostlivosti vášho lekára.</w:t>
      </w:r>
    </w:p>
    <w:p w14:paraId="24BFD87C" w14:textId="77777777" w:rsidR="009700E5" w:rsidRDefault="009700E5">
      <w:pPr>
        <w:autoSpaceDE w:val="0"/>
        <w:autoSpaceDN w:val="0"/>
        <w:adjustRightInd w:val="0"/>
        <w:rPr>
          <w:szCs w:val="22"/>
        </w:rPr>
      </w:pPr>
    </w:p>
    <w:p w14:paraId="6EE0C1CB" w14:textId="77777777" w:rsidR="009700E5" w:rsidRDefault="002C033C">
      <w:pPr>
        <w:autoSpaceDE w:val="0"/>
        <w:autoSpaceDN w:val="0"/>
        <w:adjustRightInd w:val="0"/>
        <w:spacing w:after="120"/>
        <w:rPr>
          <w:b/>
          <w:color w:val="231F20"/>
          <w:szCs w:val="22"/>
        </w:rPr>
      </w:pPr>
      <w:r>
        <w:rPr>
          <w:b/>
          <w:color w:val="231F20"/>
          <w:szCs w:val="22"/>
        </w:rPr>
        <w:t>Dôležité informácie:</w:t>
      </w:r>
    </w:p>
    <w:p w14:paraId="3F778427" w14:textId="77777777" w:rsidR="009700E5" w:rsidRPr="009700E5" w:rsidRDefault="002C033C">
      <w:pPr>
        <w:pStyle w:val="ListParagraph"/>
        <w:numPr>
          <w:ilvl w:val="0"/>
          <w:numId w:val="206"/>
        </w:numPr>
        <w:autoSpaceDE w:val="0"/>
        <w:autoSpaceDN w:val="0"/>
        <w:adjustRightInd w:val="0"/>
        <w:ind w:hanging="578"/>
        <w:rPr>
          <w:color w:val="231F20"/>
          <w:rPrChange w:id="4800" w:author="Author" w:date="2026-02-16T13:22:00Z">
            <w:rPr/>
          </w:rPrChange>
        </w:rPr>
        <w:pPrChange w:id="4801" w:author="Author" w:date="2026-02-16T13:22:00Z">
          <w:pPr>
            <w:autoSpaceDE w:val="0"/>
            <w:autoSpaceDN w:val="0"/>
            <w:adjustRightInd w:val="0"/>
            <w:ind w:left="567" w:hanging="567"/>
          </w:pPr>
        </w:pPrChange>
      </w:pPr>
      <w:del w:id="4802" w:author="Author" w:date="2026-02-16T13:22:00Z">
        <w:r>
          <w:delText>•</w:delText>
        </w:r>
        <w:r>
          <w:tab/>
        </w:r>
      </w:del>
      <w:r>
        <w:rPr>
          <w:color w:val="231F20"/>
          <w:rPrChange w:id="4803" w:author="Author" w:date="2026-02-16T13:22:00Z">
            <w:rPr/>
          </w:rPrChange>
        </w:rPr>
        <w:t>Nepoužívajte injekčnú striekačku, ak javí známky poškodenia.</w:t>
      </w:r>
    </w:p>
    <w:p w14:paraId="6715AC4D" w14:textId="77777777" w:rsidR="009700E5" w:rsidRPr="009700E5" w:rsidRDefault="002C033C">
      <w:pPr>
        <w:pStyle w:val="ListParagraph"/>
        <w:numPr>
          <w:ilvl w:val="0"/>
          <w:numId w:val="206"/>
        </w:numPr>
        <w:autoSpaceDE w:val="0"/>
        <w:autoSpaceDN w:val="0"/>
        <w:adjustRightInd w:val="0"/>
        <w:ind w:hanging="578"/>
        <w:rPr>
          <w:color w:val="231F20"/>
          <w:rPrChange w:id="4804" w:author="Author" w:date="2026-02-16T13:22:00Z">
            <w:rPr/>
          </w:rPrChange>
        </w:rPr>
        <w:pPrChange w:id="4805" w:author="Author" w:date="2026-02-16T13:22:00Z">
          <w:pPr>
            <w:autoSpaceDE w:val="0"/>
            <w:autoSpaceDN w:val="0"/>
            <w:adjustRightInd w:val="0"/>
            <w:ind w:left="567" w:hanging="567"/>
          </w:pPr>
        </w:pPrChange>
      </w:pPr>
      <w:del w:id="4806" w:author="Author" w:date="2026-02-16T13:22:00Z">
        <w:r>
          <w:delText>•</w:delText>
        </w:r>
        <w:r>
          <w:tab/>
        </w:r>
      </w:del>
      <w:r>
        <w:rPr>
          <w:color w:val="231F20"/>
          <w:rPrChange w:id="4807" w:author="Author" w:date="2026-02-16T13:22:00Z">
            <w:rPr/>
          </w:rPrChange>
        </w:rPr>
        <w:t>Nepoužívajte, ak je liek zakalený, mútny, má zmenenú farbu alebo obsahuje čiastočky.</w:t>
      </w:r>
    </w:p>
    <w:p w14:paraId="457FE189" w14:textId="77777777" w:rsidR="009700E5" w:rsidRPr="009700E5" w:rsidRDefault="002C033C">
      <w:pPr>
        <w:pStyle w:val="ListParagraph"/>
        <w:numPr>
          <w:ilvl w:val="0"/>
          <w:numId w:val="206"/>
        </w:numPr>
        <w:autoSpaceDE w:val="0"/>
        <w:autoSpaceDN w:val="0"/>
        <w:adjustRightInd w:val="0"/>
        <w:ind w:hanging="578"/>
        <w:rPr>
          <w:color w:val="231F20"/>
          <w:rPrChange w:id="4808" w:author="Author" w:date="2026-02-16T13:22:00Z">
            <w:rPr/>
          </w:rPrChange>
        </w:rPr>
        <w:pPrChange w:id="4809" w:author="Author" w:date="2026-02-16T13:22:00Z">
          <w:pPr>
            <w:autoSpaceDE w:val="0"/>
            <w:autoSpaceDN w:val="0"/>
            <w:adjustRightInd w:val="0"/>
            <w:ind w:left="567" w:hanging="567"/>
          </w:pPr>
        </w:pPrChange>
      </w:pPr>
      <w:del w:id="4810" w:author="Author" w:date="2026-02-16T13:22:00Z">
        <w:r>
          <w:delText>•</w:delText>
        </w:r>
        <w:r>
          <w:tab/>
        </w:r>
      </w:del>
      <w:r>
        <w:rPr>
          <w:color w:val="231F20"/>
          <w:rPrChange w:id="4811" w:author="Author" w:date="2026-02-16T13:22:00Z">
            <w:rPr/>
          </w:rPrChange>
        </w:rPr>
        <w:t>Nikdy sa nepokúšajte injekčnú striekačku rozobrať.</w:t>
      </w:r>
    </w:p>
    <w:p w14:paraId="55FC1D42" w14:textId="77777777" w:rsidR="009700E5" w:rsidRPr="009700E5" w:rsidRDefault="002C033C">
      <w:pPr>
        <w:pStyle w:val="ListParagraph"/>
        <w:numPr>
          <w:ilvl w:val="0"/>
          <w:numId w:val="206"/>
        </w:numPr>
        <w:autoSpaceDE w:val="0"/>
        <w:autoSpaceDN w:val="0"/>
        <w:adjustRightInd w:val="0"/>
        <w:ind w:hanging="578"/>
        <w:rPr>
          <w:color w:val="231F20"/>
          <w:rPrChange w:id="4812" w:author="Author" w:date="2026-02-16T13:22:00Z">
            <w:rPr/>
          </w:rPrChange>
        </w:rPr>
        <w:pPrChange w:id="4813" w:author="Author" w:date="2026-02-16T13:22:00Z">
          <w:pPr>
            <w:autoSpaceDE w:val="0"/>
            <w:autoSpaceDN w:val="0"/>
            <w:adjustRightInd w:val="0"/>
            <w:ind w:left="567" w:hanging="567"/>
          </w:pPr>
        </w:pPrChange>
      </w:pPr>
      <w:del w:id="4814" w:author="Author" w:date="2026-02-16T13:22:00Z">
        <w:r>
          <w:delText>•</w:delText>
        </w:r>
        <w:r>
          <w:tab/>
        </w:r>
      </w:del>
      <w:r>
        <w:rPr>
          <w:color w:val="231F20"/>
          <w:rPrChange w:id="4815" w:author="Author" w:date="2026-02-16T13:22:00Z">
            <w:rPr/>
          </w:rPrChange>
        </w:rPr>
        <w:t>Neodstráňte viečko ihly, pokým nie ste pripravený podať si injekciu.</w:t>
      </w:r>
    </w:p>
    <w:p w14:paraId="43FB5AAC" w14:textId="77777777" w:rsidR="009700E5" w:rsidRPr="009700E5" w:rsidRDefault="002C033C">
      <w:pPr>
        <w:pStyle w:val="ListParagraph"/>
        <w:numPr>
          <w:ilvl w:val="0"/>
          <w:numId w:val="206"/>
        </w:numPr>
        <w:autoSpaceDE w:val="0"/>
        <w:autoSpaceDN w:val="0"/>
        <w:adjustRightInd w:val="0"/>
        <w:ind w:hanging="578"/>
        <w:rPr>
          <w:color w:val="231F20"/>
          <w:rPrChange w:id="4816" w:author="Author" w:date="2026-02-16T13:22:00Z">
            <w:rPr/>
          </w:rPrChange>
        </w:rPr>
        <w:pPrChange w:id="4817" w:author="Author" w:date="2026-02-16T13:22:00Z">
          <w:pPr>
            <w:autoSpaceDE w:val="0"/>
            <w:autoSpaceDN w:val="0"/>
            <w:adjustRightInd w:val="0"/>
            <w:ind w:left="567" w:hanging="567"/>
          </w:pPr>
        </w:pPrChange>
      </w:pPr>
      <w:del w:id="4818" w:author="Author" w:date="2026-02-16T13:22:00Z">
        <w:r>
          <w:delText>•</w:delText>
        </w:r>
        <w:r>
          <w:tab/>
        </w:r>
      </w:del>
      <w:r>
        <w:rPr>
          <w:color w:val="231F20"/>
          <w:rPrChange w:id="4819" w:author="Author" w:date="2026-02-16T13:22:00Z">
            <w:rPr/>
          </w:rPrChange>
        </w:rPr>
        <w:t>Nepodávajte si injekciu cez oblečenie pokrývajúce kožu.</w:t>
      </w:r>
    </w:p>
    <w:p w14:paraId="1CD24F54" w14:textId="77777777" w:rsidR="009700E5" w:rsidRPr="009700E5" w:rsidRDefault="002C033C">
      <w:pPr>
        <w:pStyle w:val="ListParagraph"/>
        <w:numPr>
          <w:ilvl w:val="0"/>
          <w:numId w:val="206"/>
        </w:numPr>
        <w:autoSpaceDE w:val="0"/>
        <w:autoSpaceDN w:val="0"/>
        <w:adjustRightInd w:val="0"/>
        <w:ind w:hanging="578"/>
        <w:rPr>
          <w:color w:val="231F20"/>
          <w:rPrChange w:id="4820" w:author="Author" w:date="2026-02-16T13:22:00Z">
            <w:rPr/>
          </w:rPrChange>
        </w:rPr>
        <w:pPrChange w:id="4821" w:author="Author" w:date="2026-02-16T13:22:00Z">
          <w:pPr>
            <w:autoSpaceDE w:val="0"/>
            <w:autoSpaceDN w:val="0"/>
            <w:adjustRightInd w:val="0"/>
            <w:ind w:left="567" w:hanging="567"/>
          </w:pPr>
        </w:pPrChange>
      </w:pPr>
      <w:del w:id="4822" w:author="Author" w:date="2026-02-16T13:22:00Z">
        <w:r>
          <w:delText>•</w:delText>
        </w:r>
        <w:r>
          <w:tab/>
        </w:r>
      </w:del>
      <w:r>
        <w:rPr>
          <w:color w:val="231F20"/>
          <w:rPrChange w:id="4823" w:author="Author" w:date="2026-02-16T13:22:00Z">
            <w:rPr/>
          </w:rPrChange>
        </w:rPr>
        <w:t>Nikdy opakovane nepoužívajte rovnakú injekčnú striekačku.</w:t>
      </w:r>
    </w:p>
    <w:p w14:paraId="4B3A10FF" w14:textId="77777777" w:rsidR="009700E5" w:rsidRPr="009700E5" w:rsidRDefault="002C033C">
      <w:pPr>
        <w:pStyle w:val="ListParagraph"/>
        <w:numPr>
          <w:ilvl w:val="0"/>
          <w:numId w:val="206"/>
        </w:numPr>
        <w:autoSpaceDE w:val="0"/>
        <w:autoSpaceDN w:val="0"/>
        <w:adjustRightInd w:val="0"/>
        <w:ind w:hanging="578"/>
        <w:rPr>
          <w:color w:val="231F20"/>
          <w:rPrChange w:id="4824" w:author="Author" w:date="2026-02-16T13:22:00Z">
            <w:rPr/>
          </w:rPrChange>
        </w:rPr>
        <w:pPrChange w:id="4825" w:author="Author" w:date="2026-02-16T13:22:00Z">
          <w:pPr>
            <w:autoSpaceDE w:val="0"/>
            <w:autoSpaceDN w:val="0"/>
            <w:adjustRightInd w:val="0"/>
            <w:ind w:left="567" w:hanging="567"/>
          </w:pPr>
        </w:pPrChange>
      </w:pPr>
      <w:del w:id="4826" w:author="Author" w:date="2026-02-16T13:22:00Z">
        <w:r>
          <w:delText>•</w:delText>
        </w:r>
        <w:r>
          <w:tab/>
        </w:r>
      </w:del>
      <w:r>
        <w:rPr>
          <w:color w:val="231F20"/>
          <w:rPrChange w:id="4827" w:author="Author" w:date="2026-02-16T13:22:00Z">
            <w:rPr/>
          </w:rPrChange>
        </w:rPr>
        <w:t>Nedotýkajte sa spúšťacích výbežkov na injekčnej striekačke, pretože to môže poškodiť injekčnú striekačku.</w:t>
      </w:r>
    </w:p>
    <w:p w14:paraId="0DAAEB6B" w14:textId="77777777" w:rsidR="009700E5" w:rsidRDefault="009700E5">
      <w:pPr>
        <w:autoSpaceDE w:val="0"/>
        <w:autoSpaceDN w:val="0"/>
        <w:adjustRightInd w:val="0"/>
        <w:rPr>
          <w:szCs w:val="22"/>
        </w:rPr>
      </w:pPr>
    </w:p>
    <w:p w14:paraId="7116271C" w14:textId="77777777" w:rsidR="009700E5" w:rsidRDefault="002C033C">
      <w:pPr>
        <w:autoSpaceDE w:val="0"/>
        <w:autoSpaceDN w:val="0"/>
        <w:adjustRightInd w:val="0"/>
        <w:spacing w:after="120"/>
        <w:rPr>
          <w:b/>
          <w:color w:val="231F20"/>
          <w:szCs w:val="22"/>
        </w:rPr>
      </w:pPr>
      <w:r>
        <w:rPr>
          <w:b/>
          <w:color w:val="231F20"/>
          <w:szCs w:val="22"/>
        </w:rPr>
        <w:t>Uchovávanie</w:t>
      </w:r>
    </w:p>
    <w:p w14:paraId="79E742B2" w14:textId="77777777" w:rsidR="009700E5" w:rsidRDefault="002C033C">
      <w:pPr>
        <w:rPr>
          <w:color w:val="231F20"/>
        </w:rPr>
      </w:pPr>
      <w:r>
        <w:rPr>
          <w:color w:val="231F20"/>
        </w:rPr>
        <w:t>Injekčnú striekačku RoActemry a všetky lieky uchovávajte mimo dohľadu a dosahu detí. Injekčnú striekačku vždy uchovávajte v chladničke pri teplote 2 </w:t>
      </w:r>
      <w:r>
        <w:rPr>
          <w:szCs w:val="22"/>
        </w:rPr>
        <w:t>°</w:t>
      </w:r>
      <w:r>
        <w:rPr>
          <w:color w:val="231F20"/>
        </w:rPr>
        <w:t>C </w:t>
      </w:r>
      <w:r>
        <w:rPr>
          <w:color w:val="231F20"/>
        </w:rPr>
        <w:noBreakHyphen/>
        <w:t> 8 </w:t>
      </w:r>
      <w:r>
        <w:rPr>
          <w:szCs w:val="22"/>
        </w:rPr>
        <w:t>°</w:t>
      </w:r>
      <w:r>
        <w:rPr>
          <w:color w:val="231F20"/>
        </w:rPr>
        <w:t xml:space="preserve">C. </w:t>
      </w:r>
      <w:r>
        <w:t xml:space="preserve">Po vybratí z chladničky možno naplnenú injekčnú striekačku uchovávať až počas celkovej doby 2 týždne pri teplote do 30 °C, </w:t>
      </w:r>
      <w:r>
        <w:rPr>
          <w:szCs w:val="22"/>
        </w:rPr>
        <w:t>nesmie sa však prekročiť pôvodný dátum exspirácie (EXP)</w:t>
      </w:r>
      <w:r>
        <w:t xml:space="preserve">. </w:t>
      </w:r>
      <w:r>
        <w:rPr>
          <w:szCs w:val="22"/>
        </w:rPr>
        <w:t>Označte príslušný dátum na škatuli.</w:t>
      </w:r>
      <w:r>
        <w:t xml:space="preserve"> Naplnená injekčná striekačka sa musí vždy uchovávať vo vonkajšom obale. </w:t>
      </w:r>
      <w:r>
        <w:rPr>
          <w:color w:val="231F20"/>
        </w:rPr>
        <w:t>Injekčnú striekačku chráňte pred zmrznutím a pred svetlom. Injekčné striekačky uchovávajte v suchu.</w:t>
      </w:r>
    </w:p>
    <w:p w14:paraId="37F6ABAA" w14:textId="77777777" w:rsidR="009700E5" w:rsidRDefault="009700E5">
      <w:pPr>
        <w:rPr>
          <w:szCs w:val="22"/>
        </w:rPr>
      </w:pPr>
    </w:p>
    <w:p w14:paraId="0D245C1F" w14:textId="77777777" w:rsidR="009700E5" w:rsidRDefault="002C033C">
      <w:pPr>
        <w:autoSpaceDE w:val="0"/>
        <w:autoSpaceDN w:val="0"/>
        <w:adjustRightInd w:val="0"/>
        <w:rPr>
          <w:b/>
          <w:szCs w:val="22"/>
        </w:rPr>
      </w:pPr>
      <w:r>
        <w:rPr>
          <w:b/>
          <w:szCs w:val="22"/>
        </w:rPr>
        <w:t>Časti naplnenej injekčnej striekačky</w:t>
      </w:r>
    </w:p>
    <w:p w14:paraId="46EED00D" w14:textId="77777777" w:rsidR="009700E5" w:rsidRDefault="002C033C">
      <w:pPr>
        <w:autoSpaceDE w:val="0"/>
        <w:autoSpaceDN w:val="0"/>
        <w:adjustRightInd w:val="0"/>
        <w:spacing w:after="120"/>
        <w:rPr>
          <w:rFonts w:ascii="HelveticaNeueLTPro-Bd" w:hAnsi="HelveticaNeueLTPro-Bd" w:cs="HelveticaNeueLTPro-Bd"/>
          <w:sz w:val="20"/>
        </w:rPr>
      </w:pPr>
      <w:r>
        <w:rPr>
          <w:lang w:val="en-US" w:eastAsia="en-US"/>
        </w:rPr>
        <w:drawing>
          <wp:inline distT="0" distB="0" distL="0" distR="0" wp14:anchorId="07AC8111" wp14:editId="7FE029AF">
            <wp:extent cx="2781300" cy="2343150"/>
            <wp:effectExtent l="0" t="0" r="0" b="0"/>
            <wp:docPr id="1"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1300" cy="2343150"/>
                    </a:xfrm>
                    <a:prstGeom prst="rect">
                      <a:avLst/>
                    </a:prstGeom>
                    <a:noFill/>
                    <a:ln>
                      <a:noFill/>
                    </a:ln>
                  </pic:spPr>
                </pic:pic>
              </a:graphicData>
            </a:graphic>
          </wp:inline>
        </w:drawing>
      </w:r>
    </w:p>
    <w:p w14:paraId="52B064CE" w14:textId="77777777" w:rsidR="009700E5" w:rsidRDefault="002C033C">
      <w:pPr>
        <w:autoSpaceDE w:val="0"/>
        <w:autoSpaceDN w:val="0"/>
        <w:adjustRightInd w:val="0"/>
        <w:rPr>
          <w:szCs w:val="22"/>
        </w:rPr>
      </w:pPr>
      <w:r>
        <w:rPr>
          <w:szCs w:val="22"/>
        </w:rPr>
        <w:t>Na podanie vašej injekcie budete potrebovať nasledujúce:</w:t>
      </w:r>
    </w:p>
    <w:p w14:paraId="541803C2" w14:textId="77777777" w:rsidR="009700E5" w:rsidRDefault="002C033C">
      <w:pPr>
        <w:autoSpaceDE w:val="0"/>
        <w:autoSpaceDN w:val="0"/>
        <w:adjustRightInd w:val="0"/>
        <w:rPr>
          <w:szCs w:val="22"/>
        </w:rPr>
      </w:pPr>
      <w:r>
        <w:rPr>
          <w:color w:val="231F20"/>
        </w:rPr>
        <w:t>Obsiahnuté v balení</w:t>
      </w:r>
      <w:r>
        <w:rPr>
          <w:szCs w:val="22"/>
        </w:rPr>
        <w:t>:</w:t>
      </w:r>
    </w:p>
    <w:p w14:paraId="385509E9" w14:textId="77777777" w:rsidR="009700E5" w:rsidRDefault="002C033C">
      <w:pPr>
        <w:pStyle w:val="ListParagraph"/>
        <w:numPr>
          <w:ilvl w:val="0"/>
          <w:numId w:val="114"/>
        </w:numPr>
        <w:autoSpaceDE w:val="0"/>
        <w:autoSpaceDN w:val="0"/>
        <w:adjustRightInd w:val="0"/>
        <w:ind w:left="851" w:hanging="425"/>
        <w:rPr>
          <w:szCs w:val="22"/>
        </w:rPr>
        <w:pPrChange w:id="4828" w:author="Author" w:date="2026-02-13T08:52:00Z">
          <w:pPr>
            <w:autoSpaceDE w:val="0"/>
            <w:autoSpaceDN w:val="0"/>
            <w:adjustRightInd w:val="0"/>
            <w:ind w:left="567" w:hanging="567"/>
          </w:pPr>
        </w:pPrChange>
      </w:pPr>
      <w:del w:id="4829" w:author="Author" w:date="2026-02-13T08:46:00Z">
        <w:r>
          <w:delText>•</w:delText>
        </w:r>
        <w:r>
          <w:tab/>
        </w:r>
      </w:del>
      <w:r>
        <w:rPr>
          <w:szCs w:val="22"/>
        </w:rPr>
        <w:t>Naplnenú injekčnú striekačku</w:t>
      </w:r>
    </w:p>
    <w:p w14:paraId="316A00B8" w14:textId="77777777" w:rsidR="009700E5" w:rsidRDefault="009700E5">
      <w:pPr>
        <w:autoSpaceDE w:val="0"/>
        <w:autoSpaceDN w:val="0"/>
        <w:adjustRightInd w:val="0"/>
        <w:ind w:hanging="425"/>
        <w:rPr>
          <w:color w:val="231F20"/>
        </w:rPr>
        <w:pPrChange w:id="4830" w:author="Author" w:date="2025-07-20T21:47:00Z">
          <w:pPr>
            <w:autoSpaceDE w:val="0"/>
            <w:autoSpaceDN w:val="0"/>
            <w:adjustRightInd w:val="0"/>
          </w:pPr>
        </w:pPrChange>
      </w:pPr>
    </w:p>
    <w:p w14:paraId="4AAA5AD9" w14:textId="77777777" w:rsidR="009700E5" w:rsidRDefault="002C033C">
      <w:pPr>
        <w:autoSpaceDE w:val="0"/>
        <w:autoSpaceDN w:val="0"/>
        <w:adjustRightInd w:val="0"/>
        <w:rPr>
          <w:szCs w:val="22"/>
        </w:rPr>
      </w:pPr>
      <w:r>
        <w:rPr>
          <w:color w:val="231F20"/>
        </w:rPr>
        <w:t>Neobsiahnuté v balení</w:t>
      </w:r>
      <w:r>
        <w:rPr>
          <w:szCs w:val="22"/>
        </w:rPr>
        <w:t>:</w:t>
      </w:r>
    </w:p>
    <w:p w14:paraId="046C2608" w14:textId="77777777" w:rsidR="009700E5" w:rsidRDefault="002C033C">
      <w:pPr>
        <w:pStyle w:val="ListParagraph"/>
        <w:numPr>
          <w:ilvl w:val="0"/>
          <w:numId w:val="116"/>
        </w:numPr>
        <w:autoSpaceDE w:val="0"/>
        <w:autoSpaceDN w:val="0"/>
        <w:adjustRightInd w:val="0"/>
        <w:ind w:hanging="436"/>
        <w:rPr>
          <w:szCs w:val="22"/>
        </w:rPr>
        <w:pPrChange w:id="4831" w:author="Author" w:date="2026-02-13T08:53:00Z">
          <w:pPr>
            <w:autoSpaceDE w:val="0"/>
            <w:autoSpaceDN w:val="0"/>
            <w:adjustRightInd w:val="0"/>
            <w:ind w:left="567" w:hanging="567"/>
          </w:pPr>
        </w:pPrChange>
      </w:pPr>
      <w:del w:id="4832" w:author="Author" w:date="2026-02-13T08:47:00Z">
        <w:r>
          <w:delText>•</w:delText>
        </w:r>
        <w:r>
          <w:tab/>
        </w:r>
      </w:del>
      <w:r>
        <w:rPr>
          <w:color w:val="231F20"/>
          <w:rPrChange w:id="4833" w:author="Author" w:date="2026-02-13T08:47:00Z">
            <w:rPr/>
          </w:rPrChange>
        </w:rPr>
        <w:t>Alkoholom napustený tampón</w:t>
      </w:r>
    </w:p>
    <w:p w14:paraId="43FBA34C" w14:textId="77777777" w:rsidR="009700E5" w:rsidRDefault="002C033C">
      <w:pPr>
        <w:pStyle w:val="ListParagraph"/>
        <w:numPr>
          <w:ilvl w:val="0"/>
          <w:numId w:val="118"/>
        </w:numPr>
        <w:autoSpaceDE w:val="0"/>
        <w:autoSpaceDN w:val="0"/>
        <w:adjustRightInd w:val="0"/>
        <w:ind w:hanging="436"/>
        <w:rPr>
          <w:szCs w:val="22"/>
        </w:rPr>
        <w:pPrChange w:id="4834" w:author="Author" w:date="2026-02-13T08:53:00Z">
          <w:pPr>
            <w:autoSpaceDE w:val="0"/>
            <w:autoSpaceDN w:val="0"/>
            <w:adjustRightInd w:val="0"/>
            <w:ind w:left="567" w:hanging="567"/>
          </w:pPr>
        </w:pPrChange>
      </w:pPr>
      <w:del w:id="4835" w:author="Author" w:date="2026-02-13T08:47:00Z">
        <w:r>
          <w:delText>•</w:delText>
        </w:r>
        <w:r>
          <w:tab/>
        </w:r>
      </w:del>
      <w:r>
        <w:rPr>
          <w:color w:val="231F20"/>
          <w:rPrChange w:id="4836" w:author="Author" w:date="2026-02-13T08:47:00Z">
            <w:rPr/>
          </w:rPrChange>
        </w:rPr>
        <w:t>Sterilný vatový tampón alebo gázu</w:t>
      </w:r>
    </w:p>
    <w:p w14:paraId="27B482C3" w14:textId="77777777" w:rsidR="009700E5" w:rsidRDefault="002C033C">
      <w:pPr>
        <w:pStyle w:val="ListParagraph"/>
        <w:numPr>
          <w:ilvl w:val="0"/>
          <w:numId w:val="120"/>
        </w:numPr>
        <w:autoSpaceDE w:val="0"/>
        <w:autoSpaceDN w:val="0"/>
        <w:adjustRightInd w:val="0"/>
        <w:ind w:hanging="436"/>
        <w:rPr>
          <w:szCs w:val="22"/>
        </w:rPr>
        <w:pPrChange w:id="4837" w:author="Author" w:date="2026-02-13T08:53:00Z">
          <w:pPr>
            <w:autoSpaceDE w:val="0"/>
            <w:autoSpaceDN w:val="0"/>
            <w:adjustRightInd w:val="0"/>
            <w:ind w:left="567" w:hanging="567"/>
          </w:pPr>
        </w:pPrChange>
      </w:pPr>
      <w:del w:id="4838" w:author="Author" w:date="2026-02-13T08:48:00Z">
        <w:r>
          <w:lastRenderedPageBreak/>
          <w:delText>•</w:delText>
        </w:r>
        <w:r>
          <w:tab/>
        </w:r>
      </w:del>
      <w:r>
        <w:rPr>
          <w:color w:val="231F20"/>
          <w:rPrChange w:id="4839" w:author="Author" w:date="2026-02-13T08:48:00Z">
            <w:rPr/>
          </w:rPrChange>
        </w:rPr>
        <w:t>Nádobu odolnú proti prepichnutiu alebo nádobu na ostré predmety na bezpečnú likvidáciu viečka ihly a použitej injekčnej striekačky</w:t>
      </w:r>
    </w:p>
    <w:p w14:paraId="530938BF" w14:textId="77777777" w:rsidR="009700E5" w:rsidRDefault="002C033C">
      <w:pPr>
        <w:keepNext/>
        <w:keepLines/>
        <w:autoSpaceDE w:val="0"/>
        <w:autoSpaceDN w:val="0"/>
        <w:adjustRightInd w:val="0"/>
        <w:rPr>
          <w:szCs w:val="22"/>
        </w:rPr>
      </w:pPr>
      <w:r>
        <w:rPr>
          <w:color w:val="231F20"/>
        </w:rPr>
        <w:t>Miesto na prípravu vašich pomôcok</w:t>
      </w:r>
      <w:r>
        <w:rPr>
          <w:szCs w:val="22"/>
        </w:rPr>
        <w:t>:</w:t>
      </w:r>
    </w:p>
    <w:p w14:paraId="23D2E349" w14:textId="77777777" w:rsidR="009700E5" w:rsidRPr="009700E5" w:rsidRDefault="002C033C">
      <w:pPr>
        <w:pStyle w:val="ListParagraph"/>
        <w:keepNext/>
        <w:keepLines/>
        <w:numPr>
          <w:ilvl w:val="0"/>
          <w:numId w:val="122"/>
        </w:numPr>
        <w:autoSpaceDE w:val="0"/>
        <w:autoSpaceDN w:val="0"/>
        <w:adjustRightInd w:val="0"/>
        <w:ind w:hanging="436"/>
        <w:rPr>
          <w:color w:val="231F20"/>
          <w:rPrChange w:id="4840" w:author="Author" w:date="2026-02-13T08:54:00Z">
            <w:rPr/>
          </w:rPrChange>
        </w:rPr>
        <w:pPrChange w:id="4841" w:author="Author" w:date="2026-02-13T08:54:00Z">
          <w:pPr>
            <w:keepNext/>
            <w:keepLines/>
            <w:autoSpaceDE w:val="0"/>
            <w:autoSpaceDN w:val="0"/>
            <w:adjustRightInd w:val="0"/>
            <w:ind w:left="567" w:hanging="567"/>
          </w:pPr>
        </w:pPrChange>
      </w:pPr>
      <w:del w:id="4842" w:author="Author" w:date="2026-02-13T08:48:00Z">
        <w:r>
          <w:delText>•</w:delText>
        </w:r>
        <w:r>
          <w:tab/>
        </w:r>
      </w:del>
      <w:r>
        <w:rPr>
          <w:color w:val="231F20"/>
          <w:rPrChange w:id="4843" w:author="Author" w:date="2026-02-13T08:54:00Z">
            <w:rPr/>
          </w:rPrChange>
        </w:rPr>
        <w:t>Nájdite si dobre osvetlený, čistý, rovný povrch ako napríklad stôl</w:t>
      </w:r>
    </w:p>
    <w:p w14:paraId="6C663092" w14:textId="77777777" w:rsidR="009700E5" w:rsidRDefault="009700E5">
      <w:pPr>
        <w:keepNext/>
        <w:keepLines/>
        <w:autoSpaceDE w:val="0"/>
        <w:autoSpaceDN w:val="0"/>
        <w:adjustRightInd w:val="0"/>
        <w:rPr>
          <w:szCs w:val="22"/>
        </w:rPr>
      </w:pPr>
    </w:p>
    <w:p w14:paraId="27625511" w14:textId="77777777" w:rsidR="009700E5" w:rsidRDefault="009700E5">
      <w:pPr>
        <w:autoSpaceDE w:val="0"/>
        <w:autoSpaceDN w:val="0"/>
        <w:adjustRightInd w:val="0"/>
        <w:rPr>
          <w:szCs w:val="22"/>
        </w:rPr>
      </w:pPr>
    </w:p>
    <w:p w14:paraId="026622C1" w14:textId="77777777" w:rsidR="009700E5" w:rsidRDefault="002C033C">
      <w:pPr>
        <w:autoSpaceDE w:val="0"/>
        <w:autoSpaceDN w:val="0"/>
        <w:adjustRightInd w:val="0"/>
        <w:rPr>
          <w:b/>
          <w:szCs w:val="22"/>
        </w:rPr>
      </w:pPr>
      <w:r>
        <w:rPr>
          <w:b/>
          <w:szCs w:val="22"/>
        </w:rPr>
        <w:t>1. krok Injekčnú striekačku skontrolujte zrakom</w:t>
      </w:r>
    </w:p>
    <w:p w14:paraId="234FF4B9" w14:textId="77777777" w:rsidR="009700E5" w:rsidRDefault="009700E5">
      <w:pPr>
        <w:autoSpaceDE w:val="0"/>
        <w:autoSpaceDN w:val="0"/>
        <w:adjustRightInd w:val="0"/>
        <w:rPr>
          <w:szCs w:val="22"/>
        </w:rPr>
      </w:pPr>
    </w:p>
    <w:p w14:paraId="4D6C0FEF" w14:textId="77777777" w:rsidR="009700E5" w:rsidRDefault="002C033C">
      <w:pPr>
        <w:pStyle w:val="ListParagraph"/>
        <w:numPr>
          <w:ilvl w:val="0"/>
          <w:numId w:val="124"/>
        </w:numPr>
        <w:autoSpaceDE w:val="0"/>
        <w:autoSpaceDN w:val="0"/>
        <w:adjustRightInd w:val="0"/>
        <w:ind w:hanging="436"/>
        <w:rPr>
          <w:szCs w:val="22"/>
        </w:rPr>
        <w:pPrChange w:id="4844" w:author="Author" w:date="2026-02-13T08:54:00Z">
          <w:pPr>
            <w:autoSpaceDE w:val="0"/>
            <w:autoSpaceDN w:val="0"/>
            <w:adjustRightInd w:val="0"/>
            <w:ind w:left="567" w:hanging="567"/>
          </w:pPr>
        </w:pPrChange>
      </w:pPr>
      <w:del w:id="4845" w:author="Author" w:date="2026-02-13T08:48:00Z">
        <w:r>
          <w:rPr>
            <w:szCs w:val="22"/>
          </w:rPr>
          <w:delText>•</w:delText>
        </w:r>
        <w:r>
          <w:rPr>
            <w:szCs w:val="22"/>
          </w:rPr>
          <w:tab/>
        </w:r>
      </w:del>
      <w:r>
        <w:rPr>
          <w:color w:val="000000"/>
        </w:rPr>
        <w:t>Vyberte škatuľu obsahujúcu injekčnú striekačku z chladničky a otvorte škatuľu</w:t>
      </w:r>
      <w:r>
        <w:rPr>
          <w:szCs w:val="22"/>
        </w:rPr>
        <w:t>. Nedotýkajte sa spúšťacích výbežkov na injekčnej striekačke, pretože to môže poškodiť injekčnú striekačku.</w:t>
      </w:r>
    </w:p>
    <w:p w14:paraId="45AC338B" w14:textId="77777777" w:rsidR="009700E5" w:rsidRDefault="002C033C">
      <w:pPr>
        <w:pStyle w:val="ListParagraph"/>
        <w:numPr>
          <w:ilvl w:val="0"/>
          <w:numId w:val="126"/>
        </w:numPr>
        <w:autoSpaceDE w:val="0"/>
        <w:autoSpaceDN w:val="0"/>
        <w:adjustRightInd w:val="0"/>
        <w:ind w:hanging="436"/>
        <w:rPr>
          <w:szCs w:val="22"/>
        </w:rPr>
        <w:pPrChange w:id="4846" w:author="Author" w:date="2026-02-13T08:54:00Z">
          <w:pPr>
            <w:autoSpaceDE w:val="0"/>
            <w:autoSpaceDN w:val="0"/>
            <w:adjustRightInd w:val="0"/>
            <w:ind w:left="567" w:hanging="567"/>
          </w:pPr>
        </w:pPrChange>
      </w:pPr>
      <w:del w:id="4847" w:author="Author" w:date="2026-02-13T08:48:00Z">
        <w:r>
          <w:rPr>
            <w:szCs w:val="22"/>
          </w:rPr>
          <w:delText>•</w:delText>
        </w:r>
        <w:r>
          <w:rPr>
            <w:szCs w:val="22"/>
          </w:rPr>
          <w:tab/>
        </w:r>
      </w:del>
      <w:r>
        <w:rPr>
          <w:szCs w:val="22"/>
        </w:rPr>
        <w:t>Vytiahnite injekčnú striekačku zo škatule a z</w:t>
      </w:r>
      <w:r>
        <w:rPr>
          <w:color w:val="000000"/>
        </w:rPr>
        <w:t>rakom skontrolujte injekčnú striekačku ako aj liek v injekčnej striekačke</w:t>
      </w:r>
      <w:r>
        <w:rPr>
          <w:szCs w:val="22"/>
        </w:rPr>
        <w:t>. Je to dôležité, aby sa zaistilo, že sa injekčná striekačka a liek môžu bezpečne použiť.</w:t>
      </w:r>
    </w:p>
    <w:p w14:paraId="7A422EAA" w14:textId="77777777" w:rsidR="009700E5" w:rsidRDefault="002C033C">
      <w:pPr>
        <w:pStyle w:val="ListParagraph"/>
        <w:numPr>
          <w:ilvl w:val="0"/>
          <w:numId w:val="128"/>
        </w:numPr>
        <w:autoSpaceDE w:val="0"/>
        <w:autoSpaceDN w:val="0"/>
        <w:adjustRightInd w:val="0"/>
        <w:ind w:hanging="436"/>
        <w:rPr>
          <w:szCs w:val="22"/>
        </w:rPr>
        <w:pPrChange w:id="4848" w:author="Author" w:date="2026-02-13T08:54:00Z">
          <w:pPr>
            <w:autoSpaceDE w:val="0"/>
            <w:autoSpaceDN w:val="0"/>
            <w:adjustRightInd w:val="0"/>
            <w:ind w:left="567" w:hanging="567"/>
          </w:pPr>
        </w:pPrChange>
      </w:pPr>
      <w:del w:id="4849" w:author="Author" w:date="2026-02-13T08:48:00Z">
        <w:r>
          <w:rPr>
            <w:szCs w:val="22"/>
          </w:rPr>
          <w:delText>•</w:delText>
        </w:r>
        <w:r>
          <w:rPr>
            <w:szCs w:val="22"/>
          </w:rPr>
          <w:tab/>
        </w:r>
      </w:del>
      <w:r>
        <w:rPr>
          <w:color w:val="231F20"/>
          <w:rPrChange w:id="4850" w:author="Author" w:date="2026-02-13T08:48:00Z">
            <w:rPr/>
          </w:rPrChange>
        </w:rPr>
        <w:t>Skontrolujte dátum exspirácie na škatuli a na injekčnej striekačke (pozri obr. A), aby ste sa uistili, že ešte neuplynul (neexspiroval). Nepoužívajte injekčnú striekačku, ak dátum exspirácie uplynul</w:t>
      </w:r>
      <w:r>
        <w:rPr>
          <w:szCs w:val="22"/>
        </w:rPr>
        <w:t>. Je to dôležité, aby sa zaistilo, že sa injekčná striekačka a liek môžu bezpečne použiť.</w:t>
      </w:r>
    </w:p>
    <w:p w14:paraId="5805216C" w14:textId="77777777" w:rsidR="009700E5" w:rsidRDefault="009700E5">
      <w:pPr>
        <w:autoSpaceDE w:val="0"/>
        <w:autoSpaceDN w:val="0"/>
        <w:adjustRightInd w:val="0"/>
        <w:ind w:left="720"/>
        <w:rPr>
          <w:szCs w:val="22"/>
        </w:rPr>
      </w:pPr>
    </w:p>
    <w:p w14:paraId="57E01B34" w14:textId="77777777" w:rsidR="009700E5" w:rsidRDefault="002C033C">
      <w:pPr>
        <w:autoSpaceDE w:val="0"/>
        <w:autoSpaceDN w:val="0"/>
        <w:adjustRightInd w:val="0"/>
        <w:spacing w:after="120"/>
        <w:rPr>
          <w:rFonts w:ascii="HelveticaNeueLTPro-Roman" w:hAnsi="HelveticaNeueLTPro-Roman" w:cs="HelveticaNeueLTPro-Roman"/>
          <w:sz w:val="20"/>
        </w:rPr>
      </w:pPr>
      <w:r>
        <w:rPr>
          <w:lang w:val="en-US" w:eastAsia="en-US"/>
        </w:rPr>
        <w:drawing>
          <wp:inline distT="0" distB="0" distL="0" distR="0" wp14:anchorId="55AC2DD6" wp14:editId="49674FF8">
            <wp:extent cx="2486025" cy="904875"/>
            <wp:effectExtent l="0" t="0" r="0" b="0"/>
            <wp:docPr id="2"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6025" cy="904875"/>
                    </a:xfrm>
                    <a:prstGeom prst="rect">
                      <a:avLst/>
                    </a:prstGeom>
                    <a:noFill/>
                    <a:ln>
                      <a:noFill/>
                    </a:ln>
                  </pic:spPr>
                </pic:pic>
              </a:graphicData>
            </a:graphic>
          </wp:inline>
        </w:drawing>
      </w:r>
    </w:p>
    <w:p w14:paraId="4B80741B" w14:textId="77777777" w:rsidR="009700E5" w:rsidRDefault="009700E5">
      <w:pPr>
        <w:autoSpaceDE w:val="0"/>
        <w:autoSpaceDN w:val="0"/>
        <w:adjustRightInd w:val="0"/>
        <w:rPr>
          <w:szCs w:val="22"/>
        </w:rPr>
      </w:pPr>
    </w:p>
    <w:p w14:paraId="19F2FDF6" w14:textId="77777777" w:rsidR="009700E5" w:rsidRDefault="002C033C">
      <w:pPr>
        <w:keepNext/>
        <w:keepLines/>
        <w:autoSpaceDE w:val="0"/>
        <w:autoSpaceDN w:val="0"/>
        <w:adjustRightInd w:val="0"/>
        <w:rPr>
          <w:szCs w:val="22"/>
        </w:rPr>
      </w:pPr>
      <w:r>
        <w:rPr>
          <w:szCs w:val="22"/>
        </w:rPr>
        <w:t>Zlikvidujte injekčnú striekačku a nepoužívajte ju, ak:</w:t>
      </w:r>
    </w:p>
    <w:p w14:paraId="1A058B27" w14:textId="77777777" w:rsidR="009700E5" w:rsidRDefault="002C033C">
      <w:pPr>
        <w:pStyle w:val="ListParagraph"/>
        <w:keepNext/>
        <w:keepLines/>
        <w:numPr>
          <w:ilvl w:val="0"/>
          <w:numId w:val="130"/>
        </w:numPr>
        <w:autoSpaceDE w:val="0"/>
        <w:autoSpaceDN w:val="0"/>
        <w:adjustRightInd w:val="0"/>
        <w:ind w:left="851" w:hanging="425"/>
        <w:rPr>
          <w:szCs w:val="22"/>
        </w:rPr>
        <w:pPrChange w:id="4851" w:author="Author" w:date="2026-02-13T09:21:00Z">
          <w:pPr>
            <w:keepNext/>
            <w:keepLines/>
            <w:autoSpaceDE w:val="0"/>
            <w:autoSpaceDN w:val="0"/>
            <w:adjustRightInd w:val="0"/>
            <w:ind w:left="567" w:hanging="567"/>
          </w:pPr>
        </w:pPrChange>
      </w:pPr>
      <w:del w:id="4852" w:author="Author" w:date="2026-02-13T08:55:00Z">
        <w:r>
          <w:delText>•</w:delText>
        </w:r>
        <w:r>
          <w:tab/>
        </w:r>
      </w:del>
      <w:r>
        <w:rPr>
          <w:szCs w:val="22"/>
        </w:rPr>
        <w:t>je liek zakalený</w:t>
      </w:r>
    </w:p>
    <w:p w14:paraId="61B82744" w14:textId="77777777" w:rsidR="009700E5" w:rsidRDefault="002C033C">
      <w:pPr>
        <w:pStyle w:val="ListParagraph"/>
        <w:numPr>
          <w:ilvl w:val="0"/>
          <w:numId w:val="132"/>
        </w:numPr>
        <w:autoSpaceDE w:val="0"/>
        <w:autoSpaceDN w:val="0"/>
        <w:adjustRightInd w:val="0"/>
        <w:ind w:left="851" w:hanging="425"/>
        <w:rPr>
          <w:szCs w:val="22"/>
        </w:rPr>
        <w:pPrChange w:id="4853" w:author="Author" w:date="2026-02-13T09:21:00Z">
          <w:pPr>
            <w:autoSpaceDE w:val="0"/>
            <w:autoSpaceDN w:val="0"/>
            <w:adjustRightInd w:val="0"/>
            <w:ind w:left="567" w:hanging="567"/>
          </w:pPr>
        </w:pPrChange>
      </w:pPr>
      <w:del w:id="4854" w:author="Author" w:date="2026-02-13T08:55:00Z">
        <w:r>
          <w:delText>•</w:delText>
        </w:r>
        <w:r>
          <w:tab/>
        </w:r>
      </w:del>
      <w:r>
        <w:rPr>
          <w:szCs w:val="22"/>
        </w:rPr>
        <w:t>liek obsahuje čiastočky</w:t>
      </w:r>
    </w:p>
    <w:p w14:paraId="70C73C35" w14:textId="77777777" w:rsidR="009700E5" w:rsidRDefault="002C033C">
      <w:pPr>
        <w:pStyle w:val="ListParagraph"/>
        <w:numPr>
          <w:ilvl w:val="0"/>
          <w:numId w:val="134"/>
        </w:numPr>
        <w:autoSpaceDE w:val="0"/>
        <w:autoSpaceDN w:val="0"/>
        <w:adjustRightInd w:val="0"/>
        <w:ind w:left="851" w:hanging="425"/>
        <w:rPr>
          <w:szCs w:val="22"/>
        </w:rPr>
        <w:pPrChange w:id="4855" w:author="Author" w:date="2026-02-13T09:21:00Z">
          <w:pPr>
            <w:autoSpaceDE w:val="0"/>
            <w:autoSpaceDN w:val="0"/>
            <w:adjustRightInd w:val="0"/>
            <w:ind w:left="567" w:hanging="567"/>
          </w:pPr>
        </w:pPrChange>
      </w:pPr>
      <w:del w:id="4856" w:author="Author" w:date="2026-02-13T08:56:00Z">
        <w:r>
          <w:delText>•</w:delText>
        </w:r>
        <w:r>
          <w:tab/>
        </w:r>
      </w:del>
      <w:r>
        <w:rPr>
          <w:szCs w:val="22"/>
        </w:rPr>
        <w:t xml:space="preserve">má liek inú farbu </w:t>
      </w:r>
      <w:r>
        <w:rPr>
          <w:rFonts w:eastAsia="SimSun"/>
          <w:szCs w:val="22"/>
          <w:lang w:eastAsia="zh-CN"/>
        </w:rPr>
        <w:t>než bezfarebnú až žltkastú</w:t>
      </w:r>
    </w:p>
    <w:p w14:paraId="265DBBA9" w14:textId="77777777" w:rsidR="009700E5" w:rsidRDefault="002C033C">
      <w:pPr>
        <w:pStyle w:val="ListParagraph"/>
        <w:numPr>
          <w:ilvl w:val="0"/>
          <w:numId w:val="136"/>
        </w:numPr>
        <w:ind w:left="851" w:hanging="425"/>
        <w:rPr>
          <w:szCs w:val="22"/>
        </w:rPr>
        <w:pPrChange w:id="4857" w:author="Author" w:date="2026-02-13T09:21:00Z">
          <w:pPr>
            <w:ind w:left="567" w:hanging="567"/>
          </w:pPr>
        </w:pPrChange>
      </w:pPr>
      <w:del w:id="4858" w:author="Author" w:date="2026-02-13T08:56:00Z">
        <w:r>
          <w:delText>•</w:delText>
        </w:r>
        <w:r>
          <w:tab/>
        </w:r>
      </w:del>
      <w:r>
        <w:rPr>
          <w:szCs w:val="22"/>
        </w:rPr>
        <w:t>ktorákoľvek časť injekčnej striekačky javí známky poškodenia</w:t>
      </w:r>
    </w:p>
    <w:p w14:paraId="74F5065A" w14:textId="77777777" w:rsidR="009700E5" w:rsidRDefault="009700E5">
      <w:pPr>
        <w:autoSpaceDE w:val="0"/>
        <w:autoSpaceDN w:val="0"/>
        <w:adjustRightInd w:val="0"/>
        <w:rPr>
          <w:szCs w:val="22"/>
        </w:rPr>
      </w:pPr>
    </w:p>
    <w:p w14:paraId="7701A13B" w14:textId="77777777" w:rsidR="009700E5" w:rsidRDefault="009700E5">
      <w:pPr>
        <w:autoSpaceDE w:val="0"/>
        <w:autoSpaceDN w:val="0"/>
        <w:adjustRightInd w:val="0"/>
        <w:rPr>
          <w:szCs w:val="22"/>
        </w:rPr>
      </w:pPr>
    </w:p>
    <w:p w14:paraId="14933C10" w14:textId="77777777" w:rsidR="009700E5" w:rsidRDefault="002C033C">
      <w:pPr>
        <w:autoSpaceDE w:val="0"/>
        <w:autoSpaceDN w:val="0"/>
        <w:adjustRightInd w:val="0"/>
        <w:rPr>
          <w:b/>
          <w:color w:val="231F20"/>
        </w:rPr>
      </w:pPr>
      <w:r>
        <w:rPr>
          <w:b/>
          <w:szCs w:val="22"/>
        </w:rPr>
        <w:t xml:space="preserve">2. krok </w:t>
      </w:r>
      <w:r>
        <w:rPr>
          <w:b/>
          <w:color w:val="231F20"/>
        </w:rPr>
        <w:t>Nechajte injekčnú striekačku dosiahnuť izbovú teplotu</w:t>
      </w:r>
    </w:p>
    <w:p w14:paraId="6F73ED61" w14:textId="77777777" w:rsidR="009700E5" w:rsidRDefault="009700E5">
      <w:pPr>
        <w:autoSpaceDE w:val="0"/>
        <w:autoSpaceDN w:val="0"/>
        <w:adjustRightInd w:val="0"/>
        <w:rPr>
          <w:color w:val="231F20"/>
        </w:rPr>
      </w:pPr>
    </w:p>
    <w:p w14:paraId="4D668B96" w14:textId="77777777" w:rsidR="009700E5" w:rsidRDefault="002C033C">
      <w:pPr>
        <w:pStyle w:val="ListParagraph"/>
        <w:numPr>
          <w:ilvl w:val="0"/>
          <w:numId w:val="138"/>
        </w:numPr>
        <w:autoSpaceDE w:val="0"/>
        <w:autoSpaceDN w:val="0"/>
        <w:adjustRightInd w:val="0"/>
        <w:rPr>
          <w:szCs w:val="22"/>
        </w:rPr>
        <w:pPrChange w:id="4859" w:author="Author" w:date="2026-02-13T08:56:00Z">
          <w:pPr>
            <w:autoSpaceDE w:val="0"/>
            <w:autoSpaceDN w:val="0"/>
            <w:adjustRightInd w:val="0"/>
            <w:ind w:left="567" w:hanging="567"/>
          </w:pPr>
        </w:pPrChange>
      </w:pPr>
      <w:del w:id="4860" w:author="Author" w:date="2026-02-13T08:56:00Z">
        <w:r>
          <w:rPr>
            <w:szCs w:val="22"/>
          </w:rPr>
          <w:delText>•</w:delText>
        </w:r>
        <w:r>
          <w:rPr>
            <w:szCs w:val="22"/>
          </w:rPr>
          <w:tab/>
        </w:r>
      </w:del>
      <w:r>
        <w:rPr>
          <w:szCs w:val="22"/>
        </w:rPr>
        <w:t>Neodstráňte viečko ihly z vašej injekčnej striekačky až po 5. krok. Predčasné odstránenie viečka z ihly môže spôsobiť, že liek vyschne a zablokuje tým ihlu.</w:t>
      </w:r>
    </w:p>
    <w:p w14:paraId="7205E250" w14:textId="77777777" w:rsidR="009700E5" w:rsidRDefault="002C033C">
      <w:pPr>
        <w:pStyle w:val="ListParagraph"/>
        <w:numPr>
          <w:ilvl w:val="0"/>
          <w:numId w:val="140"/>
        </w:numPr>
        <w:autoSpaceDE w:val="0"/>
        <w:autoSpaceDN w:val="0"/>
        <w:adjustRightInd w:val="0"/>
        <w:rPr>
          <w:szCs w:val="22"/>
        </w:rPr>
        <w:pPrChange w:id="4861" w:author="Author" w:date="2026-02-13T08:56:00Z">
          <w:pPr>
            <w:autoSpaceDE w:val="0"/>
            <w:autoSpaceDN w:val="0"/>
            <w:adjustRightInd w:val="0"/>
            <w:ind w:left="567" w:hanging="567"/>
          </w:pPr>
        </w:pPrChange>
      </w:pPr>
      <w:del w:id="4862" w:author="Author" w:date="2026-02-13T08:56:00Z">
        <w:r>
          <w:rPr>
            <w:szCs w:val="22"/>
          </w:rPr>
          <w:delText>•</w:delText>
        </w:r>
        <w:r>
          <w:rPr>
            <w:szCs w:val="22"/>
          </w:rPr>
          <w:tab/>
        </w:r>
      </w:del>
      <w:r>
        <w:rPr>
          <w:color w:val="000000"/>
        </w:rPr>
        <w:t xml:space="preserve">Položte injekčnú striekačku na čistý rovný povrch a nechajte injekčnú striekačku </w:t>
      </w:r>
      <w:r>
        <w:rPr>
          <w:color w:val="231F20"/>
        </w:rPr>
        <w:t xml:space="preserve">dosiahnuť izbovú teplotu </w:t>
      </w:r>
      <w:r>
        <w:rPr>
          <w:szCs w:val="22"/>
        </w:rPr>
        <w:t>(18 °C </w:t>
      </w:r>
      <w:r>
        <w:rPr>
          <w:szCs w:val="22"/>
        </w:rPr>
        <w:noBreakHyphen/>
        <w:t xml:space="preserve"> 28 °C) </w:t>
      </w:r>
      <w:r>
        <w:rPr>
          <w:color w:val="231F20"/>
        </w:rPr>
        <w:t>počas asi 25 </w:t>
      </w:r>
      <w:r>
        <w:rPr>
          <w:color w:val="231F20"/>
        </w:rPr>
        <w:noBreakHyphen/>
        <w:t> 30 minút, aby sa ohriala.</w:t>
      </w:r>
      <w:r>
        <w:rPr>
          <w:szCs w:val="22"/>
        </w:rPr>
        <w:t xml:space="preserve"> Keď nenecháte injekčnú striekačku dosiahnuť izbovú teplotu, mohlo by to mať za následok nepríjemnú injekciu a mohlo by byť ťažké zatlačiť piest.</w:t>
      </w:r>
    </w:p>
    <w:p w14:paraId="66C81BAF" w14:textId="77777777" w:rsidR="009700E5" w:rsidRDefault="002C033C">
      <w:pPr>
        <w:pStyle w:val="ListParagraph"/>
        <w:numPr>
          <w:ilvl w:val="0"/>
          <w:numId w:val="142"/>
        </w:numPr>
        <w:autoSpaceDE w:val="0"/>
        <w:autoSpaceDN w:val="0"/>
        <w:adjustRightInd w:val="0"/>
        <w:rPr>
          <w:szCs w:val="22"/>
        </w:rPr>
        <w:pPrChange w:id="4863" w:author="Author" w:date="2026-02-13T08:57:00Z">
          <w:pPr>
            <w:autoSpaceDE w:val="0"/>
            <w:autoSpaceDN w:val="0"/>
            <w:adjustRightInd w:val="0"/>
            <w:ind w:left="567" w:hanging="567"/>
          </w:pPr>
        </w:pPrChange>
      </w:pPr>
      <w:del w:id="4864" w:author="Author" w:date="2026-02-13T08:57:00Z">
        <w:r>
          <w:rPr>
            <w:szCs w:val="22"/>
          </w:rPr>
          <w:delText>•</w:delText>
        </w:r>
        <w:r>
          <w:rPr>
            <w:szCs w:val="22"/>
          </w:rPr>
          <w:tab/>
        </w:r>
      </w:del>
      <w:r>
        <w:rPr>
          <w:color w:val="000000"/>
          <w:rPrChange w:id="4865" w:author="Author" w:date="2026-02-13T08:57:00Z">
            <w:rPr/>
          </w:rPrChange>
        </w:rPr>
        <w:t>Neohrievajte injekčnú striekačku žiadnym iným spôsobom</w:t>
      </w:r>
      <w:r>
        <w:rPr>
          <w:szCs w:val="22"/>
        </w:rPr>
        <w:t>.</w:t>
      </w:r>
    </w:p>
    <w:p w14:paraId="25DAF5E6" w14:textId="77777777" w:rsidR="009700E5" w:rsidRDefault="009700E5">
      <w:pPr>
        <w:autoSpaceDE w:val="0"/>
        <w:autoSpaceDN w:val="0"/>
        <w:adjustRightInd w:val="0"/>
        <w:rPr>
          <w:szCs w:val="22"/>
        </w:rPr>
      </w:pPr>
    </w:p>
    <w:p w14:paraId="5C182C8E" w14:textId="77777777" w:rsidR="009700E5" w:rsidRDefault="009700E5">
      <w:pPr>
        <w:autoSpaceDE w:val="0"/>
        <w:autoSpaceDN w:val="0"/>
        <w:adjustRightInd w:val="0"/>
        <w:rPr>
          <w:szCs w:val="22"/>
        </w:rPr>
      </w:pPr>
    </w:p>
    <w:p w14:paraId="26721FAD" w14:textId="77777777" w:rsidR="009700E5" w:rsidRDefault="002C033C">
      <w:pPr>
        <w:autoSpaceDE w:val="0"/>
        <w:autoSpaceDN w:val="0"/>
        <w:adjustRightInd w:val="0"/>
        <w:spacing w:after="120"/>
        <w:rPr>
          <w:b/>
          <w:szCs w:val="22"/>
        </w:rPr>
      </w:pPr>
      <w:r>
        <w:rPr>
          <w:b/>
          <w:szCs w:val="22"/>
        </w:rPr>
        <w:t>3. krok Očistite</w:t>
      </w:r>
      <w:r>
        <w:rPr>
          <w:b/>
          <w:color w:val="231F20"/>
        </w:rPr>
        <w:t xml:space="preserve"> si ruky</w:t>
      </w:r>
    </w:p>
    <w:p w14:paraId="0335EC65" w14:textId="77777777" w:rsidR="009700E5" w:rsidRDefault="002C033C">
      <w:pPr>
        <w:pStyle w:val="ListParagraph"/>
        <w:numPr>
          <w:ilvl w:val="0"/>
          <w:numId w:val="144"/>
        </w:numPr>
        <w:autoSpaceDE w:val="0"/>
        <w:autoSpaceDN w:val="0"/>
        <w:adjustRightInd w:val="0"/>
        <w:rPr>
          <w:szCs w:val="22"/>
        </w:rPr>
        <w:pPrChange w:id="4866" w:author="Author" w:date="2026-02-13T09:04:00Z">
          <w:pPr>
            <w:autoSpaceDE w:val="0"/>
            <w:autoSpaceDN w:val="0"/>
            <w:adjustRightInd w:val="0"/>
            <w:ind w:left="567" w:hanging="567"/>
          </w:pPr>
        </w:pPrChange>
      </w:pPr>
      <w:del w:id="4867" w:author="Author" w:date="2026-02-13T09:04:00Z">
        <w:r>
          <w:rPr>
            <w:szCs w:val="22"/>
          </w:rPr>
          <w:delText>•</w:delText>
        </w:r>
        <w:r>
          <w:rPr>
            <w:szCs w:val="22"/>
          </w:rPr>
          <w:tab/>
        </w:r>
      </w:del>
      <w:r>
        <w:rPr>
          <w:color w:val="231F20"/>
          <w:rPrChange w:id="4868" w:author="Author" w:date="2026-02-13T09:04:00Z">
            <w:rPr/>
          </w:rPrChange>
        </w:rPr>
        <w:t>Umyte si ruky mydlom a vodou</w:t>
      </w:r>
      <w:r>
        <w:rPr>
          <w:szCs w:val="22"/>
        </w:rPr>
        <w:t>.</w:t>
      </w:r>
    </w:p>
    <w:p w14:paraId="46BA892D" w14:textId="77777777" w:rsidR="009700E5" w:rsidRDefault="009700E5">
      <w:pPr>
        <w:autoSpaceDE w:val="0"/>
        <w:autoSpaceDN w:val="0"/>
        <w:adjustRightInd w:val="0"/>
        <w:ind w:hanging="425"/>
        <w:rPr>
          <w:szCs w:val="22"/>
        </w:rPr>
        <w:pPrChange w:id="4869" w:author="Author" w:date="2025-07-20T21:48:00Z">
          <w:pPr>
            <w:autoSpaceDE w:val="0"/>
            <w:autoSpaceDN w:val="0"/>
            <w:adjustRightInd w:val="0"/>
          </w:pPr>
        </w:pPrChange>
      </w:pPr>
    </w:p>
    <w:p w14:paraId="7D2D5CD0" w14:textId="77777777" w:rsidR="009700E5" w:rsidRDefault="009700E5">
      <w:pPr>
        <w:autoSpaceDE w:val="0"/>
        <w:autoSpaceDN w:val="0"/>
        <w:adjustRightInd w:val="0"/>
        <w:rPr>
          <w:szCs w:val="22"/>
        </w:rPr>
      </w:pPr>
    </w:p>
    <w:p w14:paraId="504E83C2" w14:textId="77777777" w:rsidR="009700E5" w:rsidRDefault="002C033C">
      <w:pPr>
        <w:autoSpaceDE w:val="0"/>
        <w:autoSpaceDN w:val="0"/>
        <w:adjustRightInd w:val="0"/>
        <w:rPr>
          <w:color w:val="231F20"/>
        </w:rPr>
      </w:pPr>
      <w:r>
        <w:rPr>
          <w:b/>
          <w:szCs w:val="22"/>
        </w:rPr>
        <w:t xml:space="preserve">4. krok </w:t>
      </w:r>
      <w:r>
        <w:rPr>
          <w:b/>
          <w:color w:val="231F20"/>
        </w:rPr>
        <w:t>Vyberte si a pripravte miesto vpichu</w:t>
      </w:r>
    </w:p>
    <w:p w14:paraId="6F218E67" w14:textId="77777777" w:rsidR="009700E5" w:rsidRDefault="009700E5">
      <w:pPr>
        <w:autoSpaceDE w:val="0"/>
        <w:autoSpaceDN w:val="0"/>
        <w:adjustRightInd w:val="0"/>
        <w:rPr>
          <w:szCs w:val="22"/>
        </w:rPr>
      </w:pPr>
    </w:p>
    <w:p w14:paraId="7560F8F4" w14:textId="77777777" w:rsidR="009700E5" w:rsidRDefault="002C033C">
      <w:pPr>
        <w:pStyle w:val="ListParagraph"/>
        <w:numPr>
          <w:ilvl w:val="0"/>
          <w:numId w:val="146"/>
        </w:numPr>
        <w:autoSpaceDE w:val="0"/>
        <w:autoSpaceDN w:val="0"/>
        <w:adjustRightInd w:val="0"/>
        <w:rPr>
          <w:szCs w:val="22"/>
        </w:rPr>
        <w:pPrChange w:id="4870" w:author="Author" w:date="2026-02-13T09:04:00Z">
          <w:pPr>
            <w:autoSpaceDE w:val="0"/>
            <w:autoSpaceDN w:val="0"/>
            <w:adjustRightInd w:val="0"/>
            <w:ind w:left="567" w:hanging="567"/>
          </w:pPr>
        </w:pPrChange>
      </w:pPr>
      <w:del w:id="4871" w:author="Author" w:date="2026-02-13T09:04:00Z">
        <w:r>
          <w:rPr>
            <w:szCs w:val="22"/>
          </w:rPr>
          <w:delText>•</w:delText>
        </w:r>
        <w:r>
          <w:rPr>
            <w:szCs w:val="22"/>
          </w:rPr>
          <w:tab/>
        </w:r>
      </w:del>
      <w:r>
        <w:rPr>
          <w:color w:val="231F20"/>
          <w:rPrChange w:id="4872" w:author="Author" w:date="2026-02-13T09:04:00Z">
            <w:rPr/>
          </w:rPrChange>
        </w:rPr>
        <w:t>Odporúčané miesta vpichu sú predná a stredná časť stehien a dolná časť brucha pod pupkom okrem päťcentimetrovej oblasti priamo v okolí pupka</w:t>
      </w:r>
      <w:r>
        <w:rPr>
          <w:szCs w:val="22"/>
        </w:rPr>
        <w:t xml:space="preserve"> (pozri obr. B).</w:t>
      </w:r>
    </w:p>
    <w:p w14:paraId="243BAC71" w14:textId="77777777" w:rsidR="009700E5" w:rsidRPr="009700E5" w:rsidRDefault="002C033C">
      <w:pPr>
        <w:pStyle w:val="ListParagraph"/>
        <w:keepNext/>
        <w:keepLines/>
        <w:numPr>
          <w:ilvl w:val="0"/>
          <w:numId w:val="148"/>
        </w:numPr>
        <w:autoSpaceDE w:val="0"/>
        <w:autoSpaceDN w:val="0"/>
        <w:adjustRightInd w:val="0"/>
        <w:rPr>
          <w:color w:val="231F20"/>
          <w:rPrChange w:id="4873" w:author="Author" w:date="2026-02-13T09:04:00Z">
            <w:rPr/>
          </w:rPrChange>
        </w:rPr>
        <w:pPrChange w:id="4874" w:author="Author" w:date="2026-02-13T09:04:00Z">
          <w:pPr>
            <w:keepNext/>
            <w:keepLines/>
            <w:autoSpaceDE w:val="0"/>
            <w:autoSpaceDN w:val="0"/>
            <w:adjustRightInd w:val="0"/>
            <w:ind w:left="567" w:hanging="567"/>
          </w:pPr>
        </w:pPrChange>
      </w:pPr>
      <w:del w:id="4875" w:author="Author" w:date="2026-02-13T09:04:00Z">
        <w:r>
          <w:rPr>
            <w:szCs w:val="22"/>
          </w:rPr>
          <w:lastRenderedPageBreak/>
          <w:delText>•</w:delText>
        </w:r>
        <w:r>
          <w:rPr>
            <w:szCs w:val="22"/>
          </w:rPr>
          <w:tab/>
        </w:r>
      </w:del>
      <w:r>
        <w:rPr>
          <w:color w:val="231F20"/>
          <w:rPrChange w:id="4876" w:author="Author" w:date="2026-02-13T09:04:00Z">
            <w:rPr/>
          </w:rPrChange>
        </w:rPr>
        <w:t>Ak injekciu podáva osoba, ktorá sa o vás stará, môže sa použiť aj vonkajšia strana hornej časti ramien (pozri obr. B).</w:t>
      </w:r>
    </w:p>
    <w:p w14:paraId="20533203" w14:textId="77777777" w:rsidR="009700E5" w:rsidRDefault="009700E5">
      <w:pPr>
        <w:keepNext/>
        <w:keepLines/>
        <w:autoSpaceDE w:val="0"/>
        <w:autoSpaceDN w:val="0"/>
        <w:adjustRightInd w:val="0"/>
        <w:ind w:left="720" w:hanging="425"/>
        <w:rPr>
          <w:szCs w:val="22"/>
        </w:rPr>
        <w:pPrChange w:id="4877" w:author="Author" w:date="2025-07-20T21:48:00Z">
          <w:pPr>
            <w:keepNext/>
            <w:keepLines/>
            <w:autoSpaceDE w:val="0"/>
            <w:autoSpaceDN w:val="0"/>
            <w:adjustRightInd w:val="0"/>
            <w:ind w:left="720"/>
          </w:pPr>
        </w:pPrChange>
      </w:pPr>
    </w:p>
    <w:p w14:paraId="32B25117" w14:textId="77777777" w:rsidR="009700E5" w:rsidRDefault="002C033C">
      <w:pPr>
        <w:autoSpaceDE w:val="0"/>
        <w:autoSpaceDN w:val="0"/>
        <w:adjustRightInd w:val="0"/>
        <w:spacing w:after="120"/>
      </w:pPr>
      <w:r>
        <w:rPr>
          <w:lang w:val="en-US" w:eastAsia="en-US"/>
        </w:rPr>
        <w:drawing>
          <wp:inline distT="0" distB="0" distL="0" distR="0" wp14:anchorId="1B73C625" wp14:editId="4385463E">
            <wp:extent cx="2314575" cy="1914525"/>
            <wp:effectExtent l="0" t="0" r="0" b="0"/>
            <wp:docPr id="3"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4575" cy="1914525"/>
                    </a:xfrm>
                    <a:prstGeom prst="rect">
                      <a:avLst/>
                    </a:prstGeom>
                    <a:noFill/>
                    <a:ln>
                      <a:noFill/>
                    </a:ln>
                  </pic:spPr>
                </pic:pic>
              </a:graphicData>
            </a:graphic>
          </wp:inline>
        </w:drawing>
      </w:r>
    </w:p>
    <w:p w14:paraId="7DDDBB70" w14:textId="77777777" w:rsidR="009700E5" w:rsidRDefault="009700E5">
      <w:pPr>
        <w:autoSpaceDE w:val="0"/>
        <w:autoSpaceDN w:val="0"/>
        <w:adjustRightInd w:val="0"/>
        <w:ind w:hanging="425"/>
        <w:rPr>
          <w:szCs w:val="22"/>
        </w:rPr>
        <w:pPrChange w:id="4878" w:author="Author" w:date="2025-07-20T21:48:00Z">
          <w:pPr>
            <w:autoSpaceDE w:val="0"/>
            <w:autoSpaceDN w:val="0"/>
            <w:adjustRightInd w:val="0"/>
          </w:pPr>
        </w:pPrChange>
      </w:pPr>
    </w:p>
    <w:p w14:paraId="3E6CC0F5" w14:textId="77777777" w:rsidR="009700E5" w:rsidRDefault="002C033C">
      <w:pPr>
        <w:pStyle w:val="ListParagraph"/>
        <w:numPr>
          <w:ilvl w:val="0"/>
          <w:numId w:val="150"/>
        </w:numPr>
        <w:autoSpaceDE w:val="0"/>
        <w:autoSpaceDN w:val="0"/>
        <w:adjustRightInd w:val="0"/>
        <w:rPr>
          <w:color w:val="231F20"/>
        </w:rPr>
        <w:pPrChange w:id="4879" w:author="Author" w:date="2026-02-13T09:05:00Z">
          <w:pPr>
            <w:autoSpaceDE w:val="0"/>
            <w:autoSpaceDN w:val="0"/>
            <w:adjustRightInd w:val="0"/>
            <w:ind w:left="567" w:hanging="567"/>
          </w:pPr>
        </w:pPrChange>
      </w:pPr>
      <w:del w:id="4880" w:author="Author" w:date="2026-02-13T09:05:00Z">
        <w:r>
          <w:rPr>
            <w:color w:val="000000"/>
            <w:rPrChange w:id="4881" w:author="Author" w:date="2026-02-13T09:05:00Z">
              <w:rPr/>
            </w:rPrChange>
          </w:rPr>
          <w:delText>•</w:delText>
        </w:r>
        <w:r>
          <w:rPr>
            <w:color w:val="000000"/>
            <w:rPrChange w:id="4882" w:author="Author" w:date="2026-02-13T09:05:00Z">
              <w:rPr/>
            </w:rPrChange>
          </w:rPr>
          <w:tab/>
        </w:r>
      </w:del>
      <w:r>
        <w:rPr>
          <w:color w:val="000000"/>
          <w:rPrChange w:id="4883" w:author="Author" w:date="2026-02-13T09:05:00Z">
            <w:rPr/>
          </w:rPrChange>
        </w:rPr>
        <w:t>Pri každom podaní injekcie musíte použiť iné miesto, ktoré je aspoň tri centimetre vzdialené od miesta, kde ste si podali vašu predchádzajúcu injekciu</w:t>
      </w:r>
      <w:r>
        <w:rPr>
          <w:color w:val="231F20"/>
        </w:rPr>
        <w:t>.</w:t>
      </w:r>
    </w:p>
    <w:p w14:paraId="6D3347D9" w14:textId="77777777" w:rsidR="009700E5" w:rsidRPr="009700E5" w:rsidRDefault="002C033C">
      <w:pPr>
        <w:pStyle w:val="ListParagraph"/>
        <w:numPr>
          <w:ilvl w:val="0"/>
          <w:numId w:val="152"/>
        </w:numPr>
        <w:autoSpaceDE w:val="0"/>
        <w:autoSpaceDN w:val="0"/>
        <w:adjustRightInd w:val="0"/>
        <w:rPr>
          <w:color w:val="231F20"/>
          <w:rPrChange w:id="4884" w:author="Author" w:date="2026-02-13T09:05:00Z">
            <w:rPr/>
          </w:rPrChange>
        </w:rPr>
        <w:pPrChange w:id="4885" w:author="Author" w:date="2026-02-13T09:05:00Z">
          <w:pPr>
            <w:autoSpaceDE w:val="0"/>
            <w:autoSpaceDN w:val="0"/>
            <w:adjustRightInd w:val="0"/>
            <w:ind w:left="567" w:hanging="567"/>
          </w:pPr>
        </w:pPrChange>
      </w:pPr>
      <w:del w:id="4886" w:author="Author" w:date="2026-02-13T09:05:00Z">
        <w:r>
          <w:rPr>
            <w:color w:val="000000"/>
          </w:rPr>
          <w:delText>•</w:delText>
        </w:r>
        <w:r>
          <w:rPr>
            <w:color w:val="000000"/>
          </w:rPr>
          <w:tab/>
        </w:r>
      </w:del>
      <w:r>
        <w:rPr>
          <w:color w:val="231F20"/>
          <w:rPrChange w:id="4887" w:author="Author" w:date="2026-02-13T09:05:00Z">
            <w:rPr/>
          </w:rPrChange>
        </w:rPr>
        <w:t>Nepodávajte si injekciu do miest, ktoré by moli byť vystavené tlaku opaska alebo pásu odevu. Nepodávajte si injekciu do materských znamienok, jaziev, modrín ani do miest, na ktorých je koža citlivá, červená, stvrdnutá alebo porušená.</w:t>
      </w:r>
    </w:p>
    <w:p w14:paraId="63584FA8" w14:textId="77777777" w:rsidR="009700E5" w:rsidRDefault="002C033C">
      <w:pPr>
        <w:pStyle w:val="ListParagraph"/>
        <w:numPr>
          <w:ilvl w:val="0"/>
          <w:numId w:val="154"/>
        </w:numPr>
        <w:autoSpaceDE w:val="0"/>
        <w:autoSpaceDN w:val="0"/>
        <w:adjustRightInd w:val="0"/>
        <w:rPr>
          <w:szCs w:val="22"/>
        </w:rPr>
        <w:pPrChange w:id="4888" w:author="Author" w:date="2026-02-13T09:06:00Z">
          <w:pPr>
            <w:autoSpaceDE w:val="0"/>
            <w:autoSpaceDN w:val="0"/>
            <w:adjustRightInd w:val="0"/>
            <w:ind w:left="567" w:hanging="567"/>
          </w:pPr>
        </w:pPrChange>
      </w:pPr>
      <w:del w:id="4889" w:author="Author" w:date="2026-02-13T09:06:00Z">
        <w:r>
          <w:rPr>
            <w:color w:val="000000"/>
            <w:rPrChange w:id="4890" w:author="Author" w:date="2026-02-13T09:06:00Z">
              <w:rPr/>
            </w:rPrChange>
          </w:rPr>
          <w:delText>•</w:delText>
        </w:r>
        <w:r>
          <w:rPr>
            <w:color w:val="000000"/>
            <w:rPrChange w:id="4891" w:author="Author" w:date="2026-02-13T09:06:00Z">
              <w:rPr/>
            </w:rPrChange>
          </w:rPr>
          <w:tab/>
        </w:r>
      </w:del>
      <w:r>
        <w:rPr>
          <w:color w:val="000000"/>
          <w:rPrChange w:id="4892" w:author="Author" w:date="2026-02-13T09:06:00Z">
            <w:rPr/>
          </w:rPrChange>
        </w:rPr>
        <w:t>Očistite zvolené miesto vpichu pomocou alkoholom napusteného tampónu (pozri obr. C), aby ste znížili riziko vzniku infekcie.</w:t>
      </w:r>
    </w:p>
    <w:p w14:paraId="4DF4DBBD" w14:textId="77777777" w:rsidR="009700E5" w:rsidRDefault="009700E5">
      <w:pPr>
        <w:autoSpaceDE w:val="0"/>
        <w:autoSpaceDN w:val="0"/>
        <w:adjustRightInd w:val="0"/>
        <w:ind w:left="720" w:hanging="425"/>
        <w:pPrChange w:id="4893" w:author="Author" w:date="2025-07-20T21:48:00Z">
          <w:pPr>
            <w:autoSpaceDE w:val="0"/>
            <w:autoSpaceDN w:val="0"/>
            <w:adjustRightInd w:val="0"/>
            <w:ind w:left="720"/>
          </w:pPr>
        </w:pPrChange>
      </w:pPr>
    </w:p>
    <w:p w14:paraId="459EB73A" w14:textId="77777777" w:rsidR="009700E5" w:rsidRDefault="002C033C">
      <w:pPr>
        <w:autoSpaceDE w:val="0"/>
        <w:autoSpaceDN w:val="0"/>
        <w:adjustRightInd w:val="0"/>
        <w:spacing w:after="120"/>
      </w:pPr>
      <w:r>
        <w:rPr>
          <w:snapToGrid w:val="0"/>
          <w:color w:val="000000"/>
          <w:w w:val="0"/>
          <w:sz w:val="0"/>
          <w:szCs w:val="0"/>
          <w:u w:color="000000"/>
          <w:bdr w:val="none" w:sz="0" w:space="0" w:color="000000"/>
          <w:shd w:val="clear" w:color="000000" w:fill="000000"/>
          <w:lang w:val="en-US" w:eastAsia="en-US"/>
        </w:rPr>
        <w:drawing>
          <wp:inline distT="0" distB="0" distL="0" distR="0" wp14:anchorId="6AE49954" wp14:editId="5EDB1F6E">
            <wp:extent cx="2447925" cy="1914525"/>
            <wp:effectExtent l="0" t="0" r="0" b="0"/>
            <wp:docPr id="4"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7925" cy="1914525"/>
                    </a:xfrm>
                    <a:prstGeom prst="rect">
                      <a:avLst/>
                    </a:prstGeom>
                    <a:noFill/>
                    <a:ln>
                      <a:noFill/>
                    </a:ln>
                  </pic:spPr>
                </pic:pic>
              </a:graphicData>
            </a:graphic>
          </wp:inline>
        </w:drawing>
      </w:r>
    </w:p>
    <w:p w14:paraId="74E8168A" w14:textId="77777777" w:rsidR="009700E5" w:rsidRPr="009700E5" w:rsidRDefault="002C033C">
      <w:pPr>
        <w:pStyle w:val="ListParagraph"/>
        <w:numPr>
          <w:ilvl w:val="0"/>
          <w:numId w:val="156"/>
        </w:numPr>
        <w:autoSpaceDE w:val="0"/>
        <w:autoSpaceDN w:val="0"/>
        <w:adjustRightInd w:val="0"/>
        <w:rPr>
          <w:color w:val="231F20"/>
          <w:rPrChange w:id="4894" w:author="Author" w:date="2026-02-13T09:06:00Z">
            <w:rPr/>
          </w:rPrChange>
        </w:rPr>
        <w:pPrChange w:id="4895" w:author="Author" w:date="2026-02-13T09:06:00Z">
          <w:pPr>
            <w:autoSpaceDE w:val="0"/>
            <w:autoSpaceDN w:val="0"/>
            <w:adjustRightInd w:val="0"/>
            <w:ind w:left="567" w:hanging="567"/>
          </w:pPr>
        </w:pPrChange>
      </w:pPr>
      <w:del w:id="4896" w:author="Author" w:date="2026-02-13T09:06:00Z">
        <w:r>
          <w:rPr>
            <w:color w:val="231F20"/>
            <w:rPrChange w:id="4897" w:author="Author" w:date="2026-02-13T09:06:00Z">
              <w:rPr/>
            </w:rPrChange>
          </w:rPr>
          <w:delText>•</w:delText>
        </w:r>
        <w:r>
          <w:rPr>
            <w:color w:val="231F20"/>
            <w:rPrChange w:id="4898" w:author="Author" w:date="2026-02-13T09:06:00Z">
              <w:rPr/>
            </w:rPrChange>
          </w:rPr>
          <w:tab/>
        </w:r>
      </w:del>
      <w:r>
        <w:rPr>
          <w:color w:val="231F20"/>
          <w:rPrChange w:id="4899" w:author="Author" w:date="2026-02-13T09:06:00Z">
            <w:rPr/>
          </w:rPrChange>
        </w:rPr>
        <w:t>Nechajte kožu vyschnúť počas približne 10 sekúnd.</w:t>
      </w:r>
    </w:p>
    <w:p w14:paraId="06B5B09C" w14:textId="77777777" w:rsidR="009700E5" w:rsidRDefault="002C033C">
      <w:pPr>
        <w:pStyle w:val="ListParagraph"/>
        <w:numPr>
          <w:ilvl w:val="0"/>
          <w:numId w:val="158"/>
        </w:numPr>
        <w:autoSpaceDE w:val="0"/>
        <w:autoSpaceDN w:val="0"/>
        <w:adjustRightInd w:val="0"/>
        <w:pPrChange w:id="4900" w:author="Author" w:date="2026-02-13T09:06:00Z">
          <w:pPr>
            <w:autoSpaceDE w:val="0"/>
            <w:autoSpaceDN w:val="0"/>
            <w:adjustRightInd w:val="0"/>
            <w:ind w:left="567" w:hanging="567"/>
          </w:pPr>
        </w:pPrChange>
      </w:pPr>
      <w:del w:id="4901" w:author="Author" w:date="2026-02-13T09:06:00Z">
        <w:r>
          <w:rPr>
            <w:color w:val="231F20"/>
            <w:rPrChange w:id="4902" w:author="Author" w:date="2026-02-13T09:06:00Z">
              <w:rPr/>
            </w:rPrChange>
          </w:rPr>
          <w:delText>•</w:delText>
        </w:r>
        <w:r>
          <w:rPr>
            <w:color w:val="231F20"/>
            <w:rPrChange w:id="4903" w:author="Author" w:date="2026-02-13T09:06:00Z">
              <w:rPr/>
            </w:rPrChange>
          </w:rPr>
          <w:tab/>
        </w:r>
      </w:del>
      <w:r>
        <w:rPr>
          <w:color w:val="231F20"/>
          <w:rPrChange w:id="4904" w:author="Author" w:date="2026-02-13T09:06:00Z">
            <w:rPr/>
          </w:rPrChange>
        </w:rPr>
        <w:t>Dbajte na to, aby ste sa nedotkli očisteného miesta pred podaním injekcie. Očistené miesto nesušte ovievaním ani fúkaním.</w:t>
      </w:r>
    </w:p>
    <w:p w14:paraId="0345098C" w14:textId="77777777" w:rsidR="009700E5" w:rsidRDefault="009700E5">
      <w:pPr>
        <w:autoSpaceDE w:val="0"/>
        <w:autoSpaceDN w:val="0"/>
        <w:adjustRightInd w:val="0"/>
        <w:rPr>
          <w:szCs w:val="22"/>
        </w:rPr>
      </w:pPr>
    </w:p>
    <w:p w14:paraId="0A8BEE2B" w14:textId="77777777" w:rsidR="009700E5" w:rsidRDefault="009700E5">
      <w:pPr>
        <w:autoSpaceDE w:val="0"/>
        <w:autoSpaceDN w:val="0"/>
        <w:adjustRightInd w:val="0"/>
        <w:rPr>
          <w:szCs w:val="22"/>
        </w:rPr>
      </w:pPr>
    </w:p>
    <w:p w14:paraId="353CA4D7" w14:textId="77777777" w:rsidR="009700E5" w:rsidRDefault="002C033C">
      <w:pPr>
        <w:keepNext/>
        <w:keepLines/>
        <w:autoSpaceDE w:val="0"/>
        <w:autoSpaceDN w:val="0"/>
        <w:adjustRightInd w:val="0"/>
        <w:rPr>
          <w:b/>
          <w:szCs w:val="22"/>
        </w:rPr>
      </w:pPr>
      <w:r>
        <w:rPr>
          <w:b/>
          <w:szCs w:val="22"/>
        </w:rPr>
        <w:t>5. krok Odstráňte viečko ihly</w:t>
      </w:r>
    </w:p>
    <w:p w14:paraId="728CA5EF" w14:textId="77777777" w:rsidR="009700E5" w:rsidRDefault="009700E5">
      <w:pPr>
        <w:keepNext/>
        <w:keepLines/>
        <w:autoSpaceDE w:val="0"/>
        <w:autoSpaceDN w:val="0"/>
        <w:adjustRightInd w:val="0"/>
        <w:rPr>
          <w:szCs w:val="22"/>
        </w:rPr>
      </w:pPr>
    </w:p>
    <w:p w14:paraId="18C6AA9D" w14:textId="77777777" w:rsidR="009700E5" w:rsidRPr="009700E5" w:rsidRDefault="002C033C">
      <w:pPr>
        <w:pStyle w:val="ListParagraph"/>
        <w:numPr>
          <w:ilvl w:val="0"/>
          <w:numId w:val="160"/>
        </w:numPr>
        <w:autoSpaceDE w:val="0"/>
        <w:autoSpaceDN w:val="0"/>
        <w:adjustRightInd w:val="0"/>
        <w:rPr>
          <w:color w:val="231F20"/>
          <w:rPrChange w:id="4905" w:author="Author" w:date="2026-02-13T09:06:00Z">
            <w:rPr/>
          </w:rPrChange>
        </w:rPr>
        <w:pPrChange w:id="4906" w:author="Author" w:date="2026-02-13T09:06:00Z">
          <w:pPr>
            <w:autoSpaceDE w:val="0"/>
            <w:autoSpaceDN w:val="0"/>
            <w:adjustRightInd w:val="0"/>
            <w:ind w:left="567" w:hanging="567"/>
          </w:pPr>
        </w:pPrChange>
      </w:pPr>
      <w:del w:id="4907" w:author="Author" w:date="2026-02-13T09:06:00Z">
        <w:r>
          <w:rPr>
            <w:color w:val="231F20"/>
            <w:rPrChange w:id="4908" w:author="Author" w:date="2026-02-13T09:06:00Z">
              <w:rPr/>
            </w:rPrChange>
          </w:rPr>
          <w:delText>•</w:delText>
        </w:r>
        <w:r>
          <w:rPr>
            <w:color w:val="231F20"/>
            <w:rPrChange w:id="4909" w:author="Author" w:date="2026-02-13T09:06:00Z">
              <w:rPr/>
            </w:rPrChange>
          </w:rPr>
          <w:tab/>
        </w:r>
      </w:del>
      <w:r>
        <w:rPr>
          <w:color w:val="231F20"/>
          <w:rPrChange w:id="4910" w:author="Author" w:date="2026-02-13T09:06:00Z">
            <w:rPr/>
          </w:rPrChange>
        </w:rPr>
        <w:t>Nedržte injekčnú striekačku za piest, keď budete odstraňovať viečko ihly.</w:t>
      </w:r>
    </w:p>
    <w:p w14:paraId="188C10BF" w14:textId="77777777" w:rsidR="009700E5" w:rsidRPr="009700E5" w:rsidRDefault="002C033C">
      <w:pPr>
        <w:pStyle w:val="ListParagraph"/>
        <w:keepNext/>
        <w:keepLines/>
        <w:numPr>
          <w:ilvl w:val="0"/>
          <w:numId w:val="162"/>
        </w:numPr>
        <w:autoSpaceDE w:val="0"/>
        <w:autoSpaceDN w:val="0"/>
        <w:adjustRightInd w:val="0"/>
        <w:rPr>
          <w:color w:val="231F20"/>
          <w:rPrChange w:id="4911" w:author="Author" w:date="2026-02-13T09:06:00Z">
            <w:rPr/>
          </w:rPrChange>
        </w:rPr>
        <w:pPrChange w:id="4912" w:author="Author" w:date="2026-02-13T09:06:00Z">
          <w:pPr>
            <w:keepNext/>
            <w:keepLines/>
            <w:autoSpaceDE w:val="0"/>
            <w:autoSpaceDN w:val="0"/>
            <w:adjustRightInd w:val="0"/>
            <w:ind w:left="567" w:hanging="567"/>
          </w:pPr>
        </w:pPrChange>
      </w:pPr>
      <w:del w:id="4913" w:author="Author" w:date="2026-02-13T09:06:00Z">
        <w:r>
          <w:rPr>
            <w:color w:val="231F20"/>
            <w:rPrChange w:id="4914" w:author="Author" w:date="2026-02-13T09:06:00Z">
              <w:rPr/>
            </w:rPrChange>
          </w:rPr>
          <w:lastRenderedPageBreak/>
          <w:delText>•</w:delText>
        </w:r>
        <w:r>
          <w:rPr>
            <w:color w:val="231F20"/>
            <w:rPrChange w:id="4915" w:author="Author" w:date="2026-02-13T09:06:00Z">
              <w:rPr/>
            </w:rPrChange>
          </w:rPr>
          <w:tab/>
        </w:r>
      </w:del>
      <w:r>
        <w:rPr>
          <w:color w:val="231F20"/>
          <w:rPrChange w:id="4916" w:author="Author" w:date="2026-02-13T09:06:00Z">
            <w:rPr/>
          </w:rPrChange>
        </w:rPr>
        <w:t>Držte kryt ihly injekčnej striekačky pevne jednou rukou a vytiahnite viečko ihly druhou rukou (pozri obr. F). Ak sa vám nedá odstrániť viečko ihly, požiadajte o pomoc osobu, ktorá sa o vás stará, alebo sa skontaktujte so svojím lekárom.</w:t>
      </w:r>
    </w:p>
    <w:p w14:paraId="506B1C58" w14:textId="77777777" w:rsidR="009700E5" w:rsidRDefault="009700E5">
      <w:pPr>
        <w:keepNext/>
        <w:keepLines/>
        <w:autoSpaceDE w:val="0"/>
        <w:autoSpaceDN w:val="0"/>
        <w:adjustRightInd w:val="0"/>
        <w:ind w:left="714" w:hanging="357"/>
        <w:rPr>
          <w:color w:val="231F20"/>
        </w:rPr>
      </w:pPr>
    </w:p>
    <w:p w14:paraId="382B3536" w14:textId="77777777" w:rsidR="009700E5" w:rsidRDefault="002C033C">
      <w:pPr>
        <w:autoSpaceDE w:val="0"/>
        <w:autoSpaceDN w:val="0"/>
        <w:adjustRightInd w:val="0"/>
        <w:spacing w:after="120"/>
      </w:pPr>
      <w:r>
        <w:rPr>
          <w:lang w:val="en-US" w:eastAsia="en-US"/>
        </w:rPr>
        <w:drawing>
          <wp:inline distT="0" distB="0" distL="0" distR="0" wp14:anchorId="175198CE" wp14:editId="305FC225">
            <wp:extent cx="2352675" cy="18192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2675" cy="1819275"/>
                    </a:xfrm>
                    <a:prstGeom prst="rect">
                      <a:avLst/>
                    </a:prstGeom>
                    <a:noFill/>
                    <a:ln>
                      <a:noFill/>
                    </a:ln>
                  </pic:spPr>
                </pic:pic>
              </a:graphicData>
            </a:graphic>
          </wp:inline>
        </w:drawing>
      </w:r>
    </w:p>
    <w:p w14:paraId="6CA518E7" w14:textId="77777777" w:rsidR="009700E5" w:rsidRPr="009700E5" w:rsidRDefault="002C033C">
      <w:pPr>
        <w:pStyle w:val="ListParagraph"/>
        <w:numPr>
          <w:ilvl w:val="0"/>
          <w:numId w:val="164"/>
        </w:numPr>
        <w:autoSpaceDE w:val="0"/>
        <w:autoSpaceDN w:val="0"/>
        <w:adjustRightInd w:val="0"/>
        <w:rPr>
          <w:color w:val="231F20"/>
          <w:rPrChange w:id="4917" w:author="Author" w:date="2026-02-13T09:07:00Z">
            <w:rPr/>
          </w:rPrChange>
        </w:rPr>
        <w:pPrChange w:id="4918" w:author="Author" w:date="2026-02-13T09:07:00Z">
          <w:pPr>
            <w:autoSpaceDE w:val="0"/>
            <w:autoSpaceDN w:val="0"/>
            <w:adjustRightInd w:val="0"/>
            <w:ind w:left="567" w:hanging="567"/>
          </w:pPr>
        </w:pPrChange>
      </w:pPr>
      <w:del w:id="4919" w:author="Author" w:date="2026-02-13T09:07:00Z">
        <w:r>
          <w:rPr>
            <w:color w:val="231F20"/>
            <w:rPrChange w:id="4920" w:author="Author" w:date="2026-02-13T09:07:00Z">
              <w:rPr/>
            </w:rPrChange>
          </w:rPr>
          <w:delText>•</w:delText>
        </w:r>
        <w:r>
          <w:rPr>
            <w:color w:val="231F20"/>
            <w:rPrChange w:id="4921" w:author="Author" w:date="2026-02-13T09:07:00Z">
              <w:rPr/>
            </w:rPrChange>
          </w:rPr>
          <w:tab/>
        </w:r>
      </w:del>
      <w:r>
        <w:rPr>
          <w:color w:val="231F20"/>
          <w:rPrChange w:id="4922" w:author="Author" w:date="2026-02-13T09:07:00Z">
            <w:rPr/>
          </w:rPrChange>
        </w:rPr>
        <w:t>Nedotýkajte sa ihly ani nedovoľte, aby sa dotkla akéhokoľvek povrchu.</w:t>
      </w:r>
    </w:p>
    <w:p w14:paraId="14B95047" w14:textId="77777777" w:rsidR="009700E5" w:rsidRPr="009700E5" w:rsidRDefault="002C033C">
      <w:pPr>
        <w:pStyle w:val="ListParagraph"/>
        <w:numPr>
          <w:ilvl w:val="0"/>
          <w:numId w:val="166"/>
        </w:numPr>
        <w:autoSpaceDE w:val="0"/>
        <w:autoSpaceDN w:val="0"/>
        <w:adjustRightInd w:val="0"/>
        <w:rPr>
          <w:color w:val="231F20"/>
          <w:rPrChange w:id="4923" w:author="Author" w:date="2026-02-13T09:07:00Z">
            <w:rPr/>
          </w:rPrChange>
        </w:rPr>
        <w:pPrChange w:id="4924" w:author="Author" w:date="2026-02-13T09:07:00Z">
          <w:pPr>
            <w:autoSpaceDE w:val="0"/>
            <w:autoSpaceDN w:val="0"/>
            <w:adjustRightInd w:val="0"/>
            <w:ind w:left="567" w:hanging="567"/>
          </w:pPr>
        </w:pPrChange>
      </w:pPr>
      <w:del w:id="4925" w:author="Author" w:date="2026-02-13T09:07:00Z">
        <w:r>
          <w:rPr>
            <w:color w:val="231F20"/>
            <w:rPrChange w:id="4926" w:author="Author" w:date="2026-02-13T09:07:00Z">
              <w:rPr/>
            </w:rPrChange>
          </w:rPr>
          <w:delText>•</w:delText>
        </w:r>
        <w:r>
          <w:rPr>
            <w:color w:val="231F20"/>
            <w:rPrChange w:id="4927" w:author="Author" w:date="2026-02-13T09:07:00Z">
              <w:rPr/>
            </w:rPrChange>
          </w:rPr>
          <w:tab/>
        </w:r>
      </w:del>
      <w:r>
        <w:rPr>
          <w:color w:val="231F20"/>
          <w:rPrChange w:id="4928" w:author="Author" w:date="2026-02-13T09:07:00Z">
            <w:rPr/>
          </w:rPrChange>
        </w:rPr>
        <w:t>V naplnenej injekčnej striekačke RoActemry môže byť vzduchová bublinka. Nie je potrebné, aby ste ju odstránili.</w:t>
      </w:r>
    </w:p>
    <w:p w14:paraId="24497F19" w14:textId="77777777" w:rsidR="009700E5" w:rsidRPr="009700E5" w:rsidRDefault="002C033C">
      <w:pPr>
        <w:pStyle w:val="ListParagraph"/>
        <w:numPr>
          <w:ilvl w:val="0"/>
          <w:numId w:val="168"/>
        </w:numPr>
        <w:autoSpaceDE w:val="0"/>
        <w:autoSpaceDN w:val="0"/>
        <w:adjustRightInd w:val="0"/>
        <w:rPr>
          <w:color w:val="231F20"/>
          <w:rPrChange w:id="4929" w:author="Author" w:date="2026-02-13T09:07:00Z">
            <w:rPr/>
          </w:rPrChange>
        </w:rPr>
        <w:pPrChange w:id="4930" w:author="Author" w:date="2026-02-13T09:07:00Z">
          <w:pPr>
            <w:autoSpaceDE w:val="0"/>
            <w:autoSpaceDN w:val="0"/>
            <w:adjustRightInd w:val="0"/>
            <w:ind w:left="567" w:hanging="567"/>
          </w:pPr>
        </w:pPrChange>
      </w:pPr>
      <w:del w:id="4931" w:author="Author" w:date="2026-02-13T09:07:00Z">
        <w:r>
          <w:rPr>
            <w:color w:val="231F20"/>
            <w:rPrChange w:id="4932" w:author="Author" w:date="2026-02-13T09:07:00Z">
              <w:rPr/>
            </w:rPrChange>
          </w:rPr>
          <w:delText>•</w:delText>
        </w:r>
        <w:r>
          <w:rPr>
            <w:color w:val="231F20"/>
            <w:rPrChange w:id="4933" w:author="Author" w:date="2026-02-13T09:07:00Z">
              <w:rPr/>
            </w:rPrChange>
          </w:rPr>
          <w:tab/>
        </w:r>
      </w:del>
      <w:r>
        <w:rPr>
          <w:color w:val="231F20"/>
          <w:rPrChange w:id="4934" w:author="Author" w:date="2026-02-13T09:07:00Z">
            <w:rPr/>
          </w:rPrChange>
        </w:rPr>
        <w:t>Na hrote ihly môžete uvidieť kvapku tekutiny. Je to normálne.</w:t>
      </w:r>
    </w:p>
    <w:p w14:paraId="329DAA9D" w14:textId="77777777" w:rsidR="009700E5" w:rsidRPr="009700E5" w:rsidRDefault="002C033C">
      <w:pPr>
        <w:pStyle w:val="ListParagraph"/>
        <w:numPr>
          <w:ilvl w:val="0"/>
          <w:numId w:val="170"/>
        </w:numPr>
        <w:autoSpaceDE w:val="0"/>
        <w:autoSpaceDN w:val="0"/>
        <w:adjustRightInd w:val="0"/>
        <w:rPr>
          <w:color w:val="231F20"/>
          <w:rPrChange w:id="4935" w:author="Author" w:date="2026-02-13T09:11:00Z">
            <w:rPr/>
          </w:rPrChange>
        </w:rPr>
        <w:pPrChange w:id="4936" w:author="Author" w:date="2026-02-13T09:11:00Z">
          <w:pPr>
            <w:autoSpaceDE w:val="0"/>
            <w:autoSpaceDN w:val="0"/>
            <w:adjustRightInd w:val="0"/>
            <w:ind w:left="567" w:hanging="567"/>
          </w:pPr>
        </w:pPrChange>
      </w:pPr>
      <w:del w:id="4937" w:author="Author" w:date="2026-02-13T09:11:00Z">
        <w:r>
          <w:rPr>
            <w:color w:val="231F20"/>
            <w:rPrChange w:id="4938" w:author="Author" w:date="2026-02-13T09:11:00Z">
              <w:rPr/>
            </w:rPrChange>
          </w:rPr>
          <w:delText>•</w:delText>
        </w:r>
        <w:r>
          <w:rPr>
            <w:color w:val="231F20"/>
            <w:rPrChange w:id="4939" w:author="Author" w:date="2026-02-13T09:11:00Z">
              <w:rPr/>
            </w:rPrChange>
          </w:rPr>
          <w:tab/>
        </w:r>
      </w:del>
      <w:r>
        <w:rPr>
          <w:color w:val="231F20"/>
          <w:rPrChange w:id="4940" w:author="Author" w:date="2026-02-13T09:11:00Z">
            <w:rPr/>
          </w:rPrChange>
        </w:rPr>
        <w:t>Vyhoďte viečko ihly do nádoby odolnej proti prepichnutiu alebo do nádoby na ostré predmety.</w:t>
      </w:r>
    </w:p>
    <w:p w14:paraId="65A71C47" w14:textId="77777777" w:rsidR="009700E5" w:rsidRDefault="009700E5">
      <w:pPr>
        <w:autoSpaceDE w:val="0"/>
        <w:autoSpaceDN w:val="0"/>
        <w:adjustRightInd w:val="0"/>
        <w:ind w:left="714" w:hanging="357"/>
        <w:rPr>
          <w:color w:val="231F20"/>
        </w:rPr>
      </w:pPr>
    </w:p>
    <w:p w14:paraId="56F4C86D" w14:textId="77777777" w:rsidR="009700E5" w:rsidRDefault="002C033C">
      <w:pPr>
        <w:autoSpaceDE w:val="0"/>
        <w:autoSpaceDN w:val="0"/>
        <w:adjustRightInd w:val="0"/>
        <w:ind w:left="714" w:hanging="357"/>
        <w:rPr>
          <w:color w:val="231F20"/>
        </w:rPr>
      </w:pPr>
      <w:r>
        <w:rPr>
          <w:color w:val="231F20"/>
        </w:rPr>
        <w:t>POZNÁMKA: Po odstránení viečka ihly sa musí injekčná striekačka ihneď použiť.</w:t>
      </w:r>
    </w:p>
    <w:p w14:paraId="07B9E860" w14:textId="77777777" w:rsidR="009700E5" w:rsidRDefault="009700E5">
      <w:pPr>
        <w:autoSpaceDE w:val="0"/>
        <w:autoSpaceDN w:val="0"/>
        <w:adjustRightInd w:val="0"/>
        <w:ind w:left="714" w:hanging="357"/>
        <w:rPr>
          <w:color w:val="231F20"/>
        </w:rPr>
      </w:pPr>
    </w:p>
    <w:p w14:paraId="02145823" w14:textId="77777777" w:rsidR="009700E5" w:rsidRPr="009700E5" w:rsidRDefault="002C033C">
      <w:pPr>
        <w:pStyle w:val="ListParagraph"/>
        <w:numPr>
          <w:ilvl w:val="0"/>
          <w:numId w:val="172"/>
        </w:numPr>
        <w:autoSpaceDE w:val="0"/>
        <w:autoSpaceDN w:val="0"/>
        <w:adjustRightInd w:val="0"/>
        <w:rPr>
          <w:color w:val="231F20"/>
          <w:rPrChange w:id="4941" w:author="Author" w:date="2026-02-13T09:11:00Z">
            <w:rPr/>
          </w:rPrChange>
        </w:rPr>
        <w:pPrChange w:id="4942" w:author="Author" w:date="2026-02-13T09:11:00Z">
          <w:pPr>
            <w:autoSpaceDE w:val="0"/>
            <w:autoSpaceDN w:val="0"/>
            <w:adjustRightInd w:val="0"/>
            <w:ind w:left="567" w:hanging="567"/>
          </w:pPr>
        </w:pPrChange>
      </w:pPr>
      <w:del w:id="4943" w:author="Author" w:date="2026-02-13T09:11:00Z">
        <w:r>
          <w:rPr>
            <w:color w:val="231F20"/>
            <w:rPrChange w:id="4944" w:author="Author" w:date="2026-02-13T09:11:00Z">
              <w:rPr/>
            </w:rPrChange>
          </w:rPr>
          <w:delText>•</w:delText>
        </w:r>
        <w:r>
          <w:rPr>
            <w:color w:val="231F20"/>
            <w:rPrChange w:id="4945" w:author="Author" w:date="2026-02-13T09:11:00Z">
              <w:rPr/>
            </w:rPrChange>
          </w:rPr>
          <w:tab/>
        </w:r>
      </w:del>
      <w:r>
        <w:rPr>
          <w:color w:val="231F20"/>
          <w:rPrChange w:id="4946" w:author="Author" w:date="2026-02-13T09:11:00Z">
            <w:rPr/>
          </w:rPrChange>
        </w:rPr>
        <w:t>Ak sa injekčná striekačka nepoužije do 5 minút, musí sa vyhodiť do nádoby odolnej proti prepichnutiu alebo do nádoby na ostré predmety a musí sa použiť nová injekčná striekačka.</w:t>
      </w:r>
    </w:p>
    <w:p w14:paraId="6185DF19" w14:textId="77777777" w:rsidR="009700E5" w:rsidRDefault="002C033C">
      <w:pPr>
        <w:pStyle w:val="ListParagraph"/>
        <w:numPr>
          <w:ilvl w:val="0"/>
          <w:numId w:val="174"/>
        </w:numPr>
        <w:autoSpaceDE w:val="0"/>
        <w:autoSpaceDN w:val="0"/>
        <w:adjustRightInd w:val="0"/>
        <w:rPr>
          <w:color w:val="231F20"/>
        </w:rPr>
        <w:pPrChange w:id="4947" w:author="Author" w:date="2026-02-13T09:11:00Z">
          <w:pPr>
            <w:autoSpaceDE w:val="0"/>
            <w:autoSpaceDN w:val="0"/>
            <w:adjustRightInd w:val="0"/>
            <w:ind w:left="567" w:hanging="567"/>
          </w:pPr>
        </w:pPrChange>
      </w:pPr>
      <w:del w:id="4948" w:author="Author" w:date="2026-02-13T09:11:00Z">
        <w:r>
          <w:rPr>
            <w:color w:val="231F20"/>
          </w:rPr>
          <w:delText>•</w:delText>
        </w:r>
        <w:r>
          <w:rPr>
            <w:color w:val="231F20"/>
          </w:rPr>
          <w:tab/>
        </w:r>
      </w:del>
      <w:r>
        <w:rPr>
          <w:color w:val="000000"/>
          <w:rPrChange w:id="4949" w:author="Author" w:date="2026-02-13T09:11:00Z">
            <w:rPr/>
          </w:rPrChange>
        </w:rPr>
        <w:t>Odstránené viečko ihly nikdy znovu nenasaďte.</w:t>
      </w:r>
    </w:p>
    <w:p w14:paraId="67CCBE9D" w14:textId="77777777" w:rsidR="009700E5" w:rsidRDefault="009700E5">
      <w:pPr>
        <w:autoSpaceDE w:val="0"/>
        <w:autoSpaceDN w:val="0"/>
        <w:adjustRightInd w:val="0"/>
        <w:rPr>
          <w:szCs w:val="22"/>
        </w:rPr>
      </w:pPr>
    </w:p>
    <w:p w14:paraId="34B97988" w14:textId="77777777" w:rsidR="009700E5" w:rsidRDefault="009700E5">
      <w:pPr>
        <w:autoSpaceDE w:val="0"/>
        <w:autoSpaceDN w:val="0"/>
        <w:adjustRightInd w:val="0"/>
        <w:rPr>
          <w:szCs w:val="22"/>
        </w:rPr>
      </w:pPr>
    </w:p>
    <w:p w14:paraId="4A7830D8" w14:textId="77777777" w:rsidR="009700E5" w:rsidRDefault="002C033C">
      <w:pPr>
        <w:keepNext/>
        <w:keepLines/>
        <w:autoSpaceDE w:val="0"/>
        <w:autoSpaceDN w:val="0"/>
        <w:adjustRightInd w:val="0"/>
        <w:rPr>
          <w:b/>
          <w:szCs w:val="22"/>
        </w:rPr>
      </w:pPr>
      <w:r>
        <w:rPr>
          <w:b/>
          <w:szCs w:val="22"/>
        </w:rPr>
        <w:t>6. krok Podajte si injekciu</w:t>
      </w:r>
    </w:p>
    <w:p w14:paraId="7FF6B185" w14:textId="77777777" w:rsidR="009700E5" w:rsidRDefault="009700E5">
      <w:pPr>
        <w:keepNext/>
        <w:keepLines/>
        <w:autoSpaceDE w:val="0"/>
        <w:autoSpaceDN w:val="0"/>
        <w:adjustRightInd w:val="0"/>
        <w:rPr>
          <w:szCs w:val="22"/>
        </w:rPr>
      </w:pPr>
    </w:p>
    <w:p w14:paraId="36054077" w14:textId="77777777" w:rsidR="009700E5" w:rsidRPr="009700E5" w:rsidRDefault="002C033C">
      <w:pPr>
        <w:pStyle w:val="ListParagraph"/>
        <w:keepNext/>
        <w:keepLines/>
        <w:numPr>
          <w:ilvl w:val="0"/>
          <w:numId w:val="176"/>
        </w:numPr>
        <w:autoSpaceDE w:val="0"/>
        <w:autoSpaceDN w:val="0"/>
        <w:adjustRightInd w:val="0"/>
        <w:rPr>
          <w:color w:val="231F20"/>
          <w:rPrChange w:id="4950" w:author="Author" w:date="2026-02-13T09:11:00Z">
            <w:rPr/>
          </w:rPrChange>
        </w:rPr>
        <w:pPrChange w:id="4951" w:author="Author" w:date="2026-02-13T09:11:00Z">
          <w:pPr>
            <w:keepNext/>
            <w:keepLines/>
            <w:autoSpaceDE w:val="0"/>
            <w:autoSpaceDN w:val="0"/>
            <w:adjustRightInd w:val="0"/>
            <w:ind w:left="567" w:hanging="567"/>
          </w:pPr>
        </w:pPrChange>
      </w:pPr>
      <w:del w:id="4952" w:author="Author" w:date="2026-02-13T09:11:00Z">
        <w:r>
          <w:rPr>
            <w:color w:val="231F20"/>
            <w:rPrChange w:id="4953" w:author="Author" w:date="2026-02-13T09:11:00Z">
              <w:rPr/>
            </w:rPrChange>
          </w:rPr>
          <w:delText>•</w:delText>
        </w:r>
        <w:r>
          <w:rPr>
            <w:color w:val="231F20"/>
            <w:rPrChange w:id="4954" w:author="Author" w:date="2026-02-13T09:11:00Z">
              <w:rPr/>
            </w:rPrChange>
          </w:rPr>
          <w:tab/>
        </w:r>
      </w:del>
      <w:r>
        <w:rPr>
          <w:color w:val="231F20"/>
          <w:rPrChange w:id="4955" w:author="Author" w:date="2026-02-13T09:11:00Z">
            <w:rPr/>
          </w:rPrChange>
        </w:rPr>
        <w:t>Držte injekčnú striekačku pohodlne v ruke.</w:t>
      </w:r>
    </w:p>
    <w:p w14:paraId="0286E688" w14:textId="77777777" w:rsidR="009700E5" w:rsidRPr="009700E5" w:rsidRDefault="002C033C">
      <w:pPr>
        <w:pStyle w:val="ListParagraph"/>
        <w:keepNext/>
        <w:keepLines/>
        <w:numPr>
          <w:ilvl w:val="1"/>
          <w:numId w:val="178"/>
        </w:numPr>
        <w:autoSpaceDE w:val="0"/>
        <w:autoSpaceDN w:val="0"/>
        <w:adjustRightInd w:val="0"/>
        <w:rPr>
          <w:color w:val="231F20"/>
          <w:rPrChange w:id="4956" w:author="Author" w:date="2026-02-13T09:18:00Z">
            <w:rPr/>
          </w:rPrChange>
        </w:rPr>
        <w:pPrChange w:id="4957" w:author="Author" w:date="2026-02-13T09:18:00Z">
          <w:pPr>
            <w:keepNext/>
            <w:keepLines/>
            <w:autoSpaceDE w:val="0"/>
            <w:autoSpaceDN w:val="0"/>
            <w:adjustRightInd w:val="0"/>
            <w:ind w:left="567" w:hanging="567"/>
          </w:pPr>
        </w:pPrChange>
      </w:pPr>
      <w:del w:id="4958" w:author="Author" w:date="2026-02-13T09:18:00Z">
        <w:r>
          <w:rPr>
            <w:color w:val="231F20"/>
            <w:rPrChange w:id="4959" w:author="Author" w:date="2026-02-13T09:18:00Z">
              <w:rPr/>
            </w:rPrChange>
          </w:rPr>
          <w:delText>•</w:delText>
        </w:r>
        <w:r>
          <w:rPr>
            <w:color w:val="231F20"/>
            <w:rPrChange w:id="4960" w:author="Author" w:date="2026-02-13T09:18:00Z">
              <w:rPr/>
            </w:rPrChange>
          </w:rPr>
          <w:tab/>
        </w:r>
      </w:del>
      <w:r>
        <w:rPr>
          <w:color w:val="231F20"/>
          <w:rPrChange w:id="4961" w:author="Author" w:date="2026-02-13T09:18:00Z">
            <w:rPr/>
          </w:rPrChange>
        </w:rPr>
        <w:t>Aby ste sa uistili, že ihlu dokážete správne zaviesť pod kožu, druhou rukou stlačte voľnú kožu a vytvorte kožnú riasu na očistenom mieste vpichu. Stlačenie kože je dôležité, aby sa zaistilo, že injekciu vpichnete pod kožu (do tukového tkaniva), ale nie hlbšie (do svalu). Podanie injekcie do svalu by mohlo mať za následok nepríjemnú injekciu.</w:t>
      </w:r>
    </w:p>
    <w:p w14:paraId="0C46A5F5" w14:textId="77777777" w:rsidR="009700E5" w:rsidRPr="009700E5" w:rsidRDefault="002C033C">
      <w:pPr>
        <w:pStyle w:val="ListParagraph"/>
        <w:numPr>
          <w:ilvl w:val="1"/>
          <w:numId w:val="180"/>
        </w:numPr>
        <w:autoSpaceDE w:val="0"/>
        <w:autoSpaceDN w:val="0"/>
        <w:adjustRightInd w:val="0"/>
        <w:rPr>
          <w:color w:val="231F20"/>
          <w:rPrChange w:id="4962" w:author="Author" w:date="2026-02-13T09:19:00Z">
            <w:rPr/>
          </w:rPrChange>
        </w:rPr>
        <w:pPrChange w:id="4963" w:author="Author" w:date="2026-02-13T09:19:00Z">
          <w:pPr>
            <w:autoSpaceDE w:val="0"/>
            <w:autoSpaceDN w:val="0"/>
            <w:adjustRightInd w:val="0"/>
            <w:ind w:left="567" w:hanging="567"/>
          </w:pPr>
        </w:pPrChange>
      </w:pPr>
      <w:del w:id="4964" w:author="Author" w:date="2026-02-13T09:19:00Z">
        <w:r>
          <w:rPr>
            <w:color w:val="231F20"/>
            <w:rPrChange w:id="4965" w:author="Author" w:date="2026-02-13T09:19:00Z">
              <w:rPr/>
            </w:rPrChange>
          </w:rPr>
          <w:delText>•</w:delText>
        </w:r>
        <w:r>
          <w:rPr>
            <w:color w:val="231F20"/>
            <w:rPrChange w:id="4966" w:author="Author" w:date="2026-02-13T09:19:00Z">
              <w:rPr/>
            </w:rPrChange>
          </w:rPr>
          <w:tab/>
        </w:r>
      </w:del>
      <w:r>
        <w:rPr>
          <w:color w:val="231F20"/>
          <w:rPrChange w:id="4967" w:author="Author" w:date="2026-02-13T09:19:00Z">
            <w:rPr/>
          </w:rPrChange>
        </w:rPr>
        <w:t>Počas zavádzania ihly do kože nedržte piest, ani naň netlačte.</w:t>
      </w:r>
    </w:p>
    <w:p w14:paraId="0D59647A" w14:textId="77777777" w:rsidR="009700E5" w:rsidRPr="009700E5" w:rsidRDefault="002C033C">
      <w:pPr>
        <w:pStyle w:val="ListParagraph"/>
        <w:numPr>
          <w:ilvl w:val="1"/>
          <w:numId w:val="181"/>
        </w:numPr>
        <w:autoSpaceDE w:val="0"/>
        <w:autoSpaceDN w:val="0"/>
        <w:adjustRightInd w:val="0"/>
        <w:rPr>
          <w:color w:val="231F20"/>
          <w:rPrChange w:id="4968" w:author="Author" w:date="2026-02-13T09:19:00Z">
            <w:rPr/>
          </w:rPrChange>
        </w:rPr>
        <w:pPrChange w:id="4969" w:author="Author" w:date="2026-02-13T09:19:00Z">
          <w:pPr>
            <w:autoSpaceDE w:val="0"/>
            <w:autoSpaceDN w:val="0"/>
            <w:adjustRightInd w:val="0"/>
            <w:ind w:left="567" w:hanging="567"/>
          </w:pPr>
        </w:pPrChange>
      </w:pPr>
      <w:del w:id="4970" w:author="Author" w:date="2026-02-13T09:19:00Z">
        <w:r>
          <w:rPr>
            <w:color w:val="231F20"/>
            <w:rPrChange w:id="4971" w:author="Author" w:date="2026-02-13T09:19:00Z">
              <w:rPr/>
            </w:rPrChange>
          </w:rPr>
          <w:delText>•</w:delText>
        </w:r>
        <w:r>
          <w:rPr>
            <w:color w:val="231F20"/>
            <w:rPrChange w:id="4972" w:author="Author" w:date="2026-02-13T09:19:00Z">
              <w:rPr/>
            </w:rPrChange>
          </w:rPr>
          <w:tab/>
        </w:r>
      </w:del>
      <w:r>
        <w:rPr>
          <w:color w:val="231F20"/>
          <w:rPrChange w:id="4973" w:author="Author" w:date="2026-02-13T09:19:00Z">
            <w:rPr/>
          </w:rPrChange>
        </w:rPr>
        <w:t xml:space="preserve">Rýchly a pevným pohybom zaveďte ihlu v celej dĺžke do kožnej riasy pod uhlom medzi </w:t>
      </w:r>
      <w:r>
        <w:rPr>
          <w:szCs w:val="22"/>
        </w:rPr>
        <w:t>45° až 90° (pozri obr. E).</w:t>
      </w:r>
    </w:p>
    <w:p w14:paraId="397056D5" w14:textId="77777777" w:rsidR="009700E5" w:rsidRDefault="009700E5">
      <w:pPr>
        <w:autoSpaceDE w:val="0"/>
        <w:autoSpaceDN w:val="0"/>
        <w:adjustRightInd w:val="0"/>
      </w:pPr>
    </w:p>
    <w:p w14:paraId="25BFEEA7" w14:textId="77777777" w:rsidR="009700E5" w:rsidRDefault="002C033C">
      <w:pPr>
        <w:autoSpaceDE w:val="0"/>
        <w:autoSpaceDN w:val="0"/>
        <w:adjustRightInd w:val="0"/>
        <w:spacing w:after="120"/>
        <w:rPr>
          <w:rFonts w:ascii="HelveticaNeueLTPro-Roman" w:hAnsi="HelveticaNeueLTPro-Roman" w:cs="HelveticaNeueLTPro-Roman"/>
          <w:sz w:val="20"/>
        </w:rPr>
      </w:pPr>
      <w:r>
        <w:rPr>
          <w:lang w:val="en-US" w:eastAsia="en-US"/>
        </w:rPr>
        <w:drawing>
          <wp:inline distT="0" distB="0" distL="0" distR="0" wp14:anchorId="64A7DED4" wp14:editId="171C5F9B">
            <wp:extent cx="2314575" cy="1819275"/>
            <wp:effectExtent l="0" t="0" r="0" b="0"/>
            <wp:docPr id="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4575" cy="1819275"/>
                    </a:xfrm>
                    <a:prstGeom prst="rect">
                      <a:avLst/>
                    </a:prstGeom>
                    <a:noFill/>
                    <a:ln>
                      <a:noFill/>
                    </a:ln>
                  </pic:spPr>
                </pic:pic>
              </a:graphicData>
            </a:graphic>
          </wp:inline>
        </w:drawing>
      </w:r>
    </w:p>
    <w:p w14:paraId="4F33408D" w14:textId="77777777" w:rsidR="009700E5" w:rsidRDefault="002C033C">
      <w:pPr>
        <w:autoSpaceDE w:val="0"/>
        <w:autoSpaceDN w:val="0"/>
        <w:adjustRightInd w:val="0"/>
        <w:rPr>
          <w:szCs w:val="22"/>
        </w:rPr>
      </w:pPr>
      <w:r>
        <w:rPr>
          <w:szCs w:val="22"/>
        </w:rPr>
        <w:t>Je dôležité, aby ste si zvolili správny uhol, aby sa zaistilo, že sa liek dostane pod kožu (do tukového tkaniva), inak by injekcia mohla byť bolestivá a liek by nemusel účinkovať.</w:t>
      </w:r>
    </w:p>
    <w:p w14:paraId="7C4050CA" w14:textId="77777777" w:rsidR="009700E5" w:rsidRDefault="009700E5"/>
    <w:p w14:paraId="4A6840FB" w14:textId="77777777" w:rsidR="009700E5" w:rsidRPr="009700E5" w:rsidRDefault="002C033C">
      <w:pPr>
        <w:pStyle w:val="ListParagraph"/>
        <w:numPr>
          <w:ilvl w:val="1"/>
          <w:numId w:val="183"/>
        </w:numPr>
        <w:autoSpaceDE w:val="0"/>
        <w:autoSpaceDN w:val="0"/>
        <w:adjustRightInd w:val="0"/>
        <w:rPr>
          <w:color w:val="231F20"/>
          <w:rPrChange w:id="4974" w:author="Author" w:date="2026-02-13T10:06:00Z">
            <w:rPr/>
          </w:rPrChange>
        </w:rPr>
        <w:pPrChange w:id="4975" w:author="Author" w:date="2026-02-13T10:06:00Z">
          <w:pPr>
            <w:autoSpaceDE w:val="0"/>
            <w:autoSpaceDN w:val="0"/>
            <w:adjustRightInd w:val="0"/>
            <w:ind w:left="567" w:hanging="567"/>
          </w:pPr>
        </w:pPrChange>
      </w:pPr>
      <w:del w:id="4976" w:author="Author" w:date="2026-02-13T10:06:00Z">
        <w:r>
          <w:rPr>
            <w:color w:val="231F20"/>
            <w:rPrChange w:id="4977" w:author="Author" w:date="2026-02-13T10:06:00Z">
              <w:rPr/>
            </w:rPrChange>
          </w:rPr>
          <w:delText>•</w:delText>
        </w:r>
        <w:r>
          <w:rPr>
            <w:color w:val="231F20"/>
            <w:rPrChange w:id="4978" w:author="Author" w:date="2026-02-13T10:06:00Z">
              <w:rPr/>
            </w:rPrChange>
          </w:rPr>
          <w:tab/>
        </w:r>
      </w:del>
      <w:r>
        <w:rPr>
          <w:color w:val="231F20"/>
          <w:rPrChange w:id="4979" w:author="Author" w:date="2026-02-13T10:06:00Z">
            <w:rPr/>
          </w:rPrChange>
        </w:rPr>
        <w:t>Potom držte injekčnú striekačku v rovnakej polohe a pustite stlačenú kožu.</w:t>
      </w:r>
    </w:p>
    <w:p w14:paraId="1C91B0BB" w14:textId="77777777" w:rsidR="009700E5" w:rsidRDefault="002C033C">
      <w:pPr>
        <w:pStyle w:val="ListParagraph"/>
        <w:keepNext/>
        <w:keepLines/>
        <w:numPr>
          <w:ilvl w:val="1"/>
          <w:numId w:val="183"/>
        </w:numPr>
        <w:autoSpaceDE w:val="0"/>
        <w:autoSpaceDN w:val="0"/>
        <w:adjustRightInd w:val="0"/>
        <w:rPr>
          <w:szCs w:val="22"/>
        </w:rPr>
        <w:pPrChange w:id="4980" w:author="Author" w:date="2026-02-13T10:06:00Z">
          <w:pPr>
            <w:keepNext/>
            <w:keepLines/>
            <w:autoSpaceDE w:val="0"/>
            <w:autoSpaceDN w:val="0"/>
            <w:adjustRightInd w:val="0"/>
            <w:ind w:left="567" w:hanging="567"/>
          </w:pPr>
        </w:pPrChange>
      </w:pPr>
      <w:del w:id="4981" w:author="Author" w:date="2026-02-13T10:06:00Z">
        <w:r>
          <w:rPr>
            <w:color w:val="231F20"/>
            <w:rPrChange w:id="4982" w:author="Author" w:date="2026-02-13T10:06:00Z">
              <w:rPr/>
            </w:rPrChange>
          </w:rPr>
          <w:lastRenderedPageBreak/>
          <w:delText>•</w:delText>
        </w:r>
        <w:r>
          <w:rPr>
            <w:color w:val="231F20"/>
            <w:rPrChange w:id="4983" w:author="Author" w:date="2026-02-13T10:06:00Z">
              <w:rPr/>
            </w:rPrChange>
          </w:rPr>
          <w:tab/>
        </w:r>
      </w:del>
      <w:r>
        <w:rPr>
          <w:color w:val="231F20"/>
          <w:rPrChange w:id="4984" w:author="Author" w:date="2026-02-13T10:06:00Z">
            <w:rPr/>
          </w:rPrChange>
        </w:rPr>
        <w:t>Pomaly vpichnite všetok liek jemným zatlačením piesta až úplne nadol (pozri obr. F). Musíte zatlačiť piest až úplne nadol, aby sa zaistilo, že si podáte plnú dávku lieku a aby sa zaistilo, že sa spúšťacie výbežky úplne roztlačia. Ak piest nie je úplne zatlačený, kryt ihly sa nevysunie, aby prekryl ihlu po jej vytiahnutí. Ak ihla nie je prekrytá, postupujte opatrne a vložte injekčnú striekačku do nádoby odolnej proti prepichnutiu, aby ste sa vyhli poraneniu ihlou.</w:t>
      </w:r>
    </w:p>
    <w:p w14:paraId="1C35BDB8" w14:textId="77777777" w:rsidR="009700E5" w:rsidRDefault="009700E5">
      <w:pPr>
        <w:autoSpaceDE w:val="0"/>
        <w:autoSpaceDN w:val="0"/>
        <w:adjustRightInd w:val="0"/>
        <w:ind w:hanging="425"/>
        <w:rPr>
          <w:szCs w:val="22"/>
        </w:rPr>
        <w:pPrChange w:id="4985" w:author="Author" w:date="2025-07-20T21:54:00Z">
          <w:pPr>
            <w:autoSpaceDE w:val="0"/>
            <w:autoSpaceDN w:val="0"/>
            <w:adjustRightInd w:val="0"/>
          </w:pPr>
        </w:pPrChange>
      </w:pPr>
    </w:p>
    <w:p w14:paraId="54BBEFC5" w14:textId="77777777" w:rsidR="009700E5" w:rsidRDefault="002C033C">
      <w:pPr>
        <w:autoSpaceDE w:val="0"/>
        <w:autoSpaceDN w:val="0"/>
        <w:adjustRightInd w:val="0"/>
        <w:spacing w:after="120"/>
      </w:pPr>
      <w:r>
        <w:rPr>
          <w:lang w:val="en-US" w:eastAsia="en-US"/>
        </w:rPr>
        <w:drawing>
          <wp:inline distT="0" distB="0" distL="0" distR="0" wp14:anchorId="368C8910" wp14:editId="4872F6CA">
            <wp:extent cx="2314575" cy="1828800"/>
            <wp:effectExtent l="0" t="0" r="0" b="0"/>
            <wp:docPr id="7"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14575" cy="1828800"/>
                    </a:xfrm>
                    <a:prstGeom prst="rect">
                      <a:avLst/>
                    </a:prstGeom>
                    <a:noFill/>
                    <a:ln>
                      <a:noFill/>
                    </a:ln>
                  </pic:spPr>
                </pic:pic>
              </a:graphicData>
            </a:graphic>
          </wp:inline>
        </w:drawing>
      </w:r>
    </w:p>
    <w:p w14:paraId="48EA2DAF" w14:textId="77777777" w:rsidR="009700E5" w:rsidRPr="009700E5" w:rsidRDefault="002C033C">
      <w:pPr>
        <w:pStyle w:val="ListParagraph"/>
        <w:numPr>
          <w:ilvl w:val="1"/>
          <w:numId w:val="185"/>
        </w:numPr>
        <w:autoSpaceDE w:val="0"/>
        <w:autoSpaceDN w:val="0"/>
        <w:adjustRightInd w:val="0"/>
        <w:rPr>
          <w:color w:val="231F20"/>
          <w:rPrChange w:id="4986" w:author="Author" w:date="2026-02-13T10:06:00Z">
            <w:rPr/>
          </w:rPrChange>
        </w:rPr>
        <w:pPrChange w:id="4987" w:author="Author" w:date="2026-02-13T10:06:00Z">
          <w:pPr>
            <w:autoSpaceDE w:val="0"/>
            <w:autoSpaceDN w:val="0"/>
            <w:adjustRightInd w:val="0"/>
            <w:ind w:left="567" w:hanging="567"/>
          </w:pPr>
        </w:pPrChange>
      </w:pPr>
      <w:del w:id="4988" w:author="Author" w:date="2026-02-13T10:06:00Z">
        <w:r>
          <w:rPr>
            <w:color w:val="231F20"/>
            <w:rPrChange w:id="4989" w:author="Author" w:date="2026-02-13T10:06:00Z">
              <w:rPr/>
            </w:rPrChange>
          </w:rPr>
          <w:delText>•</w:delText>
        </w:r>
        <w:r>
          <w:rPr>
            <w:color w:val="231F20"/>
            <w:rPrChange w:id="4990" w:author="Author" w:date="2026-02-13T10:06:00Z">
              <w:rPr/>
            </w:rPrChange>
          </w:rPr>
          <w:tab/>
        </w:r>
      </w:del>
      <w:r>
        <w:rPr>
          <w:color w:val="231F20"/>
          <w:rPrChange w:id="4991" w:author="Author" w:date="2026-02-13T10:06:00Z">
            <w:rPr/>
          </w:rPrChange>
        </w:rPr>
        <w:t>Keď piest zatlačíte úplne nadol, stále ho držte zatlačený, aby sa zaistilo, že si vpichnete všetok liek predtým, ako vytiahnete ihlu z kože.</w:t>
      </w:r>
    </w:p>
    <w:p w14:paraId="5AE77999" w14:textId="77777777" w:rsidR="009700E5" w:rsidRPr="009700E5" w:rsidRDefault="002C033C">
      <w:pPr>
        <w:pStyle w:val="ListParagraph"/>
        <w:numPr>
          <w:ilvl w:val="1"/>
          <w:numId w:val="185"/>
        </w:numPr>
        <w:autoSpaceDE w:val="0"/>
        <w:autoSpaceDN w:val="0"/>
        <w:adjustRightInd w:val="0"/>
        <w:rPr>
          <w:color w:val="231F20"/>
          <w:rPrChange w:id="4992" w:author="Author" w:date="2026-02-13T10:06:00Z">
            <w:rPr/>
          </w:rPrChange>
        </w:rPr>
        <w:pPrChange w:id="4993" w:author="Author" w:date="2026-02-13T10:06:00Z">
          <w:pPr>
            <w:autoSpaceDE w:val="0"/>
            <w:autoSpaceDN w:val="0"/>
            <w:adjustRightInd w:val="0"/>
            <w:ind w:left="567" w:hanging="567"/>
          </w:pPr>
        </w:pPrChange>
      </w:pPr>
      <w:del w:id="4994" w:author="Author" w:date="2026-02-13T10:06:00Z">
        <w:r>
          <w:rPr>
            <w:color w:val="231F20"/>
            <w:rPrChange w:id="4995" w:author="Author" w:date="2026-02-13T10:06:00Z">
              <w:rPr/>
            </w:rPrChange>
          </w:rPr>
          <w:delText>•</w:delText>
        </w:r>
        <w:r>
          <w:rPr>
            <w:color w:val="231F20"/>
            <w:rPrChange w:id="4996" w:author="Author" w:date="2026-02-13T10:06:00Z">
              <w:rPr/>
            </w:rPrChange>
          </w:rPr>
          <w:tab/>
        </w:r>
      </w:del>
      <w:r>
        <w:rPr>
          <w:color w:val="231F20"/>
          <w:rPrChange w:id="4997" w:author="Author" w:date="2026-02-13T10:06:00Z">
            <w:rPr/>
          </w:rPrChange>
        </w:rPr>
        <w:t>Počas vyťahovania ihly z kože pod rovnakým uhlom, pod akým bola zavedená, piest stále držte zatlačený (pozri obr. G).</w:t>
      </w:r>
    </w:p>
    <w:p w14:paraId="7D30D96A" w14:textId="77777777" w:rsidR="009700E5" w:rsidRDefault="009700E5">
      <w:pPr>
        <w:autoSpaceDE w:val="0"/>
        <w:autoSpaceDN w:val="0"/>
        <w:adjustRightInd w:val="0"/>
        <w:ind w:left="360"/>
        <w:rPr>
          <w:szCs w:val="22"/>
        </w:rPr>
      </w:pPr>
    </w:p>
    <w:p w14:paraId="5611BADB" w14:textId="77777777" w:rsidR="009700E5" w:rsidRDefault="002C033C">
      <w:pPr>
        <w:autoSpaceDE w:val="0"/>
        <w:autoSpaceDN w:val="0"/>
        <w:adjustRightInd w:val="0"/>
        <w:spacing w:after="120"/>
      </w:pPr>
      <w:r>
        <w:rPr>
          <w:lang w:val="en-US" w:eastAsia="en-US"/>
        </w:rPr>
        <w:drawing>
          <wp:inline distT="0" distB="0" distL="0" distR="0" wp14:anchorId="7D728443" wp14:editId="2D48F939">
            <wp:extent cx="2314575" cy="1819275"/>
            <wp:effectExtent l="0" t="0" r="0" b="0"/>
            <wp:docPr id="8"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14575" cy="1819275"/>
                    </a:xfrm>
                    <a:prstGeom prst="rect">
                      <a:avLst/>
                    </a:prstGeom>
                    <a:noFill/>
                    <a:ln>
                      <a:noFill/>
                    </a:ln>
                  </pic:spPr>
                </pic:pic>
              </a:graphicData>
            </a:graphic>
          </wp:inline>
        </w:drawing>
      </w:r>
    </w:p>
    <w:p w14:paraId="013A4D70" w14:textId="77777777" w:rsidR="009700E5" w:rsidRDefault="002C033C">
      <w:pPr>
        <w:pStyle w:val="ListParagraph"/>
        <w:numPr>
          <w:ilvl w:val="1"/>
          <w:numId w:val="187"/>
        </w:numPr>
        <w:autoSpaceDE w:val="0"/>
        <w:autoSpaceDN w:val="0"/>
        <w:adjustRightInd w:val="0"/>
        <w:rPr>
          <w:szCs w:val="22"/>
        </w:rPr>
        <w:pPrChange w:id="4998" w:author="Author" w:date="2026-02-13T10:07:00Z">
          <w:pPr>
            <w:autoSpaceDE w:val="0"/>
            <w:autoSpaceDN w:val="0"/>
            <w:adjustRightInd w:val="0"/>
            <w:ind w:left="567" w:hanging="567"/>
          </w:pPr>
        </w:pPrChange>
      </w:pPr>
      <w:del w:id="4999" w:author="Author" w:date="2026-02-13T10:06:00Z">
        <w:r>
          <w:rPr>
            <w:color w:val="231F20"/>
            <w:rPrChange w:id="5000" w:author="Author" w:date="2026-02-13T10:06:00Z">
              <w:rPr/>
            </w:rPrChange>
          </w:rPr>
          <w:delText>•</w:delText>
        </w:r>
        <w:r>
          <w:rPr>
            <w:color w:val="231F20"/>
            <w:rPrChange w:id="5001" w:author="Author" w:date="2026-02-13T10:06:00Z">
              <w:rPr/>
            </w:rPrChange>
          </w:rPr>
          <w:tab/>
        </w:r>
      </w:del>
      <w:r>
        <w:rPr>
          <w:color w:val="231F20"/>
          <w:rPrChange w:id="5002" w:author="Author" w:date="2026-02-13T10:06:00Z">
            <w:rPr/>
          </w:rPrChange>
        </w:rPr>
        <w:t>Keď bude ihla úplne vytiahnutá z kože, môžete pustiť piest, čím umožníte, aby kryt ihly prekryl ihlu (pozri obr. H).</w:t>
      </w:r>
    </w:p>
    <w:p w14:paraId="34B9680D" w14:textId="77777777" w:rsidR="009700E5" w:rsidRDefault="009700E5">
      <w:pPr>
        <w:autoSpaceDE w:val="0"/>
        <w:autoSpaceDN w:val="0"/>
        <w:adjustRightInd w:val="0"/>
        <w:ind w:left="360"/>
      </w:pPr>
    </w:p>
    <w:p w14:paraId="47D99490" w14:textId="77777777" w:rsidR="009700E5" w:rsidRDefault="002C033C">
      <w:pPr>
        <w:autoSpaceDE w:val="0"/>
        <w:autoSpaceDN w:val="0"/>
        <w:adjustRightInd w:val="0"/>
        <w:spacing w:after="120"/>
      </w:pPr>
      <w:r>
        <w:rPr>
          <w:lang w:val="en-US" w:eastAsia="en-US"/>
        </w:rPr>
        <w:drawing>
          <wp:inline distT="0" distB="0" distL="0" distR="0" wp14:anchorId="638DD559" wp14:editId="533EA8C6">
            <wp:extent cx="2314575" cy="1819275"/>
            <wp:effectExtent l="0" t="0" r="0" b="0"/>
            <wp:docPr id="9"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4575" cy="1819275"/>
                    </a:xfrm>
                    <a:prstGeom prst="rect">
                      <a:avLst/>
                    </a:prstGeom>
                    <a:noFill/>
                    <a:ln>
                      <a:noFill/>
                    </a:ln>
                  </pic:spPr>
                </pic:pic>
              </a:graphicData>
            </a:graphic>
          </wp:inline>
        </w:drawing>
      </w:r>
    </w:p>
    <w:p w14:paraId="0125357D" w14:textId="77777777" w:rsidR="009700E5" w:rsidRPr="009700E5" w:rsidRDefault="002C033C">
      <w:pPr>
        <w:pStyle w:val="ListParagraph"/>
        <w:numPr>
          <w:ilvl w:val="1"/>
          <w:numId w:val="189"/>
        </w:numPr>
        <w:autoSpaceDE w:val="0"/>
        <w:autoSpaceDN w:val="0"/>
        <w:adjustRightInd w:val="0"/>
        <w:rPr>
          <w:color w:val="231F20"/>
          <w:rPrChange w:id="5003" w:author="Author" w:date="2026-02-13T10:07:00Z">
            <w:rPr/>
          </w:rPrChange>
        </w:rPr>
        <w:pPrChange w:id="5004" w:author="Author" w:date="2026-02-13T10:07:00Z">
          <w:pPr>
            <w:autoSpaceDE w:val="0"/>
            <w:autoSpaceDN w:val="0"/>
            <w:adjustRightInd w:val="0"/>
            <w:ind w:left="567" w:hanging="567"/>
          </w:pPr>
        </w:pPrChange>
      </w:pPr>
      <w:del w:id="5005" w:author="Author" w:date="2026-02-13T10:07:00Z">
        <w:r>
          <w:rPr>
            <w:color w:val="231F20"/>
            <w:rPrChange w:id="5006" w:author="Author" w:date="2026-02-13T10:07:00Z">
              <w:rPr/>
            </w:rPrChange>
          </w:rPr>
          <w:delText>•</w:delText>
        </w:r>
        <w:r>
          <w:rPr>
            <w:color w:val="231F20"/>
            <w:rPrChange w:id="5007" w:author="Author" w:date="2026-02-13T10:07:00Z">
              <w:rPr/>
            </w:rPrChange>
          </w:rPr>
          <w:tab/>
        </w:r>
      </w:del>
      <w:r>
        <w:rPr>
          <w:color w:val="231F20"/>
          <w:rPrChange w:id="5008" w:author="Author" w:date="2026-02-13T10:07:00Z">
            <w:rPr/>
          </w:rPrChange>
        </w:rPr>
        <w:t>Ak v mieste vpichu uvidíte kvapky krvi, môžete na miesto vpichu približne na 10 sekúnd pritlačiť sterilný vatový tampón alebo gázu.</w:t>
      </w:r>
    </w:p>
    <w:p w14:paraId="0B81BE0D" w14:textId="77777777" w:rsidR="009700E5" w:rsidRPr="009700E5" w:rsidRDefault="002C033C">
      <w:pPr>
        <w:pStyle w:val="ListParagraph"/>
        <w:numPr>
          <w:ilvl w:val="1"/>
          <w:numId w:val="189"/>
        </w:numPr>
        <w:autoSpaceDE w:val="0"/>
        <w:autoSpaceDN w:val="0"/>
        <w:adjustRightInd w:val="0"/>
        <w:rPr>
          <w:color w:val="231F20"/>
          <w:rPrChange w:id="5009" w:author="Author" w:date="2026-02-13T10:07:00Z">
            <w:rPr/>
          </w:rPrChange>
        </w:rPr>
        <w:pPrChange w:id="5010" w:author="Author" w:date="2026-02-13T10:07:00Z">
          <w:pPr>
            <w:autoSpaceDE w:val="0"/>
            <w:autoSpaceDN w:val="0"/>
            <w:adjustRightInd w:val="0"/>
            <w:ind w:left="567" w:hanging="567"/>
          </w:pPr>
        </w:pPrChange>
      </w:pPr>
      <w:del w:id="5011" w:author="Author" w:date="2026-02-13T10:07:00Z">
        <w:r>
          <w:rPr>
            <w:color w:val="231F20"/>
            <w:rPrChange w:id="5012" w:author="Author" w:date="2026-02-13T10:07:00Z">
              <w:rPr/>
            </w:rPrChange>
          </w:rPr>
          <w:delText>•</w:delText>
        </w:r>
        <w:r>
          <w:rPr>
            <w:color w:val="231F20"/>
            <w:rPrChange w:id="5013" w:author="Author" w:date="2026-02-13T10:07:00Z">
              <w:rPr/>
            </w:rPrChange>
          </w:rPr>
          <w:tab/>
        </w:r>
      </w:del>
      <w:r>
        <w:rPr>
          <w:color w:val="231F20"/>
          <w:rPrChange w:id="5014" w:author="Author" w:date="2026-02-13T10:07:00Z">
            <w:rPr/>
          </w:rPrChange>
        </w:rPr>
        <w:t>Miesto vpichu netrite.</w:t>
      </w:r>
    </w:p>
    <w:p w14:paraId="0B64B0B3" w14:textId="77777777" w:rsidR="009700E5" w:rsidRDefault="009700E5">
      <w:pPr>
        <w:autoSpaceDE w:val="0"/>
        <w:autoSpaceDN w:val="0"/>
        <w:adjustRightInd w:val="0"/>
        <w:rPr>
          <w:szCs w:val="22"/>
        </w:rPr>
      </w:pPr>
    </w:p>
    <w:p w14:paraId="30DB75F1" w14:textId="77777777" w:rsidR="009700E5" w:rsidRDefault="009700E5">
      <w:pPr>
        <w:autoSpaceDE w:val="0"/>
        <w:autoSpaceDN w:val="0"/>
        <w:adjustRightInd w:val="0"/>
        <w:rPr>
          <w:szCs w:val="22"/>
        </w:rPr>
      </w:pPr>
    </w:p>
    <w:p w14:paraId="6E487581" w14:textId="77777777" w:rsidR="009700E5" w:rsidRDefault="002C033C">
      <w:pPr>
        <w:keepNext/>
        <w:keepLines/>
        <w:autoSpaceDE w:val="0"/>
        <w:autoSpaceDN w:val="0"/>
        <w:adjustRightInd w:val="0"/>
        <w:spacing w:after="120"/>
        <w:rPr>
          <w:b/>
          <w:szCs w:val="22"/>
        </w:rPr>
      </w:pPr>
      <w:r>
        <w:rPr>
          <w:b/>
          <w:szCs w:val="22"/>
        </w:rPr>
        <w:lastRenderedPageBreak/>
        <w:t>7. krok Zlikvidujte injekčnú striekačku</w:t>
      </w:r>
    </w:p>
    <w:p w14:paraId="6CD0BAFA" w14:textId="77777777" w:rsidR="009700E5" w:rsidRPr="009700E5" w:rsidRDefault="002C033C">
      <w:pPr>
        <w:pStyle w:val="ListParagraph"/>
        <w:keepNext/>
        <w:keepLines/>
        <w:numPr>
          <w:ilvl w:val="1"/>
          <w:numId w:val="191"/>
        </w:numPr>
        <w:autoSpaceDE w:val="0"/>
        <w:autoSpaceDN w:val="0"/>
        <w:adjustRightInd w:val="0"/>
        <w:rPr>
          <w:color w:val="231F20"/>
          <w:rPrChange w:id="5015" w:author="Author" w:date="2026-02-13T10:07:00Z">
            <w:rPr/>
          </w:rPrChange>
        </w:rPr>
        <w:pPrChange w:id="5016" w:author="Author" w:date="2026-02-13T10:07:00Z">
          <w:pPr>
            <w:keepNext/>
            <w:keepLines/>
            <w:autoSpaceDE w:val="0"/>
            <w:autoSpaceDN w:val="0"/>
            <w:adjustRightInd w:val="0"/>
            <w:ind w:left="567" w:hanging="567"/>
          </w:pPr>
        </w:pPrChange>
      </w:pPr>
      <w:del w:id="5017" w:author="Author" w:date="2026-02-13T10:07:00Z">
        <w:r>
          <w:rPr>
            <w:color w:val="231F20"/>
            <w:rPrChange w:id="5018" w:author="Author" w:date="2026-02-13T10:07:00Z">
              <w:rPr/>
            </w:rPrChange>
          </w:rPr>
          <w:delText>•</w:delText>
        </w:r>
        <w:r>
          <w:rPr>
            <w:color w:val="231F20"/>
            <w:rPrChange w:id="5019" w:author="Author" w:date="2026-02-13T10:07:00Z">
              <w:rPr/>
            </w:rPrChange>
          </w:rPr>
          <w:tab/>
        </w:r>
      </w:del>
      <w:r>
        <w:rPr>
          <w:color w:val="231F20"/>
          <w:rPrChange w:id="5020" w:author="Author" w:date="2026-02-13T10:07:00Z">
            <w:rPr/>
          </w:rPrChange>
        </w:rPr>
        <w:t>Nepokúšajte sa znovu nasadiť viečko na injekčnú striekačku.</w:t>
      </w:r>
    </w:p>
    <w:p w14:paraId="1EA1FAA4" w14:textId="77777777" w:rsidR="009700E5" w:rsidRPr="009700E5" w:rsidRDefault="002C033C">
      <w:pPr>
        <w:pStyle w:val="ListParagraph"/>
        <w:keepNext/>
        <w:keepLines/>
        <w:numPr>
          <w:ilvl w:val="1"/>
          <w:numId w:val="191"/>
        </w:numPr>
        <w:autoSpaceDE w:val="0"/>
        <w:autoSpaceDN w:val="0"/>
        <w:adjustRightInd w:val="0"/>
        <w:rPr>
          <w:color w:val="231F20"/>
          <w:rPrChange w:id="5021" w:author="Author" w:date="2026-02-13T10:07:00Z">
            <w:rPr/>
          </w:rPrChange>
        </w:rPr>
        <w:pPrChange w:id="5022" w:author="Author" w:date="2026-02-13T10:07:00Z">
          <w:pPr>
            <w:keepNext/>
            <w:keepLines/>
            <w:autoSpaceDE w:val="0"/>
            <w:autoSpaceDN w:val="0"/>
            <w:adjustRightInd w:val="0"/>
            <w:ind w:left="567" w:hanging="567"/>
          </w:pPr>
        </w:pPrChange>
      </w:pPr>
      <w:del w:id="5023" w:author="Author" w:date="2026-02-13T10:07:00Z">
        <w:r>
          <w:rPr>
            <w:color w:val="231F20"/>
            <w:rPrChange w:id="5024" w:author="Author" w:date="2026-02-13T10:07:00Z">
              <w:rPr/>
            </w:rPrChange>
          </w:rPr>
          <w:delText>•</w:delText>
        </w:r>
        <w:r>
          <w:rPr>
            <w:color w:val="231F20"/>
            <w:rPrChange w:id="5025" w:author="Author" w:date="2026-02-13T10:07:00Z">
              <w:rPr/>
            </w:rPrChange>
          </w:rPr>
          <w:tab/>
        </w:r>
      </w:del>
      <w:r>
        <w:rPr>
          <w:color w:val="231F20"/>
          <w:rPrChange w:id="5026" w:author="Author" w:date="2026-02-13T10:07:00Z">
            <w:rPr/>
          </w:rPrChange>
        </w:rPr>
        <w:t>Vyhoďte použité injekčné striekačky do nádoby odolnej proti prepichnutiu alebo do nádoby na ostré predmety. Ak takúto nádobu nemáte, požiadajte vášho lekára alebo lekárnika o informáciu o tom, kde si môžete zadovážiť nádobu na ostré predmety alebo aké iné typy nádob odolných proti prepichnutiu môžete používať na bezpečnú likvidáciu vašich použitých injekčných striekačiek (pozri obr. I).</w:t>
      </w:r>
    </w:p>
    <w:p w14:paraId="471915C2" w14:textId="77777777" w:rsidR="009700E5" w:rsidRDefault="009700E5">
      <w:pPr>
        <w:autoSpaceDE w:val="0"/>
        <w:autoSpaceDN w:val="0"/>
        <w:adjustRightInd w:val="0"/>
        <w:ind w:left="360"/>
        <w:rPr>
          <w:szCs w:val="22"/>
        </w:rPr>
      </w:pPr>
    </w:p>
    <w:p w14:paraId="28648573" w14:textId="77777777" w:rsidR="009700E5" w:rsidRDefault="002C033C">
      <w:pPr>
        <w:autoSpaceDE w:val="0"/>
        <w:autoSpaceDN w:val="0"/>
        <w:adjustRightInd w:val="0"/>
        <w:spacing w:after="120"/>
      </w:pPr>
      <w:r>
        <w:rPr>
          <w:lang w:val="en-US" w:eastAsia="en-US"/>
        </w:rPr>
        <w:drawing>
          <wp:inline distT="0" distB="0" distL="0" distR="0" wp14:anchorId="25DD8DEC" wp14:editId="3F9A4FFB">
            <wp:extent cx="2362200" cy="1838325"/>
            <wp:effectExtent l="0" t="0" r="0" b="0"/>
            <wp:docPr id="10"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62200" cy="1838325"/>
                    </a:xfrm>
                    <a:prstGeom prst="rect">
                      <a:avLst/>
                    </a:prstGeom>
                    <a:noFill/>
                    <a:ln>
                      <a:noFill/>
                    </a:ln>
                  </pic:spPr>
                </pic:pic>
              </a:graphicData>
            </a:graphic>
          </wp:inline>
        </w:drawing>
      </w:r>
    </w:p>
    <w:p w14:paraId="33605BAE" w14:textId="77777777" w:rsidR="009700E5" w:rsidRDefault="009700E5">
      <w:pPr>
        <w:autoSpaceDE w:val="0"/>
        <w:autoSpaceDN w:val="0"/>
        <w:adjustRightInd w:val="0"/>
        <w:rPr>
          <w:color w:val="231F20"/>
        </w:rPr>
      </w:pPr>
    </w:p>
    <w:p w14:paraId="12A9DFF4" w14:textId="77777777" w:rsidR="009700E5" w:rsidRDefault="002C033C">
      <w:pPr>
        <w:autoSpaceDE w:val="0"/>
        <w:autoSpaceDN w:val="0"/>
        <w:adjustRightInd w:val="0"/>
        <w:rPr>
          <w:color w:val="231F20"/>
        </w:rPr>
      </w:pPr>
      <w:r>
        <w:rPr>
          <w:color w:val="231F20"/>
        </w:rPr>
        <w:t>Poraďte sa so svojím lekárom ohľadom pokynov, ako správnym spôsobom likvidovať použité injekčné striekačky. Môžu existovať miestne alebo štátne zákony o spôsobe, ako likvidovať použité injekčné striekačky.</w:t>
      </w:r>
    </w:p>
    <w:p w14:paraId="1A0160E5" w14:textId="77777777" w:rsidR="009700E5" w:rsidRDefault="009700E5">
      <w:pPr>
        <w:autoSpaceDE w:val="0"/>
        <w:autoSpaceDN w:val="0"/>
        <w:adjustRightInd w:val="0"/>
        <w:rPr>
          <w:color w:val="231F20"/>
        </w:rPr>
      </w:pPr>
    </w:p>
    <w:p w14:paraId="41EEEF15" w14:textId="77777777" w:rsidR="009700E5" w:rsidRDefault="002C033C">
      <w:pPr>
        <w:autoSpaceDE w:val="0"/>
        <w:autoSpaceDN w:val="0"/>
        <w:adjustRightInd w:val="0"/>
        <w:rPr>
          <w:color w:val="231F20"/>
        </w:rPr>
      </w:pPr>
      <w:r>
        <w:rPr>
          <w:color w:val="231F20"/>
        </w:rPr>
        <w:t>Nevyhadzujte použité injekčné striekačky alebo nádobu odolnú proti prepichnutiu do domového odpadu a nerecyklujte ich.</w:t>
      </w:r>
    </w:p>
    <w:p w14:paraId="0656D3D2" w14:textId="77777777" w:rsidR="009700E5" w:rsidRDefault="009700E5">
      <w:pPr>
        <w:autoSpaceDE w:val="0"/>
        <w:autoSpaceDN w:val="0"/>
        <w:adjustRightInd w:val="0"/>
        <w:ind w:firstLine="142"/>
        <w:rPr>
          <w:color w:val="231F20"/>
        </w:rPr>
        <w:pPrChange w:id="5027" w:author="Author" w:date="2025-07-20T21:55:00Z">
          <w:pPr>
            <w:autoSpaceDE w:val="0"/>
            <w:autoSpaceDN w:val="0"/>
            <w:adjustRightInd w:val="0"/>
          </w:pPr>
        </w:pPrChange>
      </w:pPr>
    </w:p>
    <w:p w14:paraId="4C08D4F0" w14:textId="77777777" w:rsidR="009700E5" w:rsidRPr="009700E5" w:rsidRDefault="002C033C">
      <w:pPr>
        <w:pStyle w:val="ListParagraph"/>
        <w:numPr>
          <w:ilvl w:val="1"/>
          <w:numId w:val="193"/>
        </w:numPr>
        <w:autoSpaceDE w:val="0"/>
        <w:autoSpaceDN w:val="0"/>
        <w:adjustRightInd w:val="0"/>
        <w:rPr>
          <w:color w:val="231F20"/>
          <w:rPrChange w:id="5028" w:author="Author" w:date="2026-02-13T10:08:00Z">
            <w:rPr/>
          </w:rPrChange>
        </w:rPr>
        <w:pPrChange w:id="5029" w:author="Author" w:date="2026-02-13T10:08:00Z">
          <w:pPr>
            <w:autoSpaceDE w:val="0"/>
            <w:autoSpaceDN w:val="0"/>
            <w:adjustRightInd w:val="0"/>
            <w:ind w:left="567" w:hanging="567"/>
          </w:pPr>
        </w:pPrChange>
      </w:pPr>
      <w:del w:id="5030" w:author="Author" w:date="2026-02-13T10:08:00Z">
        <w:r>
          <w:rPr>
            <w:color w:val="231F20"/>
            <w:rPrChange w:id="5031" w:author="Author" w:date="2026-02-13T10:08:00Z">
              <w:rPr/>
            </w:rPrChange>
          </w:rPr>
          <w:delText>•</w:delText>
        </w:r>
        <w:r>
          <w:rPr>
            <w:color w:val="231F20"/>
            <w:rPrChange w:id="5032" w:author="Author" w:date="2026-02-13T10:08:00Z">
              <w:rPr/>
            </w:rPrChange>
          </w:rPr>
          <w:tab/>
        </w:r>
      </w:del>
      <w:r>
        <w:rPr>
          <w:color w:val="231F20"/>
          <w:rPrChange w:id="5033" w:author="Author" w:date="2026-02-13T10:08:00Z">
            <w:rPr/>
          </w:rPrChange>
        </w:rPr>
        <w:t>Zlikvidujte plnú nádobu podľa pokynov vášho lekára alebo lekárnika.</w:t>
      </w:r>
    </w:p>
    <w:p w14:paraId="09DDD721" w14:textId="77777777" w:rsidR="009700E5" w:rsidRPr="009700E5" w:rsidRDefault="002C033C">
      <w:pPr>
        <w:pStyle w:val="ListParagraph"/>
        <w:numPr>
          <w:ilvl w:val="1"/>
          <w:numId w:val="193"/>
        </w:numPr>
        <w:autoSpaceDE w:val="0"/>
        <w:autoSpaceDN w:val="0"/>
        <w:adjustRightInd w:val="0"/>
        <w:rPr>
          <w:color w:val="231F20"/>
          <w:rPrChange w:id="5034" w:author="Author" w:date="2026-02-13T10:08:00Z">
            <w:rPr/>
          </w:rPrChange>
        </w:rPr>
        <w:pPrChange w:id="5035" w:author="Author" w:date="2026-02-13T10:08:00Z">
          <w:pPr>
            <w:autoSpaceDE w:val="0"/>
            <w:autoSpaceDN w:val="0"/>
            <w:adjustRightInd w:val="0"/>
            <w:ind w:left="567" w:hanging="567"/>
          </w:pPr>
        </w:pPrChange>
      </w:pPr>
      <w:del w:id="5036" w:author="Author" w:date="2026-02-13T10:08:00Z">
        <w:r>
          <w:rPr>
            <w:color w:val="231F20"/>
            <w:rPrChange w:id="5037" w:author="Author" w:date="2026-02-13T10:08:00Z">
              <w:rPr/>
            </w:rPrChange>
          </w:rPr>
          <w:delText>•</w:delText>
        </w:r>
        <w:r>
          <w:rPr>
            <w:color w:val="231F20"/>
            <w:rPrChange w:id="5038" w:author="Author" w:date="2026-02-13T10:08:00Z">
              <w:rPr/>
            </w:rPrChange>
          </w:rPr>
          <w:tab/>
        </w:r>
      </w:del>
      <w:r>
        <w:rPr>
          <w:color w:val="231F20"/>
          <w:rPrChange w:id="5039" w:author="Author" w:date="2026-02-13T10:08:00Z">
            <w:rPr/>
          </w:rPrChange>
        </w:rPr>
        <w:t>Nádobu odolnú proti prepichnutiu vždy uchovávajte mimo dohľadu a dosahu detí.</w:t>
      </w:r>
    </w:p>
    <w:p w14:paraId="1E92BB99" w14:textId="77777777" w:rsidR="009700E5" w:rsidRDefault="009700E5">
      <w:pPr>
        <w:autoSpaceDE w:val="0"/>
        <w:autoSpaceDN w:val="0"/>
        <w:adjustRightInd w:val="0"/>
        <w:rPr>
          <w:color w:val="231F20"/>
        </w:rPr>
      </w:pPr>
    </w:p>
    <w:p w14:paraId="7E338F4E" w14:textId="77777777" w:rsidR="009700E5" w:rsidRDefault="002C033C">
      <w:pPr>
        <w:keepNext/>
        <w:keepLines/>
        <w:autoSpaceDE w:val="0"/>
        <w:autoSpaceDN w:val="0"/>
        <w:adjustRightInd w:val="0"/>
        <w:spacing w:after="120"/>
        <w:rPr>
          <w:b/>
          <w:color w:val="231F20"/>
        </w:rPr>
      </w:pPr>
      <w:r>
        <w:rPr>
          <w:b/>
          <w:color w:val="231F20"/>
        </w:rPr>
        <w:t>Odporúčanie pre pacienta týkajúce sa reakcií z precitlivenosti (známych aj ako anafylaxia, pre prípad, že sú závažné)</w:t>
      </w:r>
    </w:p>
    <w:p w14:paraId="1B0DA26B" w14:textId="77777777" w:rsidR="009700E5" w:rsidRDefault="002C033C">
      <w:pPr>
        <w:keepNext/>
        <w:keepLines/>
        <w:autoSpaceDE w:val="0"/>
        <w:autoSpaceDN w:val="0"/>
        <w:adjustRightInd w:val="0"/>
        <w:spacing w:after="120"/>
        <w:rPr>
          <w:color w:val="231F20"/>
        </w:rPr>
      </w:pPr>
      <w:r>
        <w:rPr>
          <w:color w:val="231F20"/>
        </w:rPr>
        <w:t>Ak sa u vás kedykoľvek počas podávania injekcie RoActemry alebo po jej podaní, keď nie ste v ordinácii lekára, objavia príznaky, ktoré zahŕňajú, ale neobmedzujú sa len na: kožnú vyrážku, svrbenie, triašku, opuch tváre, pier, jazyka alebo hrdla, bolesť na hrudníku, pískavé dýchanie, ťažkosti s dýchaním alebo s prehĺtaním alebo závraty alebo mdloby, musíte ihneď vyhľadať lekársku pomoc.</w:t>
      </w:r>
    </w:p>
    <w:p w14:paraId="751C98BE" w14:textId="77777777" w:rsidR="009700E5" w:rsidRDefault="009700E5">
      <w:pPr>
        <w:autoSpaceDE w:val="0"/>
        <w:autoSpaceDN w:val="0"/>
        <w:adjustRightInd w:val="0"/>
        <w:rPr>
          <w:color w:val="231F20"/>
        </w:rPr>
      </w:pPr>
    </w:p>
    <w:p w14:paraId="651CA1DD" w14:textId="77777777" w:rsidR="009700E5" w:rsidRDefault="002C033C">
      <w:pPr>
        <w:autoSpaceDE w:val="0"/>
        <w:autoSpaceDN w:val="0"/>
        <w:adjustRightInd w:val="0"/>
        <w:spacing w:after="120"/>
        <w:rPr>
          <w:b/>
          <w:color w:val="231F20"/>
        </w:rPr>
      </w:pPr>
      <w:r>
        <w:rPr>
          <w:b/>
          <w:color w:val="231F20"/>
        </w:rPr>
        <w:t>Odporúčanie pre pacienta týkajúce včasného rozpoznania a liečby, aby sa obmedzilo riziko vzniku závažnej infekcie</w:t>
      </w:r>
    </w:p>
    <w:p w14:paraId="167A8A68" w14:textId="77777777" w:rsidR="009700E5" w:rsidRDefault="002C033C">
      <w:pPr>
        <w:autoSpaceDE w:val="0"/>
        <w:autoSpaceDN w:val="0"/>
        <w:adjustRightInd w:val="0"/>
        <w:rPr>
          <w:color w:val="231F20"/>
        </w:rPr>
      </w:pPr>
      <w:r>
        <w:rPr>
          <w:color w:val="231F20"/>
        </w:rPr>
        <w:t>Dávajte si pozor na prvé prejavy infekcie akými sú:</w:t>
      </w:r>
    </w:p>
    <w:p w14:paraId="761C7991" w14:textId="77777777" w:rsidR="009700E5" w:rsidRDefault="009700E5">
      <w:pPr>
        <w:autoSpaceDE w:val="0"/>
        <w:autoSpaceDN w:val="0"/>
        <w:adjustRightInd w:val="0"/>
        <w:rPr>
          <w:color w:val="231F20"/>
        </w:rPr>
      </w:pPr>
    </w:p>
    <w:p w14:paraId="3D709BF3" w14:textId="77777777" w:rsidR="009700E5" w:rsidRPr="009700E5" w:rsidRDefault="002C033C">
      <w:pPr>
        <w:pStyle w:val="ListParagraph"/>
        <w:numPr>
          <w:ilvl w:val="1"/>
          <w:numId w:val="195"/>
        </w:numPr>
        <w:autoSpaceDE w:val="0"/>
        <w:autoSpaceDN w:val="0"/>
        <w:adjustRightInd w:val="0"/>
        <w:rPr>
          <w:color w:val="231F20"/>
          <w:rPrChange w:id="5040" w:author="Author" w:date="2026-02-13T10:08:00Z">
            <w:rPr/>
          </w:rPrChange>
        </w:rPr>
        <w:pPrChange w:id="5041" w:author="Author" w:date="2026-02-13T10:08:00Z">
          <w:pPr>
            <w:autoSpaceDE w:val="0"/>
            <w:autoSpaceDN w:val="0"/>
            <w:adjustRightInd w:val="0"/>
            <w:ind w:left="567" w:hanging="567"/>
          </w:pPr>
        </w:pPrChange>
      </w:pPr>
      <w:del w:id="5042" w:author="Author" w:date="2026-02-13T10:08:00Z">
        <w:r>
          <w:delText>•</w:delText>
        </w:r>
        <w:r>
          <w:tab/>
        </w:r>
      </w:del>
      <w:r>
        <w:rPr>
          <w:color w:val="231F20"/>
          <w:rPrChange w:id="5043" w:author="Author" w:date="2026-02-13T10:08:00Z">
            <w:rPr/>
          </w:rPrChange>
        </w:rPr>
        <w:t>bolesti tela, horúčka, triaška</w:t>
      </w:r>
    </w:p>
    <w:p w14:paraId="241B7EE3" w14:textId="77777777" w:rsidR="009700E5" w:rsidRPr="009700E5" w:rsidRDefault="002C033C">
      <w:pPr>
        <w:pStyle w:val="ListParagraph"/>
        <w:numPr>
          <w:ilvl w:val="1"/>
          <w:numId w:val="195"/>
        </w:numPr>
        <w:autoSpaceDE w:val="0"/>
        <w:autoSpaceDN w:val="0"/>
        <w:adjustRightInd w:val="0"/>
        <w:rPr>
          <w:color w:val="231F20"/>
          <w:rPrChange w:id="5044" w:author="Author" w:date="2026-02-13T10:08:00Z">
            <w:rPr/>
          </w:rPrChange>
        </w:rPr>
        <w:pPrChange w:id="5045" w:author="Author" w:date="2026-02-13T10:08:00Z">
          <w:pPr>
            <w:autoSpaceDE w:val="0"/>
            <w:autoSpaceDN w:val="0"/>
            <w:adjustRightInd w:val="0"/>
            <w:ind w:left="567" w:hanging="567"/>
          </w:pPr>
        </w:pPrChange>
      </w:pPr>
      <w:del w:id="5046" w:author="Author" w:date="2026-02-13T10:08:00Z">
        <w:r>
          <w:delText>•</w:delText>
        </w:r>
        <w:r>
          <w:tab/>
        </w:r>
      </w:del>
      <w:r>
        <w:rPr>
          <w:color w:val="231F20"/>
          <w:rPrChange w:id="5047" w:author="Author" w:date="2026-02-13T10:08:00Z">
            <w:rPr/>
          </w:rPrChange>
        </w:rPr>
        <w:t>kašeľ, nepríjemný pocit/pocit zovretia v hrudníku, namáhavé dýchanie</w:t>
      </w:r>
    </w:p>
    <w:p w14:paraId="4DDF9A7D" w14:textId="77777777" w:rsidR="009700E5" w:rsidRPr="009700E5" w:rsidRDefault="002C033C">
      <w:pPr>
        <w:pStyle w:val="ListParagraph"/>
        <w:numPr>
          <w:ilvl w:val="1"/>
          <w:numId w:val="195"/>
        </w:numPr>
        <w:autoSpaceDE w:val="0"/>
        <w:autoSpaceDN w:val="0"/>
        <w:adjustRightInd w:val="0"/>
        <w:rPr>
          <w:color w:val="231F20"/>
          <w:rPrChange w:id="5048" w:author="Author" w:date="2026-02-13T10:08:00Z">
            <w:rPr/>
          </w:rPrChange>
        </w:rPr>
        <w:pPrChange w:id="5049" w:author="Author" w:date="2026-02-13T10:08:00Z">
          <w:pPr>
            <w:autoSpaceDE w:val="0"/>
            <w:autoSpaceDN w:val="0"/>
            <w:adjustRightInd w:val="0"/>
            <w:ind w:left="567" w:hanging="567"/>
          </w:pPr>
        </w:pPrChange>
      </w:pPr>
      <w:del w:id="5050" w:author="Author" w:date="2026-02-13T10:08:00Z">
        <w:r>
          <w:delText>•</w:delText>
        </w:r>
        <w:r>
          <w:tab/>
        </w:r>
      </w:del>
      <w:r>
        <w:rPr>
          <w:color w:val="231F20"/>
          <w:rPrChange w:id="5051" w:author="Author" w:date="2026-02-13T10:08:00Z">
            <w:rPr/>
          </w:rPrChange>
        </w:rPr>
        <w:t>sčervenanie, pocit horúčavy, nezvyčajný opuch kože alebo kĺbu</w:t>
      </w:r>
    </w:p>
    <w:p w14:paraId="163686F4" w14:textId="77777777" w:rsidR="009700E5" w:rsidRPr="009700E5" w:rsidRDefault="002C033C">
      <w:pPr>
        <w:pStyle w:val="ListParagraph"/>
        <w:numPr>
          <w:ilvl w:val="1"/>
          <w:numId w:val="195"/>
        </w:numPr>
        <w:autoSpaceDE w:val="0"/>
        <w:autoSpaceDN w:val="0"/>
        <w:adjustRightInd w:val="0"/>
        <w:rPr>
          <w:color w:val="231F20"/>
          <w:rPrChange w:id="5052" w:author="Author" w:date="2026-02-13T10:08:00Z">
            <w:rPr/>
          </w:rPrChange>
        </w:rPr>
        <w:pPrChange w:id="5053" w:author="Author" w:date="2026-02-13T10:08:00Z">
          <w:pPr>
            <w:autoSpaceDE w:val="0"/>
            <w:autoSpaceDN w:val="0"/>
            <w:adjustRightInd w:val="0"/>
            <w:ind w:left="567" w:hanging="567"/>
          </w:pPr>
        </w:pPrChange>
      </w:pPr>
      <w:del w:id="5054" w:author="Author" w:date="2026-02-13T10:08:00Z">
        <w:r>
          <w:delText>•</w:delText>
        </w:r>
        <w:r>
          <w:tab/>
        </w:r>
      </w:del>
      <w:r>
        <w:rPr>
          <w:color w:val="231F20"/>
          <w:rPrChange w:id="5055" w:author="Author" w:date="2026-02-13T10:08:00Z">
            <w:rPr/>
          </w:rPrChange>
        </w:rPr>
        <w:t>bolesť/citlivosť brucha a/alebo zmeny vo fungovaní čriev</w:t>
      </w:r>
    </w:p>
    <w:p w14:paraId="44E3F470" w14:textId="77777777" w:rsidR="009700E5" w:rsidRDefault="009700E5">
      <w:pPr>
        <w:autoSpaceDE w:val="0"/>
        <w:autoSpaceDN w:val="0"/>
        <w:adjustRightInd w:val="0"/>
        <w:rPr>
          <w:color w:val="231F20"/>
        </w:rPr>
      </w:pPr>
    </w:p>
    <w:p w14:paraId="7825568F" w14:textId="77777777" w:rsidR="009700E5" w:rsidRDefault="002C033C">
      <w:pPr>
        <w:autoSpaceDE w:val="0"/>
        <w:autoSpaceDN w:val="0"/>
        <w:adjustRightInd w:val="0"/>
        <w:rPr>
          <w:color w:val="231F20"/>
        </w:rPr>
      </w:pPr>
      <w:r>
        <w:rPr>
          <w:color w:val="231F20"/>
        </w:rPr>
        <w:t>Ak si myslíte, že sa u vás môže rozvíjať infekcia, zatelefonujte vášmu lekárovi a bezodkladne vyhľadajte lekársku pomoc.</w:t>
      </w:r>
    </w:p>
    <w:p w14:paraId="4B769F0A" w14:textId="77777777" w:rsidR="009700E5" w:rsidRDefault="009700E5">
      <w:pPr>
        <w:autoSpaceDE w:val="0"/>
        <w:autoSpaceDN w:val="0"/>
        <w:adjustRightInd w:val="0"/>
        <w:rPr>
          <w:bCs/>
          <w:color w:val="231F20"/>
        </w:rPr>
      </w:pPr>
    </w:p>
    <w:p w14:paraId="20C01C79" w14:textId="77777777" w:rsidR="009700E5" w:rsidRDefault="002C033C">
      <w:pPr>
        <w:autoSpaceDE w:val="0"/>
        <w:autoSpaceDN w:val="0"/>
        <w:adjustRightInd w:val="0"/>
        <w:rPr>
          <w:b/>
          <w:color w:val="231F20"/>
        </w:rPr>
      </w:pPr>
      <w:r>
        <w:rPr>
          <w:b/>
          <w:color w:val="231F20"/>
        </w:rPr>
        <w:t>Ak máte akékoľvek obavy alebo otázky týkajúce sa vašej injekčnej striekačky, obráťte sa o pomoc na svojho lekára alebo lekárnika.</w:t>
      </w:r>
    </w:p>
    <w:p w14:paraId="05111FA2" w14:textId="77777777" w:rsidR="009700E5" w:rsidRDefault="002C033C">
      <w:pPr>
        <w:jc w:val="center"/>
        <w:rPr>
          <w:b/>
        </w:rPr>
      </w:pPr>
      <w:r>
        <w:br w:type="page"/>
      </w:r>
      <w:r>
        <w:rPr>
          <w:b/>
        </w:rPr>
        <w:lastRenderedPageBreak/>
        <w:t>Písomná informácia pre používateľa</w:t>
      </w:r>
    </w:p>
    <w:p w14:paraId="7CF73CE0" w14:textId="77777777" w:rsidR="009700E5" w:rsidRDefault="009700E5">
      <w:pPr>
        <w:jc w:val="center"/>
        <w:outlineLvl w:val="0"/>
        <w:rPr>
          <w:b/>
        </w:rPr>
      </w:pPr>
    </w:p>
    <w:p w14:paraId="33E751F7" w14:textId="77777777" w:rsidR="009700E5" w:rsidRDefault="002C033C">
      <w:pPr>
        <w:jc w:val="center"/>
        <w:outlineLvl w:val="0"/>
        <w:rPr>
          <w:b/>
          <w:bCs/>
        </w:rPr>
      </w:pPr>
      <w:r>
        <w:rPr>
          <w:b/>
          <w:bCs/>
        </w:rPr>
        <w:t>RoActemra 162 mg injekčný roztok v naplnenom pere</w:t>
      </w:r>
    </w:p>
    <w:p w14:paraId="4C403C7C" w14:textId="77777777" w:rsidR="009700E5" w:rsidRDefault="002C033C">
      <w:pPr>
        <w:jc w:val="center"/>
      </w:pPr>
      <w:r>
        <w:t>tocilizumab</w:t>
      </w:r>
    </w:p>
    <w:p w14:paraId="575D2D06" w14:textId="77777777" w:rsidR="009700E5" w:rsidRDefault="009700E5"/>
    <w:p w14:paraId="2C952010" w14:textId="77777777" w:rsidR="009700E5" w:rsidRDefault="002C033C">
      <w:pPr>
        <w:rPr>
          <w:b/>
        </w:rPr>
      </w:pPr>
      <w:r>
        <w:rPr>
          <w:b/>
        </w:rPr>
        <w:t>Pozorne si prečítajte celú písomnú informáciu predtým, ako začnete používať tento liek, pretože obsahuje pre vás dôležité informácie.</w:t>
      </w:r>
    </w:p>
    <w:p w14:paraId="6FFBDA54" w14:textId="77777777" w:rsidR="009700E5" w:rsidRDefault="002C033C">
      <w:pPr>
        <w:ind w:left="567" w:hanging="567"/>
      </w:pPr>
      <w:r>
        <w:t>•</w:t>
      </w:r>
      <w:r>
        <w:tab/>
        <w:t>Túto písomnú informáciu si uschovajte. Možno bude potrebné, aby ste si ju znovu prečítali.</w:t>
      </w:r>
    </w:p>
    <w:p w14:paraId="2BF3C486" w14:textId="77777777" w:rsidR="009700E5" w:rsidRDefault="002C033C">
      <w:pPr>
        <w:ind w:left="567" w:hanging="567"/>
      </w:pPr>
      <w:r>
        <w:t>•</w:t>
      </w:r>
      <w:r>
        <w:tab/>
        <w:t>Ak máte akékoľvek ďalšie otázky, obráťte sa na svojho lekára, lekárnika alebo zdravotnú sestru.</w:t>
      </w:r>
    </w:p>
    <w:p w14:paraId="41C713D5" w14:textId="77777777" w:rsidR="009700E5" w:rsidRDefault="002C033C">
      <w:pPr>
        <w:ind w:left="567" w:hanging="567"/>
      </w:pPr>
      <w:r>
        <w:t>•</w:t>
      </w:r>
      <w:r>
        <w:tab/>
        <w:t>Tento liek bol predpísaný iba vám. Nedávajte ho nikomu inému. Môže mu uškodiť, dokonca aj vtedy, ak má rovnaké prejavy ochorenia ako vy.</w:t>
      </w:r>
    </w:p>
    <w:p w14:paraId="0D50B357" w14:textId="77777777" w:rsidR="009700E5" w:rsidRDefault="002C033C">
      <w:pPr>
        <w:ind w:left="567" w:hanging="567"/>
      </w:pPr>
      <w:r>
        <w:t>•</w:t>
      </w:r>
      <w:r>
        <w:tab/>
        <w:t>Ak sa u vás vyskytne akýkoľvek vedľajší účinok, obráťte sa na svojho lekára, lekárnika alebo zdravotnú sestru. To sa týka aj akýchkoľvek vedľajších účinkov, ktoré nie sú uvedené v tejto písomnej informácii.</w:t>
      </w:r>
      <w:r>
        <w:rPr>
          <w:szCs w:val="22"/>
        </w:rPr>
        <w:t xml:space="preserve"> Pozri časť 4.</w:t>
      </w:r>
    </w:p>
    <w:p w14:paraId="6BFCC5BA" w14:textId="77777777" w:rsidR="009700E5" w:rsidRDefault="009700E5">
      <w:pPr>
        <w:rPr>
          <w:del w:id="5056" w:author="Author" w:date="2025-07-20T21:55:00Z"/>
        </w:rPr>
      </w:pPr>
    </w:p>
    <w:p w14:paraId="5B3A6874" w14:textId="77777777" w:rsidR="009700E5" w:rsidRDefault="009700E5">
      <w:pPr>
        <w:rPr>
          <w:ins w:id="5057" w:author="Author" w:date="2026-02-18T14:36:00Z"/>
        </w:rPr>
      </w:pPr>
    </w:p>
    <w:p w14:paraId="6AC61BF4" w14:textId="77777777" w:rsidR="009700E5" w:rsidRDefault="002C033C">
      <w:r>
        <w:t xml:space="preserve">K tejto písomnej informácii vám bude poskytnutá i </w:t>
      </w:r>
      <w:r>
        <w:rPr>
          <w:b/>
          <w:bCs/>
        </w:rPr>
        <w:t>karta pacienta</w:t>
      </w:r>
      <w:r>
        <w:t>, obsahujúca dôležité bezpečnostné informácie, ktoré treba vziať do úvahy pred a počas liečby RoActemrou.</w:t>
      </w:r>
    </w:p>
    <w:p w14:paraId="4D2B5C78" w14:textId="77777777" w:rsidR="009700E5" w:rsidRDefault="009700E5"/>
    <w:p w14:paraId="1387591D" w14:textId="77777777" w:rsidR="009700E5" w:rsidRDefault="002C033C">
      <w:r>
        <w:rPr>
          <w:b/>
        </w:rPr>
        <w:t>V tejto písomnej informácii sa dozviete</w:t>
      </w:r>
      <w:r>
        <w:rPr>
          <w:b/>
          <w:bCs/>
        </w:rPr>
        <w:t>:</w:t>
      </w:r>
    </w:p>
    <w:p w14:paraId="4A726821" w14:textId="77777777" w:rsidR="009700E5" w:rsidRDefault="002C033C">
      <w:pPr>
        <w:rPr>
          <w:bCs/>
        </w:rPr>
      </w:pPr>
      <w:r>
        <w:rPr>
          <w:bCs/>
        </w:rPr>
        <w:t>1.</w:t>
      </w:r>
      <w:r>
        <w:rPr>
          <w:bCs/>
        </w:rPr>
        <w:tab/>
        <w:t>Čo je RoActemra a na čo sa používa</w:t>
      </w:r>
    </w:p>
    <w:p w14:paraId="2211957A" w14:textId="77777777" w:rsidR="009700E5" w:rsidRDefault="002C033C">
      <w:pPr>
        <w:rPr>
          <w:bCs/>
        </w:rPr>
      </w:pPr>
      <w:r>
        <w:rPr>
          <w:bCs/>
        </w:rPr>
        <w:t>2.</w:t>
      </w:r>
      <w:r>
        <w:rPr>
          <w:bCs/>
        </w:rPr>
        <w:tab/>
        <w:t>Čo potrebujete vedieť predtým, ako použijete RoActemru</w:t>
      </w:r>
    </w:p>
    <w:p w14:paraId="17A03AD8" w14:textId="77777777" w:rsidR="009700E5" w:rsidRDefault="002C033C">
      <w:pPr>
        <w:rPr>
          <w:bCs/>
        </w:rPr>
      </w:pPr>
      <w:r>
        <w:rPr>
          <w:bCs/>
        </w:rPr>
        <w:t>3.</w:t>
      </w:r>
      <w:r>
        <w:rPr>
          <w:bCs/>
        </w:rPr>
        <w:tab/>
        <w:t>Ako používať RoActemru</w:t>
      </w:r>
    </w:p>
    <w:p w14:paraId="78FE3BEB" w14:textId="77777777" w:rsidR="009700E5" w:rsidRDefault="002C033C">
      <w:pPr>
        <w:rPr>
          <w:bCs/>
        </w:rPr>
      </w:pPr>
      <w:r>
        <w:rPr>
          <w:bCs/>
        </w:rPr>
        <w:t>4.</w:t>
      </w:r>
      <w:r>
        <w:rPr>
          <w:bCs/>
        </w:rPr>
        <w:tab/>
        <w:t>Možné vedľajšie účinky</w:t>
      </w:r>
    </w:p>
    <w:p w14:paraId="4C4DA334" w14:textId="77777777" w:rsidR="009700E5" w:rsidRDefault="002C033C">
      <w:pPr>
        <w:rPr>
          <w:bCs/>
        </w:rPr>
      </w:pPr>
      <w:r>
        <w:rPr>
          <w:bCs/>
        </w:rPr>
        <w:t>5.</w:t>
      </w:r>
      <w:r>
        <w:rPr>
          <w:bCs/>
        </w:rPr>
        <w:tab/>
        <w:t>Ako uchovávať RoActemru</w:t>
      </w:r>
    </w:p>
    <w:p w14:paraId="597ACD0B" w14:textId="77777777" w:rsidR="009700E5" w:rsidRDefault="002C033C">
      <w:pPr>
        <w:rPr>
          <w:bCs/>
        </w:rPr>
      </w:pPr>
      <w:r>
        <w:rPr>
          <w:bCs/>
        </w:rPr>
        <w:t>6.</w:t>
      </w:r>
      <w:r>
        <w:rPr>
          <w:bCs/>
        </w:rPr>
        <w:tab/>
        <w:t>Obsah balenia a ďalšie informácie</w:t>
      </w:r>
    </w:p>
    <w:p w14:paraId="5718FFF4" w14:textId="77777777" w:rsidR="009700E5" w:rsidRDefault="009700E5">
      <w:pPr>
        <w:rPr>
          <w:bCs/>
        </w:rPr>
      </w:pPr>
    </w:p>
    <w:p w14:paraId="75200F20" w14:textId="77777777" w:rsidR="009700E5" w:rsidRDefault="009700E5"/>
    <w:p w14:paraId="69F13682" w14:textId="77777777" w:rsidR="009700E5" w:rsidRDefault="002C033C">
      <w:pPr>
        <w:rPr>
          <w:b/>
          <w:sz w:val="28"/>
          <w:szCs w:val="28"/>
        </w:rPr>
      </w:pPr>
      <w:r>
        <w:rPr>
          <w:b/>
          <w:szCs w:val="22"/>
        </w:rPr>
        <w:t>1</w:t>
      </w:r>
      <w:r>
        <w:rPr>
          <w:b/>
          <w:sz w:val="28"/>
          <w:szCs w:val="28"/>
        </w:rPr>
        <w:t>.</w:t>
      </w:r>
      <w:r>
        <w:rPr>
          <w:b/>
          <w:sz w:val="28"/>
          <w:szCs w:val="28"/>
        </w:rPr>
        <w:tab/>
      </w:r>
      <w:r>
        <w:rPr>
          <w:b/>
          <w:szCs w:val="22"/>
        </w:rPr>
        <w:t xml:space="preserve">Čo je </w:t>
      </w:r>
      <w:r>
        <w:rPr>
          <w:b/>
          <w:caps/>
          <w:szCs w:val="22"/>
        </w:rPr>
        <w:t>r</w:t>
      </w:r>
      <w:r>
        <w:rPr>
          <w:b/>
          <w:szCs w:val="22"/>
        </w:rPr>
        <w:t>o</w:t>
      </w:r>
      <w:r>
        <w:rPr>
          <w:b/>
          <w:caps/>
          <w:szCs w:val="22"/>
        </w:rPr>
        <w:t>a</w:t>
      </w:r>
      <w:r>
        <w:rPr>
          <w:b/>
          <w:szCs w:val="22"/>
        </w:rPr>
        <w:t>ctemra a na čo sa používa</w:t>
      </w:r>
    </w:p>
    <w:p w14:paraId="65C50B0A" w14:textId="77777777" w:rsidR="009700E5" w:rsidRDefault="009700E5">
      <w:pPr>
        <w:rPr>
          <w:sz w:val="24"/>
          <w:szCs w:val="24"/>
        </w:rPr>
      </w:pPr>
    </w:p>
    <w:p w14:paraId="53457B76" w14:textId="77777777" w:rsidR="009700E5" w:rsidRDefault="002C033C">
      <w:r>
        <w:t>RoActemra obsahuje liečivo tocilizumab, čo je bielkovina vyrobená zo špeciálnych imunitných buniek (monoklonálna protilátka), ktorá blokuje účinok špecifickej bielkoviny (cytokínu) nazývanej interleukín</w:t>
      </w:r>
      <w:r>
        <w:noBreakHyphen/>
        <w:t>6. Táto bielkovina sa podieľa na zápalových procesoch tela a jej blokovaním sa môže zmierniť zápal v tele. RoActemra sa používa na liečbu:</w:t>
      </w:r>
    </w:p>
    <w:p w14:paraId="2B9E4F3C" w14:textId="77777777" w:rsidR="009700E5" w:rsidRDefault="009700E5"/>
    <w:p w14:paraId="735283D1" w14:textId="77777777" w:rsidR="009700E5" w:rsidRDefault="002C033C">
      <w:pPr>
        <w:pStyle w:val="ListParagraph"/>
        <w:numPr>
          <w:ilvl w:val="1"/>
          <w:numId w:val="211"/>
        </w:numPr>
        <w:ind w:left="567" w:hanging="567"/>
        <w:pPrChange w:id="5058" w:author="Author" w:date="2026-02-18T14:51:00Z">
          <w:pPr>
            <w:ind w:left="567" w:hanging="567"/>
          </w:pPr>
        </w:pPrChange>
      </w:pPr>
      <w:del w:id="5059" w:author="Author" w:date="2026-02-16T13:25:00Z">
        <w:r>
          <w:delText>•</w:delText>
        </w:r>
        <w:r>
          <w:tab/>
        </w:r>
      </w:del>
      <w:r>
        <w:rPr>
          <w:b/>
        </w:rPr>
        <w:t>dospelých</w:t>
      </w:r>
      <w:r>
        <w:t xml:space="preserve"> </w:t>
      </w:r>
      <w:r>
        <w:rPr>
          <w:b/>
        </w:rPr>
        <w:t>so stredne ťažkou až ťažkou aktívnou reumatoidnou artritídou (RA),</w:t>
      </w:r>
      <w:r>
        <w:t xml:space="preserve"> autoimunitného ochorenia, ak predchádzajúce terapie neboli dostatočne účinné.</w:t>
      </w:r>
    </w:p>
    <w:p w14:paraId="3F97CCA8" w14:textId="77777777" w:rsidR="009700E5" w:rsidRDefault="009700E5">
      <w:pPr>
        <w:ind w:left="567" w:hanging="644"/>
        <w:pPrChange w:id="5060" w:author="Author" w:date="2026-02-18T14:49:00Z">
          <w:pPr>
            <w:ind w:left="567" w:hanging="567"/>
          </w:pPr>
        </w:pPrChange>
      </w:pPr>
    </w:p>
    <w:p w14:paraId="3D9319E1" w14:textId="77777777" w:rsidR="009700E5" w:rsidRDefault="002C033C">
      <w:pPr>
        <w:pStyle w:val="ListParagraph"/>
        <w:numPr>
          <w:ilvl w:val="0"/>
          <w:numId w:val="209"/>
        </w:numPr>
        <w:ind w:left="567" w:hanging="567"/>
        <w:pPrChange w:id="5061" w:author="Author" w:date="2026-02-18T14:51:00Z">
          <w:pPr>
            <w:ind w:left="567" w:hanging="567"/>
          </w:pPr>
        </w:pPrChange>
      </w:pPr>
      <w:del w:id="5062" w:author="Author" w:date="2026-02-16T13:25:00Z">
        <w:r>
          <w:delText>•</w:delText>
        </w:r>
        <w:r>
          <w:tab/>
        </w:r>
      </w:del>
      <w:r>
        <w:rPr>
          <w:b/>
          <w:rPrChange w:id="5063" w:author="Author" w:date="2026-02-16T13:25:00Z">
            <w:rPr/>
          </w:rPrChange>
        </w:rPr>
        <w:t>dospelých s ťažkou, aktívnou a progresívnou reumatoidnou artritídou (RA)</w:t>
      </w:r>
      <w:r>
        <w:t>, ktorí neboli doteraz liečení metotrexátom.</w:t>
      </w:r>
    </w:p>
    <w:p w14:paraId="4F54A634" w14:textId="77777777" w:rsidR="009700E5" w:rsidRDefault="009700E5">
      <w:pPr>
        <w:ind w:left="714" w:hanging="644"/>
        <w:pPrChange w:id="5064" w:author="Author" w:date="2026-02-18T14:49:00Z">
          <w:pPr>
            <w:ind w:left="714" w:hanging="714"/>
          </w:pPr>
        </w:pPrChange>
      </w:pPr>
    </w:p>
    <w:p w14:paraId="7D78EE15" w14:textId="77777777" w:rsidR="009700E5" w:rsidRDefault="002C033C">
      <w:pPr>
        <w:ind w:left="567"/>
        <w:pPrChange w:id="5065" w:author="Author" w:date="2026-02-18T14:50:00Z">
          <w:pPr>
            <w:ind w:left="709"/>
          </w:pPr>
        </w:pPrChange>
      </w:pPr>
      <w:r>
        <w:t>RoActemra napomáha zmierňovať príznaky</w:t>
      </w:r>
      <w:ins w:id="5066" w:author="Author" w:date="2025-07-20T21:56:00Z">
        <w:r>
          <w:t xml:space="preserve"> RA</w:t>
        </w:r>
      </w:ins>
      <w:r>
        <w:t>, ako bolesť a opuch kĺbov, a taktiež dokáže zlepšovať vykonávanie každodenných činností. Dokázalo sa, že RoActemra spomaľuje poškodzovanie chrupavky a kostí v kĺboch, ktoré je spôsobené ochorením a zlepšuje schopnosť vykonávať každodenné činnosti.</w:t>
      </w:r>
    </w:p>
    <w:p w14:paraId="235289A0" w14:textId="77777777" w:rsidR="009700E5" w:rsidRDefault="009700E5">
      <w:pPr>
        <w:ind w:left="567"/>
        <w:pPrChange w:id="5067" w:author="Author" w:date="2026-02-18T14:50:00Z">
          <w:pPr>
            <w:ind w:left="709"/>
          </w:pPr>
        </w:pPrChange>
      </w:pPr>
    </w:p>
    <w:p w14:paraId="30768B7A" w14:textId="77777777" w:rsidR="009700E5" w:rsidRDefault="002C033C">
      <w:pPr>
        <w:ind w:left="567"/>
        <w:pPrChange w:id="5068" w:author="Author" w:date="2026-02-18T14:50:00Z">
          <w:pPr>
            <w:ind w:left="709"/>
          </w:pPr>
        </w:pPrChange>
      </w:pPr>
      <w:r>
        <w:t>RoActemra sa zvyčajne podáva v kombinácii s ďalším liekom na RA, ktorý sa nazýva metotrexát. RoActemra sa však môže podávať samostatne, ak váš lekár rozhodne, že metotrexát pre vás nie je vhodný.</w:t>
      </w:r>
    </w:p>
    <w:p w14:paraId="4ED1A4AE" w14:textId="77777777" w:rsidR="009700E5" w:rsidRDefault="009700E5">
      <w:pPr>
        <w:ind w:left="714" w:hanging="644"/>
        <w:pPrChange w:id="5069" w:author="Author" w:date="2026-02-18T14:49:00Z">
          <w:pPr>
            <w:ind w:left="714" w:hanging="714"/>
          </w:pPr>
        </w:pPrChange>
      </w:pPr>
    </w:p>
    <w:p w14:paraId="5BA78D7D" w14:textId="77777777" w:rsidR="009700E5" w:rsidRDefault="002C033C">
      <w:pPr>
        <w:pStyle w:val="ListParagraph"/>
        <w:numPr>
          <w:ilvl w:val="1"/>
          <w:numId w:val="299"/>
        </w:numPr>
        <w:ind w:left="567" w:hanging="567"/>
        <w:pPrChange w:id="5070" w:author="Author" w:date="2026-02-18T14:50:00Z">
          <w:pPr>
            <w:ind w:left="567" w:hanging="567"/>
          </w:pPr>
        </w:pPrChange>
      </w:pPr>
      <w:del w:id="5071" w:author="Author" w:date="2026-02-18T14:37:00Z">
        <w:r>
          <w:delText>•</w:delText>
        </w:r>
        <w:r>
          <w:tab/>
        </w:r>
      </w:del>
      <w:r>
        <w:rPr>
          <w:b/>
        </w:rPr>
        <w:t>dospelých s ochorením tepien, ktoré sa nazýva obrovskobunková arteritída (OBA),</w:t>
      </w:r>
      <w:r>
        <w:t xml:space="preserve"> spôsobeného zápalom najväčších tepien v ľudskom tele, obzvlášť tých, ktoré krvou zásobujú hlavu a krk. Príznaky ochorenia zahŕňajú bolesti hlavy, únavu a bolesti v sánke. Ochorenie môže spôsobiť mŕtvicu a slepotu.</w:t>
      </w:r>
    </w:p>
    <w:p w14:paraId="45EBCBED" w14:textId="77777777" w:rsidR="009700E5" w:rsidRDefault="009700E5">
      <w:pPr>
        <w:ind w:hanging="644"/>
        <w:pPrChange w:id="5072" w:author="Author" w:date="2026-02-18T14:49:00Z">
          <w:pPr/>
        </w:pPrChange>
      </w:pPr>
    </w:p>
    <w:p w14:paraId="01FB22EF" w14:textId="77777777" w:rsidR="009700E5" w:rsidRDefault="002C033C">
      <w:pPr>
        <w:ind w:left="567"/>
      </w:pPr>
      <w:r>
        <w:t>RoActemra môže zmierniť bolesti a opuch tepien a žíl hlavy, krku a ramien.</w:t>
      </w:r>
    </w:p>
    <w:p w14:paraId="1A77EA84" w14:textId="77777777" w:rsidR="009700E5" w:rsidRDefault="009700E5">
      <w:pPr>
        <w:ind w:left="567" w:hanging="644"/>
        <w:pPrChange w:id="5073" w:author="Author" w:date="2026-02-18T14:49:00Z">
          <w:pPr>
            <w:ind w:left="567"/>
          </w:pPr>
        </w:pPrChange>
      </w:pPr>
    </w:p>
    <w:p w14:paraId="056C8C92" w14:textId="77777777" w:rsidR="009700E5" w:rsidRDefault="002C033C">
      <w:pPr>
        <w:keepNext/>
        <w:keepLines/>
        <w:ind w:left="567"/>
      </w:pPr>
      <w:r>
        <w:lastRenderedPageBreak/>
        <w:t>OBA sa často lieči liekmi, ktoré sa nazývajú steroidy. Tieto lieky sú zvyčajne účinné, ale ak sú dlhodobo užívané vo vysokých dávkach, môžu mať vedľajšie účinky. Znižovanie dávky steroidov môže tiež viesť k vzplanutiu (znovu prepuknutiu) OBA. Pridaním RoActemry do liečby je možné skrátiť dĺžku podávania steroidov pri zachovaní kontroly nad OBA.</w:t>
      </w:r>
    </w:p>
    <w:p w14:paraId="30597383" w14:textId="77777777" w:rsidR="009700E5" w:rsidRDefault="009700E5">
      <w:pPr>
        <w:ind w:hanging="644"/>
        <w:pPrChange w:id="5074" w:author="Author" w:date="2026-02-18T14:49:00Z">
          <w:pPr/>
        </w:pPrChange>
      </w:pPr>
    </w:p>
    <w:p w14:paraId="72B14473" w14:textId="77777777" w:rsidR="009700E5" w:rsidRDefault="002C033C">
      <w:pPr>
        <w:pStyle w:val="ListParagraph"/>
        <w:numPr>
          <w:ilvl w:val="1"/>
          <w:numId w:val="301"/>
        </w:numPr>
        <w:ind w:left="567" w:hanging="567"/>
        <w:pPrChange w:id="5075" w:author="Author" w:date="2026-02-18T14:52:00Z">
          <w:pPr>
            <w:ind w:left="567" w:hanging="567"/>
          </w:pPr>
        </w:pPrChange>
      </w:pPr>
      <w:del w:id="5076" w:author="Author" w:date="2026-02-18T14:37:00Z">
        <w:r>
          <w:delText>•</w:delText>
        </w:r>
        <w:r>
          <w:tab/>
        </w:r>
      </w:del>
      <w:r>
        <w:rPr>
          <w:b/>
          <w:rPrChange w:id="5077" w:author="Author" w:date="2026-02-18T14:37:00Z">
            <w:rPr/>
          </w:rPrChange>
        </w:rPr>
        <w:t xml:space="preserve">detí a dospievajúcich vo veku 12 rokov a starších, ktorí majú aktívnu </w:t>
      </w:r>
      <w:r>
        <w:rPr>
          <w:b/>
          <w:i/>
          <w:rPrChange w:id="5078" w:author="Author" w:date="2026-02-18T14:37:00Z">
            <w:rPr>
              <w:i/>
            </w:rPr>
          </w:rPrChange>
        </w:rPr>
        <w:t>systémovú juvenilnú idiopatickú artritídu (sJIA)</w:t>
      </w:r>
      <w:r>
        <w:t>, zápalové ochorenie, ktoré spôsobuje bolesť a opuchy v jednom alebo viacerých kĺboch, ako aj horúčku a vyrážku.</w:t>
      </w:r>
    </w:p>
    <w:p w14:paraId="159BE425" w14:textId="77777777" w:rsidR="009700E5" w:rsidRDefault="009700E5">
      <w:pPr>
        <w:ind w:left="714" w:hanging="644"/>
        <w:pPrChange w:id="5079" w:author="Author" w:date="2026-02-18T14:49:00Z">
          <w:pPr>
            <w:ind w:left="714" w:hanging="357"/>
          </w:pPr>
        </w:pPrChange>
      </w:pPr>
    </w:p>
    <w:p w14:paraId="188C165E" w14:textId="77777777" w:rsidR="009700E5" w:rsidRDefault="002C033C">
      <w:pPr>
        <w:ind w:left="567"/>
      </w:pPr>
      <w:r>
        <w:t>RoActemra sa používa na zlepšenie príznakov sJIA a môže sa podávať v kombinácii s metotrexátom alebo samostatne.</w:t>
      </w:r>
    </w:p>
    <w:p w14:paraId="5142CD18" w14:textId="77777777" w:rsidR="009700E5" w:rsidRDefault="009700E5">
      <w:pPr>
        <w:ind w:hanging="644"/>
        <w:pPrChange w:id="5080" w:author="Author" w:date="2026-02-18T14:49:00Z">
          <w:pPr/>
        </w:pPrChange>
      </w:pPr>
    </w:p>
    <w:p w14:paraId="0AC2ED5C" w14:textId="77777777" w:rsidR="009700E5" w:rsidRDefault="002C033C">
      <w:pPr>
        <w:pStyle w:val="ListParagraph"/>
        <w:keepNext/>
        <w:keepLines/>
        <w:numPr>
          <w:ilvl w:val="1"/>
          <w:numId w:val="303"/>
        </w:numPr>
        <w:ind w:left="567" w:hanging="567"/>
        <w:pPrChange w:id="5081" w:author="Author" w:date="2026-02-18T14:52:00Z">
          <w:pPr>
            <w:keepNext/>
            <w:keepLines/>
            <w:ind w:left="567" w:hanging="567"/>
          </w:pPr>
        </w:pPrChange>
      </w:pPr>
      <w:del w:id="5082" w:author="Author" w:date="2026-02-18T14:52:00Z">
        <w:r>
          <w:delText>•</w:delText>
        </w:r>
        <w:r>
          <w:tab/>
        </w:r>
      </w:del>
      <w:r>
        <w:rPr>
          <w:b/>
          <w:rPrChange w:id="5083" w:author="Author" w:date="2026-02-18T14:52:00Z">
            <w:rPr/>
          </w:rPrChange>
        </w:rPr>
        <w:t>detí a dospievajúcich</w:t>
      </w:r>
      <w:r>
        <w:t xml:space="preserve"> </w:t>
      </w:r>
      <w:r>
        <w:rPr>
          <w:b/>
          <w:rPrChange w:id="5084" w:author="Author" w:date="2026-02-18T14:52:00Z">
            <w:rPr/>
          </w:rPrChange>
        </w:rPr>
        <w:t>vo veku 12 rokov a starších, s aktívnou</w:t>
      </w:r>
      <w:r>
        <w:t xml:space="preserve"> </w:t>
      </w:r>
      <w:r>
        <w:rPr>
          <w:b/>
          <w:i/>
          <w:rPrChange w:id="5085" w:author="Author" w:date="2026-02-18T14:52:00Z">
            <w:rPr>
              <w:i/>
            </w:rPr>
          </w:rPrChange>
        </w:rPr>
        <w:t>polyartikulárnou juvenilnou idiopatickou artritídou (pJIA)</w:t>
      </w:r>
      <w:r>
        <w:t>. Je to zápalové ochorenie, ktoré spôsobuje bolesť a opuch jedného alebo viacerých kĺbov.</w:t>
      </w:r>
    </w:p>
    <w:p w14:paraId="73189B84" w14:textId="77777777" w:rsidR="009700E5" w:rsidRDefault="009700E5">
      <w:pPr>
        <w:keepNext/>
        <w:keepLines/>
        <w:ind w:left="562" w:hanging="644"/>
        <w:pPrChange w:id="5086" w:author="Author" w:date="2026-02-18T14:49:00Z">
          <w:pPr>
            <w:keepNext/>
            <w:keepLines/>
            <w:ind w:left="562" w:hanging="283"/>
          </w:pPr>
        </w:pPrChange>
      </w:pPr>
    </w:p>
    <w:p w14:paraId="12130088" w14:textId="77777777" w:rsidR="009700E5" w:rsidRDefault="002C033C">
      <w:pPr>
        <w:keepNext/>
        <w:keepLines/>
        <w:ind w:left="561" w:firstLine="6"/>
        <w:pPrChange w:id="5087" w:author="Author" w:date="2026-02-18T14:52:00Z">
          <w:pPr>
            <w:keepNext/>
            <w:keepLines/>
            <w:ind w:left="561"/>
          </w:pPr>
        </w:pPrChange>
      </w:pPr>
      <w:r>
        <w:t>RoActemra sa používa na zmiernenie príznakov pJIA a môže sa podávať v kombinácii s metotrexátom alebo samostatne.</w:t>
      </w:r>
    </w:p>
    <w:p w14:paraId="7E081255" w14:textId="77777777" w:rsidR="009700E5" w:rsidRDefault="009700E5"/>
    <w:p w14:paraId="16B4382C" w14:textId="77777777" w:rsidR="009700E5" w:rsidRDefault="009700E5"/>
    <w:p w14:paraId="1ADBBC0A" w14:textId="77777777" w:rsidR="009700E5" w:rsidRDefault="002C033C">
      <w:pPr>
        <w:keepNext/>
        <w:keepLines/>
        <w:rPr>
          <w:b/>
          <w:szCs w:val="22"/>
        </w:rPr>
      </w:pPr>
      <w:r>
        <w:rPr>
          <w:b/>
          <w:szCs w:val="22"/>
        </w:rPr>
        <w:t>2.</w:t>
      </w:r>
      <w:r>
        <w:rPr>
          <w:b/>
          <w:szCs w:val="22"/>
        </w:rPr>
        <w:tab/>
        <w:t>Čo potrebujete vedieť predtým, ako použijete RoActemru</w:t>
      </w:r>
    </w:p>
    <w:p w14:paraId="7AC98D1E" w14:textId="77777777" w:rsidR="009700E5" w:rsidRDefault="009700E5">
      <w:pPr>
        <w:keepNext/>
        <w:keepLines/>
        <w:rPr>
          <w:b/>
          <w:szCs w:val="22"/>
        </w:rPr>
      </w:pPr>
    </w:p>
    <w:p w14:paraId="2137AEA9" w14:textId="77777777" w:rsidR="009700E5" w:rsidRDefault="002C033C">
      <w:pPr>
        <w:keepNext/>
        <w:keepLines/>
        <w:rPr>
          <w:bCs/>
          <w:szCs w:val="22"/>
        </w:rPr>
      </w:pPr>
      <w:r>
        <w:rPr>
          <w:b/>
          <w:szCs w:val="22"/>
        </w:rPr>
        <w:t>Nepoužívajte RoActemru</w:t>
      </w:r>
    </w:p>
    <w:p w14:paraId="70345F7C" w14:textId="77777777" w:rsidR="009700E5" w:rsidRDefault="002C033C">
      <w:pPr>
        <w:ind w:left="567" w:hanging="567"/>
      </w:pPr>
      <w:r>
        <w:t>•</w:t>
      </w:r>
      <w:r>
        <w:tab/>
        <w:t>ak</w:t>
      </w:r>
      <w:r>
        <w:rPr>
          <w:bCs/>
        </w:rPr>
        <w:t xml:space="preserve"> ste vy alebo dieťa, o ktoré sa staráte a ktoré je pacientom, alergickí na </w:t>
      </w:r>
      <w:r>
        <w:t xml:space="preserve">tocilizumab alebo na </w:t>
      </w:r>
      <w:r>
        <w:rPr>
          <w:szCs w:val="22"/>
        </w:rPr>
        <w:t>ktorúkoľvek z ďalších zložiek tohto lieku</w:t>
      </w:r>
      <w:r>
        <w:t xml:space="preserve"> (uvedených v časti 6).</w:t>
      </w:r>
    </w:p>
    <w:p w14:paraId="24400CF0" w14:textId="77777777" w:rsidR="009700E5" w:rsidRDefault="002C033C">
      <w:pPr>
        <w:ind w:left="567" w:hanging="567"/>
      </w:pPr>
      <w:r>
        <w:t>•</w:t>
      </w:r>
      <w:r>
        <w:tab/>
        <w:t xml:space="preserve">ak vy </w:t>
      </w:r>
      <w:r>
        <w:rPr>
          <w:bCs/>
        </w:rPr>
        <w:t>alebo dieťa, o ktoré sa staráte a ktoré je pacientom,</w:t>
      </w:r>
      <w:r>
        <w:t xml:space="preserve"> máte aktívnu, závažnú infekciu.</w:t>
      </w:r>
    </w:p>
    <w:p w14:paraId="483D1473" w14:textId="77777777" w:rsidR="009700E5" w:rsidRDefault="009700E5"/>
    <w:p w14:paraId="6A4661A2" w14:textId="77777777" w:rsidR="009700E5" w:rsidRDefault="002C033C">
      <w:r>
        <w:t>Ak sa vás niečo z uvedeného týka, oznámte to lekárovi. Nepoužívajte RoActemru.</w:t>
      </w:r>
    </w:p>
    <w:p w14:paraId="291C663C" w14:textId="77777777" w:rsidR="009700E5" w:rsidRDefault="009700E5"/>
    <w:p w14:paraId="418AD23B" w14:textId="77777777" w:rsidR="009700E5" w:rsidRDefault="002C033C">
      <w:pPr>
        <w:keepNext/>
        <w:keepLines/>
        <w:rPr>
          <w:b/>
          <w:szCs w:val="22"/>
        </w:rPr>
      </w:pPr>
      <w:r>
        <w:rPr>
          <w:b/>
          <w:szCs w:val="22"/>
        </w:rPr>
        <w:t>Upozornenia a opatrenia</w:t>
      </w:r>
    </w:p>
    <w:p w14:paraId="05AFF163" w14:textId="77777777" w:rsidR="009700E5" w:rsidRDefault="009700E5">
      <w:pPr>
        <w:keepNext/>
        <w:keepLines/>
      </w:pPr>
    </w:p>
    <w:p w14:paraId="49CC0F2C" w14:textId="77777777" w:rsidR="009700E5" w:rsidRDefault="002C033C">
      <w:pPr>
        <w:keepNext/>
        <w:keepLines/>
      </w:pPr>
      <w:r>
        <w:t>Predtým, ako začnete používať RoActemru, obráťte sa na svojho lekára, lekárnika alebo zdravotnú sestru.</w:t>
      </w:r>
    </w:p>
    <w:p w14:paraId="346EEB45" w14:textId="77777777" w:rsidR="009700E5" w:rsidRDefault="009700E5"/>
    <w:p w14:paraId="1E447934" w14:textId="77777777" w:rsidR="009700E5" w:rsidRDefault="002C033C">
      <w:pPr>
        <w:ind w:left="567" w:hanging="567"/>
      </w:pPr>
      <w:r>
        <w:t>•</w:t>
      </w:r>
      <w:r>
        <w:tab/>
      </w:r>
      <w:r>
        <w:rPr>
          <w:bCs/>
        </w:rPr>
        <w:t xml:space="preserve">Ak sa u vás vyskytnú </w:t>
      </w:r>
      <w:r>
        <w:rPr>
          <w:b/>
          <w:bCs/>
        </w:rPr>
        <w:t>alergické reakcie</w:t>
      </w:r>
      <w:r>
        <w:rPr>
          <w:bCs/>
        </w:rPr>
        <w:t xml:space="preserve">, </w:t>
      </w:r>
      <w:r>
        <w:t xml:space="preserve">napríklad pocit zovretia v hrudníku, pískavé dýchanie, silné závraty alebo pocit točenia hlavy, opuch pier, jazyka, tváre alebo svrbenie kože, žihľavka alebo vyrážky počas podávania injekcie alebo po jej podaní, </w:t>
      </w:r>
      <w:r>
        <w:rPr>
          <w:b/>
          <w:bCs/>
        </w:rPr>
        <w:t>ihneď to povedzte svojmu lekárovi</w:t>
      </w:r>
      <w:r>
        <w:t>.</w:t>
      </w:r>
    </w:p>
    <w:p w14:paraId="43EA9024" w14:textId="77777777" w:rsidR="009700E5" w:rsidRDefault="009700E5">
      <w:pPr>
        <w:ind w:left="567" w:hanging="567"/>
        <w:rPr>
          <w:bCs/>
        </w:rPr>
      </w:pPr>
    </w:p>
    <w:p w14:paraId="18A87D29" w14:textId="77777777" w:rsidR="009700E5" w:rsidRDefault="002C033C">
      <w:pPr>
        <w:ind w:left="567" w:hanging="567"/>
        <w:rPr>
          <w:bCs/>
        </w:rPr>
      </w:pPr>
      <w:r>
        <w:t>•</w:t>
      </w:r>
      <w:r>
        <w:tab/>
      </w:r>
      <w:r>
        <w:rPr>
          <w:bCs/>
        </w:rPr>
        <w:t xml:space="preserve">Ak sa u vás po podaní RoActemry vyskytnú akékoľvek príznaky alergickej reakcie, nepodávajte si ďalšiu dávku, pokým ste o tom neinformovali vášho lekára </w:t>
      </w:r>
      <w:r>
        <w:rPr>
          <w:b/>
          <w:bCs/>
        </w:rPr>
        <w:t>a </w:t>
      </w:r>
      <w:r>
        <w:rPr>
          <w:bCs/>
        </w:rPr>
        <w:t>váš lekár vám povedal, aby ste si podali ďalšiu dávku.</w:t>
      </w:r>
    </w:p>
    <w:p w14:paraId="12D65DB2" w14:textId="77777777" w:rsidR="009700E5" w:rsidRDefault="009700E5">
      <w:pPr>
        <w:ind w:left="567" w:hanging="567"/>
        <w:rPr>
          <w:bCs/>
        </w:rPr>
      </w:pPr>
    </w:p>
    <w:p w14:paraId="44D53A4C" w14:textId="77777777" w:rsidR="009700E5" w:rsidRDefault="002C033C">
      <w:pPr>
        <w:ind w:left="567" w:hanging="567"/>
      </w:pPr>
      <w:r>
        <w:t>•</w:t>
      </w:r>
      <w:r>
        <w:tab/>
      </w:r>
      <w:r>
        <w:rPr>
          <w:bCs/>
        </w:rPr>
        <w:t xml:space="preserve">Ak máte akýkoľvek druh </w:t>
      </w:r>
      <w:r>
        <w:rPr>
          <w:b/>
          <w:bCs/>
        </w:rPr>
        <w:t>infekcie</w:t>
      </w:r>
      <w:r>
        <w:t>,</w:t>
      </w:r>
      <w:r>
        <w:rPr>
          <w:bCs/>
        </w:rPr>
        <w:t xml:space="preserve"> </w:t>
      </w:r>
      <w:r>
        <w:t xml:space="preserve">krátkotrvajúcu alebo dlhotrvajúcu, alebo ak mávate časté infekcie. Ak sa necítite dobre, </w:t>
      </w:r>
      <w:r>
        <w:rPr>
          <w:b/>
        </w:rPr>
        <w:t>ihneď to povedzte svojmu lekárovi</w:t>
      </w:r>
      <w:r>
        <w:t>. RoActemra môže znížiť obranyschopnosť organizmu proti infekciám a môže zhoršiť jestvujúcu infekciu alebo zvýšiť pravdepodobnosť vzniku novej infekcie.</w:t>
      </w:r>
    </w:p>
    <w:p w14:paraId="432A5E22" w14:textId="77777777" w:rsidR="009700E5" w:rsidRDefault="009700E5">
      <w:pPr>
        <w:ind w:left="567" w:hanging="567"/>
      </w:pPr>
    </w:p>
    <w:p w14:paraId="4B6A271A" w14:textId="77777777" w:rsidR="009700E5" w:rsidRDefault="002C033C">
      <w:pPr>
        <w:ind w:left="567" w:hanging="567"/>
        <w:rPr>
          <w:szCs w:val="22"/>
        </w:rPr>
      </w:pPr>
      <w:r>
        <w:t>•</w:t>
      </w:r>
      <w:r>
        <w:tab/>
      </w:r>
      <w:r>
        <w:rPr>
          <w:bCs/>
        </w:rPr>
        <w:t xml:space="preserve">Ak ste mali </w:t>
      </w:r>
      <w:r>
        <w:rPr>
          <w:b/>
          <w:bCs/>
        </w:rPr>
        <w:t>tuberkulózu</w:t>
      </w:r>
      <w:r>
        <w:t xml:space="preserve">, povedzte to svojmu lekárovi. Lekár vás vyšetrí na prítomnosť prejavov a príznakov tuberkulózy predtým, než začnete liečbu RoActemrou. </w:t>
      </w:r>
      <w:r>
        <w:rPr>
          <w:iCs/>
          <w:szCs w:val="22"/>
        </w:rPr>
        <w:t>Ak sa objavia príznaky tuberkulózy (pretrvávajúci kašeľ, úbytok telesnej hmotnosti, apatia, mierna horúčka) alebo iné infekcie počas alebo po liečbe, ihneď to povedzte lekárovi.</w:t>
      </w:r>
    </w:p>
    <w:p w14:paraId="426AE7BD" w14:textId="77777777" w:rsidR="009700E5" w:rsidRDefault="009700E5">
      <w:pPr>
        <w:ind w:left="567" w:hanging="567"/>
        <w:rPr>
          <w:szCs w:val="22"/>
        </w:rPr>
      </w:pPr>
    </w:p>
    <w:p w14:paraId="1A490897" w14:textId="77777777" w:rsidR="009700E5" w:rsidRDefault="002C033C">
      <w:pPr>
        <w:ind w:left="567" w:hanging="567"/>
      </w:pPr>
      <w:r>
        <w:t>•</w:t>
      </w:r>
      <w:r>
        <w:tab/>
      </w:r>
      <w:r>
        <w:rPr>
          <w:bCs/>
        </w:rPr>
        <w:t xml:space="preserve">Ak ste mali </w:t>
      </w:r>
      <w:r>
        <w:rPr>
          <w:b/>
          <w:bCs/>
        </w:rPr>
        <w:t>vredy čreva</w:t>
      </w:r>
      <w:r>
        <w:rPr>
          <w:bCs/>
        </w:rPr>
        <w:t xml:space="preserve"> alebo </w:t>
      </w:r>
      <w:r>
        <w:rPr>
          <w:b/>
          <w:bCs/>
        </w:rPr>
        <w:t>divertikulitídu</w:t>
      </w:r>
      <w:r>
        <w:rPr>
          <w:bCs/>
        </w:rPr>
        <w:t>,</w:t>
      </w:r>
      <w:r>
        <w:t xml:space="preserve"> povedzte to svojmu lekárovi. Medzi príznaky týchto ochorení patria bolesť brucha a nevysvetliteľné zmeny vo vyprázdňovaní stolice sprevádzané horúčkou.</w:t>
      </w:r>
    </w:p>
    <w:p w14:paraId="7EDB54E7" w14:textId="77777777" w:rsidR="009700E5" w:rsidRDefault="009700E5">
      <w:pPr>
        <w:ind w:left="567" w:hanging="567"/>
      </w:pPr>
    </w:p>
    <w:p w14:paraId="3F553022" w14:textId="77777777" w:rsidR="009700E5" w:rsidRDefault="002C033C">
      <w:pPr>
        <w:ind w:left="567" w:hanging="567"/>
      </w:pPr>
      <w:r>
        <w:lastRenderedPageBreak/>
        <w:t>•</w:t>
      </w:r>
      <w:r>
        <w:tab/>
        <w:t xml:space="preserve">Ak máte </w:t>
      </w:r>
      <w:r>
        <w:rPr>
          <w:b/>
        </w:rPr>
        <w:t>ochorenie pečene</w:t>
      </w:r>
      <w:r>
        <w:rPr>
          <w:bCs/>
        </w:rPr>
        <w:t>,</w:t>
      </w:r>
      <w:r>
        <w:t xml:space="preserve"> povedzte to svojmu lekárovi. Pred použitím RoActemry vám lekár môže urobiť krvné testy na vyšetrenie funkcie pečene.</w:t>
      </w:r>
    </w:p>
    <w:p w14:paraId="422458E6" w14:textId="77777777" w:rsidR="009700E5" w:rsidRDefault="009700E5">
      <w:pPr>
        <w:ind w:left="567" w:hanging="567"/>
      </w:pPr>
    </w:p>
    <w:p w14:paraId="07735383" w14:textId="77777777" w:rsidR="009700E5" w:rsidRDefault="002C033C">
      <w:pPr>
        <w:ind w:left="567" w:hanging="567"/>
      </w:pPr>
      <w:r>
        <w:t>•</w:t>
      </w:r>
      <w:r>
        <w:tab/>
      </w:r>
      <w:r>
        <w:rPr>
          <w:b/>
          <w:bCs/>
        </w:rPr>
        <w:t>Ak bol akýkoľvek pacient</w:t>
      </w:r>
      <w:r>
        <w:rPr>
          <w:bCs/>
        </w:rPr>
        <w:t xml:space="preserve"> </w:t>
      </w:r>
      <w:r>
        <w:rPr>
          <w:b/>
          <w:bCs/>
        </w:rPr>
        <w:t xml:space="preserve">nedávno zaočkovaný, </w:t>
      </w:r>
      <w:r>
        <w:rPr>
          <w:bCs/>
        </w:rPr>
        <w:t>alebo ak sa plánuje zaočkovať,</w:t>
      </w:r>
      <w:r>
        <w:t xml:space="preserve"> povedzte to svojmu lekárovi. Všetci pacienti majú mať pred začiatkom liečby RoActemrou absolvované všetky očkovania. Niektoré druhy očkovacích látok sa nemajú podávať počas liečby RoActemrou.</w:t>
      </w:r>
    </w:p>
    <w:p w14:paraId="6E5787E7" w14:textId="77777777" w:rsidR="009700E5" w:rsidRDefault="009700E5">
      <w:pPr>
        <w:ind w:left="567" w:hanging="567"/>
      </w:pPr>
    </w:p>
    <w:p w14:paraId="2F05956A" w14:textId="77777777" w:rsidR="009700E5" w:rsidRDefault="002C033C">
      <w:pPr>
        <w:ind w:left="567" w:hanging="567"/>
      </w:pPr>
      <w:r>
        <w:t>•</w:t>
      </w:r>
      <w:r>
        <w:tab/>
        <w:t xml:space="preserve">Ak máte </w:t>
      </w:r>
      <w:r>
        <w:rPr>
          <w:b/>
        </w:rPr>
        <w:t>rakovinu</w:t>
      </w:r>
      <w:r>
        <w:t>, povedzte to svojmu lekárovi. Váš lekár bude musieť rozhodnúť, či napriek tomu RoActemru môžete dostať.</w:t>
      </w:r>
    </w:p>
    <w:p w14:paraId="0441DDF3" w14:textId="77777777" w:rsidR="009700E5" w:rsidRDefault="009700E5">
      <w:pPr>
        <w:ind w:left="567" w:hanging="567"/>
      </w:pPr>
    </w:p>
    <w:p w14:paraId="6DEC6FF7" w14:textId="77777777" w:rsidR="009700E5" w:rsidRDefault="002C033C">
      <w:pPr>
        <w:ind w:left="567" w:hanging="567"/>
      </w:pPr>
      <w:r>
        <w:t>•</w:t>
      </w:r>
      <w:r>
        <w:tab/>
        <w:t xml:space="preserve">Ak máte </w:t>
      </w:r>
      <w:r>
        <w:rPr>
          <w:b/>
        </w:rPr>
        <w:t>rizikové faktory pre srdcovocievne ochorenia</w:t>
      </w:r>
      <w:r>
        <w:t>, napríklad zvýšený krvný tlak a zvýšené hladiny cholesterolu, povedzte to svojmu lekárovi. Tieto faktory treba počas liečby RoActemrou kontrolovať.</w:t>
      </w:r>
    </w:p>
    <w:p w14:paraId="22905BE1" w14:textId="77777777" w:rsidR="009700E5" w:rsidRDefault="009700E5">
      <w:pPr>
        <w:ind w:left="567" w:hanging="567"/>
      </w:pPr>
    </w:p>
    <w:p w14:paraId="1721980A" w14:textId="77777777" w:rsidR="009700E5" w:rsidRDefault="002C033C">
      <w:pPr>
        <w:ind w:left="567" w:hanging="567"/>
      </w:pPr>
      <w:r>
        <w:t>•</w:t>
      </w:r>
      <w:r>
        <w:tab/>
        <w:t xml:space="preserve">Ak máte stredne závažné až závažné </w:t>
      </w:r>
      <w:r>
        <w:rPr>
          <w:b/>
        </w:rPr>
        <w:t>problémy s funkciou obličiek</w:t>
      </w:r>
      <w:r>
        <w:t>, lekár vás bude kontrolovať.</w:t>
      </w:r>
    </w:p>
    <w:p w14:paraId="7ED26E2D" w14:textId="77777777" w:rsidR="009700E5" w:rsidRDefault="009700E5">
      <w:pPr>
        <w:ind w:left="567" w:hanging="567"/>
      </w:pPr>
    </w:p>
    <w:p w14:paraId="69D9BD8A" w14:textId="77777777" w:rsidR="009700E5" w:rsidRDefault="002C033C">
      <w:pPr>
        <w:ind w:left="567" w:hanging="567"/>
      </w:pPr>
      <w:r>
        <w:t>•</w:t>
      </w:r>
      <w:r>
        <w:tab/>
        <w:t xml:space="preserve">Ak máte </w:t>
      </w:r>
      <w:r>
        <w:rPr>
          <w:b/>
        </w:rPr>
        <w:t>pretrvávajúcu bolesť hlavy</w:t>
      </w:r>
      <w:r>
        <w:rPr>
          <w:bCs/>
        </w:rPr>
        <w:t>.</w:t>
      </w:r>
    </w:p>
    <w:p w14:paraId="61494773" w14:textId="77777777" w:rsidR="009700E5" w:rsidRDefault="009700E5">
      <w:pPr>
        <w:ind w:hanging="425"/>
        <w:pPrChange w:id="5088" w:author="Author" w:date="2025-07-20T21:59:00Z">
          <w:pPr/>
        </w:pPrChange>
      </w:pPr>
    </w:p>
    <w:p w14:paraId="5346EB55" w14:textId="77777777" w:rsidR="009700E5" w:rsidRDefault="002C033C">
      <w:r>
        <w:t>Lekár vám urobí vyšetrenie krvi predtým, ako dostanete RoActemru, aby zistil, či nemáte nízky počet bielych krviniek, nízky počet krvných doštičiek alebo vysoké hladiny pečeňových enzýmov.</w:t>
      </w:r>
    </w:p>
    <w:p w14:paraId="62BEEC93" w14:textId="77777777" w:rsidR="009700E5" w:rsidRDefault="009700E5"/>
    <w:p w14:paraId="5186B54B" w14:textId="77777777" w:rsidR="009700E5" w:rsidRDefault="002C033C">
      <w:pPr>
        <w:keepNext/>
        <w:keepLines/>
        <w:rPr>
          <w:b/>
          <w:szCs w:val="22"/>
        </w:rPr>
      </w:pPr>
      <w:r>
        <w:rPr>
          <w:b/>
          <w:szCs w:val="22"/>
        </w:rPr>
        <w:t>Deti a dospievajúci</w:t>
      </w:r>
    </w:p>
    <w:p w14:paraId="37E5DBAF" w14:textId="77777777" w:rsidR="009700E5" w:rsidRDefault="002C033C">
      <w:r>
        <w:t xml:space="preserve">RoActemra </w:t>
      </w:r>
      <w:r>
        <w:rPr>
          <w:bCs/>
        </w:rPr>
        <w:t>naplnené pero</w:t>
      </w:r>
      <w:r>
        <w:t xml:space="preserve"> sa neodporúča používať u detí mladších ako 12 rokov. RoActemra sa nesmie podávať deťom so sJIA s hmotnosťou nižšou ako 10 kg.</w:t>
      </w:r>
    </w:p>
    <w:p w14:paraId="08298F76" w14:textId="77777777" w:rsidR="009700E5" w:rsidRDefault="009700E5"/>
    <w:p w14:paraId="3D714EE6" w14:textId="77777777" w:rsidR="009700E5" w:rsidRDefault="002C033C">
      <w:r>
        <w:t xml:space="preserve">Ak malo dieťa v minulosti </w:t>
      </w:r>
      <w:r>
        <w:rPr>
          <w:b/>
          <w:i/>
        </w:rPr>
        <w:t>syndróm aktivácie makrofágov</w:t>
      </w:r>
      <w:r>
        <w:t xml:space="preserve"> (aktivácia a nekontrolované delenie určitých buniek krvi), povedzte to vášmu lekárovi. Váš lekár rozhodne, či napriek tomu môže RoActemru dostať.</w:t>
      </w:r>
    </w:p>
    <w:p w14:paraId="3EECADC3" w14:textId="77777777" w:rsidR="009700E5" w:rsidRDefault="009700E5"/>
    <w:p w14:paraId="18D2F460" w14:textId="77777777" w:rsidR="009700E5" w:rsidRDefault="002C033C">
      <w:pPr>
        <w:keepNext/>
        <w:keepLines/>
        <w:rPr>
          <w:szCs w:val="22"/>
        </w:rPr>
      </w:pPr>
      <w:r>
        <w:rPr>
          <w:b/>
          <w:szCs w:val="22"/>
        </w:rPr>
        <w:t xml:space="preserve">Iné lieky a </w:t>
      </w:r>
      <w:r>
        <w:rPr>
          <w:b/>
          <w:bCs/>
          <w:szCs w:val="22"/>
        </w:rPr>
        <w:t>RoActemra</w:t>
      </w:r>
    </w:p>
    <w:p w14:paraId="6FF5B4E1" w14:textId="77777777" w:rsidR="009700E5" w:rsidRDefault="002C033C">
      <w:pPr>
        <w:keepNext/>
        <w:keepLines/>
      </w:pPr>
      <w:r>
        <w:t xml:space="preserve">Ak teraz užívate alebo ste v poslednom čase užívali ďalšie lieky, povedzte to svojmu lekárovi. RoActemra môže ovplyvniť spôsob účinku niektorých liekov a môže byť potrebná úprava dávky týchto liekov. Ak užívate lieky obsahujúce ktorékoľvek z nasledujúcich liečiv, </w:t>
      </w:r>
      <w:r>
        <w:rPr>
          <w:b/>
        </w:rPr>
        <w:t>povedzte to svojmu lekárovi:</w:t>
      </w:r>
    </w:p>
    <w:p w14:paraId="402909CF" w14:textId="77777777" w:rsidR="009700E5" w:rsidRDefault="002C033C">
      <w:pPr>
        <w:keepNext/>
        <w:keepLines/>
        <w:ind w:left="567" w:hanging="567"/>
      </w:pPr>
      <w:r>
        <w:t>•</w:t>
      </w:r>
      <w:r>
        <w:tab/>
        <w:t>metylprednizolón, dexametazón, používajú sa na zmiernenie zápalu</w:t>
      </w:r>
    </w:p>
    <w:p w14:paraId="016A1D99" w14:textId="77777777" w:rsidR="009700E5" w:rsidRDefault="002C033C">
      <w:pPr>
        <w:ind w:left="567" w:hanging="567"/>
      </w:pPr>
      <w:r>
        <w:t>•</w:t>
      </w:r>
      <w:r>
        <w:tab/>
        <w:t>simvastatín alebo atorvastatín, používajú sa na zníženie hladín cholesterolu</w:t>
      </w:r>
    </w:p>
    <w:p w14:paraId="5EFE306D" w14:textId="77777777" w:rsidR="009700E5" w:rsidRDefault="002C033C">
      <w:pPr>
        <w:ind w:left="567" w:hanging="567"/>
      </w:pPr>
      <w:r>
        <w:t>•</w:t>
      </w:r>
      <w:r>
        <w:tab/>
        <w:t>blokátory kalciového kanála (napr. amlodipín), používajú sa na liečbu zvýšeného krvného tlaku</w:t>
      </w:r>
    </w:p>
    <w:p w14:paraId="5894A821" w14:textId="77777777" w:rsidR="009700E5" w:rsidRDefault="002C033C">
      <w:pPr>
        <w:ind w:left="567" w:hanging="567"/>
      </w:pPr>
      <w:r>
        <w:t>•</w:t>
      </w:r>
      <w:r>
        <w:tab/>
        <w:t>teofylín, používa sa na liečbu astmy</w:t>
      </w:r>
    </w:p>
    <w:p w14:paraId="5A02D9D2" w14:textId="77777777" w:rsidR="009700E5" w:rsidRDefault="002C033C">
      <w:pPr>
        <w:ind w:left="567" w:hanging="567"/>
      </w:pPr>
      <w:r>
        <w:t>•</w:t>
      </w:r>
      <w:r>
        <w:tab/>
        <w:t>warfarín alebo fenprokumón, používajú sa ako látky na zriedenie krvi</w:t>
      </w:r>
    </w:p>
    <w:p w14:paraId="3A6B3358" w14:textId="77777777" w:rsidR="009700E5" w:rsidRDefault="002C033C">
      <w:pPr>
        <w:ind w:left="567" w:hanging="567"/>
      </w:pPr>
      <w:r>
        <w:t>•</w:t>
      </w:r>
      <w:r>
        <w:tab/>
        <w:t>fenytoín, používa sa na liečbu kŕčov</w:t>
      </w:r>
    </w:p>
    <w:p w14:paraId="3D9D7995" w14:textId="77777777" w:rsidR="009700E5" w:rsidRDefault="002C033C">
      <w:pPr>
        <w:ind w:left="567" w:hanging="567"/>
      </w:pPr>
      <w:r>
        <w:t>•</w:t>
      </w:r>
      <w:r>
        <w:tab/>
        <w:t>cyklosporín, používa sa na potlačenie reakcie imunitného systému počas transplantácie orgánov</w:t>
      </w:r>
    </w:p>
    <w:p w14:paraId="5D4E0EF6" w14:textId="77777777" w:rsidR="009700E5" w:rsidRDefault="002C033C">
      <w:pPr>
        <w:ind w:left="567" w:hanging="567"/>
      </w:pPr>
      <w:r>
        <w:t>•</w:t>
      </w:r>
      <w:r>
        <w:tab/>
        <w:t>benzodiazepíny (napr. temazepam), používajú sa na zmiernenie úzkosti</w:t>
      </w:r>
    </w:p>
    <w:p w14:paraId="16A0D84C" w14:textId="77777777" w:rsidR="009700E5" w:rsidRDefault="009700E5"/>
    <w:p w14:paraId="3396A8C9" w14:textId="77777777" w:rsidR="009700E5" w:rsidRDefault="002C033C">
      <w:r>
        <w:t>Vzhľadom na nedostatok klinických skúseností sa neodporúča používať RoActemru s inými biologickými liekmi na liečbu RA, sJIA, pJIA alebo OBA.</w:t>
      </w:r>
    </w:p>
    <w:p w14:paraId="35D6044E" w14:textId="77777777" w:rsidR="009700E5" w:rsidRDefault="009700E5"/>
    <w:p w14:paraId="6E7003A4" w14:textId="77777777" w:rsidR="009700E5" w:rsidRDefault="002C033C">
      <w:pPr>
        <w:rPr>
          <w:b/>
          <w:iCs/>
          <w:szCs w:val="22"/>
        </w:rPr>
      </w:pPr>
      <w:r>
        <w:rPr>
          <w:b/>
          <w:szCs w:val="22"/>
        </w:rPr>
        <w:t>Tehotenstvo, dojčenie a plodnosť</w:t>
      </w:r>
    </w:p>
    <w:p w14:paraId="5A48AC94" w14:textId="77777777" w:rsidR="009700E5" w:rsidRDefault="009700E5">
      <w:pPr>
        <w:rPr>
          <w:b/>
          <w:iCs/>
        </w:rPr>
      </w:pPr>
    </w:p>
    <w:p w14:paraId="3111894D" w14:textId="77777777" w:rsidR="009700E5" w:rsidRDefault="002C033C">
      <w:pPr>
        <w:rPr>
          <w:iCs/>
        </w:rPr>
      </w:pPr>
      <w:r>
        <w:rPr>
          <w:b/>
          <w:iCs/>
        </w:rPr>
        <w:t>RoActemra sa môže počas tehotenstva používať</w:t>
      </w:r>
      <w:r>
        <w:rPr>
          <w:iCs/>
        </w:rPr>
        <w:t xml:space="preserve"> iba v nevyhnutných prípadoch. Ak ste tehotná, môžete byť tehotná alebo máte v úmysle otehotnieť, poraďte sa so svojím lekárom.</w:t>
      </w:r>
    </w:p>
    <w:p w14:paraId="08CD1928" w14:textId="77777777" w:rsidR="009700E5" w:rsidRDefault="009700E5">
      <w:pPr>
        <w:rPr>
          <w:iCs/>
        </w:rPr>
      </w:pPr>
    </w:p>
    <w:p w14:paraId="3F4AC044" w14:textId="77777777" w:rsidR="009700E5" w:rsidRDefault="002C033C">
      <w:pPr>
        <w:rPr>
          <w:iCs/>
        </w:rPr>
      </w:pPr>
      <w:r>
        <w:rPr>
          <w:b/>
          <w:iCs/>
        </w:rPr>
        <w:t>Ženy v plodnom veku musia</w:t>
      </w:r>
      <w:r>
        <w:rPr>
          <w:iCs/>
        </w:rPr>
        <w:t xml:space="preserve"> používať účinnú antikoncepciu počas liečby a 3 mesiace po ukončení liečby.</w:t>
      </w:r>
    </w:p>
    <w:p w14:paraId="31BEB50A" w14:textId="77777777" w:rsidR="009700E5" w:rsidRDefault="009700E5">
      <w:pPr>
        <w:rPr>
          <w:iCs/>
        </w:rPr>
      </w:pPr>
    </w:p>
    <w:p w14:paraId="7C340D48" w14:textId="77777777" w:rsidR="009700E5" w:rsidRDefault="002C033C">
      <w:r>
        <w:rPr>
          <w:b/>
        </w:rPr>
        <w:lastRenderedPageBreak/>
        <w:t>Ak sa budete liečiť RoActemrou, prestaňte dojčiť</w:t>
      </w:r>
      <w:r>
        <w:t xml:space="preserve"> a poraďte sa so svojím lekárom. Po poslednej liečbe počkajte minimálne 3 mesiace a potom začnite dojčiť. Nie je známe, či sa RoActemra vylučuje do ľudského mlieka.</w:t>
      </w:r>
    </w:p>
    <w:p w14:paraId="73EE7C63" w14:textId="77777777" w:rsidR="009700E5" w:rsidRDefault="009700E5"/>
    <w:p w14:paraId="1F26DE46" w14:textId="77777777" w:rsidR="009700E5" w:rsidRDefault="002C033C">
      <w:pPr>
        <w:rPr>
          <w:szCs w:val="22"/>
        </w:rPr>
      </w:pPr>
      <w:r>
        <w:rPr>
          <w:b/>
          <w:szCs w:val="22"/>
        </w:rPr>
        <w:t>Vedenie vozidiel a obsluha strojov</w:t>
      </w:r>
    </w:p>
    <w:p w14:paraId="3129E418" w14:textId="77777777" w:rsidR="009700E5" w:rsidRDefault="002C033C">
      <w:r>
        <w:t>Tento liek môže spôsobiť závraty. Ak máte závrat, neveďte vozidlo alebo neobsluhujte stroje.</w:t>
      </w:r>
    </w:p>
    <w:p w14:paraId="2F203D31" w14:textId="77777777" w:rsidR="009700E5" w:rsidRDefault="009700E5"/>
    <w:p w14:paraId="02D85DCA" w14:textId="77777777" w:rsidR="009700E5" w:rsidRDefault="002C033C">
      <w:pPr>
        <w:rPr>
          <w:b/>
          <w:bCs/>
        </w:rPr>
      </w:pPr>
      <w:r>
        <w:rPr>
          <w:b/>
          <w:bCs/>
        </w:rPr>
        <w:t>RoActemra obsahuje polysorbát</w:t>
      </w:r>
      <w:ins w:id="5089" w:author="Author" w:date="2025-07-20T22:02:00Z">
        <w:r>
          <w:rPr>
            <w:b/>
            <w:bCs/>
          </w:rPr>
          <w:t xml:space="preserve"> 80 (E</w:t>
        </w:r>
      </w:ins>
      <w:ins w:id="5090" w:author="Author" w:date="2025-07-21T11:19:00Z">
        <w:r>
          <w:rPr>
            <w:b/>
            <w:bCs/>
          </w:rPr>
          <w:t> </w:t>
        </w:r>
      </w:ins>
      <w:ins w:id="5091" w:author="Author" w:date="2025-07-20T22:02:00Z">
        <w:del w:id="5092" w:author="Author" w:date="2025-07-21T11:19:00Z">
          <w:r>
            <w:rPr>
              <w:b/>
              <w:bCs/>
            </w:rPr>
            <w:delText xml:space="preserve"> </w:delText>
          </w:r>
        </w:del>
        <w:r>
          <w:rPr>
            <w:b/>
            <w:bCs/>
          </w:rPr>
          <w:t>433)</w:t>
        </w:r>
      </w:ins>
    </w:p>
    <w:p w14:paraId="4192D1D2" w14:textId="77777777" w:rsidR="009700E5" w:rsidRDefault="002C033C">
      <w:r>
        <w:t>Tento liek obsahuje 0,18 mg polysorbátu 80 v každom 162 mg/0,9 ml naplnenom pere, čo zodpovedá 0,2 mg/ml. Polysorbáty môžu vyvolať alergické reakcie. Povedzte vášmu lekárovi, ak vy alebo vaše dieťa máte nejaké známe alergie.</w:t>
      </w:r>
    </w:p>
    <w:p w14:paraId="38882B0D" w14:textId="77777777" w:rsidR="009700E5" w:rsidRDefault="009700E5"/>
    <w:p w14:paraId="5AE86052" w14:textId="77777777" w:rsidR="009700E5" w:rsidRDefault="009700E5"/>
    <w:p w14:paraId="1FC41863" w14:textId="77777777" w:rsidR="009700E5" w:rsidRDefault="002C033C">
      <w:pPr>
        <w:rPr>
          <w:b/>
          <w:szCs w:val="22"/>
        </w:rPr>
      </w:pPr>
      <w:r>
        <w:rPr>
          <w:b/>
          <w:szCs w:val="22"/>
        </w:rPr>
        <w:t>3.</w:t>
      </w:r>
      <w:r>
        <w:rPr>
          <w:b/>
          <w:szCs w:val="22"/>
        </w:rPr>
        <w:tab/>
        <w:t xml:space="preserve">Ako používať </w:t>
      </w:r>
      <w:r>
        <w:rPr>
          <w:b/>
          <w:caps/>
          <w:szCs w:val="22"/>
        </w:rPr>
        <w:t>r</w:t>
      </w:r>
      <w:r>
        <w:rPr>
          <w:b/>
          <w:szCs w:val="22"/>
        </w:rPr>
        <w:t>o</w:t>
      </w:r>
      <w:r>
        <w:rPr>
          <w:b/>
          <w:caps/>
          <w:szCs w:val="22"/>
        </w:rPr>
        <w:t>a</w:t>
      </w:r>
      <w:r>
        <w:rPr>
          <w:b/>
          <w:szCs w:val="22"/>
        </w:rPr>
        <w:t>ctemru</w:t>
      </w:r>
    </w:p>
    <w:p w14:paraId="40E84556" w14:textId="77777777" w:rsidR="009700E5" w:rsidRDefault="009700E5"/>
    <w:p w14:paraId="29B8D700" w14:textId="77777777" w:rsidR="009700E5" w:rsidRDefault="002C033C">
      <w:pPr>
        <w:rPr>
          <w:szCs w:val="22"/>
        </w:rPr>
      </w:pPr>
      <w:r>
        <w:rPr>
          <w:szCs w:val="22"/>
        </w:rPr>
        <w:t>Vždy používajte tento liek presne tak, ako vám povedal váš lekár, lekárnik alebo zdravotná sestra.</w:t>
      </w:r>
      <w:r>
        <w:t xml:space="preserve"> </w:t>
      </w:r>
      <w:r>
        <w:rPr>
          <w:szCs w:val="22"/>
        </w:rPr>
        <w:t>Ak si nie ste niečím istý, overte si to u svojho lekára, lekárnika alebo zdravotnej sestry.</w:t>
      </w:r>
    </w:p>
    <w:p w14:paraId="331CDDE9" w14:textId="77777777" w:rsidR="009700E5" w:rsidRDefault="009700E5">
      <w:pPr>
        <w:rPr>
          <w:szCs w:val="22"/>
        </w:rPr>
      </w:pPr>
    </w:p>
    <w:p w14:paraId="757A1559" w14:textId="77777777" w:rsidR="009700E5" w:rsidRDefault="002C033C">
      <w:pPr>
        <w:rPr>
          <w:szCs w:val="22"/>
        </w:rPr>
      </w:pPr>
      <w:r>
        <w:rPr>
          <w:szCs w:val="22"/>
        </w:rPr>
        <w:t xml:space="preserve">Liečbu majú predpisovať a začať zdravotnícki pracovníci, ktorí majú skúsenosti s diagnostikou a liečbou RA, </w:t>
      </w:r>
      <w:r>
        <w:t>sJIA, pJIA</w:t>
      </w:r>
      <w:r>
        <w:rPr>
          <w:szCs w:val="22"/>
        </w:rPr>
        <w:t xml:space="preserve"> alebo OBA.</w:t>
      </w:r>
    </w:p>
    <w:p w14:paraId="6791F223" w14:textId="77777777" w:rsidR="009700E5" w:rsidRDefault="009700E5">
      <w:pPr>
        <w:rPr>
          <w:szCs w:val="22"/>
        </w:rPr>
      </w:pPr>
    </w:p>
    <w:p w14:paraId="65031DD3" w14:textId="77777777" w:rsidR="009700E5" w:rsidRDefault="002C033C">
      <w:pPr>
        <w:rPr>
          <w:b/>
          <w:szCs w:val="22"/>
        </w:rPr>
      </w:pPr>
      <w:r>
        <w:rPr>
          <w:b/>
          <w:szCs w:val="22"/>
        </w:rPr>
        <w:t>Odporúčaná dávka</w:t>
      </w:r>
    </w:p>
    <w:p w14:paraId="439C242F" w14:textId="77777777" w:rsidR="009700E5" w:rsidRDefault="002C033C">
      <w:pPr>
        <w:rPr>
          <w:szCs w:val="22"/>
        </w:rPr>
      </w:pPr>
      <w:r>
        <w:rPr>
          <w:szCs w:val="22"/>
        </w:rPr>
        <w:t>Dávka pre</w:t>
      </w:r>
      <w:del w:id="5093" w:author="Author" w:date="2025-07-20T22:03:00Z">
        <w:r>
          <w:rPr>
            <w:szCs w:val="22"/>
          </w:rPr>
          <w:delText xml:space="preserve"> všetkých</w:delText>
        </w:r>
      </w:del>
      <w:r>
        <w:rPr>
          <w:szCs w:val="22"/>
        </w:rPr>
        <w:t xml:space="preserve"> dospelých pacientov s RA a</w:t>
      </w:r>
      <w:ins w:id="5094" w:author="Author" w:date="2025-07-20T22:03:00Z">
        <w:r>
          <w:rPr>
            <w:szCs w:val="22"/>
          </w:rPr>
          <w:t>lebo</w:t>
        </w:r>
      </w:ins>
      <w:r>
        <w:rPr>
          <w:szCs w:val="22"/>
        </w:rPr>
        <w:t xml:space="preserve"> OBA</w:t>
      </w:r>
      <w:r>
        <w:rPr>
          <w:b/>
          <w:szCs w:val="22"/>
        </w:rPr>
        <w:t xml:space="preserve"> </w:t>
      </w:r>
      <w:r>
        <w:rPr>
          <w:szCs w:val="22"/>
        </w:rPr>
        <w:t>je 162 mg (obsah 1 naplneného pera) podaná raz za týždeň.</w:t>
      </w:r>
    </w:p>
    <w:p w14:paraId="5824F491" w14:textId="77777777" w:rsidR="009700E5" w:rsidRDefault="009700E5">
      <w:pPr>
        <w:rPr>
          <w:szCs w:val="22"/>
        </w:rPr>
      </w:pPr>
    </w:p>
    <w:p w14:paraId="1CC7422F" w14:textId="77777777" w:rsidR="009700E5" w:rsidRDefault="002C033C">
      <w:pPr>
        <w:keepNext/>
        <w:keepLines/>
        <w:rPr>
          <w:b/>
          <w:szCs w:val="22"/>
        </w:rPr>
      </w:pPr>
      <w:r>
        <w:rPr>
          <w:b/>
          <w:szCs w:val="22"/>
        </w:rPr>
        <w:t>Dospievajúci so sJIA (vo veku 12 rokov a starší)</w:t>
      </w:r>
    </w:p>
    <w:p w14:paraId="2342C0F2" w14:textId="77777777" w:rsidR="009700E5" w:rsidRDefault="002C033C">
      <w:pPr>
        <w:rPr>
          <w:b/>
          <w:szCs w:val="22"/>
        </w:rPr>
      </w:pPr>
      <w:r>
        <w:rPr>
          <w:b/>
          <w:szCs w:val="22"/>
        </w:rPr>
        <w:t>Zvyčajná dávka RoActemry závisí od telesnej hmotnosti pacienta.</w:t>
      </w:r>
    </w:p>
    <w:p w14:paraId="52F0BC69" w14:textId="77777777" w:rsidR="009700E5" w:rsidRDefault="002C033C">
      <w:pPr>
        <w:ind w:left="567" w:hanging="567"/>
        <w:rPr>
          <w:bCs/>
          <w:szCs w:val="22"/>
        </w:rPr>
      </w:pPr>
      <w:r>
        <w:rPr>
          <w:szCs w:val="22"/>
        </w:rPr>
        <w:t>•</w:t>
      </w:r>
      <w:r>
        <w:rPr>
          <w:szCs w:val="22"/>
        </w:rPr>
        <w:tab/>
        <w:t xml:space="preserve">Ak pacient váži </w:t>
      </w:r>
      <w:r>
        <w:rPr>
          <w:b/>
          <w:szCs w:val="22"/>
        </w:rPr>
        <w:t>menej ako 30 kg</w:t>
      </w:r>
      <w:r>
        <w:rPr>
          <w:szCs w:val="22"/>
        </w:rPr>
        <w:t>: dávka je 162 mg (obsah 1 naplneného pera), raz za 2 týždne</w:t>
      </w:r>
    </w:p>
    <w:p w14:paraId="7878E055" w14:textId="77777777" w:rsidR="009700E5" w:rsidRDefault="002C033C">
      <w:pPr>
        <w:keepNext/>
        <w:keepLines/>
        <w:ind w:left="567" w:hanging="567"/>
        <w:rPr>
          <w:szCs w:val="22"/>
        </w:rPr>
      </w:pPr>
      <w:r>
        <w:rPr>
          <w:szCs w:val="22"/>
        </w:rPr>
        <w:t>•</w:t>
      </w:r>
      <w:r>
        <w:rPr>
          <w:szCs w:val="22"/>
        </w:rPr>
        <w:tab/>
        <w:t xml:space="preserve">Ak pacient váži </w:t>
      </w:r>
      <w:r>
        <w:rPr>
          <w:b/>
          <w:szCs w:val="22"/>
        </w:rPr>
        <w:t>30 kg alebo viac</w:t>
      </w:r>
      <w:r>
        <w:rPr>
          <w:szCs w:val="22"/>
        </w:rPr>
        <w:t>: dávka je 162 mg (obsah 1 naplneného pera), raz za týždeň</w:t>
      </w:r>
    </w:p>
    <w:p w14:paraId="50431510" w14:textId="77777777" w:rsidR="009700E5" w:rsidRDefault="009700E5">
      <w:pPr>
        <w:keepNext/>
        <w:keepLines/>
        <w:ind w:left="357" w:hanging="425"/>
        <w:rPr>
          <w:szCs w:val="22"/>
        </w:rPr>
        <w:pPrChange w:id="5095" w:author="Author" w:date="2025-07-20T22:00:00Z">
          <w:pPr>
            <w:keepNext/>
            <w:keepLines/>
            <w:ind w:left="357" w:hanging="357"/>
          </w:pPr>
        </w:pPrChange>
      </w:pPr>
    </w:p>
    <w:p w14:paraId="388BEE24" w14:textId="77777777" w:rsidR="009700E5" w:rsidRDefault="002C033C">
      <w:pPr>
        <w:autoSpaceDE w:val="0"/>
        <w:autoSpaceDN w:val="0"/>
        <w:adjustRightInd w:val="0"/>
      </w:pPr>
      <w:r>
        <w:t>Naplnené pero sa nemá používať na liečbu detí mladších ako 12 rokov.</w:t>
      </w:r>
    </w:p>
    <w:p w14:paraId="6B3BA10F" w14:textId="77777777" w:rsidR="009700E5" w:rsidRDefault="009700E5">
      <w:pPr>
        <w:rPr>
          <w:szCs w:val="22"/>
        </w:rPr>
      </w:pPr>
    </w:p>
    <w:p w14:paraId="699EAF50" w14:textId="77777777" w:rsidR="009700E5" w:rsidRDefault="002C033C">
      <w:pPr>
        <w:keepNext/>
        <w:keepLines/>
        <w:rPr>
          <w:b/>
          <w:szCs w:val="22"/>
        </w:rPr>
      </w:pPr>
      <w:r>
        <w:rPr>
          <w:b/>
          <w:szCs w:val="22"/>
        </w:rPr>
        <w:t>Dospievajúci s pJIA (vo veku 12 rokov a starší)</w:t>
      </w:r>
    </w:p>
    <w:p w14:paraId="07B87B70" w14:textId="77777777" w:rsidR="009700E5" w:rsidRDefault="002C033C">
      <w:pPr>
        <w:rPr>
          <w:b/>
          <w:szCs w:val="22"/>
        </w:rPr>
      </w:pPr>
      <w:r>
        <w:rPr>
          <w:b/>
          <w:szCs w:val="22"/>
        </w:rPr>
        <w:t>Zvyčajná dávka RoActemry závisí od telesnej hmotnosti pacienta.</w:t>
      </w:r>
    </w:p>
    <w:p w14:paraId="4B643654" w14:textId="77777777" w:rsidR="009700E5" w:rsidRDefault="002C033C">
      <w:pPr>
        <w:ind w:left="567" w:hanging="567"/>
        <w:rPr>
          <w:bCs/>
          <w:szCs w:val="22"/>
        </w:rPr>
      </w:pPr>
      <w:r>
        <w:rPr>
          <w:szCs w:val="22"/>
        </w:rPr>
        <w:t>•</w:t>
      </w:r>
      <w:r>
        <w:rPr>
          <w:szCs w:val="22"/>
        </w:rPr>
        <w:tab/>
        <w:t xml:space="preserve">Ak pacient váži </w:t>
      </w:r>
      <w:r>
        <w:rPr>
          <w:b/>
          <w:szCs w:val="22"/>
        </w:rPr>
        <w:t>menej ako 30 kg</w:t>
      </w:r>
      <w:r>
        <w:rPr>
          <w:szCs w:val="22"/>
        </w:rPr>
        <w:t xml:space="preserve">: dávka je 162 mg (obsah 1 naplneného pera), </w:t>
      </w:r>
      <w:r>
        <w:rPr>
          <w:b/>
          <w:szCs w:val="22"/>
        </w:rPr>
        <w:t>raz za 3 týždne</w:t>
      </w:r>
    </w:p>
    <w:p w14:paraId="5E8508A9" w14:textId="77777777" w:rsidR="009700E5" w:rsidRDefault="002C033C">
      <w:pPr>
        <w:ind w:left="567" w:hanging="567"/>
        <w:rPr>
          <w:b/>
          <w:bCs/>
          <w:szCs w:val="22"/>
        </w:rPr>
      </w:pPr>
      <w:r>
        <w:rPr>
          <w:szCs w:val="22"/>
        </w:rPr>
        <w:t>•</w:t>
      </w:r>
      <w:r>
        <w:rPr>
          <w:szCs w:val="22"/>
        </w:rPr>
        <w:tab/>
        <w:t xml:space="preserve">Ak pacient váži </w:t>
      </w:r>
      <w:r>
        <w:rPr>
          <w:b/>
          <w:szCs w:val="22"/>
        </w:rPr>
        <w:t>30 kg alebo viac</w:t>
      </w:r>
      <w:r>
        <w:rPr>
          <w:szCs w:val="22"/>
        </w:rPr>
        <w:t xml:space="preserve">: dávka je 162 mg (obsah 1 naplneného pera), </w:t>
      </w:r>
      <w:r>
        <w:rPr>
          <w:b/>
          <w:szCs w:val="22"/>
        </w:rPr>
        <w:t>raz za 2 týždne</w:t>
      </w:r>
      <w:r>
        <w:rPr>
          <w:b/>
          <w:bCs/>
          <w:szCs w:val="22"/>
        </w:rPr>
        <w:t>.</w:t>
      </w:r>
    </w:p>
    <w:p w14:paraId="30AA148F" w14:textId="77777777" w:rsidR="009700E5" w:rsidRDefault="009700E5">
      <w:pPr>
        <w:ind w:left="360" w:hanging="425"/>
        <w:rPr>
          <w:bCs/>
          <w:szCs w:val="22"/>
        </w:rPr>
        <w:pPrChange w:id="5096" w:author="Author" w:date="2025-07-20T22:00:00Z">
          <w:pPr>
            <w:ind w:left="360" w:hanging="360"/>
          </w:pPr>
        </w:pPrChange>
      </w:pPr>
    </w:p>
    <w:p w14:paraId="07E391A3" w14:textId="77777777" w:rsidR="009700E5" w:rsidRDefault="002C033C">
      <w:pPr>
        <w:autoSpaceDE w:val="0"/>
        <w:autoSpaceDN w:val="0"/>
        <w:adjustRightInd w:val="0"/>
      </w:pPr>
      <w:r>
        <w:t>Naplnené pero sa nemá používať na liečbu detí mladších ako 12 rokov.</w:t>
      </w:r>
    </w:p>
    <w:p w14:paraId="4056CBF8" w14:textId="77777777" w:rsidR="009700E5" w:rsidRDefault="009700E5">
      <w:pPr>
        <w:rPr>
          <w:szCs w:val="22"/>
        </w:rPr>
      </w:pPr>
    </w:p>
    <w:p w14:paraId="5CDBB3F2" w14:textId="77777777" w:rsidR="009700E5" w:rsidRDefault="002C033C">
      <w:r>
        <w:rPr>
          <w:szCs w:val="22"/>
        </w:rPr>
        <w:t>RoActemra sa podáva injekciou pod kožu (</w:t>
      </w:r>
      <w:r>
        <w:rPr>
          <w:i/>
          <w:szCs w:val="22"/>
        </w:rPr>
        <w:t>subkutánne</w:t>
      </w:r>
      <w:r>
        <w:rPr>
          <w:szCs w:val="22"/>
        </w:rPr>
        <w:t xml:space="preserve">). Na začiatku liečby vám môže RoActemru </w:t>
      </w:r>
      <w:r>
        <w:t>injekčne podať váš lekár alebo zdravotná sestra. Lekár sa môže rozhodnúť, že si RoActemru môžete podať injekčne sám. V takomto prípade budete poučený, ako si máte injekčne podávať RoActemru. Rodičia a opatrovatelia budú poučení, ako majú injekčne podávať RoActemru pacientom, ktorí si ju sami nedokážu vpichnúť.</w:t>
      </w:r>
    </w:p>
    <w:p w14:paraId="7393365C" w14:textId="77777777" w:rsidR="009700E5" w:rsidRDefault="009700E5"/>
    <w:p w14:paraId="71995364" w14:textId="77777777" w:rsidR="009700E5" w:rsidRDefault="002C033C">
      <w:pPr>
        <w:rPr>
          <w:i/>
        </w:rPr>
      </w:pPr>
      <w:r>
        <w:t>Ak máte akékoľvek otázky o tom, ako si máte podávať injekciu alebo ako podať injekciu dieťaťu o ktoré sa staráte a ktoré je pacientom, obráťte sa na svojho lekára. Na konci tejto písomnej informácie nájdete podrobné „Pokyny na podávanie“.</w:t>
      </w:r>
    </w:p>
    <w:p w14:paraId="222119CB" w14:textId="77777777" w:rsidR="009700E5" w:rsidRDefault="009700E5"/>
    <w:p w14:paraId="6AE73AF7" w14:textId="77777777" w:rsidR="009700E5" w:rsidRDefault="002C033C">
      <w:pPr>
        <w:keepNext/>
        <w:keepLines/>
        <w:rPr>
          <w:b/>
          <w:szCs w:val="22"/>
        </w:rPr>
      </w:pPr>
      <w:r>
        <w:rPr>
          <w:b/>
          <w:szCs w:val="22"/>
        </w:rPr>
        <w:t>Ak použijete viac RoActemry, ako máte</w:t>
      </w:r>
    </w:p>
    <w:p w14:paraId="43CDF4BD" w14:textId="77777777" w:rsidR="009700E5" w:rsidRDefault="002C033C">
      <w:pPr>
        <w:keepNext/>
        <w:keepLines/>
      </w:pPr>
      <w:r>
        <w:t>Keďže RoActemra sa podáva v jednom naplnenom pere, nie je pravdepodobné, že dostanete príliš veľké množstvo. Ak však budete mať akékoľvek obavy, poraďte sa so svojím lekárom, lekárnikom alebo zdravotnou sestrou.</w:t>
      </w:r>
    </w:p>
    <w:p w14:paraId="4F32DCC9" w14:textId="77777777" w:rsidR="009700E5" w:rsidRDefault="009700E5"/>
    <w:p w14:paraId="6D4CFAF6" w14:textId="77777777" w:rsidR="009700E5" w:rsidRDefault="002C033C">
      <w:pPr>
        <w:keepNext/>
        <w:keepLines/>
        <w:rPr>
          <w:b/>
          <w:szCs w:val="22"/>
        </w:rPr>
      </w:pPr>
      <w:r>
        <w:rPr>
          <w:b/>
          <w:szCs w:val="22"/>
        </w:rPr>
        <w:lastRenderedPageBreak/>
        <w:t xml:space="preserve">Ak dospelý s RA alebo OBA alebo dospievajúci so sJIA vynechá dávku alebo na ňu zabudne </w:t>
      </w:r>
    </w:p>
    <w:p w14:paraId="3D449771" w14:textId="77777777" w:rsidR="009700E5" w:rsidRDefault="002C033C">
      <w:pPr>
        <w:keepNext/>
        <w:keepLines/>
      </w:pPr>
      <w:r>
        <w:t>Je veľmi dôležité, aby ste RoActemru používali presne tak, ako vám nariadil váš lekár. Majte prehľad o vašej ďalšej dávke.</w:t>
      </w:r>
    </w:p>
    <w:p w14:paraId="0B72AF6F" w14:textId="77777777" w:rsidR="009700E5" w:rsidRDefault="002C033C">
      <w:pPr>
        <w:pStyle w:val="ListParagraph"/>
        <w:keepNext/>
        <w:keepLines/>
        <w:numPr>
          <w:ilvl w:val="1"/>
          <w:numId w:val="305"/>
        </w:numPr>
        <w:ind w:left="567" w:hanging="567"/>
        <w:pPrChange w:id="5097" w:author="Author" w:date="2026-02-18T14:56:00Z">
          <w:pPr>
            <w:keepNext/>
            <w:keepLines/>
            <w:ind w:left="567" w:hanging="567"/>
          </w:pPr>
        </w:pPrChange>
      </w:pPr>
      <w:del w:id="5098" w:author="Author" w:date="2026-02-18T14:56:00Z">
        <w:r>
          <w:rPr>
            <w:szCs w:val="22"/>
          </w:rPr>
          <w:delText>•</w:delText>
        </w:r>
        <w:r>
          <w:rPr>
            <w:szCs w:val="22"/>
          </w:rPr>
          <w:tab/>
        </w:r>
      </w:del>
      <w:r>
        <w:t>Ak dávku, ktorú si podávate raz za týždeň, vynecháte do 7 dní, vašu dávku si podajte v deň, v ktorý je plánovaná ďalšia dávka.</w:t>
      </w:r>
    </w:p>
    <w:p w14:paraId="49C0DF95" w14:textId="77777777" w:rsidR="009700E5" w:rsidRDefault="002C033C">
      <w:pPr>
        <w:pStyle w:val="ListParagraph"/>
        <w:keepNext/>
        <w:keepLines/>
        <w:numPr>
          <w:ilvl w:val="1"/>
          <w:numId w:val="305"/>
        </w:numPr>
        <w:ind w:left="567" w:hanging="567"/>
        <w:pPrChange w:id="5099" w:author="Author" w:date="2026-02-18T14:56:00Z">
          <w:pPr>
            <w:keepNext/>
            <w:keepLines/>
            <w:ind w:left="567" w:hanging="567"/>
          </w:pPr>
        </w:pPrChange>
      </w:pPr>
      <w:del w:id="5100" w:author="Author" w:date="2026-02-18T14:56:00Z">
        <w:r>
          <w:rPr>
            <w:szCs w:val="22"/>
          </w:rPr>
          <w:delText>•</w:delText>
        </w:r>
        <w:r>
          <w:rPr>
            <w:szCs w:val="22"/>
          </w:rPr>
          <w:tab/>
        </w:r>
      </w:del>
      <w:r>
        <w:t>Ak dávku, ktorú si podávate každý druhý týždeň, vynecháte do 7 dní, dávku si injekčne podajte ihneď a vašu ďalšiu dávku si podajte v deň, v ktorý je plánovaná ďalšia dávka.</w:t>
      </w:r>
    </w:p>
    <w:p w14:paraId="074E420E" w14:textId="77777777" w:rsidR="009700E5" w:rsidRDefault="002C033C">
      <w:pPr>
        <w:pStyle w:val="ListParagraph"/>
        <w:keepNext/>
        <w:keepLines/>
        <w:numPr>
          <w:ilvl w:val="1"/>
          <w:numId w:val="305"/>
        </w:numPr>
        <w:ind w:left="567" w:hanging="567"/>
        <w:pPrChange w:id="5101" w:author="Author" w:date="2026-02-18T14:56:00Z">
          <w:pPr>
            <w:keepNext/>
            <w:keepLines/>
            <w:ind w:left="567" w:hanging="567"/>
          </w:pPr>
        </w:pPrChange>
      </w:pPr>
      <w:del w:id="5102" w:author="Author" w:date="2026-02-18T14:56:00Z">
        <w:r>
          <w:rPr>
            <w:szCs w:val="22"/>
          </w:rPr>
          <w:delText>•</w:delText>
        </w:r>
        <w:r>
          <w:rPr>
            <w:szCs w:val="22"/>
          </w:rPr>
          <w:tab/>
        </w:r>
      </w:del>
      <w:r>
        <w:t>Ak dávku, ktorú si podávate raz za týždeň alebo raz za dva týždne, vynecháte viac ako 7 dní alebo ak si nie ste istý, kedy si máte injekčne podať RoActemru, zatelefonujte svojmu lekárovi alebo lekárnikovi.</w:t>
      </w:r>
    </w:p>
    <w:p w14:paraId="6048CE47" w14:textId="77777777" w:rsidR="009700E5" w:rsidRDefault="009700E5"/>
    <w:p w14:paraId="641E66A9" w14:textId="77777777" w:rsidR="009700E5" w:rsidRDefault="002C033C">
      <w:pPr>
        <w:keepNext/>
        <w:keepLines/>
        <w:rPr>
          <w:b/>
          <w:szCs w:val="22"/>
        </w:rPr>
      </w:pPr>
      <w:r>
        <w:rPr>
          <w:b/>
          <w:szCs w:val="22"/>
        </w:rPr>
        <w:t>Ak dospievajúci s pJIA vynechá dávku alebo na ňu zabudne</w:t>
      </w:r>
    </w:p>
    <w:p w14:paraId="7D555EAC" w14:textId="77777777" w:rsidR="009700E5" w:rsidRDefault="002C033C">
      <w:pPr>
        <w:keepNext/>
        <w:keepLines/>
        <w:rPr>
          <w:szCs w:val="22"/>
        </w:rPr>
      </w:pPr>
      <w:r>
        <w:t>Je veľmi dôležité používať RoActemru presne tak, ako to nariadil lekár. Pamätajte si deň podania ďalšej dávky</w:t>
      </w:r>
      <w:r>
        <w:rPr>
          <w:szCs w:val="22"/>
        </w:rPr>
        <w:t>.</w:t>
      </w:r>
    </w:p>
    <w:p w14:paraId="4F1DE14C" w14:textId="77777777" w:rsidR="009700E5" w:rsidRDefault="002C033C">
      <w:pPr>
        <w:pStyle w:val="ListParagraph"/>
        <w:keepNext/>
        <w:keepLines/>
        <w:numPr>
          <w:ilvl w:val="1"/>
          <w:numId w:val="307"/>
        </w:numPr>
        <w:ind w:left="567" w:hanging="567"/>
        <w:rPr>
          <w:szCs w:val="22"/>
        </w:rPr>
        <w:pPrChange w:id="5103" w:author="Author" w:date="2026-02-18T14:56:00Z">
          <w:pPr>
            <w:keepNext/>
            <w:keepLines/>
            <w:ind w:left="567" w:hanging="567"/>
          </w:pPr>
        </w:pPrChange>
      </w:pPr>
      <w:del w:id="5104" w:author="Author" w:date="2026-02-18T14:56:00Z">
        <w:r>
          <w:rPr>
            <w:szCs w:val="22"/>
          </w:rPr>
          <w:delText>•</w:delText>
        </w:r>
        <w:r>
          <w:rPr>
            <w:szCs w:val="22"/>
          </w:rPr>
          <w:tab/>
        </w:r>
      </w:del>
      <w:r>
        <w:rPr>
          <w:szCs w:val="22"/>
        </w:rPr>
        <w:t>Ak mala byť dávka podaná pred 7 a menej dňami, dávku injekčne podajte hneď, ako si spomeniete, a ďalšiu dávku podajte v pôvodne plánovanom čase.</w:t>
      </w:r>
    </w:p>
    <w:p w14:paraId="48590157" w14:textId="77777777" w:rsidR="009700E5" w:rsidRDefault="002C033C">
      <w:pPr>
        <w:pStyle w:val="ListParagraph"/>
        <w:numPr>
          <w:ilvl w:val="1"/>
          <w:numId w:val="307"/>
        </w:numPr>
        <w:ind w:left="567" w:hanging="567"/>
        <w:rPr>
          <w:szCs w:val="22"/>
        </w:rPr>
        <w:pPrChange w:id="5105" w:author="Author" w:date="2026-02-18T14:56:00Z">
          <w:pPr>
            <w:ind w:left="567" w:hanging="567"/>
          </w:pPr>
        </w:pPrChange>
      </w:pPr>
      <w:del w:id="5106" w:author="Author" w:date="2026-02-18T14:56:00Z">
        <w:r>
          <w:rPr>
            <w:szCs w:val="22"/>
          </w:rPr>
          <w:delText>•</w:delText>
        </w:r>
        <w:r>
          <w:rPr>
            <w:szCs w:val="22"/>
          </w:rPr>
          <w:tab/>
        </w:r>
      </w:del>
      <w:r>
        <w:rPr>
          <w:szCs w:val="22"/>
        </w:rPr>
        <w:t>Ak mala byť dávka podaná pred viac ako 7 dňami, alebo si nie ste istý, kedy máte podať injekciu RoActemry, zatelefonujte lekárovi alebo lekárnikovi.</w:t>
      </w:r>
    </w:p>
    <w:p w14:paraId="1995538E" w14:textId="77777777" w:rsidR="009700E5" w:rsidRDefault="009700E5"/>
    <w:p w14:paraId="10B3261C" w14:textId="77777777" w:rsidR="009700E5" w:rsidRDefault="002C033C">
      <w:pPr>
        <w:rPr>
          <w:b/>
          <w:szCs w:val="22"/>
        </w:rPr>
      </w:pPr>
      <w:r>
        <w:rPr>
          <w:b/>
          <w:szCs w:val="22"/>
        </w:rPr>
        <w:t>Ak prestanete používať RoActemru</w:t>
      </w:r>
    </w:p>
    <w:p w14:paraId="43C9CA80" w14:textId="77777777" w:rsidR="009700E5" w:rsidRDefault="002C033C">
      <w:r>
        <w:t>Neprestaňte používať RoActemru bez toho, že by ste sa o tom najskôr poradili so svojím lekárom.</w:t>
      </w:r>
    </w:p>
    <w:p w14:paraId="2F6A7189" w14:textId="77777777" w:rsidR="009700E5" w:rsidRDefault="009700E5"/>
    <w:p w14:paraId="219250DD" w14:textId="77777777" w:rsidR="009700E5" w:rsidRDefault="002C033C">
      <w:r>
        <w:t xml:space="preserve">Ak máte akékoľvek ďalšie otázky týkajúce sa použitia tohto lieku, </w:t>
      </w:r>
      <w:r>
        <w:rPr>
          <w:bCs/>
        </w:rPr>
        <w:t>opýtajte sa svojho lekára, lekárnika alebo zdravotnej sestry</w:t>
      </w:r>
      <w:r>
        <w:t>.</w:t>
      </w:r>
    </w:p>
    <w:p w14:paraId="0534FBB1" w14:textId="77777777" w:rsidR="009700E5" w:rsidRDefault="009700E5"/>
    <w:p w14:paraId="5CA85AC3" w14:textId="77777777" w:rsidR="009700E5" w:rsidRDefault="009700E5"/>
    <w:p w14:paraId="41AEE426" w14:textId="77777777" w:rsidR="009700E5" w:rsidRDefault="002C033C">
      <w:pPr>
        <w:rPr>
          <w:szCs w:val="22"/>
        </w:rPr>
      </w:pPr>
      <w:r>
        <w:rPr>
          <w:b/>
          <w:szCs w:val="22"/>
        </w:rPr>
        <w:t>4.</w:t>
      </w:r>
      <w:r>
        <w:rPr>
          <w:b/>
          <w:szCs w:val="22"/>
        </w:rPr>
        <w:tab/>
        <w:t>Možné vedľajšie účinky</w:t>
      </w:r>
    </w:p>
    <w:p w14:paraId="6D736290" w14:textId="77777777" w:rsidR="009700E5" w:rsidRDefault="009700E5"/>
    <w:p w14:paraId="7E992991" w14:textId="77777777" w:rsidR="009700E5" w:rsidRDefault="002C033C">
      <w:r>
        <w:t>Tak ako všetky lieky, aj tento liek môže spôsobovať vedľajšie účinky, hoci sa neprejavia u každého.</w:t>
      </w:r>
    </w:p>
    <w:p w14:paraId="54DC983C" w14:textId="77777777" w:rsidR="009700E5" w:rsidRDefault="002C033C">
      <w:r>
        <w:t>Vedľajšie účinky sa môžu vyskytnúť po 3 mesiacoch alebo ešte neskôr po podaní vašej poslednej dávky RoActemry.</w:t>
      </w:r>
    </w:p>
    <w:p w14:paraId="2DC919AD" w14:textId="77777777" w:rsidR="009700E5" w:rsidRDefault="009700E5"/>
    <w:p w14:paraId="16EAE08F" w14:textId="77777777" w:rsidR="009700E5" w:rsidRDefault="002C033C">
      <w:pPr>
        <w:rPr>
          <w:b/>
          <w:szCs w:val="22"/>
        </w:rPr>
      </w:pPr>
      <w:r>
        <w:rPr>
          <w:b/>
          <w:szCs w:val="22"/>
        </w:rPr>
        <w:t>Možné závažné vedľajšie účinky</w:t>
      </w:r>
    </w:p>
    <w:p w14:paraId="4BB59834" w14:textId="77777777" w:rsidR="009700E5" w:rsidRDefault="002C033C">
      <w:pPr>
        <w:rPr>
          <w:szCs w:val="22"/>
        </w:rPr>
      </w:pPr>
      <w:r>
        <w:rPr>
          <w:b/>
          <w:bCs/>
          <w:szCs w:val="22"/>
        </w:rPr>
        <w:t>Ihneď</w:t>
      </w:r>
      <w:r>
        <w:rPr>
          <w:szCs w:val="22"/>
        </w:rPr>
        <w:t xml:space="preserve"> informujte svojho lekára, ak sa u vás vyskytne ktorýkoľvek z nasledujúcich vedľajších účinkov:</w:t>
      </w:r>
    </w:p>
    <w:p w14:paraId="109CDCF5" w14:textId="77777777" w:rsidR="009700E5" w:rsidRDefault="002C033C">
      <w:pPr>
        <w:rPr>
          <w:i/>
        </w:rPr>
      </w:pPr>
      <w:r>
        <w:rPr>
          <w:i/>
        </w:rPr>
        <w:t>Tieto sú časté: môžu postihovať menej ako 1 z 10 osôb</w:t>
      </w:r>
    </w:p>
    <w:p w14:paraId="6CD56337" w14:textId="77777777" w:rsidR="009700E5" w:rsidRDefault="009700E5"/>
    <w:p w14:paraId="514C285F" w14:textId="77777777" w:rsidR="009700E5" w:rsidRDefault="002C033C">
      <w:r>
        <w:rPr>
          <w:b/>
        </w:rPr>
        <w:t xml:space="preserve">Alergické reakcie </w:t>
      </w:r>
      <w:r>
        <w:t>počas podávania injekcie alebo po jej podaní:</w:t>
      </w:r>
    </w:p>
    <w:p w14:paraId="71B593DC" w14:textId="77777777" w:rsidR="009700E5" w:rsidRDefault="002C033C">
      <w:pPr>
        <w:pStyle w:val="ListParagraph"/>
        <w:numPr>
          <w:ilvl w:val="1"/>
          <w:numId w:val="309"/>
        </w:numPr>
        <w:ind w:left="567" w:hanging="567"/>
        <w:pPrChange w:id="5107" w:author="Author" w:date="2026-02-18T14:57:00Z">
          <w:pPr>
            <w:ind w:left="567" w:hanging="567"/>
          </w:pPr>
        </w:pPrChange>
      </w:pPr>
      <w:del w:id="5108" w:author="Author" w:date="2026-02-18T14:57:00Z">
        <w:r>
          <w:delText>•</w:delText>
        </w:r>
        <w:r>
          <w:tab/>
        </w:r>
      </w:del>
      <w:r>
        <w:t>ťažkosti s dýchaním, pocit zovretia v hrudníku alebo pocit točenia hlavy</w:t>
      </w:r>
    </w:p>
    <w:p w14:paraId="5DF64679" w14:textId="77777777" w:rsidR="009700E5" w:rsidRDefault="002C033C">
      <w:pPr>
        <w:pStyle w:val="ListParagraph"/>
        <w:numPr>
          <w:ilvl w:val="1"/>
          <w:numId w:val="309"/>
        </w:numPr>
        <w:ind w:left="567" w:hanging="567"/>
        <w:pPrChange w:id="5109" w:author="Author" w:date="2026-02-18T14:57:00Z">
          <w:pPr>
            <w:ind w:left="567" w:hanging="567"/>
          </w:pPr>
        </w:pPrChange>
      </w:pPr>
      <w:del w:id="5110" w:author="Author" w:date="2026-02-18T14:57:00Z">
        <w:r>
          <w:delText>•</w:delText>
        </w:r>
        <w:r>
          <w:tab/>
        </w:r>
      </w:del>
      <w:r>
        <w:t>vyrážka, svrbenie, žihľavka, opuch pier, jazyka alebo tváre</w:t>
      </w:r>
    </w:p>
    <w:p w14:paraId="4BFA6AFF" w14:textId="77777777" w:rsidR="009700E5" w:rsidRDefault="009700E5"/>
    <w:p w14:paraId="60E786B6" w14:textId="77777777" w:rsidR="009700E5" w:rsidRDefault="002C033C">
      <w:pPr>
        <w:ind w:left="567" w:hanging="567"/>
        <w:rPr>
          <w:b/>
          <w:bCs/>
        </w:rPr>
      </w:pPr>
      <w:r>
        <w:rPr>
          <w:b/>
          <w:bCs/>
        </w:rPr>
        <w:t>Prejavy závažnej infekcie:</w:t>
      </w:r>
    </w:p>
    <w:p w14:paraId="2D27D84C" w14:textId="77777777" w:rsidR="009700E5" w:rsidRDefault="002C033C">
      <w:pPr>
        <w:pStyle w:val="ListParagraph"/>
        <w:numPr>
          <w:ilvl w:val="1"/>
          <w:numId w:val="311"/>
        </w:numPr>
        <w:ind w:left="567" w:hanging="567"/>
        <w:pPrChange w:id="5111" w:author="Author" w:date="2026-02-18T14:57:00Z">
          <w:pPr>
            <w:ind w:left="567" w:hanging="567"/>
          </w:pPr>
        </w:pPrChange>
      </w:pPr>
      <w:del w:id="5112" w:author="Author" w:date="2026-02-18T14:57:00Z">
        <w:r>
          <w:delText>•</w:delText>
        </w:r>
        <w:r>
          <w:tab/>
        </w:r>
      </w:del>
      <w:r>
        <w:t>horúčka a triaška</w:t>
      </w:r>
    </w:p>
    <w:p w14:paraId="6CA1AFD4" w14:textId="77777777" w:rsidR="009700E5" w:rsidRDefault="002C033C">
      <w:pPr>
        <w:pStyle w:val="ListParagraph"/>
        <w:numPr>
          <w:ilvl w:val="1"/>
          <w:numId w:val="311"/>
        </w:numPr>
        <w:ind w:left="567" w:hanging="567"/>
        <w:pPrChange w:id="5113" w:author="Author" w:date="2026-02-18T14:57:00Z">
          <w:pPr>
            <w:ind w:left="567" w:hanging="567"/>
          </w:pPr>
        </w:pPrChange>
      </w:pPr>
      <w:del w:id="5114" w:author="Author" w:date="2026-02-18T14:57:00Z">
        <w:r>
          <w:delText>•</w:delText>
        </w:r>
        <w:r>
          <w:tab/>
        </w:r>
      </w:del>
      <w:r>
        <w:t>pľuzgieriky v ústach alebo na koži</w:t>
      </w:r>
    </w:p>
    <w:p w14:paraId="11E33827" w14:textId="77777777" w:rsidR="009700E5" w:rsidRDefault="002C033C">
      <w:pPr>
        <w:pStyle w:val="ListParagraph"/>
        <w:numPr>
          <w:ilvl w:val="1"/>
          <w:numId w:val="311"/>
        </w:numPr>
        <w:ind w:left="567" w:hanging="567"/>
        <w:pPrChange w:id="5115" w:author="Author" w:date="2026-02-18T14:57:00Z">
          <w:pPr>
            <w:ind w:left="567" w:hanging="567"/>
          </w:pPr>
        </w:pPrChange>
      </w:pPr>
      <w:del w:id="5116" w:author="Author" w:date="2026-02-18T14:57:00Z">
        <w:r>
          <w:delText>•</w:delText>
        </w:r>
        <w:r>
          <w:tab/>
        </w:r>
      </w:del>
      <w:r>
        <w:t>bolesť žalúdka</w:t>
      </w:r>
    </w:p>
    <w:p w14:paraId="54EDE571" w14:textId="77777777" w:rsidR="009700E5" w:rsidRDefault="009700E5">
      <w:pPr>
        <w:ind w:left="567" w:hanging="567"/>
        <w:rPr>
          <w:b/>
          <w:bCs/>
          <w:szCs w:val="22"/>
        </w:rPr>
      </w:pPr>
    </w:p>
    <w:p w14:paraId="4587FF82" w14:textId="77777777" w:rsidR="009700E5" w:rsidRDefault="002C033C">
      <w:pPr>
        <w:ind w:left="567" w:hanging="567"/>
        <w:rPr>
          <w:b/>
          <w:bCs/>
          <w:szCs w:val="22"/>
        </w:rPr>
      </w:pPr>
      <w:r>
        <w:rPr>
          <w:b/>
          <w:bCs/>
          <w:szCs w:val="22"/>
        </w:rPr>
        <w:t>Prejavy a príznaky pečeňovej toxicity:</w:t>
      </w:r>
    </w:p>
    <w:p w14:paraId="0D6207CE" w14:textId="77777777" w:rsidR="009700E5" w:rsidRDefault="002C033C">
      <w:pPr>
        <w:ind w:left="567" w:hanging="567"/>
        <w:rPr>
          <w:b/>
          <w:bCs/>
          <w:szCs w:val="22"/>
        </w:rPr>
      </w:pPr>
      <w:r>
        <w:rPr>
          <w:i/>
        </w:rPr>
        <w:t>Tieto sú zriedkavé: môžu postihovať menej ako 1 z 1 000 osôb</w:t>
      </w:r>
    </w:p>
    <w:p w14:paraId="04D21AB1" w14:textId="77777777" w:rsidR="009700E5" w:rsidRDefault="002C033C">
      <w:pPr>
        <w:pStyle w:val="ListParagraph"/>
        <w:numPr>
          <w:ilvl w:val="1"/>
          <w:numId w:val="313"/>
        </w:numPr>
        <w:ind w:left="567" w:hanging="567"/>
        <w:pPrChange w:id="5117" w:author="Author" w:date="2026-02-18T14:57:00Z">
          <w:pPr>
            <w:ind w:left="567" w:hanging="567"/>
          </w:pPr>
        </w:pPrChange>
      </w:pPr>
      <w:del w:id="5118" w:author="Author" w:date="2026-02-18T14:57:00Z">
        <w:r>
          <w:delText>•</w:delText>
        </w:r>
        <w:r>
          <w:tab/>
        </w:r>
      </w:del>
      <w:r>
        <w:t>únava</w:t>
      </w:r>
    </w:p>
    <w:p w14:paraId="0B56BC44" w14:textId="77777777" w:rsidR="009700E5" w:rsidRDefault="002C033C">
      <w:pPr>
        <w:pStyle w:val="ListParagraph"/>
        <w:numPr>
          <w:ilvl w:val="1"/>
          <w:numId w:val="313"/>
        </w:numPr>
        <w:ind w:left="567" w:hanging="567"/>
        <w:pPrChange w:id="5119" w:author="Author" w:date="2026-02-18T14:57:00Z">
          <w:pPr>
            <w:ind w:left="567" w:hanging="567"/>
          </w:pPr>
        </w:pPrChange>
      </w:pPr>
      <w:del w:id="5120" w:author="Author" w:date="2026-02-18T14:57:00Z">
        <w:r>
          <w:delText>•</w:delText>
        </w:r>
        <w:r>
          <w:tab/>
        </w:r>
      </w:del>
      <w:r>
        <w:t>bolesť brucha</w:t>
      </w:r>
    </w:p>
    <w:p w14:paraId="19812684" w14:textId="77777777" w:rsidR="009700E5" w:rsidRDefault="002C033C">
      <w:pPr>
        <w:pStyle w:val="ListParagraph"/>
        <w:numPr>
          <w:ilvl w:val="1"/>
          <w:numId w:val="313"/>
        </w:numPr>
        <w:ind w:left="567" w:hanging="567"/>
        <w:pPrChange w:id="5121" w:author="Author" w:date="2026-02-18T14:57:00Z">
          <w:pPr>
            <w:ind w:left="567" w:hanging="567"/>
          </w:pPr>
        </w:pPrChange>
      </w:pPr>
      <w:del w:id="5122" w:author="Author" w:date="2026-02-18T14:57:00Z">
        <w:r>
          <w:delText>•</w:delText>
        </w:r>
        <w:r>
          <w:tab/>
        </w:r>
      </w:del>
      <w:r>
        <w:t>žltačka (žlté sfarbenie kože alebo očí)</w:t>
      </w:r>
    </w:p>
    <w:p w14:paraId="0AAF5712" w14:textId="77777777" w:rsidR="009700E5" w:rsidRDefault="009700E5"/>
    <w:p w14:paraId="03ABFB19" w14:textId="77777777" w:rsidR="009700E5" w:rsidRDefault="002C033C" w:rsidP="008A5612">
      <w:pPr>
        <w:keepNext/>
        <w:keepLines/>
        <w:rPr>
          <w:b/>
          <w:bCs/>
        </w:rPr>
        <w:pPrChange w:id="5123" w:author="TCS" w:date="2026-03-20T16:37:00Z">
          <w:pPr/>
        </w:pPrChange>
      </w:pPr>
      <w:r>
        <w:rPr>
          <w:b/>
          <w:bCs/>
        </w:rPr>
        <w:t>Zoznam ďalších možných vedľajších účinkov</w:t>
      </w:r>
    </w:p>
    <w:p w14:paraId="77CCB257" w14:textId="77777777" w:rsidR="009700E5" w:rsidRDefault="002C033C" w:rsidP="008A5612">
      <w:pPr>
        <w:keepNext/>
        <w:keepLines/>
        <w:pPrChange w:id="5124" w:author="TCS" w:date="2026-03-20T16:37:00Z">
          <w:pPr/>
        </w:pPrChange>
      </w:pPr>
      <w:r>
        <w:t xml:space="preserve">Ak spozorujete ktorýkoľvek z uvedených príznakov, </w:t>
      </w:r>
      <w:r>
        <w:rPr>
          <w:b/>
          <w:bCs/>
        </w:rPr>
        <w:t>čo najskôr</w:t>
      </w:r>
      <w:r>
        <w:t xml:space="preserve"> to oznámte svojmu lekárovi:</w:t>
      </w:r>
    </w:p>
    <w:p w14:paraId="02E29FA8" w14:textId="77777777" w:rsidR="009700E5" w:rsidRDefault="009700E5" w:rsidP="008A5612">
      <w:pPr>
        <w:keepNext/>
        <w:keepLines/>
        <w:rPr>
          <w:bCs/>
        </w:rPr>
        <w:pPrChange w:id="5125" w:author="TCS" w:date="2026-03-20T16:37:00Z">
          <w:pPr/>
        </w:pPrChange>
      </w:pPr>
    </w:p>
    <w:p w14:paraId="4B13A0CF" w14:textId="77777777" w:rsidR="009700E5" w:rsidRDefault="002C033C">
      <w:pPr>
        <w:keepNext/>
        <w:keepLines/>
        <w:rPr>
          <w:szCs w:val="22"/>
        </w:rPr>
      </w:pPr>
      <w:r>
        <w:rPr>
          <w:b/>
          <w:szCs w:val="22"/>
        </w:rPr>
        <w:lastRenderedPageBreak/>
        <w:t>Veľmi časté vedľajšie účinky:</w:t>
      </w:r>
    </w:p>
    <w:p w14:paraId="4B0D088E" w14:textId="77777777" w:rsidR="009700E5" w:rsidRDefault="002C033C">
      <w:pPr>
        <w:keepNext/>
        <w:keepLines/>
        <w:rPr>
          <w:i/>
        </w:rPr>
      </w:pPr>
      <w:r>
        <w:rPr>
          <w:i/>
        </w:rPr>
        <w:t>Môžu postihovať viac ako 1 z 10 osôb</w:t>
      </w:r>
    </w:p>
    <w:p w14:paraId="4E0E1AE2" w14:textId="77777777" w:rsidR="009700E5" w:rsidRDefault="002C033C">
      <w:pPr>
        <w:pStyle w:val="ListParagraph"/>
        <w:numPr>
          <w:ilvl w:val="1"/>
          <w:numId w:val="315"/>
        </w:numPr>
        <w:ind w:left="567" w:hanging="567"/>
        <w:pPrChange w:id="5126" w:author="Author" w:date="2026-02-18T14:58:00Z">
          <w:pPr>
            <w:ind w:left="567" w:hanging="567"/>
          </w:pPr>
        </w:pPrChange>
      </w:pPr>
      <w:del w:id="5127" w:author="Author" w:date="2026-02-18T14:58:00Z">
        <w:r>
          <w:delText>•</w:delText>
        </w:r>
        <w:r>
          <w:tab/>
        </w:r>
      </w:del>
      <w:r>
        <w:t>infekcie horných dýchacích ciest s typickými p</w:t>
      </w:r>
      <w:bookmarkStart w:id="5128" w:name="_GoBack"/>
      <w:bookmarkEnd w:id="5128"/>
      <w:r>
        <w:t>ríznakmi ako kašeľ, upchatý nos, nádcha, bolesť v hrdle a bolesť hlavy</w:t>
      </w:r>
    </w:p>
    <w:p w14:paraId="0E2A2E24" w14:textId="77777777" w:rsidR="009700E5" w:rsidRDefault="002C033C">
      <w:pPr>
        <w:pStyle w:val="ListParagraph"/>
        <w:numPr>
          <w:ilvl w:val="1"/>
          <w:numId w:val="315"/>
        </w:numPr>
        <w:ind w:left="567" w:hanging="567"/>
        <w:rPr>
          <w:szCs w:val="22"/>
        </w:rPr>
        <w:pPrChange w:id="5129" w:author="Author" w:date="2026-02-18T14:58:00Z">
          <w:pPr>
            <w:ind w:left="567" w:hanging="567"/>
          </w:pPr>
        </w:pPrChange>
      </w:pPr>
      <w:del w:id="5130" w:author="Author" w:date="2026-02-18T14:58:00Z">
        <w:r>
          <w:delText>•</w:delText>
        </w:r>
        <w:r>
          <w:tab/>
        </w:r>
      </w:del>
      <w:r>
        <w:rPr>
          <w:szCs w:val="22"/>
        </w:rPr>
        <w:t>vysoké hladiny tukov v krvi (cholesterolu)</w:t>
      </w:r>
    </w:p>
    <w:p w14:paraId="0338CCFC" w14:textId="77777777" w:rsidR="009700E5" w:rsidRDefault="002C033C">
      <w:pPr>
        <w:pStyle w:val="ListParagraph"/>
        <w:numPr>
          <w:ilvl w:val="1"/>
          <w:numId w:val="315"/>
        </w:numPr>
        <w:ind w:left="567" w:hanging="567"/>
        <w:pPrChange w:id="5131" w:author="Author" w:date="2026-02-18T14:58:00Z">
          <w:pPr>
            <w:ind w:left="567" w:hanging="567"/>
          </w:pPr>
        </w:pPrChange>
      </w:pPr>
      <w:del w:id="5132" w:author="Author" w:date="2026-02-18T14:58:00Z">
        <w:r>
          <w:delText>•</w:delText>
        </w:r>
        <w:r>
          <w:tab/>
        </w:r>
      </w:del>
      <w:r>
        <w:t>reakcie v mieste vpichu</w:t>
      </w:r>
    </w:p>
    <w:p w14:paraId="351C91FA" w14:textId="77777777" w:rsidR="009700E5" w:rsidRDefault="009700E5"/>
    <w:p w14:paraId="2418E0AB" w14:textId="77777777" w:rsidR="009700E5" w:rsidRDefault="002C033C">
      <w:pPr>
        <w:keepNext/>
        <w:keepLines/>
        <w:rPr>
          <w:b/>
          <w:szCs w:val="22"/>
        </w:rPr>
      </w:pPr>
      <w:r>
        <w:rPr>
          <w:b/>
          <w:szCs w:val="22"/>
        </w:rPr>
        <w:t>Časté vedľajšie účinky</w:t>
      </w:r>
      <w:r>
        <w:rPr>
          <w:b/>
          <w:bCs/>
          <w:szCs w:val="22"/>
        </w:rPr>
        <w:t>:</w:t>
      </w:r>
    </w:p>
    <w:p w14:paraId="696FB71E" w14:textId="77777777" w:rsidR="009700E5" w:rsidRDefault="002C033C">
      <w:pPr>
        <w:keepNext/>
        <w:keepLines/>
        <w:rPr>
          <w:i/>
        </w:rPr>
      </w:pPr>
      <w:r>
        <w:rPr>
          <w:i/>
        </w:rPr>
        <w:t>Môžu postihovať menej ako 1 z 10 osôb</w:t>
      </w:r>
    </w:p>
    <w:p w14:paraId="7DD0E02C" w14:textId="77777777" w:rsidR="009700E5" w:rsidRDefault="002C033C">
      <w:pPr>
        <w:pStyle w:val="ListParagraph"/>
        <w:keepNext/>
        <w:keepLines/>
        <w:numPr>
          <w:ilvl w:val="1"/>
          <w:numId w:val="317"/>
        </w:numPr>
        <w:ind w:left="567" w:hanging="567"/>
        <w:pPrChange w:id="5133" w:author="Author" w:date="2026-02-18T14:58:00Z">
          <w:pPr>
            <w:keepNext/>
            <w:keepLines/>
            <w:ind w:left="567" w:hanging="567"/>
          </w:pPr>
        </w:pPrChange>
      </w:pPr>
      <w:del w:id="5134" w:author="Author" w:date="2026-02-18T14:58:00Z">
        <w:r>
          <w:delText>•</w:delText>
        </w:r>
        <w:r>
          <w:tab/>
        </w:r>
      </w:del>
      <w:r>
        <w:rPr>
          <w:bCs/>
        </w:rPr>
        <w:t xml:space="preserve">pľúcna </w:t>
      </w:r>
      <w:r>
        <w:t>infekcia (pneumónia)</w:t>
      </w:r>
    </w:p>
    <w:p w14:paraId="5134F5DD" w14:textId="77777777" w:rsidR="009700E5" w:rsidRDefault="002C033C">
      <w:pPr>
        <w:pStyle w:val="ListParagraph"/>
        <w:numPr>
          <w:ilvl w:val="1"/>
          <w:numId w:val="317"/>
        </w:numPr>
        <w:ind w:left="567" w:hanging="567"/>
        <w:pPrChange w:id="5135" w:author="Author" w:date="2026-02-18T14:58:00Z">
          <w:pPr>
            <w:ind w:left="567" w:hanging="567"/>
          </w:pPr>
        </w:pPrChange>
      </w:pPr>
      <w:del w:id="5136" w:author="Author" w:date="2026-02-18T14:58:00Z">
        <w:r>
          <w:delText>•</w:delText>
        </w:r>
        <w:r>
          <w:tab/>
        </w:r>
      </w:del>
      <w:r>
        <w:t>pásový opar (herpes zoster)</w:t>
      </w:r>
    </w:p>
    <w:p w14:paraId="77C8FF1E" w14:textId="77777777" w:rsidR="009700E5" w:rsidRDefault="002C033C">
      <w:pPr>
        <w:pStyle w:val="ListParagraph"/>
        <w:numPr>
          <w:ilvl w:val="1"/>
          <w:numId w:val="317"/>
        </w:numPr>
        <w:ind w:left="567" w:hanging="567"/>
        <w:pPrChange w:id="5137" w:author="Author" w:date="2026-02-18T14:58:00Z">
          <w:pPr>
            <w:ind w:left="567" w:hanging="567"/>
          </w:pPr>
        </w:pPrChange>
      </w:pPr>
      <w:del w:id="5138" w:author="Author" w:date="2026-02-18T14:58:00Z">
        <w:r>
          <w:delText>•</w:delText>
        </w:r>
        <w:r>
          <w:tab/>
        </w:r>
      </w:del>
      <w:r>
        <w:t>opar (orálny herpes simplex), pľuzgiere</w:t>
      </w:r>
    </w:p>
    <w:p w14:paraId="74F007F3" w14:textId="77777777" w:rsidR="009700E5" w:rsidRDefault="002C033C">
      <w:pPr>
        <w:pStyle w:val="ListParagraph"/>
        <w:numPr>
          <w:ilvl w:val="1"/>
          <w:numId w:val="317"/>
        </w:numPr>
        <w:ind w:left="567" w:hanging="567"/>
        <w:pPrChange w:id="5139" w:author="Author" w:date="2026-02-18T14:58:00Z">
          <w:pPr>
            <w:ind w:left="567" w:hanging="567"/>
          </w:pPr>
        </w:pPrChange>
      </w:pPr>
      <w:del w:id="5140" w:author="Author" w:date="2026-02-18T14:58:00Z">
        <w:r>
          <w:delText>•</w:delText>
        </w:r>
        <w:r>
          <w:tab/>
        </w:r>
      </w:del>
      <w:r>
        <w:t>kožná infekcia (celulitída) niekedy s horúčkou a triaškou</w:t>
      </w:r>
    </w:p>
    <w:p w14:paraId="376DDE67" w14:textId="77777777" w:rsidR="009700E5" w:rsidRDefault="002C033C">
      <w:pPr>
        <w:pStyle w:val="ListParagraph"/>
        <w:numPr>
          <w:ilvl w:val="1"/>
          <w:numId w:val="317"/>
        </w:numPr>
        <w:ind w:left="567" w:hanging="567"/>
        <w:pPrChange w:id="5141" w:author="Author" w:date="2026-02-18T14:58:00Z">
          <w:pPr>
            <w:ind w:left="567" w:hanging="567"/>
          </w:pPr>
        </w:pPrChange>
      </w:pPr>
      <w:del w:id="5142" w:author="Author" w:date="2026-02-18T14:58:00Z">
        <w:r>
          <w:delText>•</w:delText>
        </w:r>
        <w:r>
          <w:tab/>
        </w:r>
      </w:del>
      <w:r>
        <w:t>vyrážka a svrbenie, žihľavka</w:t>
      </w:r>
    </w:p>
    <w:p w14:paraId="0CF9E944" w14:textId="77777777" w:rsidR="009700E5" w:rsidRDefault="002C033C">
      <w:pPr>
        <w:pStyle w:val="ListParagraph"/>
        <w:numPr>
          <w:ilvl w:val="1"/>
          <w:numId w:val="317"/>
        </w:numPr>
        <w:ind w:left="567" w:hanging="567"/>
        <w:pPrChange w:id="5143" w:author="Author" w:date="2026-02-18T14:58:00Z">
          <w:pPr>
            <w:ind w:left="567" w:hanging="567"/>
          </w:pPr>
        </w:pPrChange>
      </w:pPr>
      <w:del w:id="5144" w:author="Author" w:date="2026-02-18T14:58:00Z">
        <w:r>
          <w:delText>•</w:delText>
        </w:r>
        <w:r>
          <w:tab/>
        </w:r>
      </w:del>
      <w:r>
        <w:t>alergické reakcie (precitlivenosť)</w:t>
      </w:r>
    </w:p>
    <w:p w14:paraId="6A7692FE" w14:textId="77777777" w:rsidR="009700E5" w:rsidRDefault="002C033C">
      <w:pPr>
        <w:pStyle w:val="ListParagraph"/>
        <w:numPr>
          <w:ilvl w:val="1"/>
          <w:numId w:val="317"/>
        </w:numPr>
        <w:ind w:left="567" w:hanging="567"/>
        <w:pPrChange w:id="5145" w:author="Author" w:date="2026-02-18T14:58:00Z">
          <w:pPr>
            <w:ind w:left="567" w:hanging="567"/>
          </w:pPr>
        </w:pPrChange>
      </w:pPr>
      <w:del w:id="5146" w:author="Author" w:date="2026-02-18T14:58:00Z">
        <w:r>
          <w:delText>•</w:delText>
        </w:r>
        <w:r>
          <w:tab/>
        </w:r>
      </w:del>
      <w:r>
        <w:t>infekcia oka (konjunktivitída)</w:t>
      </w:r>
    </w:p>
    <w:p w14:paraId="61F20A70" w14:textId="77777777" w:rsidR="009700E5" w:rsidRDefault="002C033C">
      <w:pPr>
        <w:pStyle w:val="ListParagraph"/>
        <w:numPr>
          <w:ilvl w:val="1"/>
          <w:numId w:val="317"/>
        </w:numPr>
        <w:ind w:left="567" w:hanging="567"/>
        <w:pPrChange w:id="5147" w:author="Author" w:date="2026-02-18T14:58:00Z">
          <w:pPr>
            <w:ind w:left="567" w:hanging="567"/>
          </w:pPr>
        </w:pPrChange>
      </w:pPr>
      <w:del w:id="5148" w:author="Author" w:date="2026-02-18T14:58:00Z">
        <w:r>
          <w:delText>•</w:delText>
        </w:r>
        <w:r>
          <w:tab/>
        </w:r>
      </w:del>
      <w:r>
        <w:t>bolesť hlavy, závrat, vysoký krvný tlak</w:t>
      </w:r>
    </w:p>
    <w:p w14:paraId="1D8767AC" w14:textId="77777777" w:rsidR="009700E5" w:rsidRDefault="002C033C">
      <w:pPr>
        <w:pStyle w:val="ListParagraph"/>
        <w:numPr>
          <w:ilvl w:val="1"/>
          <w:numId w:val="317"/>
        </w:numPr>
        <w:ind w:left="567" w:hanging="567"/>
        <w:pPrChange w:id="5149" w:author="Author" w:date="2026-02-18T14:58:00Z">
          <w:pPr>
            <w:ind w:left="567" w:hanging="567"/>
          </w:pPr>
        </w:pPrChange>
      </w:pPr>
      <w:del w:id="5150" w:author="Author" w:date="2026-02-18T14:58:00Z">
        <w:r>
          <w:delText>•</w:delText>
        </w:r>
        <w:r>
          <w:tab/>
        </w:r>
      </w:del>
      <w:r>
        <w:t>vriedky v ústnej dutine, bolesť žalúdka</w:t>
      </w:r>
    </w:p>
    <w:p w14:paraId="6EA0E40F" w14:textId="77777777" w:rsidR="009700E5" w:rsidRDefault="002C033C">
      <w:pPr>
        <w:pStyle w:val="ListParagraph"/>
        <w:numPr>
          <w:ilvl w:val="1"/>
          <w:numId w:val="317"/>
        </w:numPr>
        <w:ind w:left="567" w:hanging="567"/>
        <w:pPrChange w:id="5151" w:author="Author" w:date="2026-02-18T14:58:00Z">
          <w:pPr>
            <w:ind w:left="567" w:hanging="567"/>
          </w:pPr>
        </w:pPrChange>
      </w:pPr>
      <w:del w:id="5152" w:author="Author" w:date="2026-02-18T14:58:00Z">
        <w:r>
          <w:delText>•</w:delText>
        </w:r>
        <w:r>
          <w:tab/>
        </w:r>
      </w:del>
      <w:r>
        <w:t>zadržovanie tekutiny (opuchy) dolných končatín, zvýšenie telesnej hmotnosti</w:t>
      </w:r>
    </w:p>
    <w:p w14:paraId="2D5A0498" w14:textId="77777777" w:rsidR="009700E5" w:rsidRDefault="002C033C">
      <w:pPr>
        <w:pStyle w:val="ListParagraph"/>
        <w:numPr>
          <w:ilvl w:val="1"/>
          <w:numId w:val="317"/>
        </w:numPr>
        <w:ind w:left="567" w:hanging="567"/>
        <w:pPrChange w:id="5153" w:author="Author" w:date="2026-02-18T14:58:00Z">
          <w:pPr>
            <w:ind w:left="567" w:hanging="567"/>
          </w:pPr>
        </w:pPrChange>
      </w:pPr>
      <w:del w:id="5154" w:author="Author" w:date="2026-02-18T14:58:00Z">
        <w:r>
          <w:delText>•</w:delText>
        </w:r>
        <w:r>
          <w:tab/>
        </w:r>
      </w:del>
      <w:r>
        <w:t>kašeľ, skrátenie dychu</w:t>
      </w:r>
    </w:p>
    <w:p w14:paraId="716EF97B" w14:textId="77777777" w:rsidR="009700E5" w:rsidRDefault="002C033C">
      <w:pPr>
        <w:pStyle w:val="ListParagraph"/>
        <w:numPr>
          <w:ilvl w:val="1"/>
          <w:numId w:val="317"/>
        </w:numPr>
        <w:ind w:left="567" w:hanging="567"/>
        <w:pPrChange w:id="5155" w:author="Author" w:date="2026-02-18T14:58:00Z">
          <w:pPr>
            <w:ind w:left="567" w:hanging="567"/>
          </w:pPr>
        </w:pPrChange>
      </w:pPr>
      <w:del w:id="5156" w:author="Author" w:date="2026-02-18T14:58:00Z">
        <w:r>
          <w:delText>•</w:delText>
        </w:r>
        <w:r>
          <w:tab/>
        </w:r>
      </w:del>
      <w:r>
        <w:t>nízky počet bielych krviniek preukázaný krvnými vyšetreniami (neutropénia, leukopénia)</w:t>
      </w:r>
    </w:p>
    <w:p w14:paraId="4965E1B6" w14:textId="77777777" w:rsidR="009700E5" w:rsidRDefault="002C033C">
      <w:pPr>
        <w:pStyle w:val="ListParagraph"/>
        <w:numPr>
          <w:ilvl w:val="1"/>
          <w:numId w:val="317"/>
        </w:numPr>
        <w:ind w:left="567" w:hanging="567"/>
        <w:pPrChange w:id="5157" w:author="Author" w:date="2026-02-18T14:58:00Z">
          <w:pPr>
            <w:ind w:left="567" w:hanging="567"/>
          </w:pPr>
        </w:pPrChange>
      </w:pPr>
      <w:del w:id="5158" w:author="Author" w:date="2026-02-18T14:58:00Z">
        <w:r>
          <w:delText>•</w:delText>
        </w:r>
        <w:r>
          <w:tab/>
        </w:r>
      </w:del>
      <w:r>
        <w:t>abnormálne hodnoty funkčných vyšetrení pečene (zvýšené transaminázy)</w:t>
      </w:r>
    </w:p>
    <w:p w14:paraId="6490F109" w14:textId="77777777" w:rsidR="009700E5" w:rsidRDefault="002C033C">
      <w:pPr>
        <w:pStyle w:val="ListParagraph"/>
        <w:numPr>
          <w:ilvl w:val="1"/>
          <w:numId w:val="317"/>
        </w:numPr>
        <w:ind w:left="567" w:hanging="567"/>
        <w:rPr>
          <w:szCs w:val="22"/>
        </w:rPr>
        <w:pPrChange w:id="5159" w:author="Author" w:date="2026-02-18T14:58:00Z">
          <w:pPr>
            <w:ind w:left="567" w:hanging="567"/>
          </w:pPr>
        </w:pPrChange>
      </w:pPr>
      <w:del w:id="5160" w:author="Author" w:date="2026-02-18T14:58:00Z">
        <w:r>
          <w:delText>•</w:delText>
        </w:r>
        <w:r>
          <w:tab/>
        </w:r>
      </w:del>
      <w:r>
        <w:t>zvýšený bilirubín</w:t>
      </w:r>
      <w:r>
        <w:rPr>
          <w:szCs w:val="22"/>
        </w:rPr>
        <w:t xml:space="preserve"> preukázaný krvnými vyšetreniami</w:t>
      </w:r>
    </w:p>
    <w:p w14:paraId="277BD205" w14:textId="77777777" w:rsidR="009700E5" w:rsidRDefault="002C033C">
      <w:pPr>
        <w:pStyle w:val="ListParagraph"/>
        <w:numPr>
          <w:ilvl w:val="1"/>
          <w:numId w:val="317"/>
        </w:numPr>
        <w:ind w:left="567" w:hanging="567"/>
        <w:pPrChange w:id="5161" w:author="Author" w:date="2026-02-18T14:58:00Z">
          <w:pPr>
            <w:ind w:left="567" w:hanging="567"/>
          </w:pPr>
        </w:pPrChange>
      </w:pPr>
      <w:del w:id="5162" w:author="Author" w:date="2026-02-18T14:58:00Z">
        <w:r>
          <w:delText>•</w:delText>
        </w:r>
        <w:r>
          <w:tab/>
        </w:r>
      </w:del>
      <w:r>
        <w:t>nízke hladiny fibrinogénu v krvi (proteín, ktorý sa podieľa na zrážaní krvi)</w:t>
      </w:r>
    </w:p>
    <w:p w14:paraId="5434C4EF" w14:textId="77777777" w:rsidR="009700E5" w:rsidRDefault="009700E5">
      <w:pPr>
        <w:ind w:hanging="425"/>
        <w:pPrChange w:id="5163" w:author="Author" w:date="2025-07-20T22:01:00Z">
          <w:pPr/>
        </w:pPrChange>
      </w:pPr>
    </w:p>
    <w:p w14:paraId="0773EABB" w14:textId="77777777" w:rsidR="009700E5" w:rsidRDefault="002C033C">
      <w:pPr>
        <w:keepNext/>
        <w:keepLines/>
        <w:ind w:right="-29"/>
        <w:outlineLvl w:val="0"/>
        <w:rPr>
          <w:szCs w:val="22"/>
        </w:rPr>
      </w:pPr>
      <w:r>
        <w:rPr>
          <w:b/>
          <w:szCs w:val="22"/>
        </w:rPr>
        <w:t>Menej časté vedľajšie účinky</w:t>
      </w:r>
      <w:r>
        <w:rPr>
          <w:b/>
          <w:bCs/>
          <w:szCs w:val="22"/>
        </w:rPr>
        <w:t>:</w:t>
      </w:r>
    </w:p>
    <w:p w14:paraId="0500BC9D" w14:textId="77777777" w:rsidR="009700E5" w:rsidRDefault="002C033C">
      <w:pPr>
        <w:keepNext/>
        <w:keepLines/>
        <w:rPr>
          <w:i/>
        </w:rPr>
      </w:pPr>
      <w:r>
        <w:rPr>
          <w:i/>
        </w:rPr>
        <w:t>Môžu postihovať menej ako 1 zo 100 osôb</w:t>
      </w:r>
    </w:p>
    <w:p w14:paraId="08507AC0" w14:textId="77777777" w:rsidR="009700E5" w:rsidRDefault="002C033C">
      <w:pPr>
        <w:pStyle w:val="ListParagraph"/>
        <w:keepNext/>
        <w:keepLines/>
        <w:numPr>
          <w:ilvl w:val="1"/>
          <w:numId w:val="319"/>
        </w:numPr>
        <w:ind w:left="567" w:hanging="567"/>
        <w:pPrChange w:id="5164" w:author="Author" w:date="2026-02-18T14:59:00Z">
          <w:pPr>
            <w:keepNext/>
            <w:keepLines/>
            <w:ind w:left="567" w:hanging="567"/>
          </w:pPr>
        </w:pPrChange>
      </w:pPr>
      <w:del w:id="5165" w:author="Author" w:date="2026-02-18T14:59:00Z">
        <w:r>
          <w:delText>•</w:delText>
        </w:r>
        <w:r>
          <w:tab/>
        </w:r>
      </w:del>
      <w:r>
        <w:t>divertikulitída (horúčka, nevoľnosť, hnačka, zápcha, bolesť žalúdka)</w:t>
      </w:r>
    </w:p>
    <w:p w14:paraId="1281D592" w14:textId="77777777" w:rsidR="009700E5" w:rsidRDefault="002C033C">
      <w:pPr>
        <w:pStyle w:val="ListParagraph"/>
        <w:keepNext/>
        <w:keepLines/>
        <w:numPr>
          <w:ilvl w:val="1"/>
          <w:numId w:val="319"/>
        </w:numPr>
        <w:ind w:left="567" w:hanging="567"/>
        <w:pPrChange w:id="5166" w:author="Author" w:date="2026-02-18T14:59:00Z">
          <w:pPr>
            <w:keepNext/>
            <w:keepLines/>
            <w:ind w:left="567" w:hanging="567"/>
          </w:pPr>
        </w:pPrChange>
      </w:pPr>
      <w:del w:id="5167" w:author="Author" w:date="2026-02-18T14:59:00Z">
        <w:r>
          <w:delText>•</w:delText>
        </w:r>
        <w:r>
          <w:tab/>
        </w:r>
      </w:del>
      <w:r>
        <w:t>červené, opuchnuté miesta v ústach</w:t>
      </w:r>
    </w:p>
    <w:p w14:paraId="19EAEFE6" w14:textId="77777777" w:rsidR="009700E5" w:rsidRDefault="002C033C">
      <w:pPr>
        <w:pStyle w:val="ListParagraph"/>
        <w:numPr>
          <w:ilvl w:val="1"/>
          <w:numId w:val="319"/>
        </w:numPr>
        <w:ind w:left="567" w:hanging="567"/>
        <w:pPrChange w:id="5168" w:author="Author" w:date="2026-02-18T14:59:00Z">
          <w:pPr>
            <w:ind w:left="567" w:hanging="567"/>
          </w:pPr>
        </w:pPrChange>
      </w:pPr>
      <w:del w:id="5169" w:author="Author" w:date="2026-02-18T14:59:00Z">
        <w:r>
          <w:delText>•</w:delText>
        </w:r>
        <w:r>
          <w:tab/>
        </w:r>
      </w:del>
      <w:r>
        <w:t>vysoká hladina tukov v krvi (triacylglycerolov)</w:t>
      </w:r>
    </w:p>
    <w:p w14:paraId="65020453" w14:textId="77777777" w:rsidR="009700E5" w:rsidRDefault="002C033C">
      <w:pPr>
        <w:pStyle w:val="ListParagraph"/>
        <w:numPr>
          <w:ilvl w:val="1"/>
          <w:numId w:val="319"/>
        </w:numPr>
        <w:ind w:left="567" w:hanging="567"/>
        <w:pPrChange w:id="5170" w:author="Author" w:date="2026-02-18T14:59:00Z">
          <w:pPr>
            <w:ind w:left="567" w:hanging="567"/>
          </w:pPr>
        </w:pPrChange>
      </w:pPr>
      <w:del w:id="5171" w:author="Author" w:date="2026-02-18T14:59:00Z">
        <w:r>
          <w:delText>•</w:delText>
        </w:r>
        <w:r>
          <w:tab/>
        </w:r>
      </w:del>
      <w:r>
        <w:t>žalúdočný vred</w:t>
      </w:r>
    </w:p>
    <w:p w14:paraId="196CBFB8" w14:textId="77777777" w:rsidR="009700E5" w:rsidRDefault="002C033C">
      <w:pPr>
        <w:pStyle w:val="ListParagraph"/>
        <w:numPr>
          <w:ilvl w:val="1"/>
          <w:numId w:val="319"/>
        </w:numPr>
        <w:ind w:left="567" w:hanging="567"/>
        <w:pPrChange w:id="5172" w:author="Author" w:date="2026-02-18T14:59:00Z">
          <w:pPr>
            <w:ind w:left="567" w:hanging="567"/>
          </w:pPr>
        </w:pPrChange>
      </w:pPr>
      <w:del w:id="5173" w:author="Author" w:date="2026-02-18T14:59:00Z">
        <w:r>
          <w:delText>•</w:delText>
        </w:r>
        <w:r>
          <w:tab/>
        </w:r>
      </w:del>
      <w:r>
        <w:t>obličkové kamene</w:t>
      </w:r>
    </w:p>
    <w:p w14:paraId="7C03A7F8" w14:textId="77777777" w:rsidR="009700E5" w:rsidRDefault="002C033C">
      <w:pPr>
        <w:pStyle w:val="ListParagraph"/>
        <w:numPr>
          <w:ilvl w:val="1"/>
          <w:numId w:val="319"/>
        </w:numPr>
        <w:ind w:left="567" w:hanging="567"/>
        <w:pPrChange w:id="5174" w:author="Author" w:date="2026-02-18T14:59:00Z">
          <w:pPr>
            <w:ind w:left="567" w:hanging="567"/>
          </w:pPr>
        </w:pPrChange>
      </w:pPr>
      <w:del w:id="5175" w:author="Author" w:date="2026-02-18T14:59:00Z">
        <w:r>
          <w:delText>•</w:delText>
        </w:r>
        <w:r>
          <w:tab/>
        </w:r>
      </w:del>
      <w:r>
        <w:t>znížená funkcia štítnej žľazy</w:t>
      </w:r>
    </w:p>
    <w:p w14:paraId="334FC2CA" w14:textId="77777777" w:rsidR="009700E5" w:rsidRDefault="009700E5">
      <w:pPr>
        <w:ind w:left="562" w:hanging="562"/>
      </w:pPr>
    </w:p>
    <w:p w14:paraId="15F0963A" w14:textId="77777777" w:rsidR="009700E5" w:rsidRDefault="002C033C">
      <w:pPr>
        <w:ind w:left="567" w:hanging="567"/>
        <w:rPr>
          <w:b/>
          <w:bCs/>
          <w:szCs w:val="22"/>
        </w:rPr>
      </w:pPr>
      <w:r>
        <w:rPr>
          <w:b/>
          <w:szCs w:val="22"/>
        </w:rPr>
        <w:t>Zriedkavé vedľajšie účinky</w:t>
      </w:r>
      <w:r>
        <w:rPr>
          <w:b/>
          <w:bCs/>
          <w:szCs w:val="22"/>
        </w:rPr>
        <w:t>:</w:t>
      </w:r>
    </w:p>
    <w:p w14:paraId="49BFF68D" w14:textId="77777777" w:rsidR="009700E5" w:rsidRDefault="002C033C">
      <w:pPr>
        <w:ind w:left="567" w:hanging="567"/>
        <w:rPr>
          <w:b/>
          <w:bCs/>
          <w:szCs w:val="22"/>
        </w:rPr>
      </w:pPr>
      <w:r>
        <w:rPr>
          <w:i/>
        </w:rPr>
        <w:t>Môžu postihovať menej ako 1 z 1 000 osôb</w:t>
      </w:r>
    </w:p>
    <w:p w14:paraId="64626400" w14:textId="77777777" w:rsidR="009700E5" w:rsidRDefault="002C033C">
      <w:pPr>
        <w:pStyle w:val="ListParagraph"/>
        <w:numPr>
          <w:ilvl w:val="1"/>
          <w:numId w:val="321"/>
        </w:numPr>
        <w:ind w:left="567" w:hanging="567"/>
        <w:rPr>
          <w:color w:val="222222"/>
          <w:szCs w:val="22"/>
          <w:shd w:val="clear" w:color="auto" w:fill="FFFFFF"/>
        </w:rPr>
        <w:pPrChange w:id="5176" w:author="Author" w:date="2026-02-18T14:59:00Z">
          <w:pPr>
            <w:ind w:left="567" w:hanging="567"/>
          </w:pPr>
        </w:pPrChange>
      </w:pPr>
      <w:del w:id="5177" w:author="Author" w:date="2026-02-18T14:59:00Z">
        <w:r>
          <w:delText>•</w:delText>
        </w:r>
        <w:r>
          <w:tab/>
        </w:r>
      </w:del>
      <w:r>
        <w:t xml:space="preserve">Stevensov-Johnsonov syndróm </w:t>
      </w:r>
      <w:r>
        <w:rPr>
          <w:szCs w:val="22"/>
        </w:rPr>
        <w:t>(kožná vyrážka, ktorá môže spôsobiť závažné pálenie a olupovanie kože</w:t>
      </w:r>
      <w:r>
        <w:rPr>
          <w:color w:val="222222"/>
          <w:szCs w:val="22"/>
          <w:shd w:val="clear" w:color="auto" w:fill="FFFFFF"/>
        </w:rPr>
        <w:t>)</w:t>
      </w:r>
    </w:p>
    <w:p w14:paraId="2DA3399B" w14:textId="77777777" w:rsidR="009700E5" w:rsidRDefault="002C033C">
      <w:pPr>
        <w:pStyle w:val="ListParagraph"/>
        <w:numPr>
          <w:ilvl w:val="1"/>
          <w:numId w:val="321"/>
        </w:numPr>
        <w:ind w:left="567" w:hanging="567"/>
        <w:rPr>
          <w:color w:val="222222"/>
          <w:szCs w:val="22"/>
          <w:shd w:val="clear" w:color="auto" w:fill="FFFFFF"/>
        </w:rPr>
        <w:pPrChange w:id="5178" w:author="Author" w:date="2026-02-18T14:59:00Z">
          <w:pPr>
            <w:ind w:left="567" w:hanging="567"/>
          </w:pPr>
        </w:pPrChange>
      </w:pPr>
      <w:del w:id="5179" w:author="Author" w:date="2026-02-18T14:59:00Z">
        <w:r>
          <w:delText>•</w:delText>
        </w:r>
        <w:r>
          <w:tab/>
        </w:r>
      </w:del>
      <w:r>
        <w:t>smrteľné alergické reakcie (anafylaxia)</w:t>
      </w:r>
    </w:p>
    <w:p w14:paraId="69E5AE79" w14:textId="77777777" w:rsidR="009700E5" w:rsidRDefault="002C033C">
      <w:pPr>
        <w:pStyle w:val="ListParagraph"/>
        <w:numPr>
          <w:ilvl w:val="1"/>
          <w:numId w:val="321"/>
        </w:numPr>
        <w:ind w:left="567" w:hanging="567"/>
        <w:pPrChange w:id="5180" w:author="Author" w:date="2026-02-18T14:59:00Z">
          <w:pPr>
            <w:ind w:left="567" w:hanging="567"/>
          </w:pPr>
        </w:pPrChange>
      </w:pPr>
      <w:del w:id="5181" w:author="Author" w:date="2026-02-18T14:59:00Z">
        <w:r>
          <w:delText>•</w:delText>
        </w:r>
        <w:r>
          <w:tab/>
        </w:r>
      </w:del>
      <w:r>
        <w:t>zápal pečene (hepatitída), žltačka</w:t>
      </w:r>
    </w:p>
    <w:p w14:paraId="2B633685" w14:textId="77777777" w:rsidR="009700E5" w:rsidRDefault="009700E5">
      <w:pPr>
        <w:rPr>
          <w:bCs/>
          <w:szCs w:val="22"/>
        </w:rPr>
      </w:pPr>
    </w:p>
    <w:p w14:paraId="182F48A3" w14:textId="77777777" w:rsidR="009700E5" w:rsidRDefault="002C033C">
      <w:pPr>
        <w:rPr>
          <w:b/>
          <w:szCs w:val="22"/>
        </w:rPr>
      </w:pPr>
      <w:r>
        <w:rPr>
          <w:b/>
          <w:szCs w:val="22"/>
        </w:rPr>
        <w:t>Veľmi zriedkavé vedľajšie účinky:</w:t>
      </w:r>
    </w:p>
    <w:p w14:paraId="69025128" w14:textId="77777777" w:rsidR="009700E5" w:rsidRDefault="002C033C">
      <w:pPr>
        <w:rPr>
          <w:i/>
          <w:szCs w:val="22"/>
        </w:rPr>
      </w:pPr>
      <w:r>
        <w:rPr>
          <w:i/>
          <w:szCs w:val="22"/>
        </w:rPr>
        <w:t>Môžu postihovať menej ako 1 z 10 000 osôb</w:t>
      </w:r>
    </w:p>
    <w:p w14:paraId="18F0515D" w14:textId="77777777" w:rsidR="009700E5" w:rsidRDefault="002C033C">
      <w:pPr>
        <w:pStyle w:val="ListParagraph"/>
        <w:numPr>
          <w:ilvl w:val="1"/>
          <w:numId w:val="323"/>
        </w:numPr>
        <w:ind w:left="567" w:hanging="567"/>
        <w:pPrChange w:id="5182" w:author="Author" w:date="2026-02-18T14:59:00Z">
          <w:pPr>
            <w:ind w:left="567" w:hanging="567"/>
          </w:pPr>
        </w:pPrChange>
      </w:pPr>
      <w:del w:id="5183" w:author="Author" w:date="2026-02-18T14:59:00Z">
        <w:r>
          <w:delText>•</w:delText>
        </w:r>
        <w:r>
          <w:tab/>
        </w:r>
      </w:del>
      <w:r>
        <w:t>nízke počty bielych krviniek, červených krviniek a krvných doštičiek v krvných vyšetreniach</w:t>
      </w:r>
    </w:p>
    <w:p w14:paraId="566E0A7E" w14:textId="77777777" w:rsidR="009700E5" w:rsidRDefault="002C033C">
      <w:pPr>
        <w:pStyle w:val="ListParagraph"/>
        <w:numPr>
          <w:ilvl w:val="1"/>
          <w:numId w:val="323"/>
        </w:numPr>
        <w:ind w:left="567" w:hanging="567"/>
        <w:pPrChange w:id="5184" w:author="Author" w:date="2026-02-18T14:59:00Z">
          <w:pPr>
            <w:ind w:left="567" w:hanging="567"/>
          </w:pPr>
        </w:pPrChange>
      </w:pPr>
      <w:del w:id="5185" w:author="Author" w:date="2026-02-18T14:59:00Z">
        <w:r>
          <w:delText>•</w:delText>
        </w:r>
        <w:r>
          <w:tab/>
        </w:r>
      </w:del>
      <w:r>
        <w:t>zlyhanie pečene</w:t>
      </w:r>
    </w:p>
    <w:p w14:paraId="569555F8" w14:textId="77777777" w:rsidR="009700E5" w:rsidRDefault="009700E5">
      <w:pPr>
        <w:ind w:right="-29"/>
        <w:outlineLvl w:val="0"/>
        <w:rPr>
          <w:szCs w:val="22"/>
        </w:rPr>
      </w:pPr>
    </w:p>
    <w:p w14:paraId="3A0FEEE6" w14:textId="77777777" w:rsidR="009700E5" w:rsidRDefault="002C033C">
      <w:pPr>
        <w:ind w:right="-29"/>
        <w:outlineLvl w:val="0"/>
        <w:rPr>
          <w:b/>
          <w:szCs w:val="22"/>
        </w:rPr>
      </w:pPr>
      <w:r>
        <w:rPr>
          <w:b/>
          <w:szCs w:val="22"/>
        </w:rPr>
        <w:t>Vedľajšie účinky u detí a dospievajúcich so sJIA alebo pJIA</w:t>
      </w:r>
    </w:p>
    <w:p w14:paraId="104CC54D" w14:textId="77777777" w:rsidR="009700E5" w:rsidRDefault="002C033C">
      <w:pPr>
        <w:ind w:right="-29"/>
        <w:outlineLvl w:val="0"/>
      </w:pPr>
      <w:r>
        <w:rPr>
          <w:szCs w:val="22"/>
        </w:rPr>
        <w:t>Vedľajšie účinky u detí a dospievajúcich so</w:t>
      </w:r>
      <w:r>
        <w:t> sJIA alebo pJIA sú vo všeobecnosti podobné vedľajším účinkom u dospelých. Niektoré vedľajšie účinky sú u detí a dospievajúcich pozorované častejšie: zápal nosovej dutiny a hrdla, bolesti hlavy, pocit nevoľnosti (nauzea) a nižší počet bielych krviniek.</w:t>
      </w:r>
    </w:p>
    <w:p w14:paraId="6C39C2FB" w14:textId="77777777" w:rsidR="009700E5" w:rsidRDefault="009700E5">
      <w:pPr>
        <w:ind w:right="-29"/>
        <w:outlineLvl w:val="0"/>
        <w:rPr>
          <w:szCs w:val="22"/>
        </w:rPr>
      </w:pPr>
    </w:p>
    <w:p w14:paraId="7EFA173C" w14:textId="77777777" w:rsidR="009700E5" w:rsidRDefault="002C033C">
      <w:pPr>
        <w:keepNext/>
        <w:keepLines/>
        <w:numPr>
          <w:ilvl w:val="12"/>
          <w:numId w:val="0"/>
        </w:numPr>
        <w:tabs>
          <w:tab w:val="left" w:pos="720"/>
        </w:tabs>
        <w:rPr>
          <w:b/>
          <w:szCs w:val="22"/>
        </w:rPr>
      </w:pPr>
      <w:r>
        <w:rPr>
          <w:b/>
          <w:szCs w:val="22"/>
        </w:rPr>
        <w:lastRenderedPageBreak/>
        <w:t>Hlásenie vedľajších účinkov</w:t>
      </w:r>
    </w:p>
    <w:p w14:paraId="5B5A42F8" w14:textId="77777777" w:rsidR="009700E5" w:rsidRDefault="002C033C">
      <w:pPr>
        <w:keepNext/>
        <w:keepLines/>
        <w:numPr>
          <w:ilvl w:val="12"/>
          <w:numId w:val="0"/>
        </w:numPr>
        <w:ind w:right="-2"/>
        <w:rPr>
          <w:szCs w:val="22"/>
        </w:rPr>
      </w:pPr>
      <w:r>
        <w:rPr>
          <w:szCs w:val="22"/>
        </w:rPr>
        <w:t xml:space="preserve">Ak sa u vás vyskytne akýkoľvek vedľajší účinok, obráťte sa na svojho lekára, lekárnika alebo zdravotnú sestru. To sa týka aj akýchkoľvek vedľajších účinkov, ktoré nie sú uvedené v tejto písomnej informácii. Vedľajšie účinky môžete hlásiť aj priamo na </w:t>
      </w:r>
      <w:r>
        <w:rPr>
          <w:rFonts w:cs="Calibri"/>
          <w:snapToGrid w:val="0"/>
          <w:highlight w:val="lightGray"/>
        </w:rPr>
        <w:t>národné centrum hlásenia uvedené v </w:t>
      </w:r>
      <w:hyperlink r:id="rId29" w:history="1">
        <w:r>
          <w:rPr>
            <w:rStyle w:val="Hyperlink"/>
            <w:rFonts w:cs="Calibri"/>
            <w:color w:val="0033CC"/>
            <w:highlight w:val="lightGray"/>
          </w:rPr>
          <w:t>Prílohe V</w:t>
        </w:r>
      </w:hyperlink>
      <w:r>
        <w:rPr>
          <w:szCs w:val="22"/>
        </w:rPr>
        <w:t>. Hlásením vedľajších účinkov môžete prispieť k získaniu ďalších informácií o bezpečnosti tohto lieku.</w:t>
      </w:r>
    </w:p>
    <w:p w14:paraId="30C80CC5" w14:textId="77777777" w:rsidR="009700E5" w:rsidRDefault="009700E5"/>
    <w:p w14:paraId="059EB1E5" w14:textId="77777777" w:rsidR="009700E5" w:rsidRDefault="009700E5"/>
    <w:p w14:paraId="341B46E1" w14:textId="77777777" w:rsidR="009700E5" w:rsidRDefault="002C033C">
      <w:pPr>
        <w:keepNext/>
        <w:keepLines/>
        <w:rPr>
          <w:szCs w:val="22"/>
        </w:rPr>
      </w:pPr>
      <w:r>
        <w:rPr>
          <w:b/>
          <w:szCs w:val="22"/>
        </w:rPr>
        <w:t>5.</w:t>
      </w:r>
      <w:r>
        <w:rPr>
          <w:b/>
          <w:szCs w:val="22"/>
        </w:rPr>
        <w:tab/>
        <w:t xml:space="preserve">Ako uchovávať </w:t>
      </w:r>
      <w:r>
        <w:rPr>
          <w:b/>
          <w:caps/>
          <w:szCs w:val="22"/>
        </w:rPr>
        <w:t>r</w:t>
      </w:r>
      <w:r>
        <w:rPr>
          <w:b/>
          <w:szCs w:val="22"/>
        </w:rPr>
        <w:t>o</w:t>
      </w:r>
      <w:r>
        <w:rPr>
          <w:b/>
          <w:caps/>
          <w:szCs w:val="22"/>
        </w:rPr>
        <w:t>a</w:t>
      </w:r>
      <w:r>
        <w:rPr>
          <w:b/>
          <w:szCs w:val="22"/>
        </w:rPr>
        <w:t>ctemru</w:t>
      </w:r>
    </w:p>
    <w:p w14:paraId="157AF16B" w14:textId="77777777" w:rsidR="009700E5" w:rsidRDefault="009700E5">
      <w:pPr>
        <w:keepNext/>
        <w:keepLines/>
      </w:pPr>
    </w:p>
    <w:p w14:paraId="288C5AE2" w14:textId="77777777" w:rsidR="009700E5" w:rsidRDefault="002C033C">
      <w:pPr>
        <w:keepNext/>
        <w:keepLines/>
      </w:pPr>
      <w:r>
        <w:rPr>
          <w:bCs/>
        </w:rPr>
        <w:t xml:space="preserve">Tento liek </w:t>
      </w:r>
      <w:r>
        <w:t>uchovávajte mimo dohľadu a dosahu detí.</w:t>
      </w:r>
    </w:p>
    <w:p w14:paraId="2B874EBE" w14:textId="77777777" w:rsidR="009700E5" w:rsidRDefault="009700E5"/>
    <w:p w14:paraId="00E4A32C" w14:textId="77777777" w:rsidR="009700E5" w:rsidRDefault="002C033C">
      <w:r>
        <w:t>Nepoužívajte tento liek po dátume exspirácie, ktorý je uvedený na označení naplneného pera a na škatuli po EXP. Dátum exspirácie sa vzťahuje na posledný deň v danom mesiaci.</w:t>
      </w:r>
    </w:p>
    <w:p w14:paraId="5E5481C9" w14:textId="77777777" w:rsidR="009700E5" w:rsidRDefault="009700E5"/>
    <w:p w14:paraId="6B03DBB4" w14:textId="77777777" w:rsidR="009700E5" w:rsidRDefault="002C033C">
      <w:r>
        <w:t>Uchovávajte v chladničke (2 °C </w:t>
      </w:r>
      <w:r>
        <w:noBreakHyphen/>
        <w:t> 8 °C). Neuchovávajte v mrazničke. Po vybratí z chladničky možno naplnené pero uchovávať až 2 týždne pri teplote do 30 °C.</w:t>
      </w:r>
    </w:p>
    <w:p w14:paraId="0E106BF9" w14:textId="77777777" w:rsidR="009700E5" w:rsidRDefault="009700E5"/>
    <w:p w14:paraId="270AF25F" w14:textId="77777777" w:rsidR="009700E5" w:rsidRDefault="002C033C">
      <w:r>
        <w:t>Naplnené perá uchovávajte vo vonkajšom obale na ochranu pred svetlom a vlhkosťou.</w:t>
      </w:r>
    </w:p>
    <w:p w14:paraId="6A00E1DA" w14:textId="77777777" w:rsidR="009700E5" w:rsidRDefault="009700E5"/>
    <w:p w14:paraId="3EE56301" w14:textId="77777777" w:rsidR="009700E5" w:rsidRDefault="002C033C">
      <w:r>
        <w:rPr>
          <w:rFonts w:eastAsia="SimSun"/>
          <w:szCs w:val="22"/>
          <w:lang w:eastAsia="zh-CN"/>
        </w:rPr>
        <w:t>Nepoužívajte, ak je liek zakalený alebo obsahuje čiastočky, ak má inú farbu než bezfarebnú až svetložltkastú, alebo ak ktorákoľvek časť naplneného pera javí známky poškodenia.</w:t>
      </w:r>
    </w:p>
    <w:p w14:paraId="0113EC0B" w14:textId="77777777" w:rsidR="009700E5" w:rsidRDefault="009700E5"/>
    <w:p w14:paraId="74530AD4" w14:textId="77777777" w:rsidR="009700E5" w:rsidRDefault="002C033C">
      <w:pPr>
        <w:rPr>
          <w:color w:val="222222"/>
          <w:szCs w:val="22"/>
          <w:lang w:eastAsia="zh-CN"/>
        </w:rPr>
      </w:pPr>
      <w:r>
        <w:rPr>
          <w:szCs w:val="22"/>
        </w:rPr>
        <w:t xml:space="preserve">Naplneným perom sa nemá triasť. </w:t>
      </w:r>
      <w:r>
        <w:rPr>
          <w:rFonts w:eastAsia="SimSun"/>
          <w:szCs w:val="22"/>
          <w:lang w:eastAsia="zh-CN"/>
        </w:rPr>
        <w:t>Po odstránení viečka sa musí injekcia začať podávať do 3 minút, aby sa zabránilo vysušeniu lieku a zablokovaniu ihly. Ak sa naplnené pero nepoužije do 3 minút, musí sa vyhodiť do nádoby odolnej proti prepichnutiu a musí sa použiť nové naplnené pero.</w:t>
      </w:r>
    </w:p>
    <w:p w14:paraId="30D366FF" w14:textId="77777777" w:rsidR="009700E5" w:rsidRDefault="009700E5">
      <w:pPr>
        <w:rPr>
          <w:color w:val="222222"/>
          <w:szCs w:val="22"/>
          <w:lang w:eastAsia="zh-CN"/>
        </w:rPr>
      </w:pPr>
    </w:p>
    <w:p w14:paraId="39230CF1" w14:textId="77777777" w:rsidR="009700E5" w:rsidRDefault="002C033C">
      <w:pPr>
        <w:rPr>
          <w:color w:val="222222"/>
          <w:szCs w:val="22"/>
          <w:lang w:eastAsia="zh-CN"/>
        </w:rPr>
      </w:pPr>
      <w:r>
        <w:rPr>
          <w:color w:val="222222"/>
          <w:szCs w:val="22"/>
          <w:lang w:eastAsia="zh-CN"/>
        </w:rPr>
        <w:t xml:space="preserve">Ak sa fialový indikátor po stlačení aktivačného tlačidla neposúva, naplnené pero musíte vyhodiť do nádoby odolnej proti prepichnutiu. </w:t>
      </w:r>
      <w:r>
        <w:rPr>
          <w:b/>
          <w:color w:val="222222"/>
          <w:szCs w:val="22"/>
          <w:lang w:eastAsia="zh-CN"/>
        </w:rPr>
        <w:t xml:space="preserve">Nepokúšajte </w:t>
      </w:r>
      <w:r>
        <w:rPr>
          <w:color w:val="222222"/>
          <w:szCs w:val="22"/>
          <w:lang w:eastAsia="zh-CN"/>
        </w:rPr>
        <w:t>sa znovu použiť toto naplnené pero. Neopakujte podanie injekcie pomocou ďalšieho naplneného pera. Zatelefonujte svojmu lekárovi a poraďte sa s ním.</w:t>
      </w:r>
    </w:p>
    <w:p w14:paraId="10B45E42" w14:textId="77777777" w:rsidR="009700E5" w:rsidRDefault="009700E5"/>
    <w:p w14:paraId="7290C23F" w14:textId="77777777" w:rsidR="009700E5" w:rsidRDefault="009700E5"/>
    <w:p w14:paraId="3678D489" w14:textId="77777777" w:rsidR="009700E5" w:rsidRDefault="002C033C">
      <w:pPr>
        <w:keepNext/>
        <w:keepLines/>
        <w:rPr>
          <w:b/>
          <w:szCs w:val="22"/>
        </w:rPr>
      </w:pPr>
      <w:r>
        <w:rPr>
          <w:b/>
          <w:szCs w:val="22"/>
        </w:rPr>
        <w:t>6.</w:t>
      </w:r>
      <w:r>
        <w:rPr>
          <w:b/>
          <w:szCs w:val="22"/>
        </w:rPr>
        <w:tab/>
        <w:t>Obsah balenia a ďalšie informácie</w:t>
      </w:r>
    </w:p>
    <w:p w14:paraId="547E6A1A" w14:textId="77777777" w:rsidR="009700E5" w:rsidRDefault="009700E5">
      <w:pPr>
        <w:keepNext/>
        <w:keepLines/>
        <w:rPr>
          <w:b/>
          <w:bCs/>
          <w:szCs w:val="22"/>
        </w:rPr>
      </w:pPr>
    </w:p>
    <w:p w14:paraId="10B95B96" w14:textId="77777777" w:rsidR="009700E5" w:rsidRDefault="002C033C">
      <w:pPr>
        <w:keepNext/>
        <w:keepLines/>
        <w:rPr>
          <w:b/>
          <w:bCs/>
          <w:szCs w:val="22"/>
        </w:rPr>
      </w:pPr>
      <w:r>
        <w:rPr>
          <w:b/>
          <w:bCs/>
          <w:szCs w:val="22"/>
        </w:rPr>
        <w:t>Čo RoActemra obsahuje</w:t>
      </w:r>
    </w:p>
    <w:p w14:paraId="31FB51CD" w14:textId="77777777" w:rsidR="009700E5" w:rsidRDefault="002C033C">
      <w:pPr>
        <w:keepNext/>
        <w:keepLines/>
        <w:ind w:left="567" w:hanging="425"/>
        <w:pPrChange w:id="5186" w:author="Author" w:date="2025-07-20T22:02:00Z">
          <w:pPr>
            <w:keepNext/>
            <w:keepLines/>
            <w:ind w:left="567" w:hanging="567"/>
          </w:pPr>
        </w:pPrChange>
      </w:pPr>
      <w:r>
        <w:t>•</w:t>
      </w:r>
      <w:r>
        <w:tab/>
        <w:t>Liečivo je tocilizumab.</w:t>
      </w:r>
    </w:p>
    <w:p w14:paraId="117DE3D1" w14:textId="77777777" w:rsidR="009700E5" w:rsidRDefault="002C033C">
      <w:pPr>
        <w:keepNext/>
        <w:keepLines/>
        <w:ind w:left="567" w:hanging="425"/>
        <w:pPrChange w:id="5187" w:author="Author" w:date="2025-07-20T22:02:00Z">
          <w:pPr>
            <w:keepNext/>
            <w:keepLines/>
            <w:ind w:left="567" w:hanging="567"/>
          </w:pPr>
        </w:pPrChange>
      </w:pPr>
      <w:r>
        <w:tab/>
        <w:t>Každé naplnené pero obsahuje 162 mg tocilizumabu v 0,9 ml.</w:t>
      </w:r>
    </w:p>
    <w:p w14:paraId="25998133" w14:textId="77777777" w:rsidR="009700E5" w:rsidRDefault="009700E5">
      <w:pPr>
        <w:keepNext/>
        <w:keepLines/>
        <w:ind w:left="567" w:hanging="425"/>
        <w:pPrChange w:id="5188" w:author="Author" w:date="2025-07-20T22:02:00Z">
          <w:pPr>
            <w:keepNext/>
            <w:keepLines/>
            <w:ind w:left="567" w:hanging="567"/>
          </w:pPr>
        </w:pPrChange>
      </w:pPr>
    </w:p>
    <w:p w14:paraId="0CFE44D1" w14:textId="77777777" w:rsidR="009700E5" w:rsidRDefault="002C033C">
      <w:pPr>
        <w:ind w:left="567" w:hanging="425"/>
        <w:outlineLvl w:val="0"/>
        <w:rPr>
          <w:bCs/>
        </w:rPr>
        <w:pPrChange w:id="5189" w:author="Author" w:date="2025-07-20T22:02:00Z">
          <w:pPr>
            <w:ind w:left="567" w:hanging="567"/>
            <w:outlineLvl w:val="0"/>
          </w:pPr>
        </w:pPrChange>
      </w:pPr>
      <w:r>
        <w:t>•</w:t>
      </w:r>
      <w:r>
        <w:tab/>
        <w:t>Ďalšie zložky sú</w:t>
      </w:r>
      <w:r>
        <w:rPr>
          <w:bCs/>
        </w:rPr>
        <w:t xml:space="preserve"> h</w:t>
      </w:r>
      <w:r>
        <w:rPr>
          <w:bCs/>
          <w:szCs w:val="22"/>
        </w:rPr>
        <w:t>istidín, monohydrát histidíniumchloridu, arginín/arginíniumchlorid, metionín, p</w:t>
      </w:r>
      <w:r>
        <w:rPr>
          <w:bCs/>
        </w:rPr>
        <w:t>olysorbát 80 a voda na injekcie (pozri časť 2 „RoActemra obsahuje polysorbát</w:t>
      </w:r>
      <w:ins w:id="5190" w:author="Author" w:date="2025-07-20T22:02:00Z">
        <w:r>
          <w:rPr>
            <w:bCs/>
          </w:rPr>
          <w:t xml:space="preserve"> 80 </w:t>
        </w:r>
        <w:del w:id="5191" w:author="Author" w:date="2025-07-21T11:20:00Z">
          <w:r>
            <w:rPr>
              <w:bCs/>
            </w:rPr>
            <w:delText>/</w:delText>
          </w:r>
        </w:del>
        <w:r>
          <w:rPr>
            <w:bCs/>
          </w:rPr>
          <w:t>(E</w:t>
        </w:r>
      </w:ins>
      <w:ins w:id="5192" w:author="Author" w:date="2025-07-21T11:20:00Z">
        <w:r>
          <w:rPr>
            <w:bCs/>
          </w:rPr>
          <w:t> </w:t>
        </w:r>
      </w:ins>
      <w:ins w:id="5193" w:author="Author" w:date="2025-07-20T22:02:00Z">
        <w:del w:id="5194" w:author="Author" w:date="2025-07-21T11:20:00Z">
          <w:r>
            <w:rPr>
              <w:bCs/>
            </w:rPr>
            <w:delText xml:space="preserve"> </w:delText>
          </w:r>
        </w:del>
        <w:r>
          <w:rPr>
            <w:bCs/>
          </w:rPr>
          <w:t>433)</w:t>
        </w:r>
      </w:ins>
      <w:r>
        <w:rPr>
          <w:bCs/>
        </w:rPr>
        <w:t>“).</w:t>
      </w:r>
    </w:p>
    <w:p w14:paraId="11A2BDC0" w14:textId="77777777" w:rsidR="009700E5" w:rsidRDefault="009700E5">
      <w:pPr>
        <w:rPr>
          <w:bCs/>
        </w:rPr>
      </w:pPr>
    </w:p>
    <w:p w14:paraId="2B562E97" w14:textId="77777777" w:rsidR="009700E5" w:rsidRDefault="002C033C">
      <w:pPr>
        <w:keepNext/>
        <w:rPr>
          <w:b/>
          <w:bCs/>
          <w:szCs w:val="22"/>
        </w:rPr>
      </w:pPr>
      <w:r>
        <w:rPr>
          <w:b/>
          <w:bCs/>
          <w:szCs w:val="22"/>
        </w:rPr>
        <w:t>Ako vyzerá RoActemra a obsah balenia</w:t>
      </w:r>
    </w:p>
    <w:p w14:paraId="24462768" w14:textId="77777777" w:rsidR="009700E5" w:rsidRDefault="002C033C">
      <w:r>
        <w:t>RoActemra je injekčný roztok. Roztok je bezfarebný až svetložltkastý.</w:t>
      </w:r>
    </w:p>
    <w:p w14:paraId="32627E60" w14:textId="77777777" w:rsidR="009700E5" w:rsidRDefault="002C033C">
      <w:r>
        <w:t xml:space="preserve">RoActemra sa dodáva v 0,9 ml </w:t>
      </w:r>
      <w:r>
        <w:rPr>
          <w:rFonts w:eastAsia="SimSun"/>
          <w:szCs w:val="22"/>
          <w:lang w:eastAsia="zh-CN"/>
        </w:rPr>
        <w:t xml:space="preserve">naplnenom pere </w:t>
      </w:r>
      <w:r>
        <w:t>obsahujúcom 162 mg injekčného roztoku tocilizumabu.</w:t>
      </w:r>
    </w:p>
    <w:p w14:paraId="0796E831" w14:textId="77777777" w:rsidR="009700E5" w:rsidRDefault="002C033C">
      <w:pPr>
        <w:rPr>
          <w:u w:val="single"/>
        </w:rPr>
      </w:pPr>
      <w:r>
        <w:t>Každé balenie obsahuje 4 </w:t>
      </w:r>
      <w:r>
        <w:rPr>
          <w:rFonts w:eastAsia="SimSun"/>
          <w:szCs w:val="22"/>
          <w:lang w:eastAsia="zh-CN"/>
        </w:rPr>
        <w:t>naplnené perá</w:t>
      </w:r>
      <w:r>
        <w:t>, spoločné balenie obsahuje 12 (3 balenia x 4) naplnených pier. Na trh nemusia byť uvedené všetky veľkosti balenia.</w:t>
      </w:r>
    </w:p>
    <w:p w14:paraId="435665EF" w14:textId="77777777" w:rsidR="009700E5" w:rsidRDefault="009700E5">
      <w:pPr>
        <w:rPr>
          <w:bCs/>
        </w:rPr>
      </w:pPr>
    </w:p>
    <w:p w14:paraId="64915C43" w14:textId="77777777" w:rsidR="009700E5" w:rsidRDefault="002C033C">
      <w:pPr>
        <w:keepNext/>
        <w:keepLines/>
        <w:rPr>
          <w:b/>
          <w:bCs/>
          <w:szCs w:val="22"/>
        </w:rPr>
      </w:pPr>
      <w:r>
        <w:rPr>
          <w:b/>
          <w:bCs/>
          <w:szCs w:val="22"/>
        </w:rPr>
        <w:t>Držiteľ rozhodnutia o registrácii</w:t>
      </w:r>
    </w:p>
    <w:p w14:paraId="378D5965" w14:textId="77777777" w:rsidR="009700E5" w:rsidRDefault="002C033C">
      <w:r>
        <w:t>Roche Registration GmbH</w:t>
      </w:r>
    </w:p>
    <w:p w14:paraId="44AB567A" w14:textId="77777777" w:rsidR="009700E5" w:rsidRDefault="002C033C">
      <w:r>
        <w:t>Emil-Barell-Strasse 1</w:t>
      </w:r>
    </w:p>
    <w:p w14:paraId="7C21578A" w14:textId="77777777" w:rsidR="009700E5" w:rsidRDefault="002C033C">
      <w:r>
        <w:t>79639 Grenzach-Wyhlen</w:t>
      </w:r>
    </w:p>
    <w:p w14:paraId="26284571" w14:textId="77777777" w:rsidR="009700E5" w:rsidRDefault="002C033C">
      <w:r>
        <w:t>Nemecko</w:t>
      </w:r>
    </w:p>
    <w:p w14:paraId="71FCC0B6" w14:textId="77777777" w:rsidR="009700E5" w:rsidRDefault="009700E5">
      <w:pPr>
        <w:rPr>
          <w:bCs/>
        </w:rPr>
      </w:pPr>
    </w:p>
    <w:p w14:paraId="0879FCF5" w14:textId="77777777" w:rsidR="009700E5" w:rsidRDefault="002C033C">
      <w:pPr>
        <w:keepNext/>
        <w:keepLines/>
        <w:rPr>
          <w:b/>
          <w:bCs/>
          <w:szCs w:val="22"/>
        </w:rPr>
      </w:pPr>
      <w:r>
        <w:rPr>
          <w:b/>
          <w:bCs/>
          <w:szCs w:val="22"/>
        </w:rPr>
        <w:lastRenderedPageBreak/>
        <w:t>Výrobca</w:t>
      </w:r>
    </w:p>
    <w:p w14:paraId="4AE9F9C7" w14:textId="77777777" w:rsidR="009700E5" w:rsidRDefault="002C033C">
      <w:pPr>
        <w:keepNext/>
        <w:keepLines/>
      </w:pPr>
      <w:r>
        <w:t>Roche Pharma AG</w:t>
      </w:r>
    </w:p>
    <w:p w14:paraId="0D2018AB" w14:textId="77777777" w:rsidR="009700E5" w:rsidRDefault="002C033C">
      <w:pPr>
        <w:keepNext/>
        <w:keepLines/>
      </w:pPr>
      <w:r>
        <w:t>Emil-Barell-Str. 1</w:t>
      </w:r>
    </w:p>
    <w:p w14:paraId="235F15A4" w14:textId="77777777" w:rsidR="009700E5" w:rsidRDefault="002C033C">
      <w:pPr>
        <w:keepNext/>
        <w:keepLines/>
      </w:pPr>
      <w:r>
        <w:t>79639 Grenzach-Wyhlen</w:t>
      </w:r>
    </w:p>
    <w:p w14:paraId="11CDECED" w14:textId="77777777" w:rsidR="009700E5" w:rsidRDefault="002C033C">
      <w:pPr>
        <w:keepNext/>
        <w:keepLines/>
      </w:pPr>
      <w:r>
        <w:t>Nemecko</w:t>
      </w:r>
    </w:p>
    <w:p w14:paraId="24070A5B" w14:textId="77777777" w:rsidR="009700E5" w:rsidRDefault="009700E5"/>
    <w:p w14:paraId="3D24F8C2" w14:textId="77777777" w:rsidR="009700E5" w:rsidRDefault="002C033C">
      <w:pPr>
        <w:keepNext/>
        <w:keepLines/>
      </w:pPr>
      <w:r>
        <w:t>Ak potrebujete akúkoľvek informáciu o tomto lieku, kontaktujte miestneho zástupcu držiteľa rozhodnutia o registrácii:</w:t>
      </w:r>
    </w:p>
    <w:p w14:paraId="4E68110E" w14:textId="77777777" w:rsidR="009700E5" w:rsidRDefault="009700E5">
      <w:pPr>
        <w:keepNext/>
        <w:keepLines/>
      </w:pPr>
    </w:p>
    <w:tbl>
      <w:tblPr>
        <w:tblW w:w="9180" w:type="dxa"/>
        <w:tblLayout w:type="fixed"/>
        <w:tblLook w:val="0000" w:firstRow="0" w:lastRow="0" w:firstColumn="0" w:lastColumn="0" w:noHBand="0" w:noVBand="0"/>
      </w:tblPr>
      <w:tblGrid>
        <w:gridCol w:w="4590"/>
        <w:gridCol w:w="4590"/>
      </w:tblGrid>
      <w:tr w:rsidR="009700E5" w14:paraId="6CEFBAEF" w14:textId="77777777">
        <w:trPr>
          <w:cantSplit/>
          <w:del w:id="5195" w:author="Author" w:date="2025-07-24T11:10:00Z"/>
        </w:trPr>
        <w:tc>
          <w:tcPr>
            <w:tcW w:w="4590" w:type="dxa"/>
          </w:tcPr>
          <w:p w14:paraId="0963131E" w14:textId="77777777" w:rsidR="009700E5" w:rsidRDefault="002C033C">
            <w:pPr>
              <w:ind w:right="-449"/>
              <w:rPr>
                <w:del w:id="5196" w:author="Author" w:date="2025-07-24T11:10:00Z"/>
                <w:b/>
                <w:szCs w:val="22"/>
              </w:rPr>
            </w:pPr>
            <w:del w:id="5197" w:author="Author" w:date="2025-07-24T11:10:00Z">
              <w:r>
                <w:rPr>
                  <w:b/>
                  <w:szCs w:val="22"/>
                </w:rPr>
                <w:delText>België/Belgique/Belgien</w:delText>
              </w:r>
            </w:del>
          </w:p>
          <w:p w14:paraId="38E10EE3" w14:textId="77777777" w:rsidR="009700E5" w:rsidRDefault="009700E5">
            <w:pPr>
              <w:keepNext/>
              <w:keepLines/>
              <w:rPr>
                <w:ins w:id="5198" w:author="Author" w:date="2025-07-24T11:10:00Z"/>
                <w:szCs w:val="22"/>
              </w:rPr>
            </w:pPr>
          </w:p>
          <w:p w14:paraId="2D04DBA7" w14:textId="77777777" w:rsidR="009700E5" w:rsidRDefault="002C033C">
            <w:pPr>
              <w:keepNext/>
              <w:keepLines/>
              <w:rPr>
                <w:del w:id="5199" w:author="Author" w:date="2025-07-24T11:10:00Z"/>
                <w:szCs w:val="22"/>
              </w:rPr>
            </w:pPr>
            <w:del w:id="5200" w:author="Author" w:date="2025-07-24T11:10:00Z">
              <w:r>
                <w:rPr>
                  <w:szCs w:val="22"/>
                </w:rPr>
                <w:delText>N.V. Roche S.A.</w:delText>
              </w:r>
            </w:del>
          </w:p>
          <w:p w14:paraId="2E6B708F" w14:textId="77777777" w:rsidR="009700E5" w:rsidRDefault="002C033C">
            <w:pPr>
              <w:keepNext/>
              <w:keepLines/>
              <w:rPr>
                <w:del w:id="5201" w:author="Author" w:date="2025-07-24T11:10:00Z"/>
                <w:szCs w:val="22"/>
              </w:rPr>
            </w:pPr>
            <w:del w:id="5202" w:author="Author" w:date="2025-07-24T11:10:00Z">
              <w:r>
                <w:rPr>
                  <w:szCs w:val="22"/>
                </w:rPr>
                <w:delText>Tél/Tel: +32 (0) 2 525 82 11</w:delText>
              </w:r>
            </w:del>
          </w:p>
          <w:p w14:paraId="6AC9DE16" w14:textId="77777777" w:rsidR="009700E5" w:rsidRDefault="009700E5">
            <w:pPr>
              <w:keepNext/>
              <w:keepLines/>
              <w:rPr>
                <w:del w:id="5203" w:author="Author" w:date="2025-07-24T11:10:00Z"/>
                <w:b/>
                <w:szCs w:val="22"/>
              </w:rPr>
            </w:pPr>
          </w:p>
        </w:tc>
        <w:tc>
          <w:tcPr>
            <w:tcW w:w="4590" w:type="dxa"/>
          </w:tcPr>
          <w:p w14:paraId="5D59DE69" w14:textId="77777777" w:rsidR="009700E5" w:rsidRDefault="002C033C">
            <w:pPr>
              <w:keepNext/>
              <w:keepLines/>
              <w:suppressAutoHyphens/>
              <w:rPr>
                <w:del w:id="5204" w:author="Author" w:date="2025-07-24T11:10:00Z"/>
                <w:szCs w:val="22"/>
              </w:rPr>
            </w:pPr>
            <w:del w:id="5205" w:author="Author" w:date="2025-07-24T11:10:00Z">
              <w:r>
                <w:rPr>
                  <w:b/>
                  <w:szCs w:val="22"/>
                </w:rPr>
                <w:delText>Luxembourg/Luxemburg</w:delText>
              </w:r>
            </w:del>
          </w:p>
          <w:p w14:paraId="5BB65C0D" w14:textId="77777777" w:rsidR="009700E5" w:rsidRDefault="002C033C">
            <w:pPr>
              <w:keepNext/>
              <w:keepLines/>
              <w:rPr>
                <w:del w:id="5206" w:author="Author" w:date="2025-07-24T11:10:00Z"/>
                <w:szCs w:val="22"/>
              </w:rPr>
            </w:pPr>
            <w:del w:id="5207" w:author="Author" w:date="2025-07-24T11:10:00Z">
              <w:r>
                <w:rPr>
                  <w:szCs w:val="22"/>
                </w:rPr>
                <w:delText>(Voir/siehe Belgique/Belgien)</w:delText>
              </w:r>
            </w:del>
          </w:p>
          <w:p w14:paraId="7DF64CDD" w14:textId="77777777" w:rsidR="009700E5" w:rsidRDefault="009700E5">
            <w:pPr>
              <w:keepNext/>
              <w:keepLines/>
              <w:suppressAutoHyphens/>
              <w:rPr>
                <w:del w:id="5208" w:author="Author" w:date="2025-07-24T11:10:00Z"/>
                <w:b/>
                <w:szCs w:val="22"/>
              </w:rPr>
            </w:pPr>
          </w:p>
        </w:tc>
      </w:tr>
      <w:tr w:rsidR="009700E5" w14:paraId="14DF632E" w14:textId="77777777">
        <w:trPr>
          <w:cantSplit/>
          <w:del w:id="5209" w:author="Author" w:date="2025-07-24T11:10:00Z"/>
        </w:trPr>
        <w:tc>
          <w:tcPr>
            <w:tcW w:w="4590" w:type="dxa"/>
          </w:tcPr>
          <w:p w14:paraId="43E35E62" w14:textId="77777777" w:rsidR="009700E5" w:rsidRDefault="002C033C">
            <w:pPr>
              <w:autoSpaceDE w:val="0"/>
              <w:autoSpaceDN w:val="0"/>
              <w:adjustRightInd w:val="0"/>
              <w:rPr>
                <w:del w:id="5210" w:author="Author" w:date="2025-07-24T11:10:00Z"/>
                <w:b/>
                <w:bCs/>
                <w:szCs w:val="22"/>
              </w:rPr>
            </w:pPr>
            <w:del w:id="5211" w:author="Author" w:date="2025-07-24T11:10:00Z">
              <w:r>
                <w:rPr>
                  <w:b/>
                  <w:bCs/>
                  <w:szCs w:val="22"/>
                </w:rPr>
                <w:delText>България</w:delText>
              </w:r>
            </w:del>
          </w:p>
          <w:p w14:paraId="04A89D50" w14:textId="77777777" w:rsidR="009700E5" w:rsidRDefault="002C033C">
            <w:pPr>
              <w:suppressAutoHyphens/>
              <w:rPr>
                <w:del w:id="5212" w:author="Author" w:date="2025-07-24T11:10:00Z"/>
                <w:szCs w:val="22"/>
              </w:rPr>
            </w:pPr>
            <w:del w:id="5213" w:author="Author" w:date="2025-07-24T11:10:00Z">
              <w:r>
                <w:rPr>
                  <w:szCs w:val="22"/>
                </w:rPr>
                <w:delText>Рош България ЕООД</w:delText>
              </w:r>
            </w:del>
          </w:p>
          <w:p w14:paraId="53A7B305" w14:textId="77777777" w:rsidR="009700E5" w:rsidRDefault="002C033C">
            <w:pPr>
              <w:suppressAutoHyphens/>
              <w:rPr>
                <w:del w:id="5214" w:author="Author" w:date="2025-07-24T11:10:00Z"/>
                <w:szCs w:val="22"/>
              </w:rPr>
            </w:pPr>
            <w:del w:id="5215" w:author="Author" w:date="2025-07-24T11:10:00Z">
              <w:r>
                <w:rPr>
                  <w:szCs w:val="22"/>
                </w:rPr>
                <w:delText>Тел: +359 2 474 5444</w:delText>
              </w:r>
            </w:del>
          </w:p>
          <w:p w14:paraId="638BA00E" w14:textId="77777777" w:rsidR="009700E5" w:rsidRDefault="009700E5">
            <w:pPr>
              <w:suppressAutoHyphens/>
              <w:rPr>
                <w:del w:id="5216" w:author="Author" w:date="2025-07-24T11:10:00Z"/>
                <w:szCs w:val="22"/>
              </w:rPr>
            </w:pPr>
          </w:p>
        </w:tc>
        <w:tc>
          <w:tcPr>
            <w:tcW w:w="4590" w:type="dxa"/>
          </w:tcPr>
          <w:p w14:paraId="7E881FBC" w14:textId="77777777" w:rsidR="009700E5" w:rsidRDefault="002C033C">
            <w:pPr>
              <w:rPr>
                <w:del w:id="5217" w:author="Author" w:date="2025-07-24T11:10:00Z"/>
                <w:b/>
                <w:szCs w:val="22"/>
              </w:rPr>
            </w:pPr>
            <w:del w:id="5218" w:author="Author" w:date="2025-07-24T11:10:00Z">
              <w:r>
                <w:rPr>
                  <w:b/>
                  <w:szCs w:val="22"/>
                </w:rPr>
                <w:delText>Magyarország</w:delText>
              </w:r>
            </w:del>
          </w:p>
          <w:p w14:paraId="473669A8" w14:textId="77777777" w:rsidR="009700E5" w:rsidRDefault="002C033C">
            <w:pPr>
              <w:rPr>
                <w:del w:id="5219" w:author="Author" w:date="2025-07-24T11:10:00Z"/>
                <w:szCs w:val="22"/>
              </w:rPr>
            </w:pPr>
            <w:del w:id="5220" w:author="Author" w:date="2025-07-24T11:10:00Z">
              <w:r>
                <w:rPr>
                  <w:szCs w:val="22"/>
                </w:rPr>
                <w:delText>Roche (Magyarország) Kft.</w:delText>
              </w:r>
            </w:del>
          </w:p>
          <w:p w14:paraId="0D801D56" w14:textId="77777777" w:rsidR="009700E5" w:rsidRDefault="002C033C">
            <w:pPr>
              <w:rPr>
                <w:del w:id="5221" w:author="Author" w:date="2025-07-24T11:10:00Z"/>
                <w:szCs w:val="22"/>
              </w:rPr>
            </w:pPr>
            <w:del w:id="5222" w:author="Author" w:date="2025-07-24T11:10:00Z">
              <w:r>
                <w:rPr>
                  <w:szCs w:val="22"/>
                </w:rPr>
                <w:delText>Tel: +36 - 1 279 4500</w:delText>
              </w:r>
            </w:del>
          </w:p>
          <w:p w14:paraId="06F234C7" w14:textId="77777777" w:rsidR="009700E5" w:rsidRDefault="009700E5">
            <w:pPr>
              <w:rPr>
                <w:del w:id="5223" w:author="Author" w:date="2025-07-24T11:10:00Z"/>
                <w:szCs w:val="22"/>
              </w:rPr>
            </w:pPr>
          </w:p>
        </w:tc>
      </w:tr>
      <w:tr w:rsidR="009700E5" w14:paraId="5058831C" w14:textId="77777777">
        <w:trPr>
          <w:cantSplit/>
          <w:del w:id="5224" w:author="Author" w:date="2025-07-24T11:10:00Z"/>
        </w:trPr>
        <w:tc>
          <w:tcPr>
            <w:tcW w:w="4590" w:type="dxa"/>
          </w:tcPr>
          <w:p w14:paraId="58EC879E" w14:textId="77777777" w:rsidR="009700E5" w:rsidRDefault="002C033C">
            <w:pPr>
              <w:rPr>
                <w:del w:id="5225" w:author="Author" w:date="2025-07-24T11:10:00Z"/>
                <w:b/>
                <w:szCs w:val="22"/>
              </w:rPr>
            </w:pPr>
            <w:del w:id="5226" w:author="Author" w:date="2025-07-24T11:10:00Z">
              <w:r>
                <w:rPr>
                  <w:b/>
                  <w:szCs w:val="22"/>
                </w:rPr>
                <w:delText>Česká republika</w:delText>
              </w:r>
            </w:del>
          </w:p>
          <w:p w14:paraId="051BA32D" w14:textId="77777777" w:rsidR="009700E5" w:rsidRDefault="002C033C">
            <w:pPr>
              <w:rPr>
                <w:del w:id="5227" w:author="Author" w:date="2025-07-24T11:10:00Z"/>
                <w:bCs/>
                <w:szCs w:val="22"/>
              </w:rPr>
            </w:pPr>
            <w:del w:id="5228" w:author="Author" w:date="2025-07-24T11:10:00Z">
              <w:r>
                <w:rPr>
                  <w:bCs/>
                  <w:szCs w:val="22"/>
                </w:rPr>
                <w:delText>Roche s. r. o.</w:delText>
              </w:r>
            </w:del>
          </w:p>
          <w:p w14:paraId="104FA29C" w14:textId="77777777" w:rsidR="009700E5" w:rsidRDefault="002C033C">
            <w:pPr>
              <w:rPr>
                <w:del w:id="5229" w:author="Author" w:date="2025-07-24T11:10:00Z"/>
                <w:szCs w:val="22"/>
              </w:rPr>
            </w:pPr>
            <w:del w:id="5230" w:author="Author" w:date="2025-07-24T11:10:00Z">
              <w:r>
                <w:rPr>
                  <w:szCs w:val="22"/>
                </w:rPr>
                <w:delText>Tel: +420 - 2 20382111</w:delText>
              </w:r>
            </w:del>
          </w:p>
          <w:p w14:paraId="5A1DE30F" w14:textId="77777777" w:rsidR="009700E5" w:rsidRDefault="009700E5">
            <w:pPr>
              <w:rPr>
                <w:del w:id="5231" w:author="Author" w:date="2025-07-24T11:10:00Z"/>
                <w:szCs w:val="22"/>
              </w:rPr>
            </w:pPr>
          </w:p>
        </w:tc>
        <w:tc>
          <w:tcPr>
            <w:tcW w:w="4590" w:type="dxa"/>
          </w:tcPr>
          <w:p w14:paraId="479C8C9E" w14:textId="77777777" w:rsidR="009700E5" w:rsidRDefault="002C033C">
            <w:pPr>
              <w:rPr>
                <w:del w:id="5232" w:author="Author" w:date="2025-07-24T11:10:00Z"/>
                <w:b/>
                <w:szCs w:val="22"/>
              </w:rPr>
            </w:pPr>
            <w:del w:id="5233" w:author="Author" w:date="2025-07-24T11:10:00Z">
              <w:r>
                <w:rPr>
                  <w:b/>
                  <w:szCs w:val="22"/>
                </w:rPr>
                <w:delText>Malta</w:delText>
              </w:r>
            </w:del>
          </w:p>
          <w:p w14:paraId="5BCB5EE4" w14:textId="77777777" w:rsidR="009700E5" w:rsidRDefault="002C033C">
            <w:pPr>
              <w:autoSpaceDE w:val="0"/>
              <w:autoSpaceDN w:val="0"/>
              <w:adjustRightInd w:val="0"/>
              <w:rPr>
                <w:del w:id="5234" w:author="Author" w:date="2025-07-24T11:10:00Z"/>
                <w:szCs w:val="22"/>
              </w:rPr>
            </w:pPr>
            <w:del w:id="5235" w:author="Author" w:date="2025-07-24T11:10:00Z">
              <w:r>
                <w:rPr>
                  <w:szCs w:val="22"/>
                </w:rPr>
                <w:delText>(See Ireland)</w:delText>
              </w:r>
            </w:del>
          </w:p>
          <w:p w14:paraId="24043456" w14:textId="77777777" w:rsidR="009700E5" w:rsidRDefault="009700E5">
            <w:pPr>
              <w:autoSpaceDE w:val="0"/>
              <w:autoSpaceDN w:val="0"/>
              <w:adjustRightInd w:val="0"/>
              <w:rPr>
                <w:del w:id="5236" w:author="Author" w:date="2025-07-24T11:10:00Z"/>
                <w:szCs w:val="22"/>
              </w:rPr>
            </w:pPr>
          </w:p>
        </w:tc>
      </w:tr>
      <w:tr w:rsidR="009700E5" w14:paraId="41E289DA" w14:textId="77777777">
        <w:trPr>
          <w:cantSplit/>
          <w:del w:id="5237" w:author="Author" w:date="2025-07-24T11:10:00Z"/>
        </w:trPr>
        <w:tc>
          <w:tcPr>
            <w:tcW w:w="4590" w:type="dxa"/>
          </w:tcPr>
          <w:p w14:paraId="6EAAA807" w14:textId="77777777" w:rsidR="009700E5" w:rsidRDefault="002C033C">
            <w:pPr>
              <w:rPr>
                <w:del w:id="5238" w:author="Author" w:date="2025-07-24T11:10:00Z"/>
                <w:szCs w:val="22"/>
              </w:rPr>
            </w:pPr>
            <w:del w:id="5239" w:author="Author" w:date="2025-07-24T11:10:00Z">
              <w:r>
                <w:rPr>
                  <w:b/>
                  <w:szCs w:val="22"/>
                </w:rPr>
                <w:delText>Danmark</w:delText>
              </w:r>
            </w:del>
          </w:p>
          <w:p w14:paraId="23FD1319" w14:textId="77777777" w:rsidR="009700E5" w:rsidRDefault="002C033C">
            <w:pPr>
              <w:rPr>
                <w:del w:id="5240" w:author="Author" w:date="2025-07-24T11:10:00Z"/>
                <w:szCs w:val="22"/>
              </w:rPr>
            </w:pPr>
            <w:del w:id="5241" w:author="Author" w:date="2025-07-24T11:10:00Z">
              <w:r>
                <w:rPr>
                  <w:szCs w:val="22"/>
                </w:rPr>
                <w:delText>Roche Pharmaceuticals A/S</w:delText>
              </w:r>
            </w:del>
          </w:p>
          <w:p w14:paraId="3ED277FB" w14:textId="77777777" w:rsidR="009700E5" w:rsidRDefault="002C033C">
            <w:pPr>
              <w:rPr>
                <w:del w:id="5242" w:author="Author" w:date="2025-07-24T11:10:00Z"/>
                <w:szCs w:val="22"/>
              </w:rPr>
            </w:pPr>
            <w:del w:id="5243" w:author="Author" w:date="2025-07-24T11:10:00Z">
              <w:r>
                <w:rPr>
                  <w:szCs w:val="22"/>
                </w:rPr>
                <w:delText>Tlf: +45 - 36 39 99 99</w:delText>
              </w:r>
            </w:del>
          </w:p>
          <w:p w14:paraId="2B51A01E" w14:textId="77777777" w:rsidR="009700E5" w:rsidRDefault="009700E5">
            <w:pPr>
              <w:rPr>
                <w:del w:id="5244" w:author="Author" w:date="2025-07-24T11:10:00Z"/>
                <w:b/>
                <w:szCs w:val="22"/>
              </w:rPr>
            </w:pPr>
          </w:p>
        </w:tc>
        <w:tc>
          <w:tcPr>
            <w:tcW w:w="4590" w:type="dxa"/>
          </w:tcPr>
          <w:p w14:paraId="757860C2" w14:textId="77777777" w:rsidR="009700E5" w:rsidRDefault="002C033C">
            <w:pPr>
              <w:rPr>
                <w:del w:id="5245" w:author="Author" w:date="2025-07-24T11:10:00Z"/>
                <w:szCs w:val="22"/>
              </w:rPr>
            </w:pPr>
            <w:del w:id="5246" w:author="Author" w:date="2025-07-24T11:10:00Z">
              <w:r>
                <w:rPr>
                  <w:b/>
                  <w:szCs w:val="22"/>
                </w:rPr>
                <w:delText>Nederland</w:delText>
              </w:r>
            </w:del>
          </w:p>
          <w:p w14:paraId="2624E5B8" w14:textId="77777777" w:rsidR="009700E5" w:rsidRDefault="002C033C">
            <w:pPr>
              <w:rPr>
                <w:del w:id="5247" w:author="Author" w:date="2025-07-24T11:10:00Z"/>
                <w:szCs w:val="22"/>
              </w:rPr>
            </w:pPr>
            <w:del w:id="5248" w:author="Author" w:date="2025-07-24T11:10:00Z">
              <w:r>
                <w:rPr>
                  <w:szCs w:val="22"/>
                </w:rPr>
                <w:delText>Roche Nederland B.V.</w:delText>
              </w:r>
            </w:del>
          </w:p>
          <w:p w14:paraId="708D8567" w14:textId="77777777" w:rsidR="009700E5" w:rsidRDefault="002C033C">
            <w:pPr>
              <w:rPr>
                <w:del w:id="5249" w:author="Author" w:date="2025-07-24T11:10:00Z"/>
                <w:szCs w:val="22"/>
              </w:rPr>
            </w:pPr>
            <w:del w:id="5250" w:author="Author" w:date="2025-07-24T11:10:00Z">
              <w:r>
                <w:rPr>
                  <w:szCs w:val="22"/>
                </w:rPr>
                <w:delText>Tel: +31 (</w:delText>
              </w:r>
              <w:r>
                <w:rPr>
                  <w:snapToGrid w:val="0"/>
                  <w:szCs w:val="22"/>
                </w:rPr>
                <w:delText>0) 348 438050</w:delText>
              </w:r>
            </w:del>
          </w:p>
          <w:p w14:paraId="0043BE27" w14:textId="77777777" w:rsidR="009700E5" w:rsidRDefault="009700E5">
            <w:pPr>
              <w:rPr>
                <w:del w:id="5251" w:author="Author" w:date="2025-07-24T11:10:00Z"/>
                <w:szCs w:val="22"/>
              </w:rPr>
            </w:pPr>
          </w:p>
        </w:tc>
      </w:tr>
      <w:tr w:rsidR="009700E5" w14:paraId="55870A09" w14:textId="77777777">
        <w:trPr>
          <w:cantSplit/>
          <w:del w:id="5252" w:author="Author" w:date="2025-07-24T11:10:00Z"/>
        </w:trPr>
        <w:tc>
          <w:tcPr>
            <w:tcW w:w="4590" w:type="dxa"/>
          </w:tcPr>
          <w:p w14:paraId="2ACF4611" w14:textId="77777777" w:rsidR="009700E5" w:rsidRDefault="002C033C">
            <w:pPr>
              <w:rPr>
                <w:del w:id="5253" w:author="Author" w:date="2025-07-24T11:10:00Z"/>
                <w:szCs w:val="22"/>
              </w:rPr>
            </w:pPr>
            <w:del w:id="5254" w:author="Author" w:date="2025-07-24T11:10:00Z">
              <w:r>
                <w:rPr>
                  <w:b/>
                  <w:szCs w:val="22"/>
                </w:rPr>
                <w:delText>Deutschland</w:delText>
              </w:r>
            </w:del>
          </w:p>
          <w:p w14:paraId="6CBFC22E" w14:textId="77777777" w:rsidR="009700E5" w:rsidRDefault="002C033C">
            <w:pPr>
              <w:autoSpaceDE w:val="0"/>
              <w:autoSpaceDN w:val="0"/>
              <w:adjustRightInd w:val="0"/>
              <w:rPr>
                <w:del w:id="5255" w:author="Author" w:date="2025-07-24T11:10:00Z"/>
                <w:rFonts w:eastAsia="SimSun"/>
                <w:szCs w:val="22"/>
                <w:lang w:eastAsia="zh-CN"/>
              </w:rPr>
            </w:pPr>
            <w:del w:id="5256" w:author="Author" w:date="2025-07-24T11:10:00Z">
              <w:r>
                <w:rPr>
                  <w:rFonts w:eastAsia="SimSun"/>
                  <w:szCs w:val="22"/>
                  <w:lang w:eastAsia="zh-CN"/>
                </w:rPr>
                <w:delText>Roche Pharma AG</w:delText>
              </w:r>
            </w:del>
          </w:p>
          <w:p w14:paraId="13894DE8" w14:textId="77777777" w:rsidR="009700E5" w:rsidRDefault="002C033C">
            <w:pPr>
              <w:rPr>
                <w:del w:id="5257" w:author="Author" w:date="2025-07-24T11:10:00Z"/>
                <w:szCs w:val="22"/>
              </w:rPr>
            </w:pPr>
            <w:del w:id="5258" w:author="Author" w:date="2025-07-24T11:10:00Z">
              <w:r>
                <w:rPr>
                  <w:rFonts w:eastAsia="SimSun"/>
                  <w:szCs w:val="22"/>
                  <w:lang w:eastAsia="zh-CN"/>
                </w:rPr>
                <w:delText>Tel: +49 (0) 7624 140</w:delText>
              </w:r>
              <w:r>
                <w:rPr>
                  <w:szCs w:val="22"/>
                </w:rPr>
                <w:delText xml:space="preserve"> </w:delText>
              </w:r>
            </w:del>
          </w:p>
          <w:p w14:paraId="157E860A" w14:textId="77777777" w:rsidR="009700E5" w:rsidRDefault="009700E5">
            <w:pPr>
              <w:autoSpaceDE w:val="0"/>
              <w:autoSpaceDN w:val="0"/>
              <w:adjustRightInd w:val="0"/>
              <w:rPr>
                <w:del w:id="5259" w:author="Author" w:date="2025-07-24T11:10:00Z"/>
                <w:b/>
                <w:szCs w:val="22"/>
              </w:rPr>
            </w:pPr>
          </w:p>
        </w:tc>
        <w:tc>
          <w:tcPr>
            <w:tcW w:w="4590" w:type="dxa"/>
          </w:tcPr>
          <w:p w14:paraId="31E8EF6C" w14:textId="77777777" w:rsidR="009700E5" w:rsidRDefault="002C033C">
            <w:pPr>
              <w:rPr>
                <w:del w:id="5260" w:author="Author" w:date="2025-07-24T11:10:00Z"/>
                <w:b/>
                <w:snapToGrid w:val="0"/>
                <w:szCs w:val="22"/>
              </w:rPr>
            </w:pPr>
            <w:del w:id="5261" w:author="Author" w:date="2025-07-24T11:10:00Z">
              <w:r>
                <w:rPr>
                  <w:b/>
                  <w:snapToGrid w:val="0"/>
                  <w:szCs w:val="22"/>
                </w:rPr>
                <w:delText>Norge</w:delText>
              </w:r>
            </w:del>
          </w:p>
          <w:p w14:paraId="5035C824" w14:textId="77777777" w:rsidR="009700E5" w:rsidRDefault="002C033C">
            <w:pPr>
              <w:rPr>
                <w:del w:id="5262" w:author="Author" w:date="2025-07-24T11:10:00Z"/>
                <w:snapToGrid w:val="0"/>
                <w:szCs w:val="22"/>
              </w:rPr>
            </w:pPr>
            <w:del w:id="5263" w:author="Author" w:date="2025-07-24T11:10:00Z">
              <w:r>
                <w:rPr>
                  <w:snapToGrid w:val="0"/>
                  <w:szCs w:val="22"/>
                </w:rPr>
                <w:delText>Roche Norge AS</w:delText>
              </w:r>
            </w:del>
          </w:p>
          <w:p w14:paraId="3A4BF8FA" w14:textId="77777777" w:rsidR="009700E5" w:rsidRDefault="002C033C">
            <w:pPr>
              <w:rPr>
                <w:del w:id="5264" w:author="Author" w:date="2025-07-24T11:10:00Z"/>
                <w:szCs w:val="22"/>
              </w:rPr>
            </w:pPr>
            <w:del w:id="5265" w:author="Author" w:date="2025-07-24T11:10:00Z">
              <w:r>
                <w:rPr>
                  <w:snapToGrid w:val="0"/>
                  <w:szCs w:val="22"/>
                </w:rPr>
                <w:delText>Tlf: +47 - 22 78 90 00</w:delText>
              </w:r>
            </w:del>
          </w:p>
          <w:p w14:paraId="0F9B57E1" w14:textId="77777777" w:rsidR="009700E5" w:rsidRDefault="009700E5">
            <w:pPr>
              <w:rPr>
                <w:del w:id="5266" w:author="Author" w:date="2025-07-24T11:10:00Z"/>
                <w:szCs w:val="22"/>
              </w:rPr>
            </w:pPr>
          </w:p>
        </w:tc>
      </w:tr>
      <w:tr w:rsidR="009700E5" w14:paraId="6E23C1C6" w14:textId="77777777">
        <w:trPr>
          <w:cantSplit/>
          <w:del w:id="5267" w:author="Author" w:date="2025-07-24T11:10:00Z"/>
        </w:trPr>
        <w:tc>
          <w:tcPr>
            <w:tcW w:w="4590" w:type="dxa"/>
          </w:tcPr>
          <w:p w14:paraId="3898D70F" w14:textId="77777777" w:rsidR="009700E5" w:rsidRDefault="002C033C">
            <w:pPr>
              <w:rPr>
                <w:del w:id="5268" w:author="Author" w:date="2025-07-24T11:10:00Z"/>
                <w:b/>
                <w:szCs w:val="22"/>
              </w:rPr>
            </w:pPr>
            <w:del w:id="5269" w:author="Author" w:date="2025-07-24T11:10:00Z">
              <w:r>
                <w:rPr>
                  <w:b/>
                  <w:szCs w:val="22"/>
                </w:rPr>
                <w:delText>Eesti</w:delText>
              </w:r>
            </w:del>
          </w:p>
          <w:p w14:paraId="5A7F217B" w14:textId="77777777" w:rsidR="009700E5" w:rsidRDefault="002C033C">
            <w:pPr>
              <w:rPr>
                <w:del w:id="5270" w:author="Author" w:date="2025-07-24T11:10:00Z"/>
                <w:szCs w:val="22"/>
              </w:rPr>
            </w:pPr>
            <w:del w:id="5271" w:author="Author" w:date="2025-07-24T11:10:00Z">
              <w:r>
                <w:rPr>
                  <w:bCs/>
                  <w:szCs w:val="22"/>
                </w:rPr>
                <w:delText>Roche Eesti OÜ</w:delText>
              </w:r>
            </w:del>
          </w:p>
          <w:p w14:paraId="5A344D04" w14:textId="77777777" w:rsidR="009700E5" w:rsidRDefault="002C033C">
            <w:pPr>
              <w:rPr>
                <w:del w:id="5272" w:author="Author" w:date="2025-07-24T11:10:00Z"/>
                <w:szCs w:val="22"/>
              </w:rPr>
            </w:pPr>
            <w:del w:id="5273" w:author="Author" w:date="2025-07-24T11:10:00Z">
              <w:r>
                <w:rPr>
                  <w:szCs w:val="22"/>
                </w:rPr>
                <w:delText>Tel: + 372 - 6 177 380</w:delText>
              </w:r>
            </w:del>
          </w:p>
          <w:p w14:paraId="237B6A6C" w14:textId="77777777" w:rsidR="009700E5" w:rsidRDefault="009700E5">
            <w:pPr>
              <w:rPr>
                <w:del w:id="5274" w:author="Author" w:date="2025-07-24T11:10:00Z"/>
                <w:szCs w:val="22"/>
              </w:rPr>
            </w:pPr>
          </w:p>
        </w:tc>
        <w:tc>
          <w:tcPr>
            <w:tcW w:w="4590" w:type="dxa"/>
          </w:tcPr>
          <w:p w14:paraId="50AE6E26" w14:textId="77777777" w:rsidR="009700E5" w:rsidRDefault="002C033C">
            <w:pPr>
              <w:rPr>
                <w:del w:id="5275" w:author="Author" w:date="2025-07-24T11:10:00Z"/>
                <w:szCs w:val="22"/>
              </w:rPr>
            </w:pPr>
            <w:del w:id="5276" w:author="Author" w:date="2025-07-24T11:10:00Z">
              <w:r>
                <w:rPr>
                  <w:b/>
                  <w:szCs w:val="22"/>
                </w:rPr>
                <w:delText>Österreich</w:delText>
              </w:r>
            </w:del>
          </w:p>
          <w:p w14:paraId="4EC49B7E" w14:textId="77777777" w:rsidR="009700E5" w:rsidRDefault="002C033C">
            <w:pPr>
              <w:rPr>
                <w:del w:id="5277" w:author="Author" w:date="2025-07-24T11:10:00Z"/>
                <w:szCs w:val="22"/>
              </w:rPr>
            </w:pPr>
            <w:del w:id="5278" w:author="Author" w:date="2025-07-24T11:10:00Z">
              <w:r>
                <w:rPr>
                  <w:szCs w:val="22"/>
                </w:rPr>
                <w:delText>Roche Austria GmbH</w:delText>
              </w:r>
            </w:del>
          </w:p>
          <w:p w14:paraId="678E1BFE" w14:textId="77777777" w:rsidR="009700E5" w:rsidRDefault="002C033C">
            <w:pPr>
              <w:rPr>
                <w:del w:id="5279" w:author="Author" w:date="2025-07-24T11:10:00Z"/>
                <w:szCs w:val="22"/>
              </w:rPr>
            </w:pPr>
            <w:del w:id="5280" w:author="Author" w:date="2025-07-24T11:10:00Z">
              <w:r>
                <w:rPr>
                  <w:szCs w:val="22"/>
                </w:rPr>
                <w:delText>Tel: +43 (0) 1 27739</w:delText>
              </w:r>
            </w:del>
          </w:p>
          <w:p w14:paraId="51D4DCB4" w14:textId="77777777" w:rsidR="009700E5" w:rsidRDefault="009700E5">
            <w:pPr>
              <w:rPr>
                <w:del w:id="5281" w:author="Author" w:date="2025-07-24T11:10:00Z"/>
                <w:szCs w:val="22"/>
              </w:rPr>
            </w:pPr>
          </w:p>
        </w:tc>
      </w:tr>
      <w:tr w:rsidR="009700E5" w14:paraId="342CA4F4" w14:textId="77777777">
        <w:trPr>
          <w:cantSplit/>
          <w:del w:id="5282" w:author="Author" w:date="2025-07-24T11:10:00Z"/>
        </w:trPr>
        <w:tc>
          <w:tcPr>
            <w:tcW w:w="4590" w:type="dxa"/>
          </w:tcPr>
          <w:p w14:paraId="6CCDC7B5" w14:textId="77777777" w:rsidR="009700E5" w:rsidRDefault="002C033C">
            <w:pPr>
              <w:rPr>
                <w:del w:id="5283" w:author="Author" w:date="2025-07-24T11:10:00Z"/>
                <w:szCs w:val="22"/>
              </w:rPr>
            </w:pPr>
            <w:del w:id="5284" w:author="Author" w:date="2025-07-24T11:10:00Z">
              <w:r>
                <w:rPr>
                  <w:b/>
                  <w:szCs w:val="22"/>
                </w:rPr>
                <w:delText>Ελλάδα</w:delText>
              </w:r>
            </w:del>
          </w:p>
          <w:p w14:paraId="2D73517B" w14:textId="77777777" w:rsidR="009700E5" w:rsidRDefault="002C033C">
            <w:pPr>
              <w:rPr>
                <w:del w:id="5285" w:author="Author" w:date="2025-07-24T11:10:00Z"/>
                <w:szCs w:val="22"/>
              </w:rPr>
            </w:pPr>
            <w:del w:id="5286" w:author="Author" w:date="2025-07-24T11:10:00Z">
              <w:r>
                <w:rPr>
                  <w:szCs w:val="22"/>
                </w:rPr>
                <w:delText xml:space="preserve">Roche (Hellas) A.E. </w:delText>
              </w:r>
            </w:del>
          </w:p>
          <w:p w14:paraId="3C09B6B9" w14:textId="77777777" w:rsidR="009700E5" w:rsidRDefault="002C033C">
            <w:pPr>
              <w:rPr>
                <w:del w:id="5287" w:author="Author" w:date="2025-07-24T11:10:00Z"/>
                <w:szCs w:val="22"/>
              </w:rPr>
            </w:pPr>
            <w:del w:id="5288" w:author="Author" w:date="2025-07-24T11:10:00Z">
              <w:r>
                <w:rPr>
                  <w:szCs w:val="22"/>
                </w:rPr>
                <w:delText>Τηλ: +30 210 61 66 100</w:delText>
              </w:r>
            </w:del>
          </w:p>
          <w:p w14:paraId="5BB3A548" w14:textId="77777777" w:rsidR="009700E5" w:rsidRDefault="009700E5">
            <w:pPr>
              <w:rPr>
                <w:del w:id="5289" w:author="Author" w:date="2025-07-24T11:10:00Z"/>
                <w:szCs w:val="22"/>
              </w:rPr>
            </w:pPr>
          </w:p>
        </w:tc>
        <w:tc>
          <w:tcPr>
            <w:tcW w:w="4590" w:type="dxa"/>
          </w:tcPr>
          <w:p w14:paraId="15D89F57" w14:textId="77777777" w:rsidR="009700E5" w:rsidRDefault="002C033C">
            <w:pPr>
              <w:rPr>
                <w:del w:id="5290" w:author="Author" w:date="2025-07-24T11:10:00Z"/>
                <w:b/>
                <w:szCs w:val="22"/>
              </w:rPr>
            </w:pPr>
            <w:del w:id="5291" w:author="Author" w:date="2025-07-24T11:10:00Z">
              <w:r>
                <w:rPr>
                  <w:b/>
                  <w:szCs w:val="22"/>
                </w:rPr>
                <w:delText>Polska</w:delText>
              </w:r>
            </w:del>
          </w:p>
          <w:p w14:paraId="32657A76" w14:textId="77777777" w:rsidR="009700E5" w:rsidRDefault="002C033C">
            <w:pPr>
              <w:rPr>
                <w:del w:id="5292" w:author="Author" w:date="2025-07-24T11:10:00Z"/>
                <w:szCs w:val="22"/>
              </w:rPr>
            </w:pPr>
            <w:del w:id="5293" w:author="Author" w:date="2025-07-24T11:10:00Z">
              <w:r>
                <w:rPr>
                  <w:szCs w:val="22"/>
                </w:rPr>
                <w:delText>Roche Polska Sp.z o.o.</w:delText>
              </w:r>
            </w:del>
          </w:p>
          <w:p w14:paraId="7A17E0FF" w14:textId="77777777" w:rsidR="009700E5" w:rsidRDefault="002C033C">
            <w:pPr>
              <w:rPr>
                <w:del w:id="5294" w:author="Author" w:date="2025-07-24T11:10:00Z"/>
                <w:szCs w:val="22"/>
              </w:rPr>
            </w:pPr>
            <w:del w:id="5295" w:author="Author" w:date="2025-07-24T11:10:00Z">
              <w:r>
                <w:rPr>
                  <w:szCs w:val="22"/>
                </w:rPr>
                <w:delText>Tel: +48 - 22 345 18 88</w:delText>
              </w:r>
            </w:del>
          </w:p>
          <w:p w14:paraId="011F9891" w14:textId="77777777" w:rsidR="009700E5" w:rsidRDefault="009700E5">
            <w:pPr>
              <w:rPr>
                <w:del w:id="5296" w:author="Author" w:date="2025-07-24T11:10:00Z"/>
                <w:szCs w:val="22"/>
              </w:rPr>
            </w:pPr>
          </w:p>
        </w:tc>
      </w:tr>
      <w:tr w:rsidR="009700E5" w14:paraId="103FDB63" w14:textId="77777777">
        <w:trPr>
          <w:cantSplit/>
          <w:del w:id="5297" w:author="Author" w:date="2025-07-24T11:10:00Z"/>
        </w:trPr>
        <w:tc>
          <w:tcPr>
            <w:tcW w:w="4590" w:type="dxa"/>
          </w:tcPr>
          <w:p w14:paraId="2FC0F9E9" w14:textId="77777777" w:rsidR="009700E5" w:rsidRDefault="002C033C">
            <w:pPr>
              <w:rPr>
                <w:del w:id="5298" w:author="Author" w:date="2025-07-24T11:10:00Z"/>
                <w:b/>
                <w:szCs w:val="22"/>
              </w:rPr>
            </w:pPr>
            <w:del w:id="5299" w:author="Author" w:date="2025-07-24T11:10:00Z">
              <w:r>
                <w:rPr>
                  <w:b/>
                  <w:szCs w:val="22"/>
                </w:rPr>
                <w:delText>España</w:delText>
              </w:r>
            </w:del>
          </w:p>
          <w:p w14:paraId="194039C0" w14:textId="77777777" w:rsidR="009700E5" w:rsidRDefault="002C033C">
            <w:pPr>
              <w:rPr>
                <w:del w:id="5300" w:author="Author" w:date="2025-07-24T11:10:00Z"/>
                <w:szCs w:val="22"/>
              </w:rPr>
            </w:pPr>
            <w:del w:id="5301" w:author="Author" w:date="2025-07-24T11:10:00Z">
              <w:r>
                <w:rPr>
                  <w:szCs w:val="22"/>
                </w:rPr>
                <w:delText>Roche Farma S.A.</w:delText>
              </w:r>
            </w:del>
          </w:p>
          <w:p w14:paraId="4FF42B44" w14:textId="77777777" w:rsidR="009700E5" w:rsidRDefault="002C033C">
            <w:pPr>
              <w:rPr>
                <w:del w:id="5302" w:author="Author" w:date="2025-07-24T11:10:00Z"/>
                <w:szCs w:val="22"/>
              </w:rPr>
            </w:pPr>
            <w:del w:id="5303" w:author="Author" w:date="2025-07-24T11:10:00Z">
              <w:r>
                <w:rPr>
                  <w:szCs w:val="22"/>
                </w:rPr>
                <w:delText>Tel: +34 - 91 324 81 00</w:delText>
              </w:r>
            </w:del>
          </w:p>
          <w:p w14:paraId="652CADD9" w14:textId="77777777" w:rsidR="009700E5" w:rsidRDefault="009700E5">
            <w:pPr>
              <w:rPr>
                <w:del w:id="5304" w:author="Author" w:date="2025-07-24T11:10:00Z"/>
                <w:szCs w:val="22"/>
              </w:rPr>
            </w:pPr>
          </w:p>
        </w:tc>
        <w:tc>
          <w:tcPr>
            <w:tcW w:w="4590" w:type="dxa"/>
          </w:tcPr>
          <w:p w14:paraId="7E1653C4" w14:textId="77777777" w:rsidR="009700E5" w:rsidRDefault="002C033C">
            <w:pPr>
              <w:rPr>
                <w:del w:id="5305" w:author="Author" w:date="2025-07-24T11:10:00Z"/>
                <w:szCs w:val="22"/>
              </w:rPr>
            </w:pPr>
            <w:del w:id="5306" w:author="Author" w:date="2025-07-24T11:10:00Z">
              <w:r>
                <w:rPr>
                  <w:b/>
                  <w:szCs w:val="22"/>
                </w:rPr>
                <w:delText>Portugal</w:delText>
              </w:r>
            </w:del>
          </w:p>
          <w:p w14:paraId="399882A9" w14:textId="77777777" w:rsidR="009700E5" w:rsidRDefault="002C033C">
            <w:pPr>
              <w:rPr>
                <w:del w:id="5307" w:author="Author" w:date="2025-07-24T11:10:00Z"/>
                <w:szCs w:val="22"/>
              </w:rPr>
            </w:pPr>
            <w:del w:id="5308" w:author="Author" w:date="2025-07-24T11:10:00Z">
              <w:r>
                <w:rPr>
                  <w:szCs w:val="22"/>
                </w:rPr>
                <w:delText>Roche Farmacêutica Química, Lda</w:delText>
              </w:r>
            </w:del>
          </w:p>
          <w:p w14:paraId="2AD95BFF" w14:textId="77777777" w:rsidR="009700E5" w:rsidRDefault="002C033C">
            <w:pPr>
              <w:rPr>
                <w:del w:id="5309" w:author="Author" w:date="2025-07-24T11:10:00Z"/>
                <w:szCs w:val="22"/>
              </w:rPr>
            </w:pPr>
            <w:del w:id="5310" w:author="Author" w:date="2025-07-24T11:10:00Z">
              <w:r>
                <w:rPr>
                  <w:szCs w:val="22"/>
                </w:rPr>
                <w:delText>Tel: +351 - 21 425 70 00</w:delText>
              </w:r>
            </w:del>
          </w:p>
          <w:p w14:paraId="6FAB0DDD" w14:textId="77777777" w:rsidR="009700E5" w:rsidRDefault="009700E5">
            <w:pPr>
              <w:rPr>
                <w:del w:id="5311" w:author="Author" w:date="2025-07-24T11:10:00Z"/>
                <w:szCs w:val="22"/>
              </w:rPr>
            </w:pPr>
          </w:p>
        </w:tc>
      </w:tr>
      <w:tr w:rsidR="009700E5" w14:paraId="05D524B5" w14:textId="77777777">
        <w:trPr>
          <w:cantSplit/>
          <w:del w:id="5312" w:author="Author" w:date="2025-07-24T11:10:00Z"/>
        </w:trPr>
        <w:tc>
          <w:tcPr>
            <w:tcW w:w="4590" w:type="dxa"/>
          </w:tcPr>
          <w:p w14:paraId="7CD0216E" w14:textId="77777777" w:rsidR="009700E5" w:rsidRDefault="002C033C">
            <w:pPr>
              <w:rPr>
                <w:del w:id="5313" w:author="Author" w:date="2025-07-24T11:10:00Z"/>
                <w:szCs w:val="22"/>
              </w:rPr>
            </w:pPr>
            <w:del w:id="5314" w:author="Author" w:date="2025-07-24T11:10:00Z">
              <w:r>
                <w:rPr>
                  <w:b/>
                  <w:szCs w:val="22"/>
                </w:rPr>
                <w:delText>France</w:delText>
              </w:r>
            </w:del>
          </w:p>
          <w:p w14:paraId="579F6934" w14:textId="77777777" w:rsidR="009700E5" w:rsidRDefault="002C033C">
            <w:pPr>
              <w:autoSpaceDE w:val="0"/>
              <w:autoSpaceDN w:val="0"/>
              <w:adjustRightInd w:val="0"/>
              <w:rPr>
                <w:del w:id="5315" w:author="Author" w:date="2025-07-24T11:10:00Z"/>
                <w:rFonts w:eastAsia="SimSun"/>
                <w:szCs w:val="22"/>
                <w:lang w:eastAsia="zh-CN"/>
              </w:rPr>
            </w:pPr>
            <w:del w:id="5316" w:author="Author" w:date="2025-07-24T11:10:00Z">
              <w:r>
                <w:rPr>
                  <w:rFonts w:eastAsia="SimSun"/>
                  <w:szCs w:val="22"/>
                  <w:lang w:eastAsia="zh-CN"/>
                </w:rPr>
                <w:delText>Roche</w:delText>
              </w:r>
            </w:del>
          </w:p>
          <w:p w14:paraId="1993CDA1" w14:textId="77777777" w:rsidR="009700E5" w:rsidRDefault="002C033C">
            <w:pPr>
              <w:rPr>
                <w:del w:id="5317" w:author="Author" w:date="2025-07-24T11:10:00Z"/>
                <w:szCs w:val="22"/>
              </w:rPr>
            </w:pPr>
            <w:del w:id="5318" w:author="Author" w:date="2025-07-24T11:10:00Z">
              <w:r>
                <w:rPr>
                  <w:rFonts w:eastAsia="SimSun"/>
                  <w:szCs w:val="22"/>
                  <w:lang w:eastAsia="zh-CN"/>
                </w:rPr>
                <w:delText>Tél: +33 (0)</w:delText>
              </w:r>
              <w:r>
                <w:rPr>
                  <w:szCs w:val="22"/>
                </w:rPr>
                <w:delText>1 47 61 40 00</w:delText>
              </w:r>
            </w:del>
          </w:p>
          <w:p w14:paraId="564455E1" w14:textId="77777777" w:rsidR="009700E5" w:rsidRDefault="009700E5">
            <w:pPr>
              <w:autoSpaceDE w:val="0"/>
              <w:autoSpaceDN w:val="0"/>
              <w:adjustRightInd w:val="0"/>
              <w:rPr>
                <w:del w:id="5319" w:author="Author" w:date="2025-07-24T11:10:00Z"/>
                <w:b/>
                <w:szCs w:val="22"/>
              </w:rPr>
            </w:pPr>
          </w:p>
          <w:p w14:paraId="169F8204" w14:textId="77777777" w:rsidR="009700E5" w:rsidRDefault="002C033C">
            <w:pPr>
              <w:rPr>
                <w:del w:id="5320" w:author="Author" w:date="2025-07-24T11:10:00Z"/>
                <w:b/>
                <w:szCs w:val="22"/>
              </w:rPr>
            </w:pPr>
            <w:del w:id="5321" w:author="Author" w:date="2025-07-24T11:10:00Z">
              <w:r>
                <w:rPr>
                  <w:b/>
                  <w:szCs w:val="22"/>
                </w:rPr>
                <w:delText>Hrvatska</w:delText>
              </w:r>
            </w:del>
          </w:p>
          <w:p w14:paraId="004B8ECD" w14:textId="77777777" w:rsidR="009700E5" w:rsidRDefault="002C033C">
            <w:pPr>
              <w:rPr>
                <w:del w:id="5322" w:author="Author" w:date="2025-07-24T11:10:00Z"/>
                <w:szCs w:val="22"/>
              </w:rPr>
            </w:pPr>
            <w:del w:id="5323" w:author="Author" w:date="2025-07-24T11:10:00Z">
              <w:r>
                <w:rPr>
                  <w:szCs w:val="22"/>
                </w:rPr>
                <w:delText>Roche d.o.o</w:delText>
              </w:r>
            </w:del>
          </w:p>
          <w:p w14:paraId="6DB1FC8D" w14:textId="77777777" w:rsidR="009700E5" w:rsidRDefault="002C033C">
            <w:pPr>
              <w:autoSpaceDE w:val="0"/>
              <w:autoSpaceDN w:val="0"/>
              <w:adjustRightInd w:val="0"/>
              <w:rPr>
                <w:del w:id="5324" w:author="Author" w:date="2025-07-24T11:10:00Z"/>
                <w:b/>
                <w:szCs w:val="22"/>
              </w:rPr>
            </w:pPr>
            <w:del w:id="5325" w:author="Author" w:date="2025-07-24T11:10:00Z">
              <w:r>
                <w:rPr>
                  <w:szCs w:val="22"/>
                </w:rPr>
                <w:delText>Tel: +385 1 47 22 333</w:delText>
              </w:r>
            </w:del>
          </w:p>
        </w:tc>
        <w:tc>
          <w:tcPr>
            <w:tcW w:w="4590" w:type="dxa"/>
          </w:tcPr>
          <w:p w14:paraId="6032A243" w14:textId="77777777" w:rsidR="009700E5" w:rsidRDefault="002C033C">
            <w:pPr>
              <w:tabs>
                <w:tab w:val="left" w:pos="-720"/>
                <w:tab w:val="left" w:pos="567"/>
                <w:tab w:val="left" w:pos="4536"/>
              </w:tabs>
              <w:suppressAutoHyphens/>
              <w:spacing w:line="260" w:lineRule="exact"/>
              <w:rPr>
                <w:del w:id="5326" w:author="Author" w:date="2025-07-24T11:10:00Z"/>
                <w:b/>
                <w:szCs w:val="22"/>
              </w:rPr>
            </w:pPr>
            <w:del w:id="5327" w:author="Author" w:date="2025-07-24T11:10:00Z">
              <w:r>
                <w:rPr>
                  <w:b/>
                  <w:szCs w:val="22"/>
                </w:rPr>
                <w:delText>România</w:delText>
              </w:r>
            </w:del>
          </w:p>
          <w:p w14:paraId="1187C1EE" w14:textId="77777777" w:rsidR="009700E5" w:rsidRDefault="002C033C">
            <w:pPr>
              <w:tabs>
                <w:tab w:val="left" w:pos="-720"/>
                <w:tab w:val="left" w:pos="4536"/>
              </w:tabs>
              <w:suppressAutoHyphens/>
              <w:rPr>
                <w:del w:id="5328" w:author="Author" w:date="2025-07-24T11:10:00Z"/>
                <w:szCs w:val="22"/>
              </w:rPr>
            </w:pPr>
            <w:del w:id="5329" w:author="Author" w:date="2025-07-24T11:10:00Z">
              <w:r>
                <w:rPr>
                  <w:szCs w:val="22"/>
                </w:rPr>
                <w:delText>Roche România S.R.L.</w:delText>
              </w:r>
            </w:del>
          </w:p>
          <w:p w14:paraId="202775EB" w14:textId="77777777" w:rsidR="009700E5" w:rsidRDefault="002C033C">
            <w:pPr>
              <w:tabs>
                <w:tab w:val="left" w:pos="-720"/>
                <w:tab w:val="left" w:pos="4536"/>
              </w:tabs>
              <w:suppressAutoHyphens/>
              <w:rPr>
                <w:del w:id="5330" w:author="Author" w:date="2025-07-24T11:10:00Z"/>
                <w:szCs w:val="22"/>
              </w:rPr>
            </w:pPr>
            <w:del w:id="5331" w:author="Author" w:date="2025-07-24T11:10:00Z">
              <w:r>
                <w:rPr>
                  <w:szCs w:val="22"/>
                </w:rPr>
                <w:delText>Tel: +40 21 206 47 01</w:delText>
              </w:r>
            </w:del>
          </w:p>
          <w:p w14:paraId="24E38387" w14:textId="77777777" w:rsidR="009700E5" w:rsidRDefault="009700E5">
            <w:pPr>
              <w:tabs>
                <w:tab w:val="left" w:pos="-720"/>
                <w:tab w:val="left" w:pos="4536"/>
              </w:tabs>
              <w:suppressAutoHyphens/>
              <w:rPr>
                <w:del w:id="5332" w:author="Author" w:date="2025-07-24T11:10:00Z"/>
                <w:szCs w:val="22"/>
              </w:rPr>
            </w:pPr>
          </w:p>
          <w:p w14:paraId="47398CA3" w14:textId="77777777" w:rsidR="009700E5" w:rsidRDefault="009700E5">
            <w:pPr>
              <w:tabs>
                <w:tab w:val="left" w:pos="-720"/>
                <w:tab w:val="left" w:pos="4536"/>
              </w:tabs>
              <w:suppressAutoHyphens/>
              <w:rPr>
                <w:del w:id="5333" w:author="Author" w:date="2025-07-24T11:10:00Z"/>
                <w:szCs w:val="22"/>
              </w:rPr>
            </w:pPr>
          </w:p>
        </w:tc>
      </w:tr>
      <w:tr w:rsidR="009700E5" w14:paraId="420E9BB7" w14:textId="77777777">
        <w:trPr>
          <w:cantSplit/>
          <w:del w:id="5334" w:author="Author" w:date="2025-07-24T11:10:00Z"/>
        </w:trPr>
        <w:tc>
          <w:tcPr>
            <w:tcW w:w="4590" w:type="dxa"/>
          </w:tcPr>
          <w:p w14:paraId="5CEDDEE9" w14:textId="77777777" w:rsidR="009700E5" w:rsidRDefault="009700E5">
            <w:pPr>
              <w:rPr>
                <w:del w:id="5335" w:author="Author" w:date="2025-07-24T11:10:00Z"/>
                <w:b/>
                <w:szCs w:val="22"/>
              </w:rPr>
            </w:pPr>
          </w:p>
          <w:p w14:paraId="2C8D8276" w14:textId="77777777" w:rsidR="009700E5" w:rsidRDefault="002C033C">
            <w:pPr>
              <w:rPr>
                <w:del w:id="5336" w:author="Author" w:date="2025-07-24T11:10:00Z"/>
                <w:b/>
                <w:szCs w:val="22"/>
              </w:rPr>
            </w:pPr>
            <w:del w:id="5337" w:author="Author" w:date="2025-07-24T11:10:00Z">
              <w:r>
                <w:rPr>
                  <w:b/>
                  <w:szCs w:val="22"/>
                </w:rPr>
                <w:delText>Ireland</w:delText>
              </w:r>
            </w:del>
          </w:p>
          <w:p w14:paraId="4BD2BF56" w14:textId="77777777" w:rsidR="009700E5" w:rsidRDefault="002C033C">
            <w:pPr>
              <w:rPr>
                <w:del w:id="5338" w:author="Author" w:date="2025-07-24T11:10:00Z"/>
                <w:szCs w:val="22"/>
              </w:rPr>
            </w:pPr>
            <w:del w:id="5339" w:author="Author" w:date="2025-07-24T11:10:00Z">
              <w:r>
                <w:rPr>
                  <w:szCs w:val="22"/>
                </w:rPr>
                <w:delText>Roche Products (Ireland) Ltd.</w:delText>
              </w:r>
            </w:del>
          </w:p>
          <w:p w14:paraId="6F03113E" w14:textId="77777777" w:rsidR="009700E5" w:rsidRDefault="002C033C">
            <w:pPr>
              <w:rPr>
                <w:del w:id="5340" w:author="Author" w:date="2025-07-24T11:10:00Z"/>
                <w:szCs w:val="22"/>
              </w:rPr>
            </w:pPr>
            <w:del w:id="5341" w:author="Author" w:date="2025-07-24T11:10:00Z">
              <w:r>
                <w:rPr>
                  <w:szCs w:val="22"/>
                </w:rPr>
                <w:delText>Tel: +353 (0) 1 469 0700</w:delText>
              </w:r>
            </w:del>
          </w:p>
          <w:p w14:paraId="63B970E8" w14:textId="77777777" w:rsidR="009700E5" w:rsidRDefault="009700E5">
            <w:pPr>
              <w:rPr>
                <w:del w:id="5342" w:author="Author" w:date="2025-07-24T11:10:00Z"/>
                <w:szCs w:val="22"/>
              </w:rPr>
            </w:pPr>
          </w:p>
        </w:tc>
        <w:tc>
          <w:tcPr>
            <w:tcW w:w="4590" w:type="dxa"/>
          </w:tcPr>
          <w:p w14:paraId="5C2D5802" w14:textId="77777777" w:rsidR="009700E5" w:rsidRDefault="002C033C">
            <w:pPr>
              <w:rPr>
                <w:del w:id="5343" w:author="Author" w:date="2025-07-24T11:10:00Z"/>
                <w:b/>
                <w:szCs w:val="22"/>
              </w:rPr>
            </w:pPr>
            <w:del w:id="5344" w:author="Author" w:date="2025-07-24T11:10:00Z">
              <w:r>
                <w:rPr>
                  <w:b/>
                  <w:szCs w:val="22"/>
                </w:rPr>
                <w:delText>Slovenija</w:delText>
              </w:r>
            </w:del>
          </w:p>
          <w:p w14:paraId="52963BDD" w14:textId="77777777" w:rsidR="009700E5" w:rsidRDefault="002C033C">
            <w:pPr>
              <w:rPr>
                <w:del w:id="5345" w:author="Author" w:date="2025-07-24T11:10:00Z"/>
                <w:szCs w:val="22"/>
              </w:rPr>
            </w:pPr>
            <w:del w:id="5346" w:author="Author" w:date="2025-07-24T11:10:00Z">
              <w:r>
                <w:rPr>
                  <w:szCs w:val="22"/>
                </w:rPr>
                <w:delText>Roche farmacevtska družba d.o.o.</w:delText>
              </w:r>
            </w:del>
          </w:p>
          <w:p w14:paraId="68835FC7" w14:textId="77777777" w:rsidR="009700E5" w:rsidRDefault="002C033C">
            <w:pPr>
              <w:rPr>
                <w:del w:id="5347" w:author="Author" w:date="2025-07-24T11:10:00Z"/>
                <w:rFonts w:eastAsia="MS Mincho"/>
                <w:szCs w:val="22"/>
              </w:rPr>
            </w:pPr>
            <w:del w:id="5348" w:author="Author" w:date="2025-07-24T11:10:00Z">
              <w:r>
                <w:rPr>
                  <w:rFonts w:eastAsia="MS Mincho"/>
                  <w:szCs w:val="22"/>
                </w:rPr>
                <w:delText>Tel: +386 - 1 360 26 00</w:delText>
              </w:r>
            </w:del>
          </w:p>
          <w:p w14:paraId="12FE54F9" w14:textId="77777777" w:rsidR="009700E5" w:rsidRDefault="009700E5">
            <w:pPr>
              <w:rPr>
                <w:del w:id="5349" w:author="Author" w:date="2025-07-24T11:10:00Z"/>
                <w:szCs w:val="22"/>
              </w:rPr>
            </w:pPr>
          </w:p>
        </w:tc>
      </w:tr>
      <w:tr w:rsidR="009700E5" w14:paraId="2D0F6C95" w14:textId="77777777">
        <w:trPr>
          <w:cantSplit/>
          <w:del w:id="5350" w:author="Author" w:date="2025-07-24T11:10:00Z"/>
        </w:trPr>
        <w:tc>
          <w:tcPr>
            <w:tcW w:w="4590" w:type="dxa"/>
          </w:tcPr>
          <w:p w14:paraId="45788B5B" w14:textId="77777777" w:rsidR="009700E5" w:rsidRDefault="002C033C">
            <w:pPr>
              <w:tabs>
                <w:tab w:val="left" w:pos="720"/>
              </w:tabs>
              <w:rPr>
                <w:del w:id="5351" w:author="Author" w:date="2025-07-24T11:10:00Z"/>
                <w:b/>
                <w:snapToGrid w:val="0"/>
                <w:szCs w:val="22"/>
              </w:rPr>
            </w:pPr>
            <w:del w:id="5352" w:author="Author" w:date="2025-07-24T11:10:00Z">
              <w:r>
                <w:rPr>
                  <w:b/>
                  <w:snapToGrid w:val="0"/>
                  <w:szCs w:val="22"/>
                </w:rPr>
                <w:lastRenderedPageBreak/>
                <w:delText>Ísland</w:delText>
              </w:r>
            </w:del>
          </w:p>
          <w:p w14:paraId="3C86EDA9" w14:textId="77777777" w:rsidR="009700E5" w:rsidRDefault="002C033C">
            <w:pPr>
              <w:tabs>
                <w:tab w:val="left" w:pos="720"/>
              </w:tabs>
              <w:rPr>
                <w:del w:id="5353" w:author="Author" w:date="2025-07-24T11:10:00Z"/>
                <w:snapToGrid w:val="0"/>
                <w:szCs w:val="22"/>
              </w:rPr>
            </w:pPr>
            <w:del w:id="5354" w:author="Author" w:date="2025-07-24T11:10:00Z">
              <w:r>
                <w:rPr>
                  <w:snapToGrid w:val="0"/>
                  <w:szCs w:val="22"/>
                </w:rPr>
                <w:delText xml:space="preserve">Roche </w:delText>
              </w:r>
              <w:r>
                <w:rPr>
                  <w:szCs w:val="22"/>
                </w:rPr>
                <w:delText>Pharmaceuticals A/S</w:delText>
              </w:r>
            </w:del>
          </w:p>
          <w:p w14:paraId="1F5850CD" w14:textId="77777777" w:rsidR="009700E5" w:rsidRDefault="002C033C">
            <w:pPr>
              <w:tabs>
                <w:tab w:val="left" w:pos="720"/>
              </w:tabs>
              <w:rPr>
                <w:del w:id="5355" w:author="Author" w:date="2025-07-24T11:10:00Z"/>
                <w:snapToGrid w:val="0"/>
                <w:szCs w:val="22"/>
              </w:rPr>
            </w:pPr>
            <w:del w:id="5356" w:author="Author" w:date="2025-07-24T11:10:00Z">
              <w:r>
                <w:rPr>
                  <w:szCs w:val="22"/>
                </w:rPr>
                <w:delText>c/o Icepharma hf</w:delText>
              </w:r>
            </w:del>
          </w:p>
          <w:p w14:paraId="1A208B3D" w14:textId="77777777" w:rsidR="009700E5" w:rsidRPr="009700E5" w:rsidRDefault="002C033C">
            <w:pPr>
              <w:rPr>
                <w:del w:id="5357" w:author="Author" w:date="2025-07-24T11:10:00Z"/>
                <w:snapToGrid w:val="0"/>
                <w:szCs w:val="22"/>
                <w:rPrChange w:id="5358" w:author="Author" w:date="2025-08-22T15:12:00Z">
                  <w:rPr>
                    <w:del w:id="5359" w:author="Author" w:date="2025-07-24T11:10:00Z"/>
                    <w:rFonts w:ascii="Arial" w:hAnsi="Arial"/>
                    <w:snapToGrid w:val="0"/>
                  </w:rPr>
                </w:rPrChange>
              </w:rPr>
            </w:pPr>
            <w:del w:id="5360" w:author="Author" w:date="2025-07-24T11:10:00Z">
              <w:r>
                <w:rPr>
                  <w:szCs w:val="22"/>
                </w:rPr>
                <w:delText>Sími</w:delText>
              </w:r>
              <w:r>
                <w:rPr>
                  <w:snapToGrid w:val="0"/>
                  <w:szCs w:val="22"/>
                </w:rPr>
                <w:delText>: +354 540 8000</w:delText>
              </w:r>
            </w:del>
          </w:p>
          <w:p w14:paraId="6D8A5090" w14:textId="77777777" w:rsidR="009700E5" w:rsidRDefault="009700E5">
            <w:pPr>
              <w:tabs>
                <w:tab w:val="left" w:pos="720"/>
              </w:tabs>
              <w:autoSpaceDE w:val="0"/>
              <w:autoSpaceDN w:val="0"/>
              <w:adjustRightInd w:val="0"/>
              <w:rPr>
                <w:del w:id="5361" w:author="Author" w:date="2025-07-24T11:10:00Z"/>
                <w:b/>
                <w:szCs w:val="22"/>
              </w:rPr>
            </w:pPr>
          </w:p>
        </w:tc>
        <w:tc>
          <w:tcPr>
            <w:tcW w:w="4590" w:type="dxa"/>
          </w:tcPr>
          <w:p w14:paraId="6E41A75C" w14:textId="77777777" w:rsidR="009700E5" w:rsidRDefault="002C033C">
            <w:pPr>
              <w:rPr>
                <w:del w:id="5362" w:author="Author" w:date="2025-07-24T11:10:00Z"/>
                <w:b/>
                <w:szCs w:val="22"/>
              </w:rPr>
            </w:pPr>
            <w:del w:id="5363" w:author="Author" w:date="2025-07-24T11:10:00Z">
              <w:r>
                <w:rPr>
                  <w:b/>
                  <w:szCs w:val="22"/>
                </w:rPr>
                <w:delText>Slovenská republika</w:delText>
              </w:r>
            </w:del>
          </w:p>
          <w:p w14:paraId="67BE68C9" w14:textId="77777777" w:rsidR="009700E5" w:rsidRDefault="002C033C">
            <w:pPr>
              <w:rPr>
                <w:del w:id="5364" w:author="Author" w:date="2025-07-24T11:10:00Z"/>
                <w:szCs w:val="22"/>
              </w:rPr>
            </w:pPr>
            <w:del w:id="5365" w:author="Author" w:date="2025-07-24T11:10:00Z">
              <w:r>
                <w:rPr>
                  <w:szCs w:val="22"/>
                </w:rPr>
                <w:delText>Roche Slovensko, s.r.o.</w:delText>
              </w:r>
            </w:del>
          </w:p>
          <w:p w14:paraId="0EC6C44F" w14:textId="77777777" w:rsidR="009700E5" w:rsidRDefault="002C033C">
            <w:pPr>
              <w:rPr>
                <w:del w:id="5366" w:author="Author" w:date="2025-07-24T11:10:00Z"/>
                <w:szCs w:val="22"/>
              </w:rPr>
            </w:pPr>
            <w:del w:id="5367" w:author="Author" w:date="2025-07-24T11:10:00Z">
              <w:r>
                <w:rPr>
                  <w:szCs w:val="22"/>
                </w:rPr>
                <w:delText>Tel: +421 - 2 52638201</w:delText>
              </w:r>
            </w:del>
          </w:p>
          <w:p w14:paraId="7A65C3A4" w14:textId="77777777" w:rsidR="009700E5" w:rsidRDefault="009700E5">
            <w:pPr>
              <w:rPr>
                <w:del w:id="5368" w:author="Author" w:date="2025-07-24T11:10:00Z"/>
                <w:b/>
                <w:szCs w:val="22"/>
              </w:rPr>
            </w:pPr>
          </w:p>
        </w:tc>
      </w:tr>
      <w:tr w:rsidR="009700E5" w14:paraId="26A71287" w14:textId="77777777">
        <w:trPr>
          <w:cantSplit/>
          <w:del w:id="5369" w:author="Author" w:date="2025-07-24T11:10:00Z"/>
        </w:trPr>
        <w:tc>
          <w:tcPr>
            <w:tcW w:w="4590" w:type="dxa"/>
          </w:tcPr>
          <w:p w14:paraId="43C5494D" w14:textId="77777777" w:rsidR="009700E5" w:rsidRDefault="002C033C">
            <w:pPr>
              <w:rPr>
                <w:del w:id="5370" w:author="Author" w:date="2025-07-24T11:10:00Z"/>
                <w:szCs w:val="22"/>
              </w:rPr>
            </w:pPr>
            <w:del w:id="5371" w:author="Author" w:date="2025-07-24T11:10:00Z">
              <w:r>
                <w:rPr>
                  <w:b/>
                  <w:szCs w:val="22"/>
                </w:rPr>
                <w:delText>Italia</w:delText>
              </w:r>
            </w:del>
          </w:p>
          <w:p w14:paraId="0299D928" w14:textId="77777777" w:rsidR="009700E5" w:rsidRDefault="002C033C">
            <w:pPr>
              <w:rPr>
                <w:del w:id="5372" w:author="Author" w:date="2025-07-24T11:10:00Z"/>
                <w:szCs w:val="22"/>
              </w:rPr>
            </w:pPr>
            <w:del w:id="5373" w:author="Author" w:date="2025-07-24T11:10:00Z">
              <w:r>
                <w:rPr>
                  <w:szCs w:val="22"/>
                </w:rPr>
                <w:delText>Roche S.p.A.</w:delText>
              </w:r>
            </w:del>
          </w:p>
          <w:p w14:paraId="632C8043" w14:textId="77777777" w:rsidR="009700E5" w:rsidRDefault="002C033C">
            <w:pPr>
              <w:rPr>
                <w:del w:id="5374" w:author="Author" w:date="2025-07-24T11:10:00Z"/>
                <w:b/>
                <w:szCs w:val="22"/>
              </w:rPr>
            </w:pPr>
            <w:del w:id="5375" w:author="Author" w:date="2025-07-24T11:10:00Z">
              <w:r>
                <w:rPr>
                  <w:szCs w:val="22"/>
                </w:rPr>
                <w:delText>Tel: +39 - 039 2471</w:delText>
              </w:r>
            </w:del>
          </w:p>
        </w:tc>
        <w:tc>
          <w:tcPr>
            <w:tcW w:w="4590" w:type="dxa"/>
          </w:tcPr>
          <w:p w14:paraId="3D41750A" w14:textId="77777777" w:rsidR="009700E5" w:rsidRDefault="002C033C">
            <w:pPr>
              <w:rPr>
                <w:del w:id="5376" w:author="Author" w:date="2025-07-24T11:10:00Z"/>
                <w:b/>
                <w:szCs w:val="22"/>
              </w:rPr>
            </w:pPr>
            <w:del w:id="5377" w:author="Author" w:date="2025-07-24T11:10:00Z">
              <w:r>
                <w:rPr>
                  <w:b/>
                  <w:szCs w:val="22"/>
                </w:rPr>
                <w:delText>Suomi/Finland</w:delText>
              </w:r>
            </w:del>
          </w:p>
          <w:p w14:paraId="1333E44A" w14:textId="77777777" w:rsidR="009700E5" w:rsidRDefault="002C033C">
            <w:pPr>
              <w:rPr>
                <w:del w:id="5378" w:author="Author" w:date="2025-07-24T11:10:00Z"/>
                <w:snapToGrid w:val="0"/>
                <w:szCs w:val="22"/>
              </w:rPr>
            </w:pPr>
            <w:del w:id="5379" w:author="Author" w:date="2025-07-24T11:10:00Z">
              <w:r>
                <w:rPr>
                  <w:szCs w:val="22"/>
                </w:rPr>
                <w:delText>Roche Oy</w:delText>
              </w:r>
              <w:r>
                <w:rPr>
                  <w:snapToGrid w:val="0"/>
                  <w:szCs w:val="22"/>
                </w:rPr>
                <w:delText xml:space="preserve"> </w:delText>
              </w:r>
            </w:del>
          </w:p>
          <w:p w14:paraId="48C9B4B0" w14:textId="77777777" w:rsidR="009700E5" w:rsidRDefault="002C033C">
            <w:pPr>
              <w:rPr>
                <w:del w:id="5380" w:author="Author" w:date="2025-07-24T11:10:00Z"/>
                <w:szCs w:val="22"/>
              </w:rPr>
            </w:pPr>
            <w:del w:id="5381" w:author="Author" w:date="2025-07-24T11:10:00Z">
              <w:r>
                <w:rPr>
                  <w:szCs w:val="22"/>
                </w:rPr>
                <w:delText>Puh/Tel: +358 (0) 10 554 500</w:delText>
              </w:r>
            </w:del>
          </w:p>
          <w:p w14:paraId="7D259A8D" w14:textId="77777777" w:rsidR="009700E5" w:rsidRDefault="009700E5">
            <w:pPr>
              <w:rPr>
                <w:del w:id="5382" w:author="Author" w:date="2025-07-24T11:10:00Z"/>
                <w:szCs w:val="22"/>
              </w:rPr>
            </w:pPr>
          </w:p>
        </w:tc>
      </w:tr>
      <w:tr w:rsidR="009700E5" w14:paraId="1CE23C9D" w14:textId="77777777">
        <w:trPr>
          <w:cantSplit/>
          <w:del w:id="5383" w:author="Author" w:date="2025-07-24T11:10:00Z"/>
        </w:trPr>
        <w:tc>
          <w:tcPr>
            <w:tcW w:w="4590" w:type="dxa"/>
          </w:tcPr>
          <w:p w14:paraId="727E8FE5" w14:textId="77777777" w:rsidR="009700E5" w:rsidRPr="009700E5" w:rsidRDefault="002C033C">
            <w:pPr>
              <w:rPr>
                <w:del w:id="5384" w:author="Author" w:date="2025-07-24T11:10:00Z"/>
                <w:szCs w:val="22"/>
                <w:rPrChange w:id="5385" w:author="Author" w:date="2025-08-22T15:12:00Z">
                  <w:rPr>
                    <w:del w:id="5386" w:author="Author" w:date="2025-07-24T11:10:00Z"/>
                    <w:rFonts w:ascii="Arial" w:hAnsi="Arial" w:cs="Arial"/>
                    <w:sz w:val="20"/>
                  </w:rPr>
                </w:rPrChange>
              </w:rPr>
            </w:pPr>
            <w:del w:id="5387" w:author="Author" w:date="2025-07-24T11:10:00Z">
              <w:r>
                <w:rPr>
                  <w:b/>
                  <w:szCs w:val="22"/>
                </w:rPr>
                <w:delText>Kύπρος</w:delText>
              </w:r>
            </w:del>
          </w:p>
          <w:p w14:paraId="7C632FA3" w14:textId="77777777" w:rsidR="009700E5" w:rsidRDefault="002C033C">
            <w:pPr>
              <w:pStyle w:val="Standard1"/>
              <w:rPr>
                <w:del w:id="5388" w:author="Author" w:date="2025-07-24T11:10:00Z"/>
                <w:rFonts w:ascii="Times New Roman" w:hAnsi="Times New Roman"/>
                <w:noProof/>
                <w:sz w:val="22"/>
                <w:szCs w:val="22"/>
                <w:lang w:val="sk-SK"/>
              </w:rPr>
            </w:pPr>
            <w:del w:id="5389" w:author="Author" w:date="2025-07-24T11:10:00Z">
              <w:r>
                <w:rPr>
                  <w:rFonts w:ascii="Times New Roman" w:hAnsi="Times New Roman"/>
                  <w:noProof/>
                  <w:sz w:val="22"/>
                  <w:szCs w:val="22"/>
                  <w:lang w:val="sk-SK"/>
                </w:rPr>
                <w:delText>Roche (Hellas) A.E.</w:delText>
              </w:r>
            </w:del>
          </w:p>
          <w:p w14:paraId="04276C57" w14:textId="77777777" w:rsidR="009700E5" w:rsidRDefault="002C033C">
            <w:pPr>
              <w:rPr>
                <w:del w:id="5390" w:author="Author" w:date="2025-07-24T11:10:00Z"/>
                <w:szCs w:val="22"/>
              </w:rPr>
            </w:pPr>
            <w:del w:id="5391" w:author="Author" w:date="2025-07-24T11:10:00Z">
              <w:r>
                <w:rPr>
                  <w:szCs w:val="22"/>
                </w:rPr>
                <w:delText>Τηλ: +30 210 61 66 100</w:delText>
              </w:r>
            </w:del>
          </w:p>
          <w:p w14:paraId="7773FD46" w14:textId="77777777" w:rsidR="009700E5" w:rsidRDefault="009700E5">
            <w:pPr>
              <w:rPr>
                <w:del w:id="5392" w:author="Author" w:date="2025-07-24T11:10:00Z"/>
                <w:szCs w:val="22"/>
              </w:rPr>
            </w:pPr>
          </w:p>
        </w:tc>
        <w:tc>
          <w:tcPr>
            <w:tcW w:w="4590" w:type="dxa"/>
          </w:tcPr>
          <w:p w14:paraId="37C8650F" w14:textId="77777777" w:rsidR="009700E5" w:rsidRDefault="002C033C">
            <w:pPr>
              <w:rPr>
                <w:del w:id="5393" w:author="Author" w:date="2025-07-24T11:10:00Z"/>
                <w:szCs w:val="22"/>
              </w:rPr>
            </w:pPr>
            <w:del w:id="5394" w:author="Author" w:date="2025-07-24T11:10:00Z">
              <w:r>
                <w:rPr>
                  <w:b/>
                  <w:szCs w:val="22"/>
                </w:rPr>
                <w:delText>Sverige</w:delText>
              </w:r>
            </w:del>
          </w:p>
          <w:p w14:paraId="1DD9C964" w14:textId="77777777" w:rsidR="009700E5" w:rsidRDefault="002C033C">
            <w:pPr>
              <w:rPr>
                <w:del w:id="5395" w:author="Author" w:date="2025-07-24T11:10:00Z"/>
                <w:szCs w:val="22"/>
              </w:rPr>
            </w:pPr>
            <w:del w:id="5396" w:author="Author" w:date="2025-07-24T11:10:00Z">
              <w:r>
                <w:rPr>
                  <w:szCs w:val="22"/>
                </w:rPr>
                <w:delText>Roche AB</w:delText>
              </w:r>
            </w:del>
          </w:p>
          <w:p w14:paraId="470FCC1B" w14:textId="77777777" w:rsidR="009700E5" w:rsidRDefault="002C033C">
            <w:pPr>
              <w:suppressAutoHyphens/>
              <w:rPr>
                <w:del w:id="5397" w:author="Author" w:date="2025-07-24T11:10:00Z"/>
                <w:szCs w:val="22"/>
              </w:rPr>
            </w:pPr>
            <w:del w:id="5398" w:author="Author" w:date="2025-07-24T11:10:00Z">
              <w:r>
                <w:rPr>
                  <w:szCs w:val="22"/>
                </w:rPr>
                <w:delText>Tel: +46 (0) 8 726 1200</w:delText>
              </w:r>
            </w:del>
          </w:p>
          <w:p w14:paraId="44160C4A" w14:textId="77777777" w:rsidR="009700E5" w:rsidRDefault="009700E5">
            <w:pPr>
              <w:rPr>
                <w:del w:id="5399" w:author="Author" w:date="2025-07-24T11:10:00Z"/>
                <w:szCs w:val="22"/>
              </w:rPr>
            </w:pPr>
          </w:p>
        </w:tc>
      </w:tr>
      <w:tr w:rsidR="009700E5" w14:paraId="45F2752E" w14:textId="77777777">
        <w:trPr>
          <w:cantSplit/>
          <w:del w:id="5400" w:author="Author" w:date="2025-07-24T11:10:00Z"/>
        </w:trPr>
        <w:tc>
          <w:tcPr>
            <w:tcW w:w="4590" w:type="dxa"/>
          </w:tcPr>
          <w:p w14:paraId="2E3C22AF" w14:textId="77777777" w:rsidR="009700E5" w:rsidRDefault="002C033C">
            <w:pPr>
              <w:rPr>
                <w:del w:id="5401" w:author="Author" w:date="2025-07-24T11:10:00Z"/>
                <w:b/>
                <w:szCs w:val="22"/>
              </w:rPr>
            </w:pPr>
            <w:del w:id="5402" w:author="Author" w:date="2025-07-24T11:10:00Z">
              <w:r>
                <w:rPr>
                  <w:b/>
                  <w:szCs w:val="22"/>
                </w:rPr>
                <w:delText>Latvija</w:delText>
              </w:r>
            </w:del>
          </w:p>
          <w:p w14:paraId="540B70A2" w14:textId="77777777" w:rsidR="009700E5" w:rsidRDefault="002C033C">
            <w:pPr>
              <w:rPr>
                <w:del w:id="5403" w:author="Author" w:date="2025-07-24T11:10:00Z"/>
                <w:szCs w:val="22"/>
              </w:rPr>
            </w:pPr>
            <w:del w:id="5404" w:author="Author" w:date="2025-07-24T11:10:00Z">
              <w:r>
                <w:rPr>
                  <w:bCs/>
                  <w:szCs w:val="22"/>
                </w:rPr>
                <w:delText>Roche Latvija SIA</w:delText>
              </w:r>
            </w:del>
          </w:p>
          <w:p w14:paraId="55ECE79E" w14:textId="77777777" w:rsidR="009700E5" w:rsidRDefault="002C033C">
            <w:pPr>
              <w:rPr>
                <w:del w:id="5405" w:author="Author" w:date="2025-07-24T11:10:00Z"/>
                <w:szCs w:val="22"/>
              </w:rPr>
            </w:pPr>
            <w:del w:id="5406" w:author="Author" w:date="2025-07-24T11:10:00Z">
              <w:r>
                <w:rPr>
                  <w:szCs w:val="22"/>
                </w:rPr>
                <w:delText>Tel: +371 - 6 7039831</w:delText>
              </w:r>
            </w:del>
          </w:p>
          <w:p w14:paraId="7C7E8065" w14:textId="77777777" w:rsidR="009700E5" w:rsidRDefault="009700E5">
            <w:pPr>
              <w:rPr>
                <w:del w:id="5407" w:author="Author" w:date="2025-07-24T11:10:00Z"/>
                <w:b/>
                <w:szCs w:val="22"/>
              </w:rPr>
            </w:pPr>
          </w:p>
        </w:tc>
        <w:tc>
          <w:tcPr>
            <w:tcW w:w="4590" w:type="dxa"/>
          </w:tcPr>
          <w:p w14:paraId="1C10A764" w14:textId="77777777" w:rsidR="009700E5" w:rsidRDefault="009700E5">
            <w:pPr>
              <w:rPr>
                <w:del w:id="5408" w:author="Author" w:date="2025-07-24T11:10:00Z"/>
                <w:szCs w:val="22"/>
              </w:rPr>
            </w:pPr>
          </w:p>
        </w:tc>
      </w:tr>
      <w:tr w:rsidR="009700E5" w14:paraId="1B0BFAFD" w14:textId="77777777">
        <w:trPr>
          <w:cantSplit/>
          <w:del w:id="5409" w:author="Author" w:date="2025-07-24T11:10:00Z"/>
        </w:trPr>
        <w:tc>
          <w:tcPr>
            <w:tcW w:w="4590" w:type="dxa"/>
          </w:tcPr>
          <w:p w14:paraId="018634FD" w14:textId="77777777" w:rsidR="009700E5" w:rsidRDefault="002C033C">
            <w:pPr>
              <w:suppressAutoHyphens/>
              <w:rPr>
                <w:del w:id="5410" w:author="Author" w:date="2025-07-24T11:10:00Z"/>
                <w:b/>
                <w:szCs w:val="22"/>
              </w:rPr>
            </w:pPr>
            <w:del w:id="5411" w:author="Author" w:date="2025-07-24T11:10:00Z">
              <w:r>
                <w:rPr>
                  <w:b/>
                  <w:szCs w:val="22"/>
                </w:rPr>
                <w:delText>Lietuva</w:delText>
              </w:r>
            </w:del>
          </w:p>
          <w:p w14:paraId="14AB8822" w14:textId="77777777" w:rsidR="009700E5" w:rsidRDefault="002C033C">
            <w:pPr>
              <w:suppressAutoHyphens/>
              <w:rPr>
                <w:del w:id="5412" w:author="Author" w:date="2025-07-24T11:10:00Z"/>
                <w:szCs w:val="22"/>
              </w:rPr>
            </w:pPr>
            <w:del w:id="5413" w:author="Author" w:date="2025-07-24T11:10:00Z">
              <w:r>
                <w:rPr>
                  <w:szCs w:val="22"/>
                </w:rPr>
                <w:delText>UAB “Roche Lietuva”</w:delText>
              </w:r>
            </w:del>
          </w:p>
          <w:p w14:paraId="13923900" w14:textId="77777777" w:rsidR="009700E5" w:rsidRDefault="002C033C">
            <w:pPr>
              <w:suppressAutoHyphens/>
              <w:rPr>
                <w:del w:id="5414" w:author="Author" w:date="2025-07-24T11:10:00Z"/>
                <w:szCs w:val="22"/>
              </w:rPr>
            </w:pPr>
            <w:del w:id="5415" w:author="Author" w:date="2025-07-24T11:10:00Z">
              <w:r>
                <w:rPr>
                  <w:szCs w:val="22"/>
                </w:rPr>
                <w:delText>Tel: +370 5 2546799</w:delText>
              </w:r>
            </w:del>
          </w:p>
          <w:p w14:paraId="6BA18043" w14:textId="77777777" w:rsidR="009700E5" w:rsidRDefault="009700E5">
            <w:pPr>
              <w:rPr>
                <w:del w:id="5416" w:author="Author" w:date="2025-07-24T11:10:00Z"/>
                <w:szCs w:val="22"/>
              </w:rPr>
            </w:pPr>
          </w:p>
        </w:tc>
        <w:tc>
          <w:tcPr>
            <w:tcW w:w="4590" w:type="dxa"/>
          </w:tcPr>
          <w:p w14:paraId="2DC288EF" w14:textId="77777777" w:rsidR="009700E5" w:rsidRDefault="009700E5">
            <w:pPr>
              <w:suppressAutoHyphens/>
              <w:rPr>
                <w:del w:id="5417" w:author="Author" w:date="2025-07-24T11:10:00Z"/>
                <w:szCs w:val="22"/>
              </w:rPr>
            </w:pPr>
          </w:p>
        </w:tc>
      </w:tr>
      <w:tr w:rsidR="009700E5" w14:paraId="31F2A98E" w14:textId="77777777">
        <w:trPr>
          <w:cantSplit/>
          <w:ins w:id="5418" w:author="Author" w:date="2025-07-24T11:10:00Z"/>
        </w:trPr>
        <w:tc>
          <w:tcPr>
            <w:tcW w:w="4590" w:type="dxa"/>
          </w:tcPr>
          <w:p w14:paraId="35A87E4C" w14:textId="77777777" w:rsidR="009700E5" w:rsidRPr="009700E5" w:rsidRDefault="002C033C">
            <w:pPr>
              <w:pStyle w:val="Standard1"/>
              <w:rPr>
                <w:ins w:id="5419" w:author="Author" w:date="2025-07-24T11:10:00Z"/>
                <w:rFonts w:ascii="Times New Roman" w:hAnsi="Times New Roman"/>
                <w:b/>
                <w:noProof/>
                <w:sz w:val="22"/>
                <w:szCs w:val="22"/>
                <w:lang w:val="sk-SK"/>
                <w:rPrChange w:id="5420" w:author="Author" w:date="2025-08-22T15:12:00Z">
                  <w:rPr>
                    <w:ins w:id="5421" w:author="Author" w:date="2025-07-24T11:10:00Z"/>
                    <w:b/>
                    <w:lang w:val="de-CH"/>
                  </w:rPr>
                </w:rPrChange>
              </w:rPr>
            </w:pPr>
            <w:ins w:id="5422" w:author="Author" w:date="2025-07-24T11:10:00Z">
              <w:r>
                <w:rPr>
                  <w:rFonts w:ascii="Times New Roman" w:hAnsi="Times New Roman"/>
                  <w:b/>
                  <w:noProof/>
                  <w:sz w:val="22"/>
                  <w:szCs w:val="22"/>
                  <w:lang w:val="sk-SK"/>
                  <w:rPrChange w:id="5423" w:author="Author" w:date="2025-08-22T15:12:00Z">
                    <w:rPr>
                      <w:b/>
                      <w:lang w:val="de-CH"/>
                    </w:rPr>
                  </w:rPrChange>
                </w:rPr>
                <w:t>België/Belgique/Belgien</w:t>
              </w:r>
              <w:r>
                <w:rPr>
                  <w:rFonts w:ascii="Times New Roman" w:hAnsi="Times New Roman"/>
                  <w:b/>
                  <w:noProof/>
                  <w:sz w:val="22"/>
                  <w:szCs w:val="22"/>
                  <w:lang w:val="sk-SK"/>
                  <w:rPrChange w:id="5424" w:author="Author" w:date="2025-08-22T15:12:00Z">
                    <w:rPr>
                      <w:b/>
                      <w:szCs w:val="22"/>
                      <w:lang w:val="de-CH"/>
                    </w:rPr>
                  </w:rPrChange>
                </w:rPr>
                <w:t>,</w:t>
              </w:r>
            </w:ins>
          </w:p>
          <w:p w14:paraId="1C0200E7" w14:textId="77777777" w:rsidR="009700E5" w:rsidRPr="009700E5" w:rsidRDefault="002C033C">
            <w:pPr>
              <w:pStyle w:val="Standard1"/>
              <w:suppressAutoHyphens/>
              <w:rPr>
                <w:ins w:id="5425" w:author="Author" w:date="2025-07-24T11:10:00Z"/>
                <w:rFonts w:ascii="Times New Roman" w:hAnsi="Times New Roman"/>
                <w:noProof/>
                <w:sz w:val="22"/>
                <w:szCs w:val="22"/>
                <w:lang w:val="sk-SK"/>
                <w:rPrChange w:id="5426" w:author="Author" w:date="2025-08-22T15:12:00Z">
                  <w:rPr>
                    <w:ins w:id="5427" w:author="Author" w:date="2025-07-24T11:10:00Z"/>
                    <w:lang w:val="de-CH"/>
                  </w:rPr>
                </w:rPrChange>
              </w:rPr>
            </w:pPr>
            <w:ins w:id="5428" w:author="Author" w:date="2025-07-24T11:10:00Z">
              <w:r>
                <w:rPr>
                  <w:rFonts w:ascii="Times New Roman" w:hAnsi="Times New Roman"/>
                  <w:b/>
                  <w:noProof/>
                  <w:sz w:val="22"/>
                  <w:szCs w:val="22"/>
                  <w:lang w:val="sk-SK"/>
                  <w:rPrChange w:id="5429" w:author="Author" w:date="2025-08-22T15:12:00Z">
                    <w:rPr>
                      <w:b/>
                      <w:lang w:val="de-DE"/>
                    </w:rPr>
                  </w:rPrChange>
                </w:rPr>
                <w:t>Luxembourg/Luxemburg</w:t>
              </w:r>
            </w:ins>
          </w:p>
          <w:p w14:paraId="13E968D9" w14:textId="77777777" w:rsidR="009700E5" w:rsidRPr="009700E5" w:rsidRDefault="002C033C">
            <w:pPr>
              <w:pStyle w:val="Standard1"/>
              <w:rPr>
                <w:ins w:id="5430" w:author="Author" w:date="2025-07-24T11:10:00Z"/>
                <w:rFonts w:ascii="Times New Roman" w:hAnsi="Times New Roman"/>
                <w:noProof/>
                <w:sz w:val="22"/>
                <w:szCs w:val="22"/>
                <w:lang w:val="sk-SK"/>
                <w:rPrChange w:id="5431" w:author="Author" w:date="2025-08-22T15:12:00Z">
                  <w:rPr>
                    <w:ins w:id="5432" w:author="Author" w:date="2025-07-24T11:10:00Z"/>
                    <w:lang w:val="de-CH"/>
                  </w:rPr>
                </w:rPrChange>
              </w:rPr>
            </w:pPr>
            <w:ins w:id="5433" w:author="Author" w:date="2025-07-24T11:10:00Z">
              <w:r>
                <w:rPr>
                  <w:rFonts w:ascii="Times New Roman" w:hAnsi="Times New Roman"/>
                  <w:noProof/>
                  <w:sz w:val="22"/>
                  <w:szCs w:val="22"/>
                  <w:lang w:val="sk-SK"/>
                  <w:rPrChange w:id="5434" w:author="Author" w:date="2025-08-22T15:12:00Z">
                    <w:rPr>
                      <w:lang w:val="de-CH"/>
                    </w:rPr>
                  </w:rPrChange>
                </w:rPr>
                <w:t>N.V. Roche S.A.</w:t>
              </w:r>
            </w:ins>
          </w:p>
          <w:p w14:paraId="7C6818E2" w14:textId="77777777" w:rsidR="009700E5" w:rsidRPr="009700E5" w:rsidRDefault="002C033C">
            <w:pPr>
              <w:pStyle w:val="Standard1"/>
              <w:rPr>
                <w:ins w:id="5435" w:author="Author" w:date="2025-07-24T11:10:00Z"/>
                <w:rFonts w:ascii="Times New Roman" w:hAnsi="Times New Roman"/>
                <w:noProof/>
                <w:sz w:val="22"/>
                <w:szCs w:val="22"/>
                <w:lang w:val="sk-SK"/>
                <w:rPrChange w:id="5436" w:author="Author" w:date="2025-08-22T15:12:00Z">
                  <w:rPr>
                    <w:ins w:id="5437" w:author="Author" w:date="2025-07-24T11:10:00Z"/>
                    <w:szCs w:val="22"/>
                  </w:rPr>
                </w:rPrChange>
              </w:rPr>
            </w:pPr>
            <w:ins w:id="5438" w:author="Author" w:date="2025-07-24T11:10:00Z">
              <w:r>
                <w:rPr>
                  <w:rFonts w:ascii="Times New Roman" w:hAnsi="Times New Roman"/>
                  <w:bCs/>
                  <w:noProof/>
                  <w:sz w:val="22"/>
                  <w:szCs w:val="22"/>
                  <w:lang w:val="sk-SK"/>
                  <w:rPrChange w:id="5439" w:author="Author" w:date="2025-08-22T15:12:00Z">
                    <w:rPr>
                      <w:bCs/>
                      <w:noProof/>
                      <w:szCs w:val="22"/>
                    </w:rPr>
                  </w:rPrChange>
                </w:rPr>
                <w:t>België/Belgique/Belgien</w:t>
              </w:r>
            </w:ins>
          </w:p>
          <w:p w14:paraId="408F7DF4" w14:textId="77777777" w:rsidR="009700E5" w:rsidRPr="009700E5" w:rsidRDefault="002C033C">
            <w:pPr>
              <w:pStyle w:val="Standard1"/>
              <w:rPr>
                <w:ins w:id="5440" w:author="Author" w:date="2025-07-24T11:10:00Z"/>
                <w:rFonts w:ascii="Times New Roman" w:hAnsi="Times New Roman"/>
                <w:noProof/>
                <w:sz w:val="22"/>
                <w:szCs w:val="22"/>
                <w:lang w:val="sk-SK"/>
                <w:rPrChange w:id="5441" w:author="Author" w:date="2025-08-22T15:12:00Z">
                  <w:rPr>
                    <w:ins w:id="5442" w:author="Author" w:date="2025-07-24T11:10:00Z"/>
                  </w:rPr>
                </w:rPrChange>
              </w:rPr>
            </w:pPr>
            <w:ins w:id="5443" w:author="Author" w:date="2025-07-24T11:10:00Z">
              <w:r>
                <w:rPr>
                  <w:rFonts w:ascii="Times New Roman" w:hAnsi="Times New Roman"/>
                  <w:noProof/>
                  <w:sz w:val="22"/>
                  <w:szCs w:val="22"/>
                  <w:lang w:val="sk-SK"/>
                  <w:rPrChange w:id="5444" w:author="Author" w:date="2025-08-22T15:12:00Z">
                    <w:rPr/>
                  </w:rPrChange>
                </w:rPr>
                <w:t>Tél/Tel: +32 (0) 2 525 82 11</w:t>
              </w:r>
            </w:ins>
          </w:p>
          <w:p w14:paraId="5BDFCA30" w14:textId="77777777" w:rsidR="009700E5" w:rsidRPr="009700E5" w:rsidRDefault="009700E5">
            <w:pPr>
              <w:pStyle w:val="Standard1"/>
              <w:rPr>
                <w:ins w:id="5445" w:author="Author" w:date="2025-07-24T11:10:00Z"/>
                <w:rFonts w:ascii="Times New Roman" w:hAnsi="Times New Roman"/>
                <w:b/>
                <w:noProof/>
                <w:sz w:val="22"/>
                <w:szCs w:val="22"/>
                <w:lang w:val="sk-SK"/>
                <w:rPrChange w:id="5446" w:author="Author" w:date="2025-08-22T15:12:00Z">
                  <w:rPr>
                    <w:ins w:id="5447" w:author="Author" w:date="2025-07-24T11:10:00Z"/>
                    <w:b/>
                  </w:rPr>
                </w:rPrChange>
              </w:rPr>
            </w:pPr>
          </w:p>
        </w:tc>
        <w:tc>
          <w:tcPr>
            <w:tcW w:w="4590" w:type="dxa"/>
          </w:tcPr>
          <w:p w14:paraId="335C7765" w14:textId="77777777" w:rsidR="009700E5" w:rsidRPr="009700E5" w:rsidRDefault="002C033C">
            <w:pPr>
              <w:pStyle w:val="Standard1"/>
              <w:rPr>
                <w:ins w:id="5448" w:author="Author" w:date="2025-07-24T11:10:00Z"/>
                <w:rFonts w:ascii="Times New Roman" w:hAnsi="Times New Roman"/>
                <w:b/>
                <w:noProof/>
                <w:sz w:val="22"/>
                <w:szCs w:val="22"/>
                <w:lang w:val="sk-SK"/>
                <w:rPrChange w:id="5449" w:author="Author" w:date="2025-08-22T15:12:00Z">
                  <w:rPr>
                    <w:ins w:id="5450" w:author="Author" w:date="2025-07-24T11:10:00Z"/>
                    <w:b/>
                    <w:noProof/>
                    <w:szCs w:val="22"/>
                    <w:lang w:val="it-IT"/>
                  </w:rPr>
                </w:rPrChange>
              </w:rPr>
            </w:pPr>
            <w:ins w:id="5451" w:author="Author" w:date="2025-07-24T11:10:00Z">
              <w:r>
                <w:rPr>
                  <w:rFonts w:ascii="Times New Roman" w:hAnsi="Times New Roman"/>
                  <w:b/>
                  <w:noProof/>
                  <w:sz w:val="22"/>
                  <w:szCs w:val="22"/>
                  <w:lang w:val="sk-SK"/>
                  <w:rPrChange w:id="5452" w:author="Author" w:date="2025-08-22T15:12:00Z">
                    <w:rPr>
                      <w:b/>
                      <w:noProof/>
                      <w:szCs w:val="22"/>
                      <w:lang w:val="it-IT"/>
                    </w:rPr>
                  </w:rPrChange>
                </w:rPr>
                <w:t>Latvija</w:t>
              </w:r>
            </w:ins>
          </w:p>
          <w:p w14:paraId="7D5D1D01" w14:textId="77777777" w:rsidR="009700E5" w:rsidRPr="009700E5" w:rsidRDefault="002C033C">
            <w:pPr>
              <w:pStyle w:val="Standard1"/>
              <w:rPr>
                <w:ins w:id="5453" w:author="Author" w:date="2025-07-24T11:10:00Z"/>
                <w:rFonts w:ascii="Times New Roman" w:hAnsi="Times New Roman"/>
                <w:noProof/>
                <w:sz w:val="22"/>
                <w:szCs w:val="22"/>
                <w:lang w:val="sk-SK"/>
                <w:rPrChange w:id="5454" w:author="Author" w:date="2025-08-22T15:12:00Z">
                  <w:rPr>
                    <w:ins w:id="5455" w:author="Author" w:date="2025-07-24T11:10:00Z"/>
                    <w:noProof/>
                    <w:szCs w:val="22"/>
                    <w:lang w:val="it-IT"/>
                  </w:rPr>
                </w:rPrChange>
              </w:rPr>
            </w:pPr>
            <w:ins w:id="5456" w:author="Author" w:date="2025-07-24T11:10:00Z">
              <w:r>
                <w:rPr>
                  <w:rFonts w:ascii="Times New Roman" w:hAnsi="Times New Roman"/>
                  <w:bCs/>
                  <w:noProof/>
                  <w:sz w:val="22"/>
                  <w:szCs w:val="22"/>
                  <w:lang w:val="sk-SK"/>
                  <w:rPrChange w:id="5457" w:author="Author" w:date="2025-08-22T15:12:00Z">
                    <w:rPr>
                      <w:bCs/>
                      <w:noProof/>
                      <w:szCs w:val="22"/>
                      <w:lang w:val="it-IT"/>
                    </w:rPr>
                  </w:rPrChange>
                </w:rPr>
                <w:t>Roche Latvija SIA</w:t>
              </w:r>
            </w:ins>
          </w:p>
          <w:p w14:paraId="782E9BDB" w14:textId="77777777" w:rsidR="009700E5" w:rsidRPr="009700E5" w:rsidRDefault="002C033C">
            <w:pPr>
              <w:pStyle w:val="Standard1"/>
              <w:rPr>
                <w:ins w:id="5458" w:author="Author" w:date="2025-07-24T11:10:00Z"/>
                <w:rFonts w:ascii="Times New Roman" w:hAnsi="Times New Roman"/>
                <w:noProof/>
                <w:sz w:val="22"/>
                <w:szCs w:val="22"/>
                <w:lang w:val="sk-SK"/>
                <w:rPrChange w:id="5459" w:author="Author" w:date="2025-08-22T15:12:00Z">
                  <w:rPr>
                    <w:ins w:id="5460" w:author="Author" w:date="2025-07-24T11:10:00Z"/>
                    <w:noProof/>
                    <w:szCs w:val="22"/>
                    <w:lang w:val="it-IT"/>
                  </w:rPr>
                </w:rPrChange>
              </w:rPr>
            </w:pPr>
            <w:ins w:id="5461" w:author="Author" w:date="2025-07-24T11:10:00Z">
              <w:r>
                <w:rPr>
                  <w:rFonts w:ascii="Times New Roman" w:hAnsi="Times New Roman"/>
                  <w:noProof/>
                  <w:sz w:val="22"/>
                  <w:szCs w:val="22"/>
                  <w:lang w:val="sk-SK"/>
                  <w:rPrChange w:id="5462" w:author="Author" w:date="2025-08-22T15:12:00Z">
                    <w:rPr>
                      <w:noProof/>
                      <w:szCs w:val="22"/>
                      <w:lang w:val="it-IT"/>
                    </w:rPr>
                  </w:rPrChange>
                </w:rPr>
                <w:t>Tel: +371 - 6 7039831</w:t>
              </w:r>
            </w:ins>
          </w:p>
          <w:p w14:paraId="2F1E215D" w14:textId="77777777" w:rsidR="009700E5" w:rsidRPr="009700E5" w:rsidRDefault="009700E5">
            <w:pPr>
              <w:pStyle w:val="Standard1"/>
              <w:rPr>
                <w:ins w:id="5463" w:author="Author" w:date="2025-07-24T11:10:00Z"/>
                <w:rFonts w:ascii="Times New Roman" w:hAnsi="Times New Roman"/>
                <w:b/>
                <w:noProof/>
                <w:sz w:val="22"/>
                <w:szCs w:val="22"/>
                <w:lang w:val="sk-SK"/>
                <w:rPrChange w:id="5464" w:author="Author" w:date="2025-08-22T15:12:00Z">
                  <w:rPr>
                    <w:ins w:id="5465" w:author="Author" w:date="2025-07-24T11:10:00Z"/>
                    <w:b/>
                    <w:lang w:val="it-IT"/>
                  </w:rPr>
                </w:rPrChange>
              </w:rPr>
            </w:pPr>
          </w:p>
        </w:tc>
      </w:tr>
      <w:tr w:rsidR="009700E5" w14:paraId="3024657E" w14:textId="77777777">
        <w:trPr>
          <w:cantSplit/>
          <w:ins w:id="5466" w:author="Author" w:date="2025-07-24T11:10:00Z"/>
        </w:trPr>
        <w:tc>
          <w:tcPr>
            <w:tcW w:w="4590" w:type="dxa"/>
          </w:tcPr>
          <w:p w14:paraId="455F6BFA" w14:textId="77777777" w:rsidR="009700E5" w:rsidRPr="009700E5" w:rsidRDefault="002C033C">
            <w:pPr>
              <w:pStyle w:val="Standard1"/>
              <w:rPr>
                <w:ins w:id="5467" w:author="Author" w:date="2025-07-24T11:10:00Z"/>
                <w:rFonts w:ascii="Times New Roman" w:hAnsi="Times New Roman"/>
                <w:b/>
                <w:noProof/>
                <w:sz w:val="22"/>
                <w:szCs w:val="22"/>
                <w:lang w:val="sk-SK"/>
                <w:rPrChange w:id="5468" w:author="Author" w:date="2025-08-22T15:12:00Z">
                  <w:rPr>
                    <w:ins w:id="5469" w:author="Author" w:date="2025-07-24T11:10:00Z"/>
                    <w:b/>
                    <w:lang w:val="it-IT"/>
                  </w:rPr>
                </w:rPrChange>
              </w:rPr>
            </w:pPr>
            <w:ins w:id="5470" w:author="Author" w:date="2025-07-24T11:10:00Z">
              <w:r>
                <w:rPr>
                  <w:rFonts w:ascii="Times New Roman" w:hAnsi="Times New Roman"/>
                  <w:b/>
                  <w:bCs/>
                  <w:noProof/>
                  <w:sz w:val="22"/>
                  <w:szCs w:val="22"/>
                  <w:lang w:val="sk-SK"/>
                  <w:rPrChange w:id="5471" w:author="Author" w:date="2025-08-22T15:12:00Z">
                    <w:rPr>
                      <w:b/>
                      <w:bCs/>
                      <w:szCs w:val="22"/>
                      <w:lang w:val="en-GB"/>
                    </w:rPr>
                  </w:rPrChange>
                </w:rPr>
                <w:t>България</w:t>
              </w:r>
            </w:ins>
          </w:p>
          <w:p w14:paraId="78BE22EB" w14:textId="77777777" w:rsidR="009700E5" w:rsidRPr="009700E5" w:rsidRDefault="002C033C">
            <w:pPr>
              <w:pStyle w:val="Standard1"/>
              <w:suppressAutoHyphens/>
              <w:rPr>
                <w:ins w:id="5472" w:author="Author" w:date="2025-07-24T11:10:00Z"/>
                <w:rFonts w:ascii="Times New Roman" w:hAnsi="Times New Roman"/>
                <w:noProof/>
                <w:sz w:val="22"/>
                <w:szCs w:val="22"/>
                <w:lang w:val="sk-SK"/>
                <w:rPrChange w:id="5473" w:author="Author" w:date="2025-08-22T15:12:00Z">
                  <w:rPr>
                    <w:ins w:id="5474" w:author="Author" w:date="2025-07-24T11:10:00Z"/>
                    <w:lang w:val="it-IT"/>
                  </w:rPr>
                </w:rPrChange>
              </w:rPr>
            </w:pPr>
            <w:ins w:id="5475" w:author="Author" w:date="2025-07-24T11:10:00Z">
              <w:r>
                <w:rPr>
                  <w:rFonts w:ascii="Times New Roman" w:hAnsi="Times New Roman"/>
                  <w:noProof/>
                  <w:sz w:val="22"/>
                  <w:szCs w:val="22"/>
                  <w:lang w:val="sk-SK"/>
                  <w:rPrChange w:id="5476" w:author="Author" w:date="2025-08-22T15:12:00Z">
                    <w:rPr>
                      <w:noProof/>
                      <w:szCs w:val="22"/>
                      <w:lang w:val="en-GB"/>
                    </w:rPr>
                  </w:rPrChange>
                </w:rPr>
                <w:t>Рош</w:t>
              </w:r>
              <w:r>
                <w:rPr>
                  <w:rFonts w:ascii="Times New Roman" w:hAnsi="Times New Roman"/>
                  <w:noProof/>
                  <w:sz w:val="22"/>
                  <w:szCs w:val="22"/>
                  <w:lang w:val="sk-SK"/>
                  <w:rPrChange w:id="5477" w:author="Author" w:date="2025-08-22T15:12:00Z">
                    <w:rPr>
                      <w:lang w:val="it-IT"/>
                    </w:rPr>
                  </w:rPrChange>
                </w:rPr>
                <w:t xml:space="preserve"> </w:t>
              </w:r>
              <w:r>
                <w:rPr>
                  <w:rFonts w:ascii="Times New Roman" w:hAnsi="Times New Roman"/>
                  <w:noProof/>
                  <w:sz w:val="22"/>
                  <w:szCs w:val="22"/>
                  <w:lang w:val="sk-SK"/>
                  <w:rPrChange w:id="5478" w:author="Author" w:date="2025-08-22T15:12:00Z">
                    <w:rPr>
                      <w:noProof/>
                      <w:szCs w:val="22"/>
                      <w:lang w:val="en-GB"/>
                    </w:rPr>
                  </w:rPrChange>
                </w:rPr>
                <w:t>България</w:t>
              </w:r>
              <w:r>
                <w:rPr>
                  <w:rFonts w:ascii="Times New Roman" w:hAnsi="Times New Roman"/>
                  <w:noProof/>
                  <w:sz w:val="22"/>
                  <w:szCs w:val="22"/>
                  <w:lang w:val="sk-SK"/>
                  <w:rPrChange w:id="5479" w:author="Author" w:date="2025-08-22T15:12:00Z">
                    <w:rPr>
                      <w:lang w:val="it-IT"/>
                    </w:rPr>
                  </w:rPrChange>
                </w:rPr>
                <w:t xml:space="preserve"> </w:t>
              </w:r>
              <w:r>
                <w:rPr>
                  <w:rFonts w:ascii="Times New Roman" w:hAnsi="Times New Roman"/>
                  <w:noProof/>
                  <w:sz w:val="22"/>
                  <w:szCs w:val="22"/>
                  <w:lang w:val="sk-SK"/>
                  <w:rPrChange w:id="5480" w:author="Author" w:date="2025-08-22T15:12:00Z">
                    <w:rPr>
                      <w:noProof/>
                      <w:szCs w:val="22"/>
                      <w:lang w:val="en-GB"/>
                    </w:rPr>
                  </w:rPrChange>
                </w:rPr>
                <w:t>ЕООД</w:t>
              </w:r>
            </w:ins>
          </w:p>
          <w:p w14:paraId="314E8E0E" w14:textId="77777777" w:rsidR="009700E5" w:rsidRPr="009700E5" w:rsidRDefault="002C033C">
            <w:pPr>
              <w:pStyle w:val="Standard1"/>
              <w:suppressAutoHyphens/>
              <w:rPr>
                <w:ins w:id="5481" w:author="Author" w:date="2025-07-24T11:10:00Z"/>
                <w:rFonts w:ascii="Times New Roman" w:hAnsi="Times New Roman"/>
                <w:noProof/>
                <w:sz w:val="22"/>
                <w:szCs w:val="22"/>
                <w:lang w:val="sk-SK"/>
                <w:rPrChange w:id="5482" w:author="Author" w:date="2025-08-22T15:12:00Z">
                  <w:rPr>
                    <w:ins w:id="5483" w:author="Author" w:date="2025-07-24T11:10:00Z"/>
                    <w:lang w:val="it-IT"/>
                  </w:rPr>
                </w:rPrChange>
              </w:rPr>
            </w:pPr>
            <w:ins w:id="5484" w:author="Author" w:date="2025-07-24T11:10:00Z">
              <w:r>
                <w:rPr>
                  <w:rFonts w:ascii="Times New Roman" w:hAnsi="Times New Roman"/>
                  <w:noProof/>
                  <w:sz w:val="22"/>
                  <w:szCs w:val="22"/>
                  <w:lang w:val="sk-SK"/>
                  <w:rPrChange w:id="5485" w:author="Author" w:date="2025-08-22T15:12:00Z">
                    <w:rPr>
                      <w:noProof/>
                      <w:szCs w:val="22"/>
                      <w:lang w:val="en-GB"/>
                    </w:rPr>
                  </w:rPrChange>
                </w:rPr>
                <w:t>Тел</w:t>
              </w:r>
              <w:r>
                <w:rPr>
                  <w:rFonts w:ascii="Times New Roman" w:hAnsi="Times New Roman"/>
                  <w:noProof/>
                  <w:sz w:val="22"/>
                  <w:szCs w:val="22"/>
                  <w:lang w:val="sk-SK"/>
                  <w:rPrChange w:id="5486" w:author="Author" w:date="2025-08-22T15:12:00Z">
                    <w:rPr>
                      <w:lang w:val="it-IT"/>
                    </w:rPr>
                  </w:rPrChange>
                </w:rPr>
                <w:t>: +359 2 474 5444</w:t>
              </w:r>
            </w:ins>
          </w:p>
        </w:tc>
        <w:tc>
          <w:tcPr>
            <w:tcW w:w="4590" w:type="dxa"/>
          </w:tcPr>
          <w:p w14:paraId="2DAC6C27" w14:textId="77777777" w:rsidR="009700E5" w:rsidRPr="009700E5" w:rsidRDefault="002C033C">
            <w:pPr>
              <w:pStyle w:val="Standard1"/>
              <w:suppressAutoHyphens/>
              <w:rPr>
                <w:ins w:id="5487" w:author="Author" w:date="2025-07-24T11:10:00Z"/>
                <w:rFonts w:ascii="Times New Roman" w:hAnsi="Times New Roman"/>
                <w:b/>
                <w:noProof/>
                <w:sz w:val="22"/>
                <w:szCs w:val="22"/>
                <w:lang w:val="sk-SK"/>
                <w:rPrChange w:id="5488" w:author="Author" w:date="2025-08-22T15:12:00Z">
                  <w:rPr>
                    <w:ins w:id="5489" w:author="Author" w:date="2025-07-24T11:10:00Z"/>
                    <w:b/>
                    <w:noProof/>
                    <w:szCs w:val="22"/>
                  </w:rPr>
                </w:rPrChange>
              </w:rPr>
            </w:pPr>
            <w:ins w:id="5490" w:author="Author" w:date="2025-07-24T11:10:00Z">
              <w:r>
                <w:rPr>
                  <w:rFonts w:ascii="Times New Roman" w:hAnsi="Times New Roman"/>
                  <w:b/>
                  <w:noProof/>
                  <w:sz w:val="22"/>
                  <w:szCs w:val="22"/>
                  <w:lang w:val="sk-SK"/>
                  <w:rPrChange w:id="5491" w:author="Author" w:date="2025-08-22T15:12:00Z">
                    <w:rPr>
                      <w:b/>
                      <w:noProof/>
                      <w:szCs w:val="22"/>
                    </w:rPr>
                  </w:rPrChange>
                </w:rPr>
                <w:t>Lietuva</w:t>
              </w:r>
            </w:ins>
          </w:p>
          <w:p w14:paraId="4ABDEF6E" w14:textId="77777777" w:rsidR="009700E5" w:rsidRPr="009700E5" w:rsidRDefault="002C033C">
            <w:pPr>
              <w:pStyle w:val="Standard1"/>
              <w:suppressAutoHyphens/>
              <w:rPr>
                <w:ins w:id="5492" w:author="Author" w:date="2025-07-24T11:10:00Z"/>
                <w:rFonts w:ascii="Times New Roman" w:hAnsi="Times New Roman"/>
                <w:noProof/>
                <w:sz w:val="22"/>
                <w:szCs w:val="22"/>
                <w:lang w:val="sk-SK"/>
                <w:rPrChange w:id="5493" w:author="Author" w:date="2025-08-22T15:12:00Z">
                  <w:rPr>
                    <w:ins w:id="5494" w:author="Author" w:date="2025-07-24T11:10:00Z"/>
                  </w:rPr>
                </w:rPrChange>
              </w:rPr>
            </w:pPr>
            <w:ins w:id="5495" w:author="Author" w:date="2025-07-24T11:10:00Z">
              <w:r>
                <w:rPr>
                  <w:rFonts w:ascii="Times New Roman" w:hAnsi="Times New Roman"/>
                  <w:noProof/>
                  <w:sz w:val="22"/>
                  <w:szCs w:val="22"/>
                  <w:lang w:val="sk-SK"/>
                  <w:rPrChange w:id="5496" w:author="Author" w:date="2025-08-22T15:12:00Z">
                    <w:rPr>
                      <w:noProof/>
                      <w:szCs w:val="22"/>
                    </w:rPr>
                  </w:rPrChange>
                </w:rPr>
                <w:t>UAB “</w:t>
              </w:r>
              <w:r>
                <w:rPr>
                  <w:rFonts w:ascii="Times New Roman" w:hAnsi="Times New Roman"/>
                  <w:noProof/>
                  <w:sz w:val="22"/>
                  <w:szCs w:val="22"/>
                  <w:lang w:val="sk-SK"/>
                  <w:rPrChange w:id="5497" w:author="Author" w:date="2025-08-22T15:12:00Z">
                    <w:rPr/>
                  </w:rPrChange>
                </w:rPr>
                <w:t xml:space="preserve">Roche </w:t>
              </w:r>
              <w:r>
                <w:rPr>
                  <w:rFonts w:ascii="Times New Roman" w:hAnsi="Times New Roman"/>
                  <w:noProof/>
                  <w:sz w:val="22"/>
                  <w:szCs w:val="22"/>
                  <w:lang w:val="sk-SK"/>
                  <w:rPrChange w:id="5498" w:author="Author" w:date="2025-08-22T15:12:00Z">
                    <w:rPr>
                      <w:noProof/>
                      <w:szCs w:val="22"/>
                    </w:rPr>
                  </w:rPrChange>
                </w:rPr>
                <w:t>Lietuva”</w:t>
              </w:r>
            </w:ins>
          </w:p>
          <w:p w14:paraId="739731F0" w14:textId="77777777" w:rsidR="009700E5" w:rsidRPr="009700E5" w:rsidRDefault="002C033C">
            <w:pPr>
              <w:pStyle w:val="Standard1"/>
              <w:suppressAutoHyphens/>
              <w:rPr>
                <w:ins w:id="5499" w:author="Author" w:date="2025-07-24T11:10:00Z"/>
                <w:rFonts w:ascii="Times New Roman" w:hAnsi="Times New Roman"/>
                <w:noProof/>
                <w:sz w:val="22"/>
                <w:szCs w:val="22"/>
                <w:lang w:val="sk-SK"/>
                <w:rPrChange w:id="5500" w:author="Author" w:date="2025-08-22T15:12:00Z">
                  <w:rPr>
                    <w:ins w:id="5501" w:author="Author" w:date="2025-07-24T11:10:00Z"/>
                  </w:rPr>
                </w:rPrChange>
              </w:rPr>
            </w:pPr>
            <w:ins w:id="5502" w:author="Author" w:date="2025-07-24T11:10:00Z">
              <w:r>
                <w:rPr>
                  <w:rFonts w:ascii="Times New Roman" w:hAnsi="Times New Roman"/>
                  <w:noProof/>
                  <w:sz w:val="22"/>
                  <w:szCs w:val="22"/>
                  <w:lang w:val="sk-SK"/>
                  <w:rPrChange w:id="5503" w:author="Author" w:date="2025-08-22T15:12:00Z">
                    <w:rPr/>
                  </w:rPrChange>
                </w:rPr>
                <w:t>Tel: +</w:t>
              </w:r>
              <w:r>
                <w:rPr>
                  <w:rFonts w:ascii="Times New Roman" w:hAnsi="Times New Roman"/>
                  <w:noProof/>
                  <w:sz w:val="22"/>
                  <w:szCs w:val="22"/>
                  <w:lang w:val="sk-SK"/>
                  <w:rPrChange w:id="5504" w:author="Author" w:date="2025-08-22T15:12:00Z">
                    <w:rPr>
                      <w:noProof/>
                      <w:szCs w:val="22"/>
                    </w:rPr>
                  </w:rPrChange>
                </w:rPr>
                <w:t>370 5 2546799</w:t>
              </w:r>
            </w:ins>
          </w:p>
          <w:p w14:paraId="0A63C25F" w14:textId="77777777" w:rsidR="009700E5" w:rsidRPr="009700E5" w:rsidRDefault="009700E5">
            <w:pPr>
              <w:pStyle w:val="Standard1"/>
              <w:rPr>
                <w:ins w:id="5505" w:author="Author" w:date="2025-07-24T11:10:00Z"/>
                <w:rFonts w:ascii="Times New Roman" w:hAnsi="Times New Roman"/>
                <w:noProof/>
                <w:sz w:val="22"/>
                <w:szCs w:val="22"/>
                <w:lang w:val="sk-SK"/>
                <w:rPrChange w:id="5506" w:author="Author" w:date="2025-08-22T15:12:00Z">
                  <w:rPr>
                    <w:ins w:id="5507" w:author="Author" w:date="2025-07-24T11:10:00Z"/>
                  </w:rPr>
                </w:rPrChange>
              </w:rPr>
            </w:pPr>
          </w:p>
        </w:tc>
      </w:tr>
      <w:tr w:rsidR="009700E5" w14:paraId="4650711E" w14:textId="77777777">
        <w:trPr>
          <w:cantSplit/>
          <w:ins w:id="5508" w:author="Author" w:date="2025-07-24T11:10:00Z"/>
        </w:trPr>
        <w:tc>
          <w:tcPr>
            <w:tcW w:w="4590" w:type="dxa"/>
          </w:tcPr>
          <w:p w14:paraId="7F566857" w14:textId="77777777" w:rsidR="009700E5" w:rsidRPr="009700E5" w:rsidRDefault="002C033C">
            <w:pPr>
              <w:pStyle w:val="Standard1"/>
              <w:rPr>
                <w:ins w:id="5509" w:author="Author" w:date="2025-07-24T11:10:00Z"/>
                <w:rFonts w:ascii="Times New Roman" w:hAnsi="Times New Roman"/>
                <w:b/>
                <w:noProof/>
                <w:sz w:val="22"/>
                <w:szCs w:val="22"/>
                <w:lang w:val="sk-SK"/>
                <w:rPrChange w:id="5510" w:author="Author" w:date="2025-08-22T15:12:00Z">
                  <w:rPr>
                    <w:ins w:id="5511" w:author="Author" w:date="2025-07-24T11:10:00Z"/>
                    <w:b/>
                    <w:lang w:val="pl-PL"/>
                  </w:rPr>
                </w:rPrChange>
              </w:rPr>
            </w:pPr>
            <w:ins w:id="5512" w:author="Author" w:date="2025-07-24T11:10:00Z">
              <w:r>
                <w:rPr>
                  <w:rFonts w:ascii="Times New Roman" w:hAnsi="Times New Roman"/>
                  <w:b/>
                  <w:noProof/>
                  <w:sz w:val="22"/>
                  <w:szCs w:val="22"/>
                  <w:lang w:val="sk-SK"/>
                  <w:rPrChange w:id="5513" w:author="Author" w:date="2025-08-22T15:12:00Z">
                    <w:rPr>
                      <w:b/>
                      <w:lang w:val="pl-PL"/>
                    </w:rPr>
                  </w:rPrChange>
                </w:rPr>
                <w:t>Česká republika</w:t>
              </w:r>
            </w:ins>
          </w:p>
          <w:p w14:paraId="30EDBC14" w14:textId="77777777" w:rsidR="009700E5" w:rsidRPr="009700E5" w:rsidRDefault="002C033C">
            <w:pPr>
              <w:pStyle w:val="Standard1"/>
              <w:rPr>
                <w:ins w:id="5514" w:author="Author" w:date="2025-07-24T11:10:00Z"/>
                <w:rFonts w:ascii="Times New Roman" w:hAnsi="Times New Roman"/>
                <w:noProof/>
                <w:sz w:val="22"/>
                <w:szCs w:val="22"/>
                <w:lang w:val="sk-SK"/>
                <w:rPrChange w:id="5515" w:author="Author" w:date="2025-08-22T15:12:00Z">
                  <w:rPr>
                    <w:ins w:id="5516" w:author="Author" w:date="2025-07-24T11:10:00Z"/>
                    <w:lang w:val="pl-PL"/>
                  </w:rPr>
                </w:rPrChange>
              </w:rPr>
            </w:pPr>
            <w:ins w:id="5517" w:author="Author" w:date="2025-07-24T11:10:00Z">
              <w:r>
                <w:rPr>
                  <w:rFonts w:ascii="Times New Roman" w:hAnsi="Times New Roman"/>
                  <w:noProof/>
                  <w:sz w:val="22"/>
                  <w:szCs w:val="22"/>
                  <w:lang w:val="sk-SK"/>
                  <w:rPrChange w:id="5518" w:author="Author" w:date="2025-08-22T15:12:00Z">
                    <w:rPr>
                      <w:lang w:val="pl-PL"/>
                    </w:rPr>
                  </w:rPrChange>
                </w:rPr>
                <w:t>Roche s. r. o.</w:t>
              </w:r>
            </w:ins>
          </w:p>
          <w:p w14:paraId="2B552974" w14:textId="77777777" w:rsidR="009700E5" w:rsidRPr="009700E5" w:rsidRDefault="002C033C">
            <w:pPr>
              <w:pStyle w:val="Standard1"/>
              <w:rPr>
                <w:ins w:id="5519" w:author="Author" w:date="2025-07-24T11:10:00Z"/>
                <w:rFonts w:ascii="Times New Roman" w:hAnsi="Times New Roman"/>
                <w:noProof/>
                <w:sz w:val="22"/>
                <w:szCs w:val="22"/>
                <w:lang w:val="sk-SK"/>
                <w:rPrChange w:id="5520" w:author="Author" w:date="2025-08-22T15:12:00Z">
                  <w:rPr>
                    <w:ins w:id="5521" w:author="Author" w:date="2025-07-24T11:10:00Z"/>
                    <w:noProof/>
                    <w:szCs w:val="22"/>
                    <w:lang w:val="de-DE"/>
                  </w:rPr>
                </w:rPrChange>
              </w:rPr>
            </w:pPr>
            <w:ins w:id="5522" w:author="Author" w:date="2025-07-24T11:10:00Z">
              <w:r>
                <w:rPr>
                  <w:rFonts w:ascii="Times New Roman" w:hAnsi="Times New Roman"/>
                  <w:noProof/>
                  <w:sz w:val="22"/>
                  <w:szCs w:val="22"/>
                  <w:lang w:val="sk-SK"/>
                  <w:rPrChange w:id="5523" w:author="Author" w:date="2025-08-22T15:12:00Z">
                    <w:rPr>
                      <w:lang w:val="de-CH"/>
                    </w:rPr>
                  </w:rPrChange>
                </w:rPr>
                <w:t>Tel: +420 - 2 20382111</w:t>
              </w:r>
            </w:ins>
          </w:p>
          <w:p w14:paraId="7D2406FA" w14:textId="77777777" w:rsidR="009700E5" w:rsidRPr="009700E5" w:rsidRDefault="009700E5">
            <w:pPr>
              <w:pStyle w:val="Standard1"/>
              <w:rPr>
                <w:ins w:id="5524" w:author="Author" w:date="2025-07-24T11:10:00Z"/>
                <w:rFonts w:ascii="Times New Roman" w:hAnsi="Times New Roman"/>
                <w:noProof/>
                <w:sz w:val="22"/>
                <w:szCs w:val="22"/>
                <w:lang w:val="sk-SK"/>
                <w:rPrChange w:id="5525" w:author="Author" w:date="2025-08-22T15:12:00Z">
                  <w:rPr>
                    <w:ins w:id="5526" w:author="Author" w:date="2025-07-24T11:10:00Z"/>
                    <w:lang w:val="de-CH"/>
                  </w:rPr>
                </w:rPrChange>
              </w:rPr>
            </w:pPr>
          </w:p>
        </w:tc>
        <w:tc>
          <w:tcPr>
            <w:tcW w:w="4590" w:type="dxa"/>
          </w:tcPr>
          <w:p w14:paraId="6A2C9BBB" w14:textId="77777777" w:rsidR="009700E5" w:rsidRPr="009700E5" w:rsidRDefault="002C033C">
            <w:pPr>
              <w:pStyle w:val="Standard1"/>
              <w:rPr>
                <w:ins w:id="5527" w:author="Author" w:date="2025-07-24T11:10:00Z"/>
                <w:rFonts w:ascii="Times New Roman" w:hAnsi="Times New Roman"/>
                <w:b/>
                <w:noProof/>
                <w:sz w:val="22"/>
                <w:szCs w:val="22"/>
                <w:lang w:val="sk-SK"/>
                <w:rPrChange w:id="5528" w:author="Author" w:date="2025-08-22T15:12:00Z">
                  <w:rPr>
                    <w:ins w:id="5529" w:author="Author" w:date="2025-07-24T11:10:00Z"/>
                    <w:b/>
                  </w:rPr>
                </w:rPrChange>
              </w:rPr>
            </w:pPr>
            <w:ins w:id="5530" w:author="Author" w:date="2025-07-24T11:10:00Z">
              <w:r>
                <w:rPr>
                  <w:rFonts w:ascii="Times New Roman" w:hAnsi="Times New Roman"/>
                  <w:b/>
                  <w:noProof/>
                  <w:sz w:val="22"/>
                  <w:szCs w:val="22"/>
                  <w:lang w:val="sk-SK"/>
                  <w:rPrChange w:id="5531" w:author="Author" w:date="2025-08-22T15:12:00Z">
                    <w:rPr>
                      <w:b/>
                    </w:rPr>
                  </w:rPrChange>
                </w:rPr>
                <w:t>Magyarország</w:t>
              </w:r>
            </w:ins>
          </w:p>
          <w:p w14:paraId="4C5F38F6" w14:textId="77777777" w:rsidR="009700E5" w:rsidRPr="009700E5" w:rsidRDefault="002C033C">
            <w:pPr>
              <w:pStyle w:val="Standard1"/>
              <w:rPr>
                <w:ins w:id="5532" w:author="Author" w:date="2025-07-24T11:10:00Z"/>
                <w:rFonts w:ascii="Times New Roman" w:hAnsi="Times New Roman"/>
                <w:noProof/>
                <w:sz w:val="22"/>
                <w:szCs w:val="22"/>
                <w:lang w:val="sk-SK"/>
                <w:rPrChange w:id="5533" w:author="Author" w:date="2025-08-22T15:12:00Z">
                  <w:rPr>
                    <w:ins w:id="5534" w:author="Author" w:date="2025-07-24T11:10:00Z"/>
                  </w:rPr>
                </w:rPrChange>
              </w:rPr>
            </w:pPr>
            <w:ins w:id="5535" w:author="Author" w:date="2025-07-24T11:10:00Z">
              <w:r>
                <w:rPr>
                  <w:rFonts w:ascii="Times New Roman" w:hAnsi="Times New Roman"/>
                  <w:noProof/>
                  <w:sz w:val="22"/>
                  <w:szCs w:val="22"/>
                  <w:lang w:val="sk-SK"/>
                  <w:rPrChange w:id="5536" w:author="Author" w:date="2025-08-22T15:12:00Z">
                    <w:rPr/>
                  </w:rPrChange>
                </w:rPr>
                <w:t>Roche (Magyarország) Kft.</w:t>
              </w:r>
            </w:ins>
          </w:p>
          <w:p w14:paraId="7C192203" w14:textId="77777777" w:rsidR="009700E5" w:rsidRPr="009700E5" w:rsidRDefault="002C033C">
            <w:pPr>
              <w:pStyle w:val="Standard1"/>
              <w:rPr>
                <w:ins w:id="5537" w:author="Author" w:date="2025-07-24T11:10:00Z"/>
                <w:rFonts w:ascii="Times New Roman" w:hAnsi="Times New Roman"/>
                <w:noProof/>
                <w:sz w:val="22"/>
                <w:szCs w:val="22"/>
                <w:lang w:val="sk-SK"/>
                <w:rPrChange w:id="5538" w:author="Author" w:date="2025-08-22T15:12:00Z">
                  <w:rPr>
                    <w:ins w:id="5539" w:author="Author" w:date="2025-07-24T11:10:00Z"/>
                    <w:szCs w:val="22"/>
                  </w:rPr>
                </w:rPrChange>
              </w:rPr>
            </w:pPr>
            <w:ins w:id="5540" w:author="Author" w:date="2025-07-24T11:10:00Z">
              <w:r>
                <w:rPr>
                  <w:rFonts w:ascii="Times New Roman" w:hAnsi="Times New Roman"/>
                  <w:noProof/>
                  <w:sz w:val="22"/>
                  <w:szCs w:val="22"/>
                  <w:lang w:val="sk-SK"/>
                  <w:rPrChange w:id="5541" w:author="Author" w:date="2025-08-22T15:12:00Z">
                    <w:rPr>
                      <w:szCs w:val="22"/>
                    </w:rPr>
                  </w:rPrChange>
                </w:rPr>
                <w:t>Tel: +36 - 1 279 4500</w:t>
              </w:r>
            </w:ins>
          </w:p>
          <w:p w14:paraId="6B3AB576" w14:textId="77777777" w:rsidR="009700E5" w:rsidRPr="009700E5" w:rsidRDefault="009700E5">
            <w:pPr>
              <w:pStyle w:val="Standard1"/>
              <w:rPr>
                <w:ins w:id="5542" w:author="Author" w:date="2025-07-24T11:10:00Z"/>
                <w:rFonts w:ascii="Times New Roman" w:hAnsi="Times New Roman"/>
                <w:noProof/>
                <w:sz w:val="22"/>
                <w:szCs w:val="22"/>
                <w:lang w:val="sk-SK"/>
                <w:rPrChange w:id="5543" w:author="Author" w:date="2025-08-22T15:12:00Z">
                  <w:rPr>
                    <w:ins w:id="5544" w:author="Author" w:date="2025-07-24T11:10:00Z"/>
                  </w:rPr>
                </w:rPrChange>
              </w:rPr>
            </w:pPr>
          </w:p>
        </w:tc>
      </w:tr>
      <w:tr w:rsidR="009700E5" w14:paraId="65135E18" w14:textId="77777777">
        <w:trPr>
          <w:cantSplit/>
          <w:ins w:id="5545" w:author="Author" w:date="2025-07-24T11:10:00Z"/>
        </w:trPr>
        <w:tc>
          <w:tcPr>
            <w:tcW w:w="4590" w:type="dxa"/>
          </w:tcPr>
          <w:p w14:paraId="1710727A" w14:textId="77777777" w:rsidR="009700E5" w:rsidRPr="009700E5" w:rsidRDefault="002C033C">
            <w:pPr>
              <w:pStyle w:val="Standard1"/>
              <w:rPr>
                <w:ins w:id="5546" w:author="Author" w:date="2025-07-24T11:10:00Z"/>
                <w:rFonts w:ascii="Times New Roman" w:hAnsi="Times New Roman"/>
                <w:noProof/>
                <w:sz w:val="22"/>
                <w:szCs w:val="22"/>
                <w:lang w:val="sk-SK"/>
                <w:rPrChange w:id="5547" w:author="Author" w:date="2025-08-22T15:12:00Z">
                  <w:rPr>
                    <w:ins w:id="5548" w:author="Author" w:date="2025-07-24T11:10:00Z"/>
                    <w:noProof/>
                    <w:szCs w:val="22"/>
                    <w:lang w:val="en-GB"/>
                  </w:rPr>
                </w:rPrChange>
              </w:rPr>
            </w:pPr>
            <w:ins w:id="5549" w:author="Author" w:date="2025-07-24T11:10:00Z">
              <w:r>
                <w:rPr>
                  <w:rFonts w:ascii="Times New Roman" w:hAnsi="Times New Roman"/>
                  <w:b/>
                  <w:noProof/>
                  <w:sz w:val="22"/>
                  <w:szCs w:val="22"/>
                  <w:lang w:val="sk-SK"/>
                  <w:rPrChange w:id="5550" w:author="Author" w:date="2025-08-22T15:12:00Z">
                    <w:rPr>
                      <w:b/>
                      <w:noProof/>
                      <w:szCs w:val="22"/>
                      <w:lang w:val="en-GB"/>
                    </w:rPr>
                  </w:rPrChange>
                </w:rPr>
                <w:t>Danmark</w:t>
              </w:r>
            </w:ins>
          </w:p>
          <w:p w14:paraId="6D047F58" w14:textId="77777777" w:rsidR="009700E5" w:rsidRPr="009700E5" w:rsidRDefault="002C033C">
            <w:pPr>
              <w:pStyle w:val="Standard1"/>
              <w:rPr>
                <w:ins w:id="5551" w:author="Author" w:date="2025-07-24T11:10:00Z"/>
                <w:rFonts w:ascii="Times New Roman" w:hAnsi="Times New Roman"/>
                <w:noProof/>
                <w:sz w:val="22"/>
                <w:szCs w:val="22"/>
                <w:lang w:val="sk-SK"/>
                <w:rPrChange w:id="5552" w:author="Author" w:date="2025-08-22T15:12:00Z">
                  <w:rPr>
                    <w:ins w:id="5553" w:author="Author" w:date="2025-07-24T11:10:00Z"/>
                    <w:lang w:val="en-GB"/>
                  </w:rPr>
                </w:rPrChange>
              </w:rPr>
            </w:pPr>
            <w:ins w:id="5554" w:author="Author" w:date="2025-07-24T11:10:00Z">
              <w:r>
                <w:rPr>
                  <w:rFonts w:ascii="Times New Roman" w:hAnsi="Times New Roman"/>
                  <w:noProof/>
                  <w:sz w:val="22"/>
                  <w:szCs w:val="22"/>
                  <w:lang w:val="sk-SK"/>
                  <w:rPrChange w:id="5555" w:author="Author" w:date="2025-08-22T15:12:00Z">
                    <w:rPr>
                      <w:lang w:val="en-GB"/>
                    </w:rPr>
                  </w:rPrChange>
                </w:rPr>
                <w:t>Roche Pharmaceuticals A/S</w:t>
              </w:r>
            </w:ins>
          </w:p>
          <w:p w14:paraId="609648AE" w14:textId="77777777" w:rsidR="009700E5" w:rsidRPr="009700E5" w:rsidRDefault="002C033C">
            <w:pPr>
              <w:pStyle w:val="Standard1"/>
              <w:rPr>
                <w:ins w:id="5556" w:author="Author" w:date="2025-07-24T11:10:00Z"/>
                <w:rFonts w:ascii="Times New Roman" w:hAnsi="Times New Roman"/>
                <w:noProof/>
                <w:sz w:val="22"/>
                <w:szCs w:val="22"/>
                <w:lang w:val="sk-SK"/>
                <w:rPrChange w:id="5557" w:author="Author" w:date="2025-08-22T15:12:00Z">
                  <w:rPr>
                    <w:ins w:id="5558" w:author="Author" w:date="2025-07-24T11:10:00Z"/>
                    <w:noProof/>
                    <w:szCs w:val="22"/>
                    <w:lang w:val="en-GB"/>
                  </w:rPr>
                </w:rPrChange>
              </w:rPr>
            </w:pPr>
            <w:ins w:id="5559" w:author="Author" w:date="2025-07-24T11:10:00Z">
              <w:r>
                <w:rPr>
                  <w:rFonts w:ascii="Times New Roman" w:hAnsi="Times New Roman"/>
                  <w:noProof/>
                  <w:sz w:val="22"/>
                  <w:szCs w:val="22"/>
                  <w:lang w:val="sk-SK"/>
                  <w:rPrChange w:id="5560" w:author="Author" w:date="2025-08-22T15:12:00Z">
                    <w:rPr>
                      <w:noProof/>
                      <w:szCs w:val="22"/>
                      <w:lang w:val="en-GB"/>
                    </w:rPr>
                  </w:rPrChange>
                </w:rPr>
                <w:t>Tlf.: +45 - 36 39 99 99</w:t>
              </w:r>
            </w:ins>
          </w:p>
          <w:p w14:paraId="006F22D7" w14:textId="77777777" w:rsidR="009700E5" w:rsidRPr="009700E5" w:rsidRDefault="009700E5">
            <w:pPr>
              <w:pStyle w:val="Standard1"/>
              <w:rPr>
                <w:ins w:id="5561" w:author="Author" w:date="2025-07-24T11:10:00Z"/>
                <w:rFonts w:ascii="Times New Roman" w:hAnsi="Times New Roman"/>
                <w:b/>
                <w:noProof/>
                <w:sz w:val="22"/>
                <w:szCs w:val="22"/>
                <w:lang w:val="sk-SK"/>
                <w:rPrChange w:id="5562" w:author="Author" w:date="2025-08-22T15:12:00Z">
                  <w:rPr>
                    <w:ins w:id="5563" w:author="Author" w:date="2025-07-24T11:10:00Z"/>
                    <w:b/>
                    <w:noProof/>
                    <w:szCs w:val="22"/>
                    <w:lang w:val="en-GB"/>
                  </w:rPr>
                </w:rPrChange>
              </w:rPr>
            </w:pPr>
          </w:p>
        </w:tc>
        <w:tc>
          <w:tcPr>
            <w:tcW w:w="4590" w:type="dxa"/>
          </w:tcPr>
          <w:p w14:paraId="42984D99" w14:textId="77777777" w:rsidR="009700E5" w:rsidRPr="009700E5" w:rsidRDefault="002C033C">
            <w:pPr>
              <w:pStyle w:val="Standard1"/>
              <w:rPr>
                <w:ins w:id="5564" w:author="Author" w:date="2025-07-24T11:10:00Z"/>
                <w:rFonts w:ascii="Times New Roman" w:hAnsi="Times New Roman"/>
                <w:noProof/>
                <w:sz w:val="22"/>
                <w:szCs w:val="22"/>
                <w:lang w:val="sk-SK"/>
                <w:rPrChange w:id="5565" w:author="Author" w:date="2025-08-22T15:12:00Z">
                  <w:rPr>
                    <w:ins w:id="5566" w:author="Author" w:date="2025-07-24T11:10:00Z"/>
                    <w:lang w:val="de-CH"/>
                  </w:rPr>
                </w:rPrChange>
              </w:rPr>
            </w:pPr>
            <w:ins w:id="5567" w:author="Author" w:date="2025-07-24T11:10:00Z">
              <w:r>
                <w:rPr>
                  <w:rFonts w:ascii="Times New Roman" w:hAnsi="Times New Roman"/>
                  <w:b/>
                  <w:noProof/>
                  <w:sz w:val="22"/>
                  <w:szCs w:val="22"/>
                  <w:lang w:val="sk-SK"/>
                  <w:rPrChange w:id="5568" w:author="Author" w:date="2025-08-22T15:12:00Z">
                    <w:rPr>
                      <w:b/>
                      <w:lang w:val="de-CH"/>
                    </w:rPr>
                  </w:rPrChange>
                </w:rPr>
                <w:t>Nederland</w:t>
              </w:r>
            </w:ins>
          </w:p>
          <w:p w14:paraId="67E5C8F6" w14:textId="77777777" w:rsidR="009700E5" w:rsidRPr="009700E5" w:rsidRDefault="002C033C">
            <w:pPr>
              <w:pStyle w:val="Standard1"/>
              <w:rPr>
                <w:ins w:id="5569" w:author="Author" w:date="2025-07-24T11:10:00Z"/>
                <w:rFonts w:ascii="Times New Roman" w:hAnsi="Times New Roman"/>
                <w:noProof/>
                <w:sz w:val="22"/>
                <w:szCs w:val="22"/>
                <w:lang w:val="sk-SK"/>
                <w:rPrChange w:id="5570" w:author="Author" w:date="2025-08-22T15:12:00Z">
                  <w:rPr>
                    <w:ins w:id="5571" w:author="Author" w:date="2025-07-24T11:10:00Z"/>
                    <w:lang w:val="de-CH"/>
                  </w:rPr>
                </w:rPrChange>
              </w:rPr>
            </w:pPr>
            <w:ins w:id="5572" w:author="Author" w:date="2025-07-24T11:10:00Z">
              <w:r>
                <w:rPr>
                  <w:rFonts w:ascii="Times New Roman" w:hAnsi="Times New Roman"/>
                  <w:noProof/>
                  <w:sz w:val="22"/>
                  <w:szCs w:val="22"/>
                  <w:lang w:val="sk-SK"/>
                  <w:rPrChange w:id="5573" w:author="Author" w:date="2025-08-22T15:12:00Z">
                    <w:rPr>
                      <w:lang w:val="de-CH"/>
                    </w:rPr>
                  </w:rPrChange>
                </w:rPr>
                <w:t>Roche Nederland B.V.</w:t>
              </w:r>
            </w:ins>
          </w:p>
          <w:p w14:paraId="755B7DA0" w14:textId="77777777" w:rsidR="009700E5" w:rsidRPr="009700E5" w:rsidRDefault="002C033C">
            <w:pPr>
              <w:pStyle w:val="Standard1"/>
              <w:rPr>
                <w:ins w:id="5574" w:author="Author" w:date="2025-07-24T11:10:00Z"/>
                <w:rFonts w:ascii="Times New Roman" w:hAnsi="Times New Roman"/>
                <w:noProof/>
                <w:sz w:val="22"/>
                <w:szCs w:val="22"/>
                <w:lang w:val="sk-SK"/>
                <w:rPrChange w:id="5575" w:author="Author" w:date="2025-08-22T15:12:00Z">
                  <w:rPr>
                    <w:ins w:id="5576" w:author="Author" w:date="2025-07-24T11:10:00Z"/>
                    <w:noProof/>
                    <w:szCs w:val="22"/>
                    <w:lang w:val="en-GB"/>
                  </w:rPr>
                </w:rPrChange>
              </w:rPr>
            </w:pPr>
            <w:ins w:id="5577" w:author="Author" w:date="2025-07-24T11:10:00Z">
              <w:r>
                <w:rPr>
                  <w:rFonts w:ascii="Times New Roman" w:hAnsi="Times New Roman"/>
                  <w:noProof/>
                  <w:sz w:val="22"/>
                  <w:szCs w:val="22"/>
                  <w:lang w:val="sk-SK"/>
                  <w:rPrChange w:id="5578" w:author="Author" w:date="2025-08-22T15:12:00Z">
                    <w:rPr>
                      <w:noProof/>
                      <w:szCs w:val="22"/>
                      <w:lang w:val="en-GB"/>
                    </w:rPr>
                  </w:rPrChange>
                </w:rPr>
                <w:t>Tel: +31 (</w:t>
              </w:r>
              <w:r>
                <w:rPr>
                  <w:rFonts w:ascii="Times New Roman" w:hAnsi="Times New Roman"/>
                  <w:noProof/>
                  <w:snapToGrid w:val="0"/>
                  <w:sz w:val="22"/>
                  <w:szCs w:val="22"/>
                  <w:lang w:val="sk-SK"/>
                  <w:rPrChange w:id="5579" w:author="Author" w:date="2025-08-22T15:12:00Z">
                    <w:rPr>
                      <w:noProof/>
                      <w:snapToGrid w:val="0"/>
                      <w:szCs w:val="22"/>
                      <w:lang w:val="en-GB"/>
                    </w:rPr>
                  </w:rPrChange>
                </w:rPr>
                <w:t>0) 348 438050</w:t>
              </w:r>
            </w:ins>
          </w:p>
          <w:p w14:paraId="51EF516B" w14:textId="77777777" w:rsidR="009700E5" w:rsidRPr="009700E5" w:rsidRDefault="009700E5">
            <w:pPr>
              <w:pStyle w:val="Standard1"/>
              <w:rPr>
                <w:ins w:id="5580" w:author="Author" w:date="2025-07-24T11:10:00Z"/>
                <w:rFonts w:ascii="Times New Roman" w:hAnsi="Times New Roman"/>
                <w:noProof/>
                <w:sz w:val="22"/>
                <w:szCs w:val="22"/>
                <w:lang w:val="sk-SK"/>
                <w:rPrChange w:id="5581" w:author="Author" w:date="2025-08-22T15:12:00Z">
                  <w:rPr>
                    <w:ins w:id="5582" w:author="Author" w:date="2025-07-24T11:10:00Z"/>
                    <w:noProof/>
                    <w:szCs w:val="22"/>
                    <w:lang w:val="en-GB"/>
                  </w:rPr>
                </w:rPrChange>
              </w:rPr>
            </w:pPr>
          </w:p>
        </w:tc>
      </w:tr>
      <w:tr w:rsidR="009700E5" w14:paraId="200BABD3" w14:textId="77777777">
        <w:trPr>
          <w:cantSplit/>
          <w:ins w:id="5583" w:author="Author" w:date="2025-07-24T11:10:00Z"/>
        </w:trPr>
        <w:tc>
          <w:tcPr>
            <w:tcW w:w="4590" w:type="dxa"/>
          </w:tcPr>
          <w:p w14:paraId="330DB1F6" w14:textId="77777777" w:rsidR="009700E5" w:rsidRPr="009700E5" w:rsidRDefault="002C033C">
            <w:pPr>
              <w:pStyle w:val="Standard1"/>
              <w:rPr>
                <w:ins w:id="5584" w:author="Author" w:date="2025-07-24T11:10:00Z"/>
                <w:rFonts w:ascii="Times New Roman" w:hAnsi="Times New Roman"/>
                <w:noProof/>
                <w:sz w:val="22"/>
                <w:szCs w:val="22"/>
                <w:lang w:val="sk-SK"/>
                <w:rPrChange w:id="5585" w:author="Author" w:date="2025-08-22T15:12:00Z">
                  <w:rPr>
                    <w:ins w:id="5586" w:author="Author" w:date="2025-07-24T11:10:00Z"/>
                    <w:lang w:val="de-CH"/>
                  </w:rPr>
                </w:rPrChange>
              </w:rPr>
            </w:pPr>
            <w:ins w:id="5587" w:author="Author" w:date="2025-07-24T11:10:00Z">
              <w:r>
                <w:rPr>
                  <w:rFonts w:ascii="Times New Roman" w:hAnsi="Times New Roman"/>
                  <w:b/>
                  <w:noProof/>
                  <w:sz w:val="22"/>
                  <w:szCs w:val="22"/>
                  <w:lang w:val="sk-SK"/>
                  <w:rPrChange w:id="5588" w:author="Author" w:date="2025-08-22T15:12:00Z">
                    <w:rPr>
                      <w:b/>
                      <w:lang w:val="de-CH"/>
                    </w:rPr>
                  </w:rPrChange>
                </w:rPr>
                <w:t>Deutschland</w:t>
              </w:r>
            </w:ins>
          </w:p>
          <w:p w14:paraId="2F70EBC8" w14:textId="77777777" w:rsidR="009700E5" w:rsidRPr="009700E5" w:rsidRDefault="002C033C">
            <w:pPr>
              <w:pStyle w:val="Standard1"/>
              <w:rPr>
                <w:ins w:id="5589" w:author="Author" w:date="2025-07-24T11:10:00Z"/>
                <w:rFonts w:ascii="Times New Roman" w:hAnsi="Times New Roman"/>
                <w:noProof/>
                <w:sz w:val="22"/>
                <w:szCs w:val="22"/>
                <w:lang w:val="sk-SK"/>
                <w:rPrChange w:id="5590" w:author="Author" w:date="2025-08-22T15:12:00Z">
                  <w:rPr>
                    <w:ins w:id="5591" w:author="Author" w:date="2025-07-24T11:10:00Z"/>
                    <w:lang w:val="de-CH"/>
                  </w:rPr>
                </w:rPrChange>
              </w:rPr>
            </w:pPr>
            <w:ins w:id="5592" w:author="Author" w:date="2025-07-24T11:10:00Z">
              <w:r>
                <w:rPr>
                  <w:rFonts w:ascii="Times New Roman" w:hAnsi="Times New Roman"/>
                  <w:noProof/>
                  <w:sz w:val="22"/>
                  <w:szCs w:val="22"/>
                  <w:lang w:val="sk-SK"/>
                  <w:rPrChange w:id="5593" w:author="Author" w:date="2025-08-22T15:12:00Z">
                    <w:rPr>
                      <w:lang w:val="de-CH"/>
                    </w:rPr>
                  </w:rPrChange>
                </w:rPr>
                <w:t>Roche Pharma AG</w:t>
              </w:r>
            </w:ins>
          </w:p>
          <w:p w14:paraId="1A122117" w14:textId="77777777" w:rsidR="009700E5" w:rsidRPr="009700E5" w:rsidRDefault="002C033C">
            <w:pPr>
              <w:pStyle w:val="Standard1"/>
              <w:rPr>
                <w:ins w:id="5594" w:author="Author" w:date="2025-07-24T11:10:00Z"/>
                <w:rFonts w:ascii="Times New Roman" w:hAnsi="Times New Roman"/>
                <w:noProof/>
                <w:sz w:val="22"/>
                <w:szCs w:val="22"/>
                <w:lang w:val="sk-SK"/>
                <w:rPrChange w:id="5595" w:author="Author" w:date="2025-08-22T15:12:00Z">
                  <w:rPr>
                    <w:ins w:id="5596" w:author="Author" w:date="2025-07-24T11:10:00Z"/>
                    <w:lang w:val="de-CH"/>
                  </w:rPr>
                </w:rPrChange>
              </w:rPr>
            </w:pPr>
            <w:ins w:id="5597" w:author="Author" w:date="2025-07-24T11:10:00Z">
              <w:r>
                <w:rPr>
                  <w:rFonts w:ascii="Times New Roman" w:hAnsi="Times New Roman"/>
                  <w:noProof/>
                  <w:sz w:val="22"/>
                  <w:szCs w:val="22"/>
                  <w:lang w:val="sk-SK"/>
                  <w:rPrChange w:id="5598" w:author="Author" w:date="2025-08-22T15:12:00Z">
                    <w:rPr>
                      <w:lang w:val="de-CH"/>
                    </w:rPr>
                  </w:rPrChange>
                </w:rPr>
                <w:t xml:space="preserve">Tel: +49 (0) 7624 140 </w:t>
              </w:r>
            </w:ins>
          </w:p>
          <w:p w14:paraId="448C2322" w14:textId="77777777" w:rsidR="009700E5" w:rsidRPr="009700E5" w:rsidRDefault="009700E5">
            <w:pPr>
              <w:pStyle w:val="Standard1"/>
              <w:rPr>
                <w:ins w:id="5599" w:author="Author" w:date="2025-07-24T11:10:00Z"/>
                <w:rFonts w:ascii="Times New Roman" w:hAnsi="Times New Roman"/>
                <w:b/>
                <w:noProof/>
                <w:sz w:val="22"/>
                <w:szCs w:val="22"/>
                <w:lang w:val="sk-SK"/>
                <w:rPrChange w:id="5600" w:author="Author" w:date="2025-08-22T15:12:00Z">
                  <w:rPr>
                    <w:ins w:id="5601" w:author="Author" w:date="2025-07-24T11:10:00Z"/>
                    <w:b/>
                    <w:lang w:val="de-CH"/>
                  </w:rPr>
                </w:rPrChange>
              </w:rPr>
            </w:pPr>
          </w:p>
        </w:tc>
        <w:tc>
          <w:tcPr>
            <w:tcW w:w="4590" w:type="dxa"/>
          </w:tcPr>
          <w:p w14:paraId="4F2C9688" w14:textId="77777777" w:rsidR="009700E5" w:rsidRPr="009700E5" w:rsidRDefault="002C033C">
            <w:pPr>
              <w:pStyle w:val="Standard1"/>
              <w:rPr>
                <w:ins w:id="5602" w:author="Author" w:date="2025-07-24T11:10:00Z"/>
                <w:rFonts w:ascii="Times New Roman" w:hAnsi="Times New Roman"/>
                <w:b/>
                <w:noProof/>
                <w:snapToGrid w:val="0"/>
                <w:sz w:val="22"/>
                <w:szCs w:val="22"/>
                <w:lang w:val="sk-SK"/>
                <w:rPrChange w:id="5603" w:author="Author" w:date="2025-08-22T15:12:00Z">
                  <w:rPr>
                    <w:ins w:id="5604" w:author="Author" w:date="2025-07-24T11:10:00Z"/>
                    <w:b/>
                    <w:noProof/>
                    <w:snapToGrid w:val="0"/>
                    <w:szCs w:val="22"/>
                    <w:lang w:val="en-GB"/>
                  </w:rPr>
                </w:rPrChange>
              </w:rPr>
            </w:pPr>
            <w:ins w:id="5605" w:author="Author" w:date="2025-07-24T11:10:00Z">
              <w:r>
                <w:rPr>
                  <w:rFonts w:ascii="Times New Roman" w:hAnsi="Times New Roman"/>
                  <w:b/>
                  <w:noProof/>
                  <w:snapToGrid w:val="0"/>
                  <w:sz w:val="22"/>
                  <w:szCs w:val="22"/>
                  <w:lang w:val="sk-SK"/>
                  <w:rPrChange w:id="5606" w:author="Author" w:date="2025-08-22T15:12:00Z">
                    <w:rPr>
                      <w:b/>
                      <w:noProof/>
                      <w:snapToGrid w:val="0"/>
                      <w:szCs w:val="22"/>
                      <w:lang w:val="en-GB"/>
                    </w:rPr>
                  </w:rPrChange>
                </w:rPr>
                <w:t>Norge</w:t>
              </w:r>
            </w:ins>
          </w:p>
          <w:p w14:paraId="7C97CEAC" w14:textId="77777777" w:rsidR="009700E5" w:rsidRPr="009700E5" w:rsidRDefault="002C033C">
            <w:pPr>
              <w:pStyle w:val="Standard1"/>
              <w:rPr>
                <w:ins w:id="5607" w:author="Author" w:date="2025-07-24T11:10:00Z"/>
                <w:rFonts w:ascii="Times New Roman" w:hAnsi="Times New Roman"/>
                <w:noProof/>
                <w:snapToGrid w:val="0"/>
                <w:sz w:val="22"/>
                <w:szCs w:val="22"/>
                <w:lang w:val="sk-SK"/>
                <w:rPrChange w:id="5608" w:author="Author" w:date="2025-08-22T15:12:00Z">
                  <w:rPr>
                    <w:ins w:id="5609" w:author="Author" w:date="2025-07-24T11:10:00Z"/>
                    <w:noProof/>
                    <w:snapToGrid w:val="0"/>
                    <w:szCs w:val="22"/>
                    <w:lang w:val="en-GB"/>
                  </w:rPr>
                </w:rPrChange>
              </w:rPr>
            </w:pPr>
            <w:ins w:id="5610" w:author="Author" w:date="2025-07-24T11:10:00Z">
              <w:r>
                <w:rPr>
                  <w:rFonts w:ascii="Times New Roman" w:hAnsi="Times New Roman"/>
                  <w:noProof/>
                  <w:snapToGrid w:val="0"/>
                  <w:sz w:val="22"/>
                  <w:szCs w:val="22"/>
                  <w:lang w:val="sk-SK"/>
                  <w:rPrChange w:id="5611" w:author="Author" w:date="2025-08-22T15:12:00Z">
                    <w:rPr>
                      <w:noProof/>
                      <w:snapToGrid w:val="0"/>
                      <w:szCs w:val="22"/>
                      <w:lang w:val="en-GB"/>
                    </w:rPr>
                  </w:rPrChange>
                </w:rPr>
                <w:t>Roche Norge AS</w:t>
              </w:r>
            </w:ins>
          </w:p>
          <w:p w14:paraId="66E09292" w14:textId="77777777" w:rsidR="009700E5" w:rsidRPr="009700E5" w:rsidRDefault="002C033C">
            <w:pPr>
              <w:pStyle w:val="Standard1"/>
              <w:rPr>
                <w:ins w:id="5612" w:author="Author" w:date="2025-07-24T11:10:00Z"/>
                <w:rFonts w:ascii="Times New Roman" w:hAnsi="Times New Roman"/>
                <w:noProof/>
                <w:sz w:val="22"/>
                <w:szCs w:val="22"/>
                <w:lang w:val="sk-SK"/>
                <w:rPrChange w:id="5613" w:author="Author" w:date="2025-08-22T15:12:00Z">
                  <w:rPr>
                    <w:ins w:id="5614" w:author="Author" w:date="2025-07-24T11:10:00Z"/>
                    <w:noProof/>
                    <w:szCs w:val="22"/>
                    <w:lang w:val="en-GB"/>
                  </w:rPr>
                </w:rPrChange>
              </w:rPr>
            </w:pPr>
            <w:ins w:id="5615" w:author="Author" w:date="2025-07-24T11:10:00Z">
              <w:r>
                <w:rPr>
                  <w:rFonts w:ascii="Times New Roman" w:hAnsi="Times New Roman"/>
                  <w:noProof/>
                  <w:snapToGrid w:val="0"/>
                  <w:sz w:val="22"/>
                  <w:szCs w:val="22"/>
                  <w:lang w:val="sk-SK"/>
                  <w:rPrChange w:id="5616" w:author="Author" w:date="2025-08-22T15:12:00Z">
                    <w:rPr>
                      <w:noProof/>
                      <w:snapToGrid w:val="0"/>
                      <w:szCs w:val="22"/>
                      <w:lang w:val="en-GB"/>
                    </w:rPr>
                  </w:rPrChange>
                </w:rPr>
                <w:t>Tlf: +47 - 22 78 90 00</w:t>
              </w:r>
            </w:ins>
          </w:p>
          <w:p w14:paraId="5063CF11" w14:textId="77777777" w:rsidR="009700E5" w:rsidRPr="009700E5" w:rsidRDefault="009700E5">
            <w:pPr>
              <w:pStyle w:val="Standard1"/>
              <w:rPr>
                <w:ins w:id="5617" w:author="Author" w:date="2025-07-24T11:10:00Z"/>
                <w:rFonts w:ascii="Times New Roman" w:hAnsi="Times New Roman"/>
                <w:noProof/>
                <w:sz w:val="22"/>
                <w:szCs w:val="22"/>
                <w:lang w:val="sk-SK"/>
                <w:rPrChange w:id="5618" w:author="Author" w:date="2025-08-22T15:12:00Z">
                  <w:rPr>
                    <w:ins w:id="5619" w:author="Author" w:date="2025-07-24T11:10:00Z"/>
                    <w:noProof/>
                    <w:szCs w:val="22"/>
                    <w:lang w:val="en-GB"/>
                  </w:rPr>
                </w:rPrChange>
              </w:rPr>
            </w:pPr>
          </w:p>
        </w:tc>
      </w:tr>
      <w:tr w:rsidR="009700E5" w14:paraId="684ECA44" w14:textId="77777777">
        <w:trPr>
          <w:cantSplit/>
          <w:ins w:id="5620" w:author="Author" w:date="2025-07-24T11:10:00Z"/>
        </w:trPr>
        <w:tc>
          <w:tcPr>
            <w:tcW w:w="4590" w:type="dxa"/>
          </w:tcPr>
          <w:p w14:paraId="7ACB7FA9" w14:textId="77777777" w:rsidR="009700E5" w:rsidRPr="009700E5" w:rsidRDefault="002C033C">
            <w:pPr>
              <w:pStyle w:val="Standard1"/>
              <w:rPr>
                <w:ins w:id="5621" w:author="Author" w:date="2025-07-24T11:10:00Z"/>
                <w:rFonts w:ascii="Times New Roman" w:hAnsi="Times New Roman"/>
                <w:b/>
                <w:noProof/>
                <w:sz w:val="22"/>
                <w:szCs w:val="22"/>
                <w:lang w:val="sk-SK"/>
                <w:rPrChange w:id="5622" w:author="Author" w:date="2025-08-22T15:12:00Z">
                  <w:rPr>
                    <w:ins w:id="5623" w:author="Author" w:date="2025-07-24T11:10:00Z"/>
                    <w:b/>
                    <w:lang w:val="it-IT"/>
                  </w:rPr>
                </w:rPrChange>
              </w:rPr>
            </w:pPr>
            <w:ins w:id="5624" w:author="Author" w:date="2025-07-24T11:10:00Z">
              <w:r>
                <w:rPr>
                  <w:rFonts w:ascii="Times New Roman" w:hAnsi="Times New Roman"/>
                  <w:b/>
                  <w:noProof/>
                  <w:sz w:val="22"/>
                  <w:szCs w:val="22"/>
                  <w:lang w:val="sk-SK"/>
                  <w:rPrChange w:id="5625" w:author="Author" w:date="2025-08-22T15:12:00Z">
                    <w:rPr>
                      <w:b/>
                      <w:lang w:val="it-IT"/>
                    </w:rPr>
                  </w:rPrChange>
                </w:rPr>
                <w:t>Eesti</w:t>
              </w:r>
            </w:ins>
          </w:p>
          <w:p w14:paraId="6BED7792" w14:textId="77777777" w:rsidR="009700E5" w:rsidRPr="009700E5" w:rsidRDefault="002C033C">
            <w:pPr>
              <w:pStyle w:val="Standard1"/>
              <w:rPr>
                <w:ins w:id="5626" w:author="Author" w:date="2025-07-24T11:10:00Z"/>
                <w:rFonts w:ascii="Times New Roman" w:hAnsi="Times New Roman"/>
                <w:noProof/>
                <w:sz w:val="22"/>
                <w:szCs w:val="22"/>
                <w:lang w:val="sk-SK"/>
                <w:rPrChange w:id="5627" w:author="Author" w:date="2025-08-22T15:12:00Z">
                  <w:rPr>
                    <w:ins w:id="5628" w:author="Author" w:date="2025-07-24T11:10:00Z"/>
                    <w:lang w:val="it-IT"/>
                  </w:rPr>
                </w:rPrChange>
              </w:rPr>
            </w:pPr>
            <w:ins w:id="5629" w:author="Author" w:date="2025-07-24T11:10:00Z">
              <w:r>
                <w:rPr>
                  <w:rFonts w:ascii="Times New Roman" w:hAnsi="Times New Roman"/>
                  <w:noProof/>
                  <w:sz w:val="22"/>
                  <w:szCs w:val="22"/>
                  <w:lang w:val="sk-SK"/>
                  <w:rPrChange w:id="5630" w:author="Author" w:date="2025-08-22T15:12:00Z">
                    <w:rPr>
                      <w:lang w:val="it-IT"/>
                    </w:rPr>
                  </w:rPrChange>
                </w:rPr>
                <w:t>Roche Eesti OÜ</w:t>
              </w:r>
            </w:ins>
          </w:p>
          <w:p w14:paraId="1010FB93" w14:textId="77777777" w:rsidR="009700E5" w:rsidRPr="009700E5" w:rsidRDefault="002C033C">
            <w:pPr>
              <w:pStyle w:val="Standard1"/>
              <w:rPr>
                <w:ins w:id="5631" w:author="Author" w:date="2025-07-24T11:10:00Z"/>
                <w:rFonts w:ascii="Times New Roman" w:hAnsi="Times New Roman"/>
                <w:noProof/>
                <w:sz w:val="22"/>
                <w:szCs w:val="22"/>
                <w:lang w:val="sk-SK"/>
                <w:rPrChange w:id="5632" w:author="Author" w:date="2025-08-22T15:12:00Z">
                  <w:rPr>
                    <w:ins w:id="5633" w:author="Author" w:date="2025-07-24T11:10:00Z"/>
                    <w:lang w:val="it-IT"/>
                  </w:rPr>
                </w:rPrChange>
              </w:rPr>
            </w:pPr>
            <w:ins w:id="5634" w:author="Author" w:date="2025-07-24T11:10:00Z">
              <w:r>
                <w:rPr>
                  <w:rFonts w:ascii="Times New Roman" w:hAnsi="Times New Roman"/>
                  <w:noProof/>
                  <w:sz w:val="22"/>
                  <w:szCs w:val="22"/>
                  <w:lang w:val="sk-SK"/>
                  <w:rPrChange w:id="5635" w:author="Author" w:date="2025-08-22T15:12:00Z">
                    <w:rPr>
                      <w:lang w:val="it-IT"/>
                    </w:rPr>
                  </w:rPrChange>
                </w:rPr>
                <w:t>Tel: + 372 - 6 177 380</w:t>
              </w:r>
            </w:ins>
          </w:p>
          <w:p w14:paraId="769000A7" w14:textId="77777777" w:rsidR="009700E5" w:rsidRPr="009700E5" w:rsidRDefault="009700E5">
            <w:pPr>
              <w:pStyle w:val="Standard1"/>
              <w:rPr>
                <w:ins w:id="5636" w:author="Author" w:date="2025-07-24T11:10:00Z"/>
                <w:rFonts w:ascii="Times New Roman" w:hAnsi="Times New Roman"/>
                <w:noProof/>
                <w:sz w:val="22"/>
                <w:szCs w:val="22"/>
                <w:lang w:val="sk-SK"/>
                <w:rPrChange w:id="5637" w:author="Author" w:date="2025-08-22T15:12:00Z">
                  <w:rPr>
                    <w:ins w:id="5638" w:author="Author" w:date="2025-07-24T11:10:00Z"/>
                    <w:lang w:val="it-IT"/>
                  </w:rPr>
                </w:rPrChange>
              </w:rPr>
            </w:pPr>
          </w:p>
        </w:tc>
        <w:tc>
          <w:tcPr>
            <w:tcW w:w="4590" w:type="dxa"/>
          </w:tcPr>
          <w:p w14:paraId="0D760719" w14:textId="77777777" w:rsidR="009700E5" w:rsidRPr="009700E5" w:rsidRDefault="002C033C">
            <w:pPr>
              <w:pStyle w:val="Standard1"/>
              <w:rPr>
                <w:ins w:id="5639" w:author="Author" w:date="2025-07-24T11:10:00Z"/>
                <w:rFonts w:ascii="Times New Roman" w:hAnsi="Times New Roman"/>
                <w:noProof/>
                <w:sz w:val="22"/>
                <w:szCs w:val="22"/>
                <w:lang w:val="sk-SK"/>
                <w:rPrChange w:id="5640" w:author="Author" w:date="2025-08-22T15:12:00Z">
                  <w:rPr>
                    <w:ins w:id="5641" w:author="Author" w:date="2025-07-24T11:10:00Z"/>
                    <w:lang w:val="de-CH"/>
                  </w:rPr>
                </w:rPrChange>
              </w:rPr>
            </w:pPr>
            <w:ins w:id="5642" w:author="Author" w:date="2025-07-24T11:10:00Z">
              <w:r>
                <w:rPr>
                  <w:rFonts w:ascii="Times New Roman" w:hAnsi="Times New Roman"/>
                  <w:b/>
                  <w:noProof/>
                  <w:sz w:val="22"/>
                  <w:szCs w:val="22"/>
                  <w:lang w:val="sk-SK"/>
                  <w:rPrChange w:id="5643" w:author="Author" w:date="2025-08-22T15:12:00Z">
                    <w:rPr>
                      <w:b/>
                      <w:lang w:val="de-CH"/>
                    </w:rPr>
                  </w:rPrChange>
                </w:rPr>
                <w:t>Österreich</w:t>
              </w:r>
            </w:ins>
          </w:p>
          <w:p w14:paraId="03FB0A73" w14:textId="77777777" w:rsidR="009700E5" w:rsidRPr="009700E5" w:rsidRDefault="002C033C">
            <w:pPr>
              <w:pStyle w:val="Standard1"/>
              <w:rPr>
                <w:ins w:id="5644" w:author="Author" w:date="2025-07-24T11:10:00Z"/>
                <w:rFonts w:ascii="Times New Roman" w:hAnsi="Times New Roman"/>
                <w:noProof/>
                <w:sz w:val="22"/>
                <w:szCs w:val="22"/>
                <w:lang w:val="sk-SK"/>
                <w:rPrChange w:id="5645" w:author="Author" w:date="2025-08-22T15:12:00Z">
                  <w:rPr>
                    <w:ins w:id="5646" w:author="Author" w:date="2025-07-24T11:10:00Z"/>
                    <w:lang w:val="de-CH"/>
                  </w:rPr>
                </w:rPrChange>
              </w:rPr>
            </w:pPr>
            <w:ins w:id="5647" w:author="Author" w:date="2025-07-24T11:10:00Z">
              <w:r>
                <w:rPr>
                  <w:rFonts w:ascii="Times New Roman" w:hAnsi="Times New Roman"/>
                  <w:noProof/>
                  <w:sz w:val="22"/>
                  <w:szCs w:val="22"/>
                  <w:lang w:val="sk-SK"/>
                  <w:rPrChange w:id="5648" w:author="Author" w:date="2025-08-22T15:12:00Z">
                    <w:rPr>
                      <w:lang w:val="de-CH"/>
                    </w:rPr>
                  </w:rPrChange>
                </w:rPr>
                <w:t>Roche Austria GmbH</w:t>
              </w:r>
            </w:ins>
          </w:p>
          <w:p w14:paraId="50CC9260" w14:textId="77777777" w:rsidR="009700E5" w:rsidRPr="009700E5" w:rsidRDefault="002C033C">
            <w:pPr>
              <w:pStyle w:val="Standard1"/>
              <w:rPr>
                <w:ins w:id="5649" w:author="Author" w:date="2025-07-24T11:10:00Z"/>
                <w:rFonts w:ascii="Times New Roman" w:hAnsi="Times New Roman"/>
                <w:noProof/>
                <w:sz w:val="22"/>
                <w:szCs w:val="22"/>
                <w:lang w:val="sk-SK"/>
                <w:rPrChange w:id="5650" w:author="Author" w:date="2025-08-22T15:12:00Z">
                  <w:rPr>
                    <w:ins w:id="5651" w:author="Author" w:date="2025-07-24T11:10:00Z"/>
                    <w:lang w:val="de-CH"/>
                  </w:rPr>
                </w:rPrChange>
              </w:rPr>
            </w:pPr>
            <w:ins w:id="5652" w:author="Author" w:date="2025-07-24T11:10:00Z">
              <w:r>
                <w:rPr>
                  <w:rFonts w:ascii="Times New Roman" w:hAnsi="Times New Roman"/>
                  <w:noProof/>
                  <w:sz w:val="22"/>
                  <w:szCs w:val="22"/>
                  <w:lang w:val="sk-SK"/>
                  <w:rPrChange w:id="5653" w:author="Author" w:date="2025-08-22T15:12:00Z">
                    <w:rPr>
                      <w:lang w:val="de-CH"/>
                    </w:rPr>
                  </w:rPrChange>
                </w:rPr>
                <w:t>Tel: +43 (0) 1 27739</w:t>
              </w:r>
            </w:ins>
          </w:p>
          <w:p w14:paraId="53185A58" w14:textId="77777777" w:rsidR="009700E5" w:rsidRPr="009700E5" w:rsidRDefault="009700E5">
            <w:pPr>
              <w:pStyle w:val="Standard1"/>
              <w:rPr>
                <w:ins w:id="5654" w:author="Author" w:date="2025-07-24T11:10:00Z"/>
                <w:rFonts w:ascii="Times New Roman" w:hAnsi="Times New Roman"/>
                <w:noProof/>
                <w:sz w:val="22"/>
                <w:szCs w:val="22"/>
                <w:lang w:val="sk-SK"/>
                <w:rPrChange w:id="5655" w:author="Author" w:date="2025-08-22T15:12:00Z">
                  <w:rPr>
                    <w:ins w:id="5656" w:author="Author" w:date="2025-07-24T11:10:00Z"/>
                    <w:lang w:val="de-CH"/>
                  </w:rPr>
                </w:rPrChange>
              </w:rPr>
            </w:pPr>
          </w:p>
        </w:tc>
      </w:tr>
      <w:tr w:rsidR="009700E5" w14:paraId="6AD1E9EC" w14:textId="77777777">
        <w:trPr>
          <w:cantSplit/>
          <w:ins w:id="5657" w:author="Author" w:date="2025-07-24T11:10:00Z"/>
        </w:trPr>
        <w:tc>
          <w:tcPr>
            <w:tcW w:w="4590" w:type="dxa"/>
          </w:tcPr>
          <w:p w14:paraId="31B28CEA" w14:textId="77777777" w:rsidR="009700E5" w:rsidRPr="009700E5" w:rsidRDefault="002C033C">
            <w:pPr>
              <w:pStyle w:val="Standard1"/>
              <w:rPr>
                <w:ins w:id="5658" w:author="Author" w:date="2025-07-24T11:10:00Z"/>
                <w:rFonts w:ascii="Times New Roman" w:hAnsi="Times New Roman"/>
                <w:noProof/>
                <w:sz w:val="22"/>
                <w:szCs w:val="22"/>
                <w:lang w:val="sk-SK"/>
                <w:rPrChange w:id="5659" w:author="Author" w:date="2025-08-22T15:12:00Z">
                  <w:rPr>
                    <w:ins w:id="5660" w:author="Author" w:date="2025-07-24T11:10:00Z"/>
                    <w:lang w:val="de-DE"/>
                  </w:rPr>
                </w:rPrChange>
              </w:rPr>
            </w:pPr>
            <w:ins w:id="5661" w:author="Author" w:date="2025-07-24T11:10:00Z">
              <w:r>
                <w:rPr>
                  <w:rFonts w:ascii="Times New Roman" w:hAnsi="Times New Roman"/>
                  <w:b/>
                  <w:noProof/>
                  <w:sz w:val="22"/>
                  <w:szCs w:val="22"/>
                  <w:lang w:val="sk-SK"/>
                  <w:rPrChange w:id="5662" w:author="Author" w:date="2025-08-22T15:12:00Z">
                    <w:rPr>
                      <w:b/>
                      <w:noProof/>
                      <w:szCs w:val="22"/>
                      <w:lang w:val="en-GB"/>
                    </w:rPr>
                  </w:rPrChange>
                </w:rPr>
                <w:t>Ελλάδα</w:t>
              </w:r>
              <w:r>
                <w:rPr>
                  <w:rFonts w:ascii="Times New Roman" w:hAnsi="Times New Roman"/>
                  <w:b/>
                  <w:noProof/>
                  <w:sz w:val="22"/>
                  <w:szCs w:val="22"/>
                  <w:lang w:val="sk-SK"/>
                  <w:rPrChange w:id="5663" w:author="Author" w:date="2025-08-22T15:12:00Z">
                    <w:rPr>
                      <w:b/>
                      <w:szCs w:val="22"/>
                      <w:lang w:val="de-DE"/>
                    </w:rPr>
                  </w:rPrChange>
                </w:rPr>
                <w:t>, K</w:t>
              </w:r>
              <w:r>
                <w:rPr>
                  <w:rFonts w:ascii="Times New Roman" w:hAnsi="Times New Roman"/>
                  <w:b/>
                  <w:noProof/>
                  <w:sz w:val="22"/>
                  <w:szCs w:val="22"/>
                  <w:lang w:val="sk-SK"/>
                  <w:rPrChange w:id="5664" w:author="Author" w:date="2025-08-22T15:12:00Z">
                    <w:rPr>
                      <w:b/>
                      <w:noProof/>
                      <w:szCs w:val="22"/>
                      <w:lang w:val="en-GB"/>
                    </w:rPr>
                  </w:rPrChange>
                </w:rPr>
                <w:t>ύπρος</w:t>
              </w:r>
            </w:ins>
          </w:p>
          <w:p w14:paraId="29D4AA4D" w14:textId="77777777" w:rsidR="009700E5" w:rsidRPr="009700E5" w:rsidRDefault="002C033C">
            <w:pPr>
              <w:pStyle w:val="Standard1"/>
              <w:rPr>
                <w:ins w:id="5665" w:author="Author" w:date="2025-07-24T11:10:00Z"/>
                <w:rFonts w:ascii="Times New Roman" w:hAnsi="Times New Roman"/>
                <w:noProof/>
                <w:sz w:val="22"/>
                <w:szCs w:val="22"/>
                <w:lang w:val="sk-SK"/>
                <w:rPrChange w:id="5666" w:author="Author" w:date="2025-08-22T15:12:00Z">
                  <w:rPr>
                    <w:ins w:id="5667" w:author="Author" w:date="2025-07-24T11:10:00Z"/>
                    <w:lang w:val="de-DE"/>
                  </w:rPr>
                </w:rPrChange>
              </w:rPr>
            </w:pPr>
            <w:ins w:id="5668" w:author="Author" w:date="2025-07-24T11:10:00Z">
              <w:r>
                <w:rPr>
                  <w:rFonts w:ascii="Times New Roman" w:hAnsi="Times New Roman"/>
                  <w:noProof/>
                  <w:sz w:val="22"/>
                  <w:szCs w:val="22"/>
                  <w:lang w:val="sk-SK"/>
                  <w:rPrChange w:id="5669" w:author="Author" w:date="2025-08-22T15:12:00Z">
                    <w:rPr>
                      <w:lang w:val="de-DE"/>
                    </w:rPr>
                  </w:rPrChange>
                </w:rPr>
                <w:t xml:space="preserve">Roche (Hellas) A.E. </w:t>
              </w:r>
            </w:ins>
          </w:p>
          <w:p w14:paraId="5E9615C7" w14:textId="77777777" w:rsidR="009700E5" w:rsidRPr="009700E5" w:rsidRDefault="002C033C">
            <w:pPr>
              <w:pStyle w:val="Standard1"/>
              <w:rPr>
                <w:ins w:id="5670" w:author="Author" w:date="2025-07-24T11:10:00Z"/>
                <w:rFonts w:ascii="Times New Roman" w:hAnsi="Times New Roman"/>
                <w:bCs/>
                <w:noProof/>
                <w:sz w:val="22"/>
                <w:szCs w:val="22"/>
                <w:lang w:val="sk-SK"/>
                <w:rPrChange w:id="5671" w:author="Author" w:date="2025-08-22T15:12:00Z">
                  <w:rPr>
                    <w:ins w:id="5672" w:author="Author" w:date="2025-07-24T11:10:00Z"/>
                    <w:bCs/>
                    <w:noProof/>
                    <w:szCs w:val="22"/>
                    <w:lang w:val="en-GB"/>
                  </w:rPr>
                </w:rPrChange>
              </w:rPr>
            </w:pPr>
            <w:ins w:id="5673" w:author="Author" w:date="2025-07-24T11:10:00Z">
              <w:r>
                <w:rPr>
                  <w:rFonts w:ascii="Times New Roman" w:hAnsi="Times New Roman"/>
                  <w:bCs/>
                  <w:noProof/>
                  <w:sz w:val="22"/>
                  <w:szCs w:val="22"/>
                  <w:lang w:val="sk-SK"/>
                  <w:rPrChange w:id="5674" w:author="Author" w:date="2025-08-22T15:12:00Z">
                    <w:rPr>
                      <w:bCs/>
                      <w:noProof/>
                      <w:szCs w:val="22"/>
                      <w:lang w:val="en-GB"/>
                    </w:rPr>
                  </w:rPrChange>
                </w:rPr>
                <w:t>Ελλάδα</w:t>
              </w:r>
            </w:ins>
          </w:p>
          <w:p w14:paraId="3ECE49E9" w14:textId="77777777" w:rsidR="009700E5" w:rsidRPr="009700E5" w:rsidRDefault="002C033C">
            <w:pPr>
              <w:pStyle w:val="Standard1"/>
              <w:rPr>
                <w:ins w:id="5675" w:author="Author" w:date="2025-07-24T11:10:00Z"/>
                <w:rFonts w:ascii="Times New Roman" w:hAnsi="Times New Roman"/>
                <w:noProof/>
                <w:sz w:val="22"/>
                <w:szCs w:val="22"/>
                <w:lang w:val="sk-SK"/>
                <w:rPrChange w:id="5676" w:author="Author" w:date="2025-08-22T15:12:00Z">
                  <w:rPr>
                    <w:ins w:id="5677" w:author="Author" w:date="2025-07-24T11:10:00Z"/>
                    <w:noProof/>
                    <w:szCs w:val="22"/>
                    <w:lang w:val="en-GB"/>
                  </w:rPr>
                </w:rPrChange>
              </w:rPr>
            </w:pPr>
            <w:ins w:id="5678" w:author="Author" w:date="2025-07-24T11:10:00Z">
              <w:r>
                <w:rPr>
                  <w:rFonts w:ascii="Times New Roman" w:hAnsi="Times New Roman"/>
                  <w:noProof/>
                  <w:sz w:val="22"/>
                  <w:szCs w:val="22"/>
                  <w:lang w:val="sk-SK"/>
                  <w:rPrChange w:id="5679" w:author="Author" w:date="2025-08-22T15:12:00Z">
                    <w:rPr>
                      <w:noProof/>
                      <w:szCs w:val="22"/>
                      <w:lang w:val="en-GB"/>
                    </w:rPr>
                  </w:rPrChange>
                </w:rPr>
                <w:t>Τηλ: +30 210 61 66 100</w:t>
              </w:r>
            </w:ins>
          </w:p>
          <w:p w14:paraId="0AF64897" w14:textId="77777777" w:rsidR="009700E5" w:rsidRPr="009700E5" w:rsidRDefault="009700E5">
            <w:pPr>
              <w:pStyle w:val="Standard1"/>
              <w:rPr>
                <w:ins w:id="5680" w:author="Author" w:date="2025-07-24T11:10:00Z"/>
                <w:rFonts w:ascii="Times New Roman" w:hAnsi="Times New Roman"/>
                <w:noProof/>
                <w:sz w:val="22"/>
                <w:szCs w:val="22"/>
                <w:lang w:val="sk-SK"/>
                <w:rPrChange w:id="5681" w:author="Author" w:date="2025-08-22T15:12:00Z">
                  <w:rPr>
                    <w:ins w:id="5682" w:author="Author" w:date="2025-07-24T11:10:00Z"/>
                    <w:noProof/>
                    <w:szCs w:val="22"/>
                    <w:lang w:val="en-GB"/>
                  </w:rPr>
                </w:rPrChange>
              </w:rPr>
            </w:pPr>
          </w:p>
        </w:tc>
        <w:tc>
          <w:tcPr>
            <w:tcW w:w="4590" w:type="dxa"/>
          </w:tcPr>
          <w:p w14:paraId="254B6D46" w14:textId="77777777" w:rsidR="009700E5" w:rsidRPr="009700E5" w:rsidRDefault="002C033C">
            <w:pPr>
              <w:pStyle w:val="Standard1"/>
              <w:rPr>
                <w:ins w:id="5683" w:author="Author" w:date="2025-07-24T11:10:00Z"/>
                <w:rFonts w:ascii="Times New Roman" w:hAnsi="Times New Roman"/>
                <w:b/>
                <w:noProof/>
                <w:sz w:val="22"/>
                <w:szCs w:val="22"/>
                <w:lang w:val="sk-SK"/>
                <w:rPrChange w:id="5684" w:author="Author" w:date="2025-08-22T15:12:00Z">
                  <w:rPr>
                    <w:ins w:id="5685" w:author="Author" w:date="2025-07-24T11:10:00Z"/>
                    <w:b/>
                    <w:lang w:val="pl-PL"/>
                  </w:rPr>
                </w:rPrChange>
              </w:rPr>
            </w:pPr>
            <w:ins w:id="5686" w:author="Author" w:date="2025-07-24T11:10:00Z">
              <w:r>
                <w:rPr>
                  <w:rFonts w:ascii="Times New Roman" w:hAnsi="Times New Roman"/>
                  <w:b/>
                  <w:noProof/>
                  <w:sz w:val="22"/>
                  <w:szCs w:val="22"/>
                  <w:lang w:val="sk-SK"/>
                  <w:rPrChange w:id="5687" w:author="Author" w:date="2025-08-22T15:12:00Z">
                    <w:rPr>
                      <w:b/>
                      <w:lang w:val="pl-PL"/>
                    </w:rPr>
                  </w:rPrChange>
                </w:rPr>
                <w:t>Polska</w:t>
              </w:r>
            </w:ins>
          </w:p>
          <w:p w14:paraId="59ABD48B" w14:textId="77777777" w:rsidR="009700E5" w:rsidRPr="009700E5" w:rsidRDefault="002C033C">
            <w:pPr>
              <w:pStyle w:val="Standard1"/>
              <w:rPr>
                <w:ins w:id="5688" w:author="Author" w:date="2025-07-24T11:10:00Z"/>
                <w:rFonts w:ascii="Times New Roman" w:hAnsi="Times New Roman"/>
                <w:noProof/>
                <w:sz w:val="22"/>
                <w:szCs w:val="22"/>
                <w:lang w:val="sk-SK"/>
                <w:rPrChange w:id="5689" w:author="Author" w:date="2025-08-22T15:12:00Z">
                  <w:rPr>
                    <w:ins w:id="5690" w:author="Author" w:date="2025-07-24T11:10:00Z"/>
                    <w:lang w:val="pl-PL"/>
                  </w:rPr>
                </w:rPrChange>
              </w:rPr>
            </w:pPr>
            <w:ins w:id="5691" w:author="Author" w:date="2025-07-24T11:10:00Z">
              <w:r>
                <w:rPr>
                  <w:rFonts w:ascii="Times New Roman" w:hAnsi="Times New Roman"/>
                  <w:noProof/>
                  <w:sz w:val="22"/>
                  <w:szCs w:val="22"/>
                  <w:lang w:val="sk-SK"/>
                  <w:rPrChange w:id="5692" w:author="Author" w:date="2025-08-22T15:12:00Z">
                    <w:rPr>
                      <w:lang w:val="pl-PL"/>
                    </w:rPr>
                  </w:rPrChange>
                </w:rPr>
                <w:t>Roche Polska Sp.z o.o.</w:t>
              </w:r>
            </w:ins>
          </w:p>
          <w:p w14:paraId="3005C897" w14:textId="77777777" w:rsidR="009700E5" w:rsidRPr="009700E5" w:rsidRDefault="002C033C">
            <w:pPr>
              <w:pStyle w:val="Standard1"/>
              <w:rPr>
                <w:ins w:id="5693" w:author="Author" w:date="2025-07-24T11:10:00Z"/>
                <w:rFonts w:ascii="Times New Roman" w:hAnsi="Times New Roman"/>
                <w:noProof/>
                <w:sz w:val="22"/>
                <w:szCs w:val="22"/>
                <w:lang w:val="sk-SK"/>
                <w:rPrChange w:id="5694" w:author="Author" w:date="2025-08-22T15:12:00Z">
                  <w:rPr>
                    <w:ins w:id="5695" w:author="Author" w:date="2025-07-24T11:10:00Z"/>
                    <w:noProof/>
                    <w:szCs w:val="22"/>
                    <w:lang w:val="en-GB"/>
                  </w:rPr>
                </w:rPrChange>
              </w:rPr>
            </w:pPr>
            <w:ins w:id="5696" w:author="Author" w:date="2025-07-24T11:10:00Z">
              <w:r>
                <w:rPr>
                  <w:rFonts w:ascii="Times New Roman" w:hAnsi="Times New Roman"/>
                  <w:noProof/>
                  <w:sz w:val="22"/>
                  <w:szCs w:val="22"/>
                  <w:lang w:val="sk-SK"/>
                  <w:rPrChange w:id="5697" w:author="Author" w:date="2025-08-22T15:12:00Z">
                    <w:rPr>
                      <w:noProof/>
                      <w:szCs w:val="22"/>
                      <w:lang w:val="en-GB"/>
                    </w:rPr>
                  </w:rPrChange>
                </w:rPr>
                <w:t>Tel: +48 - 22 345 18 88</w:t>
              </w:r>
            </w:ins>
          </w:p>
          <w:p w14:paraId="68ED1881" w14:textId="77777777" w:rsidR="009700E5" w:rsidRPr="009700E5" w:rsidRDefault="009700E5">
            <w:pPr>
              <w:pStyle w:val="Standard1"/>
              <w:rPr>
                <w:ins w:id="5698" w:author="Author" w:date="2025-07-24T11:10:00Z"/>
                <w:rFonts w:ascii="Times New Roman" w:hAnsi="Times New Roman"/>
                <w:noProof/>
                <w:sz w:val="22"/>
                <w:szCs w:val="22"/>
                <w:lang w:val="sk-SK"/>
                <w:rPrChange w:id="5699" w:author="Author" w:date="2025-08-22T15:12:00Z">
                  <w:rPr>
                    <w:ins w:id="5700" w:author="Author" w:date="2025-07-24T11:10:00Z"/>
                    <w:noProof/>
                    <w:szCs w:val="22"/>
                    <w:lang w:val="en-GB"/>
                  </w:rPr>
                </w:rPrChange>
              </w:rPr>
            </w:pPr>
          </w:p>
        </w:tc>
      </w:tr>
      <w:tr w:rsidR="009700E5" w14:paraId="4D4DE002" w14:textId="77777777">
        <w:trPr>
          <w:cantSplit/>
          <w:ins w:id="5701" w:author="Author" w:date="2025-07-24T11:10:00Z"/>
        </w:trPr>
        <w:tc>
          <w:tcPr>
            <w:tcW w:w="4590" w:type="dxa"/>
          </w:tcPr>
          <w:p w14:paraId="1207F381" w14:textId="77777777" w:rsidR="009700E5" w:rsidRPr="009700E5" w:rsidRDefault="002C033C">
            <w:pPr>
              <w:pStyle w:val="Standard1"/>
              <w:rPr>
                <w:ins w:id="5702" w:author="Author" w:date="2025-07-24T11:10:00Z"/>
                <w:rFonts w:ascii="Times New Roman" w:hAnsi="Times New Roman"/>
                <w:b/>
                <w:noProof/>
                <w:sz w:val="22"/>
                <w:szCs w:val="22"/>
                <w:lang w:val="sk-SK"/>
                <w:rPrChange w:id="5703" w:author="Author" w:date="2025-08-22T15:12:00Z">
                  <w:rPr>
                    <w:ins w:id="5704" w:author="Author" w:date="2025-07-24T11:10:00Z"/>
                    <w:b/>
                  </w:rPr>
                </w:rPrChange>
              </w:rPr>
            </w:pPr>
            <w:ins w:id="5705" w:author="Author" w:date="2025-07-24T11:10:00Z">
              <w:r>
                <w:rPr>
                  <w:rFonts w:ascii="Times New Roman" w:hAnsi="Times New Roman"/>
                  <w:b/>
                  <w:noProof/>
                  <w:sz w:val="22"/>
                  <w:szCs w:val="22"/>
                  <w:lang w:val="sk-SK"/>
                  <w:rPrChange w:id="5706" w:author="Author" w:date="2025-08-22T15:12:00Z">
                    <w:rPr>
                      <w:b/>
                    </w:rPr>
                  </w:rPrChange>
                </w:rPr>
                <w:t>España</w:t>
              </w:r>
            </w:ins>
          </w:p>
          <w:p w14:paraId="56155D93" w14:textId="77777777" w:rsidR="009700E5" w:rsidRPr="009700E5" w:rsidRDefault="002C033C">
            <w:pPr>
              <w:pStyle w:val="Standard1"/>
              <w:rPr>
                <w:ins w:id="5707" w:author="Author" w:date="2025-07-24T11:10:00Z"/>
                <w:rFonts w:ascii="Times New Roman" w:hAnsi="Times New Roman"/>
                <w:noProof/>
                <w:sz w:val="22"/>
                <w:szCs w:val="22"/>
                <w:lang w:val="sk-SK"/>
                <w:rPrChange w:id="5708" w:author="Author" w:date="2025-08-22T15:12:00Z">
                  <w:rPr>
                    <w:ins w:id="5709" w:author="Author" w:date="2025-07-24T11:10:00Z"/>
                  </w:rPr>
                </w:rPrChange>
              </w:rPr>
            </w:pPr>
            <w:ins w:id="5710" w:author="Author" w:date="2025-07-24T11:10:00Z">
              <w:r>
                <w:rPr>
                  <w:rFonts w:ascii="Times New Roman" w:hAnsi="Times New Roman"/>
                  <w:noProof/>
                  <w:sz w:val="22"/>
                  <w:szCs w:val="22"/>
                  <w:lang w:val="sk-SK"/>
                  <w:rPrChange w:id="5711" w:author="Author" w:date="2025-08-22T15:12:00Z">
                    <w:rPr/>
                  </w:rPrChange>
                </w:rPr>
                <w:t>Roche Farma S.A.</w:t>
              </w:r>
            </w:ins>
          </w:p>
          <w:p w14:paraId="0CB3B5B5" w14:textId="77777777" w:rsidR="009700E5" w:rsidRPr="009700E5" w:rsidRDefault="002C033C">
            <w:pPr>
              <w:pStyle w:val="Standard1"/>
              <w:rPr>
                <w:ins w:id="5712" w:author="Author" w:date="2025-07-24T11:10:00Z"/>
                <w:rFonts w:ascii="Times New Roman" w:hAnsi="Times New Roman"/>
                <w:noProof/>
                <w:sz w:val="22"/>
                <w:szCs w:val="22"/>
                <w:lang w:val="sk-SK"/>
                <w:rPrChange w:id="5713" w:author="Author" w:date="2025-08-22T15:12:00Z">
                  <w:rPr>
                    <w:ins w:id="5714" w:author="Author" w:date="2025-07-24T11:10:00Z"/>
                    <w:noProof/>
                    <w:szCs w:val="22"/>
                    <w:lang w:val="en-GB"/>
                  </w:rPr>
                </w:rPrChange>
              </w:rPr>
            </w:pPr>
            <w:ins w:id="5715" w:author="Author" w:date="2025-07-24T11:10:00Z">
              <w:r>
                <w:rPr>
                  <w:rFonts w:ascii="Times New Roman" w:hAnsi="Times New Roman"/>
                  <w:noProof/>
                  <w:sz w:val="22"/>
                  <w:szCs w:val="22"/>
                  <w:lang w:val="sk-SK"/>
                  <w:rPrChange w:id="5716" w:author="Author" w:date="2025-08-22T15:12:00Z">
                    <w:rPr>
                      <w:noProof/>
                      <w:szCs w:val="22"/>
                      <w:lang w:val="en-GB"/>
                    </w:rPr>
                  </w:rPrChange>
                </w:rPr>
                <w:t>Tel: +34 - 91 324 81 00</w:t>
              </w:r>
            </w:ins>
          </w:p>
          <w:p w14:paraId="654EAA68" w14:textId="77777777" w:rsidR="009700E5" w:rsidRPr="009700E5" w:rsidRDefault="009700E5">
            <w:pPr>
              <w:pStyle w:val="Standard1"/>
              <w:rPr>
                <w:ins w:id="5717" w:author="Author" w:date="2025-07-24T11:10:00Z"/>
                <w:rFonts w:ascii="Times New Roman" w:hAnsi="Times New Roman"/>
                <w:noProof/>
                <w:sz w:val="22"/>
                <w:szCs w:val="22"/>
                <w:lang w:val="sk-SK"/>
                <w:rPrChange w:id="5718" w:author="Author" w:date="2025-08-22T15:12:00Z">
                  <w:rPr>
                    <w:ins w:id="5719" w:author="Author" w:date="2025-07-24T11:10:00Z"/>
                    <w:noProof/>
                    <w:szCs w:val="22"/>
                    <w:lang w:val="en-GB"/>
                  </w:rPr>
                </w:rPrChange>
              </w:rPr>
            </w:pPr>
          </w:p>
        </w:tc>
        <w:tc>
          <w:tcPr>
            <w:tcW w:w="4590" w:type="dxa"/>
          </w:tcPr>
          <w:p w14:paraId="15EC46D4" w14:textId="77777777" w:rsidR="009700E5" w:rsidRPr="009700E5" w:rsidRDefault="002C033C">
            <w:pPr>
              <w:pStyle w:val="Standard1"/>
              <w:rPr>
                <w:ins w:id="5720" w:author="Author" w:date="2025-07-24T11:10:00Z"/>
                <w:rFonts w:ascii="Times New Roman" w:hAnsi="Times New Roman"/>
                <w:noProof/>
                <w:sz w:val="22"/>
                <w:szCs w:val="22"/>
                <w:lang w:val="sk-SK"/>
                <w:rPrChange w:id="5721" w:author="Author" w:date="2025-08-22T15:12:00Z">
                  <w:rPr>
                    <w:ins w:id="5722" w:author="Author" w:date="2025-07-24T11:10:00Z"/>
                    <w:lang w:val="pt-BR"/>
                  </w:rPr>
                </w:rPrChange>
              </w:rPr>
            </w:pPr>
            <w:ins w:id="5723" w:author="Author" w:date="2025-07-24T11:10:00Z">
              <w:r>
                <w:rPr>
                  <w:rFonts w:ascii="Times New Roman" w:hAnsi="Times New Roman"/>
                  <w:b/>
                  <w:noProof/>
                  <w:sz w:val="22"/>
                  <w:szCs w:val="22"/>
                  <w:lang w:val="sk-SK"/>
                  <w:rPrChange w:id="5724" w:author="Author" w:date="2025-08-22T15:12:00Z">
                    <w:rPr>
                      <w:b/>
                      <w:lang w:val="pt-BR"/>
                    </w:rPr>
                  </w:rPrChange>
                </w:rPr>
                <w:t>Portugal</w:t>
              </w:r>
            </w:ins>
          </w:p>
          <w:p w14:paraId="2465EDD6" w14:textId="77777777" w:rsidR="009700E5" w:rsidRPr="009700E5" w:rsidRDefault="002C033C">
            <w:pPr>
              <w:pStyle w:val="Standard1"/>
              <w:rPr>
                <w:ins w:id="5725" w:author="Author" w:date="2025-07-24T11:10:00Z"/>
                <w:rFonts w:ascii="Times New Roman" w:hAnsi="Times New Roman"/>
                <w:noProof/>
                <w:sz w:val="22"/>
                <w:szCs w:val="22"/>
                <w:lang w:val="sk-SK"/>
                <w:rPrChange w:id="5726" w:author="Author" w:date="2025-08-22T15:12:00Z">
                  <w:rPr>
                    <w:ins w:id="5727" w:author="Author" w:date="2025-07-24T11:10:00Z"/>
                    <w:lang w:val="pt-BR"/>
                  </w:rPr>
                </w:rPrChange>
              </w:rPr>
            </w:pPr>
            <w:ins w:id="5728" w:author="Author" w:date="2025-07-24T11:10:00Z">
              <w:r>
                <w:rPr>
                  <w:rFonts w:ascii="Times New Roman" w:hAnsi="Times New Roman"/>
                  <w:noProof/>
                  <w:sz w:val="22"/>
                  <w:szCs w:val="22"/>
                  <w:lang w:val="sk-SK"/>
                  <w:rPrChange w:id="5729" w:author="Author" w:date="2025-08-22T15:12:00Z">
                    <w:rPr>
                      <w:lang w:val="pt-BR"/>
                    </w:rPr>
                  </w:rPrChange>
                </w:rPr>
                <w:t>Roche Farmacêutica Química, Lda</w:t>
              </w:r>
            </w:ins>
          </w:p>
          <w:p w14:paraId="7561F4C5" w14:textId="77777777" w:rsidR="009700E5" w:rsidRPr="009700E5" w:rsidRDefault="002C033C">
            <w:pPr>
              <w:pStyle w:val="Standard1"/>
              <w:rPr>
                <w:ins w:id="5730" w:author="Author" w:date="2025-07-24T11:10:00Z"/>
                <w:rFonts w:ascii="Times New Roman" w:hAnsi="Times New Roman"/>
                <w:noProof/>
                <w:sz w:val="22"/>
                <w:szCs w:val="22"/>
                <w:lang w:val="sk-SK"/>
                <w:rPrChange w:id="5731" w:author="Author" w:date="2025-08-22T15:12:00Z">
                  <w:rPr>
                    <w:ins w:id="5732" w:author="Author" w:date="2025-07-24T11:10:00Z"/>
                    <w:lang w:val="pt-BR"/>
                  </w:rPr>
                </w:rPrChange>
              </w:rPr>
            </w:pPr>
            <w:ins w:id="5733" w:author="Author" w:date="2025-07-24T11:10:00Z">
              <w:r>
                <w:rPr>
                  <w:rFonts w:ascii="Times New Roman" w:hAnsi="Times New Roman"/>
                  <w:noProof/>
                  <w:sz w:val="22"/>
                  <w:szCs w:val="22"/>
                  <w:lang w:val="sk-SK"/>
                  <w:rPrChange w:id="5734" w:author="Author" w:date="2025-08-22T15:12:00Z">
                    <w:rPr>
                      <w:lang w:val="pt-BR"/>
                    </w:rPr>
                  </w:rPrChange>
                </w:rPr>
                <w:t>Tel: +351 - 21 425 70 00</w:t>
              </w:r>
            </w:ins>
          </w:p>
          <w:p w14:paraId="49F81517" w14:textId="77777777" w:rsidR="009700E5" w:rsidRPr="009700E5" w:rsidRDefault="009700E5">
            <w:pPr>
              <w:pStyle w:val="Standard1"/>
              <w:rPr>
                <w:ins w:id="5735" w:author="Author" w:date="2025-07-24T11:10:00Z"/>
                <w:rFonts w:ascii="Times New Roman" w:hAnsi="Times New Roman"/>
                <w:noProof/>
                <w:sz w:val="22"/>
                <w:szCs w:val="22"/>
                <w:lang w:val="sk-SK"/>
                <w:rPrChange w:id="5736" w:author="Author" w:date="2025-08-22T15:12:00Z">
                  <w:rPr>
                    <w:ins w:id="5737" w:author="Author" w:date="2025-07-24T11:10:00Z"/>
                    <w:lang w:val="pt-BR"/>
                  </w:rPr>
                </w:rPrChange>
              </w:rPr>
            </w:pPr>
          </w:p>
        </w:tc>
      </w:tr>
      <w:tr w:rsidR="009700E5" w14:paraId="4A28A290" w14:textId="77777777">
        <w:trPr>
          <w:cantSplit/>
          <w:trHeight w:val="1115"/>
          <w:ins w:id="5738" w:author="Author" w:date="2025-07-24T11:10:00Z"/>
        </w:trPr>
        <w:tc>
          <w:tcPr>
            <w:tcW w:w="4590" w:type="dxa"/>
          </w:tcPr>
          <w:p w14:paraId="3F977F99" w14:textId="77777777" w:rsidR="009700E5" w:rsidRPr="009700E5" w:rsidRDefault="002C033C">
            <w:pPr>
              <w:pStyle w:val="Standard1"/>
              <w:rPr>
                <w:ins w:id="5739" w:author="Author" w:date="2025-07-24T11:10:00Z"/>
                <w:rFonts w:ascii="Times New Roman" w:hAnsi="Times New Roman"/>
                <w:noProof/>
                <w:sz w:val="22"/>
                <w:szCs w:val="22"/>
                <w:lang w:val="sk-SK"/>
                <w:rPrChange w:id="5740" w:author="Author" w:date="2025-08-22T15:12:00Z">
                  <w:rPr>
                    <w:ins w:id="5741" w:author="Author" w:date="2025-07-24T11:10:00Z"/>
                    <w:noProof/>
                    <w:szCs w:val="22"/>
                    <w:lang w:val="en-GB"/>
                  </w:rPr>
                </w:rPrChange>
              </w:rPr>
            </w:pPr>
            <w:ins w:id="5742" w:author="Author" w:date="2025-07-24T11:10:00Z">
              <w:r>
                <w:rPr>
                  <w:rFonts w:ascii="Times New Roman" w:hAnsi="Times New Roman"/>
                  <w:b/>
                  <w:noProof/>
                  <w:sz w:val="22"/>
                  <w:szCs w:val="22"/>
                  <w:lang w:val="sk-SK"/>
                  <w:rPrChange w:id="5743" w:author="Author" w:date="2025-08-22T15:12:00Z">
                    <w:rPr>
                      <w:b/>
                      <w:noProof/>
                      <w:szCs w:val="22"/>
                      <w:lang w:val="en-GB"/>
                    </w:rPr>
                  </w:rPrChange>
                </w:rPr>
                <w:lastRenderedPageBreak/>
                <w:t>France</w:t>
              </w:r>
            </w:ins>
          </w:p>
          <w:p w14:paraId="3206E660" w14:textId="77777777" w:rsidR="009700E5" w:rsidRPr="009700E5" w:rsidRDefault="002C033C">
            <w:pPr>
              <w:pStyle w:val="Standard1"/>
              <w:rPr>
                <w:ins w:id="5744" w:author="Author" w:date="2025-07-24T11:10:00Z"/>
                <w:rFonts w:ascii="Times New Roman" w:hAnsi="Times New Roman"/>
                <w:noProof/>
                <w:sz w:val="22"/>
                <w:szCs w:val="22"/>
                <w:lang w:val="sk-SK"/>
                <w:rPrChange w:id="5745" w:author="Author" w:date="2025-08-22T15:12:00Z">
                  <w:rPr>
                    <w:ins w:id="5746" w:author="Author" w:date="2025-07-24T11:10:00Z"/>
                    <w:noProof/>
                    <w:szCs w:val="22"/>
                    <w:lang w:val="en-GB"/>
                  </w:rPr>
                </w:rPrChange>
              </w:rPr>
            </w:pPr>
            <w:ins w:id="5747" w:author="Author" w:date="2025-07-24T11:10:00Z">
              <w:r>
                <w:rPr>
                  <w:rFonts w:ascii="Times New Roman" w:hAnsi="Times New Roman"/>
                  <w:noProof/>
                  <w:sz w:val="22"/>
                  <w:szCs w:val="22"/>
                  <w:lang w:val="sk-SK"/>
                  <w:rPrChange w:id="5748" w:author="Author" w:date="2025-08-22T15:12:00Z">
                    <w:rPr>
                      <w:noProof/>
                      <w:szCs w:val="22"/>
                      <w:lang w:val="en-GB"/>
                    </w:rPr>
                  </w:rPrChange>
                </w:rPr>
                <w:t>Roche</w:t>
              </w:r>
            </w:ins>
          </w:p>
          <w:p w14:paraId="4DC0C9E4" w14:textId="77777777" w:rsidR="009700E5" w:rsidRPr="009700E5" w:rsidRDefault="002C033C">
            <w:pPr>
              <w:pStyle w:val="Standard1"/>
              <w:rPr>
                <w:ins w:id="5749" w:author="Author" w:date="2025-07-24T11:10:00Z"/>
                <w:rFonts w:ascii="Times New Roman" w:hAnsi="Times New Roman"/>
                <w:noProof/>
                <w:sz w:val="22"/>
                <w:szCs w:val="22"/>
                <w:lang w:val="sk-SK"/>
                <w:rPrChange w:id="5750" w:author="Author" w:date="2025-08-22T15:12:00Z">
                  <w:rPr>
                    <w:ins w:id="5751" w:author="Author" w:date="2025-07-24T11:10:00Z"/>
                    <w:noProof/>
                    <w:szCs w:val="22"/>
                    <w:lang w:val="en-GB"/>
                  </w:rPr>
                </w:rPrChange>
              </w:rPr>
            </w:pPr>
            <w:ins w:id="5752" w:author="Author" w:date="2025-07-24T11:10:00Z">
              <w:r>
                <w:rPr>
                  <w:rFonts w:ascii="Times New Roman" w:hAnsi="Times New Roman"/>
                  <w:noProof/>
                  <w:sz w:val="22"/>
                  <w:szCs w:val="22"/>
                  <w:lang w:val="sk-SK"/>
                  <w:rPrChange w:id="5753" w:author="Author" w:date="2025-08-22T15:12:00Z">
                    <w:rPr>
                      <w:noProof/>
                      <w:szCs w:val="22"/>
                      <w:lang w:val="en-GB"/>
                    </w:rPr>
                  </w:rPrChange>
                </w:rPr>
                <w:t>Tél: +33 (0) 1 47 61 40 00</w:t>
              </w:r>
            </w:ins>
          </w:p>
          <w:p w14:paraId="780E0192" w14:textId="77777777" w:rsidR="009700E5" w:rsidRPr="009700E5" w:rsidRDefault="009700E5">
            <w:pPr>
              <w:pStyle w:val="Standard1"/>
              <w:rPr>
                <w:ins w:id="5754" w:author="Author" w:date="2025-07-24T11:10:00Z"/>
                <w:rFonts w:ascii="Times New Roman" w:hAnsi="Times New Roman"/>
                <w:b/>
                <w:noProof/>
                <w:sz w:val="22"/>
                <w:szCs w:val="22"/>
                <w:lang w:val="sk-SK"/>
                <w:rPrChange w:id="5755" w:author="Author" w:date="2025-08-22T15:12:00Z">
                  <w:rPr>
                    <w:ins w:id="5756" w:author="Author" w:date="2025-07-24T11:10:00Z"/>
                    <w:b/>
                    <w:noProof/>
                    <w:szCs w:val="22"/>
                    <w:lang w:val="en-GB"/>
                  </w:rPr>
                </w:rPrChange>
              </w:rPr>
            </w:pPr>
          </w:p>
        </w:tc>
        <w:tc>
          <w:tcPr>
            <w:tcW w:w="4590" w:type="dxa"/>
          </w:tcPr>
          <w:p w14:paraId="4C5F44C2" w14:textId="77777777" w:rsidR="009700E5" w:rsidRPr="009700E5" w:rsidRDefault="002C033C">
            <w:pPr>
              <w:pStyle w:val="Standard1"/>
              <w:tabs>
                <w:tab w:val="left" w:pos="-720"/>
                <w:tab w:val="left" w:pos="4536"/>
              </w:tabs>
              <w:suppressAutoHyphens/>
              <w:rPr>
                <w:ins w:id="5757" w:author="Author" w:date="2025-07-24T11:10:00Z"/>
                <w:rFonts w:ascii="Times New Roman" w:hAnsi="Times New Roman"/>
                <w:noProof/>
                <w:sz w:val="22"/>
                <w:szCs w:val="22"/>
                <w:lang w:val="sk-SK"/>
                <w:rPrChange w:id="5758" w:author="Author" w:date="2025-08-22T15:12:00Z">
                  <w:rPr>
                    <w:ins w:id="5759" w:author="Author" w:date="2025-07-24T11:10:00Z"/>
                    <w:lang w:val="it-IT"/>
                  </w:rPr>
                </w:rPrChange>
              </w:rPr>
            </w:pPr>
            <w:ins w:id="5760" w:author="Author" w:date="2025-07-24T11:10:00Z">
              <w:r>
                <w:rPr>
                  <w:rFonts w:ascii="Times New Roman" w:hAnsi="Times New Roman"/>
                  <w:b/>
                  <w:noProof/>
                  <w:sz w:val="22"/>
                  <w:szCs w:val="22"/>
                  <w:lang w:val="sk-SK"/>
                  <w:rPrChange w:id="5761" w:author="Author" w:date="2025-08-22T15:12:00Z">
                    <w:rPr>
                      <w:b/>
                      <w:lang w:val="it-IT"/>
                    </w:rPr>
                  </w:rPrChange>
                </w:rPr>
                <w:t>România</w:t>
              </w:r>
            </w:ins>
          </w:p>
          <w:p w14:paraId="7DDDB717" w14:textId="77777777" w:rsidR="009700E5" w:rsidRPr="009700E5" w:rsidRDefault="002C033C">
            <w:pPr>
              <w:pStyle w:val="Standard1"/>
              <w:tabs>
                <w:tab w:val="left" w:pos="-720"/>
                <w:tab w:val="left" w:pos="4536"/>
              </w:tabs>
              <w:suppressAutoHyphens/>
              <w:rPr>
                <w:ins w:id="5762" w:author="Author" w:date="2025-07-24T11:10:00Z"/>
                <w:rFonts w:ascii="Times New Roman" w:hAnsi="Times New Roman"/>
                <w:noProof/>
                <w:sz w:val="22"/>
                <w:szCs w:val="22"/>
                <w:lang w:val="sk-SK"/>
                <w:rPrChange w:id="5763" w:author="Author" w:date="2025-08-22T15:12:00Z">
                  <w:rPr>
                    <w:ins w:id="5764" w:author="Author" w:date="2025-07-24T11:10:00Z"/>
                    <w:lang w:val="it-IT"/>
                  </w:rPr>
                </w:rPrChange>
              </w:rPr>
            </w:pPr>
            <w:ins w:id="5765" w:author="Author" w:date="2025-07-24T11:10:00Z">
              <w:r>
                <w:rPr>
                  <w:rFonts w:ascii="Times New Roman" w:hAnsi="Times New Roman"/>
                  <w:noProof/>
                  <w:sz w:val="22"/>
                  <w:szCs w:val="22"/>
                  <w:lang w:val="sk-SK"/>
                  <w:rPrChange w:id="5766" w:author="Author" w:date="2025-08-22T15:12:00Z">
                    <w:rPr>
                      <w:lang w:val="it-IT"/>
                    </w:rPr>
                  </w:rPrChange>
                </w:rPr>
                <w:t>Roche România S.R.L.</w:t>
              </w:r>
            </w:ins>
          </w:p>
          <w:p w14:paraId="3DC5EDC8" w14:textId="77777777" w:rsidR="009700E5" w:rsidRPr="009700E5" w:rsidRDefault="002C033C">
            <w:pPr>
              <w:pStyle w:val="Standard1"/>
              <w:tabs>
                <w:tab w:val="left" w:pos="-720"/>
                <w:tab w:val="left" w:pos="4536"/>
              </w:tabs>
              <w:suppressAutoHyphens/>
              <w:rPr>
                <w:ins w:id="5767" w:author="Author" w:date="2025-07-24T11:10:00Z"/>
                <w:rFonts w:ascii="Times New Roman" w:hAnsi="Times New Roman"/>
                <w:noProof/>
                <w:sz w:val="22"/>
                <w:szCs w:val="22"/>
                <w:lang w:val="sk-SK"/>
                <w:rPrChange w:id="5768" w:author="Author" w:date="2025-08-22T15:12:00Z">
                  <w:rPr>
                    <w:ins w:id="5769" w:author="Author" w:date="2025-07-24T11:10:00Z"/>
                    <w:noProof/>
                    <w:szCs w:val="22"/>
                    <w:lang w:val="en-GB"/>
                  </w:rPr>
                </w:rPrChange>
              </w:rPr>
            </w:pPr>
            <w:ins w:id="5770" w:author="Author" w:date="2025-07-24T11:10:00Z">
              <w:r>
                <w:rPr>
                  <w:rFonts w:ascii="Times New Roman" w:hAnsi="Times New Roman"/>
                  <w:noProof/>
                  <w:sz w:val="22"/>
                  <w:szCs w:val="22"/>
                  <w:lang w:val="sk-SK"/>
                  <w:rPrChange w:id="5771" w:author="Author" w:date="2025-08-22T15:12:00Z">
                    <w:rPr>
                      <w:noProof/>
                      <w:szCs w:val="22"/>
                      <w:lang w:val="en-GB"/>
                    </w:rPr>
                  </w:rPrChange>
                </w:rPr>
                <w:t>Tel: +40 21 206 47 01</w:t>
              </w:r>
            </w:ins>
          </w:p>
          <w:p w14:paraId="6D3FF861" w14:textId="77777777" w:rsidR="009700E5" w:rsidRPr="009700E5" w:rsidRDefault="009700E5">
            <w:pPr>
              <w:pStyle w:val="Standard1"/>
              <w:tabs>
                <w:tab w:val="left" w:pos="-720"/>
                <w:tab w:val="left" w:pos="4536"/>
              </w:tabs>
              <w:suppressAutoHyphens/>
              <w:rPr>
                <w:ins w:id="5772" w:author="Author" w:date="2025-07-24T11:10:00Z"/>
                <w:rFonts w:ascii="Times New Roman" w:hAnsi="Times New Roman"/>
                <w:noProof/>
                <w:sz w:val="22"/>
                <w:szCs w:val="22"/>
                <w:lang w:val="sk-SK"/>
                <w:rPrChange w:id="5773" w:author="Author" w:date="2025-08-22T15:12:00Z">
                  <w:rPr>
                    <w:ins w:id="5774" w:author="Author" w:date="2025-07-24T11:10:00Z"/>
                    <w:noProof/>
                    <w:szCs w:val="22"/>
                    <w:lang w:val="en-GB"/>
                  </w:rPr>
                </w:rPrChange>
              </w:rPr>
            </w:pPr>
          </w:p>
        </w:tc>
      </w:tr>
      <w:tr w:rsidR="009700E5" w14:paraId="7F5257C7" w14:textId="77777777">
        <w:trPr>
          <w:cantSplit/>
          <w:trHeight w:val="1114"/>
          <w:ins w:id="5775" w:author="Author" w:date="2025-07-24T11:10:00Z"/>
        </w:trPr>
        <w:tc>
          <w:tcPr>
            <w:tcW w:w="4590" w:type="dxa"/>
          </w:tcPr>
          <w:p w14:paraId="13F15BF0" w14:textId="77777777" w:rsidR="009700E5" w:rsidRPr="009700E5" w:rsidRDefault="002C033C">
            <w:pPr>
              <w:pStyle w:val="Standard1"/>
              <w:rPr>
                <w:ins w:id="5776" w:author="Author" w:date="2025-07-24T11:10:00Z"/>
                <w:rFonts w:ascii="Times New Roman" w:hAnsi="Times New Roman"/>
                <w:b/>
                <w:noProof/>
                <w:sz w:val="22"/>
                <w:szCs w:val="22"/>
                <w:lang w:val="sk-SK"/>
                <w:rPrChange w:id="5777" w:author="Author" w:date="2025-08-22T15:12:00Z">
                  <w:rPr>
                    <w:ins w:id="5778" w:author="Author" w:date="2025-07-24T11:10:00Z"/>
                    <w:b/>
                    <w:lang w:val="de-DE"/>
                  </w:rPr>
                </w:rPrChange>
              </w:rPr>
            </w:pPr>
            <w:ins w:id="5779" w:author="Author" w:date="2025-07-24T11:10:00Z">
              <w:r>
                <w:rPr>
                  <w:rFonts w:ascii="Times New Roman" w:hAnsi="Times New Roman"/>
                  <w:b/>
                  <w:noProof/>
                  <w:sz w:val="22"/>
                  <w:szCs w:val="22"/>
                  <w:lang w:val="sk-SK"/>
                  <w:rPrChange w:id="5780" w:author="Author" w:date="2025-08-22T15:12:00Z">
                    <w:rPr>
                      <w:b/>
                      <w:lang w:val="de-DE"/>
                    </w:rPr>
                  </w:rPrChange>
                </w:rPr>
                <w:t>Hrvatska</w:t>
              </w:r>
            </w:ins>
          </w:p>
          <w:p w14:paraId="2D60AFB3" w14:textId="77777777" w:rsidR="009700E5" w:rsidRPr="009700E5" w:rsidRDefault="002C033C">
            <w:pPr>
              <w:pStyle w:val="Standard1"/>
              <w:rPr>
                <w:ins w:id="5781" w:author="Author" w:date="2025-07-24T11:10:00Z"/>
                <w:rFonts w:ascii="Times New Roman" w:hAnsi="Times New Roman"/>
                <w:noProof/>
                <w:sz w:val="22"/>
                <w:szCs w:val="22"/>
                <w:lang w:val="sk-SK"/>
                <w:rPrChange w:id="5782" w:author="Author" w:date="2025-08-22T15:12:00Z">
                  <w:rPr>
                    <w:ins w:id="5783" w:author="Author" w:date="2025-07-24T11:10:00Z"/>
                    <w:lang w:val="de-DE"/>
                  </w:rPr>
                </w:rPrChange>
              </w:rPr>
            </w:pPr>
            <w:ins w:id="5784" w:author="Author" w:date="2025-07-24T11:10:00Z">
              <w:r>
                <w:rPr>
                  <w:rFonts w:ascii="Times New Roman" w:hAnsi="Times New Roman"/>
                  <w:noProof/>
                  <w:sz w:val="22"/>
                  <w:szCs w:val="22"/>
                  <w:lang w:val="sk-SK"/>
                  <w:rPrChange w:id="5785" w:author="Author" w:date="2025-08-22T15:12:00Z">
                    <w:rPr>
                      <w:lang w:val="de-DE"/>
                    </w:rPr>
                  </w:rPrChange>
                </w:rPr>
                <w:t>Roche d.o.o.</w:t>
              </w:r>
            </w:ins>
          </w:p>
          <w:p w14:paraId="714131A1" w14:textId="77777777" w:rsidR="009700E5" w:rsidRPr="009700E5" w:rsidRDefault="002C033C">
            <w:pPr>
              <w:pStyle w:val="Standard1"/>
              <w:rPr>
                <w:ins w:id="5786" w:author="Author" w:date="2025-07-24T11:10:00Z"/>
                <w:rFonts w:ascii="Times New Roman" w:hAnsi="Times New Roman"/>
                <w:b/>
                <w:noProof/>
                <w:sz w:val="22"/>
                <w:szCs w:val="22"/>
                <w:lang w:val="sk-SK"/>
                <w:rPrChange w:id="5787" w:author="Author" w:date="2025-08-22T15:12:00Z">
                  <w:rPr>
                    <w:ins w:id="5788" w:author="Author" w:date="2025-07-24T11:10:00Z"/>
                    <w:b/>
                    <w:noProof/>
                    <w:szCs w:val="22"/>
                    <w:lang w:val="en-GB"/>
                  </w:rPr>
                </w:rPrChange>
              </w:rPr>
            </w:pPr>
            <w:ins w:id="5789" w:author="Author" w:date="2025-07-24T11:10:00Z">
              <w:r>
                <w:rPr>
                  <w:rFonts w:ascii="Times New Roman" w:hAnsi="Times New Roman"/>
                  <w:noProof/>
                  <w:sz w:val="22"/>
                  <w:szCs w:val="22"/>
                  <w:lang w:val="sk-SK"/>
                  <w:rPrChange w:id="5790" w:author="Author" w:date="2025-08-22T15:12:00Z">
                    <w:rPr>
                      <w:noProof/>
                      <w:szCs w:val="22"/>
                      <w:lang w:val="en-GB"/>
                    </w:rPr>
                  </w:rPrChange>
                </w:rPr>
                <w:t>Tel: +385 1 47 22 333</w:t>
              </w:r>
            </w:ins>
          </w:p>
          <w:p w14:paraId="6D19D1E4" w14:textId="77777777" w:rsidR="009700E5" w:rsidRPr="009700E5" w:rsidRDefault="009700E5">
            <w:pPr>
              <w:pStyle w:val="Standard1"/>
              <w:rPr>
                <w:ins w:id="5791" w:author="Author" w:date="2025-07-24T11:10:00Z"/>
                <w:rFonts w:ascii="Times New Roman" w:hAnsi="Times New Roman"/>
                <w:b/>
                <w:noProof/>
                <w:sz w:val="22"/>
                <w:szCs w:val="22"/>
                <w:lang w:val="sk-SK"/>
                <w:rPrChange w:id="5792" w:author="Author" w:date="2025-08-22T15:12:00Z">
                  <w:rPr>
                    <w:ins w:id="5793" w:author="Author" w:date="2025-07-24T11:10:00Z"/>
                    <w:b/>
                    <w:lang w:val="en-GB"/>
                  </w:rPr>
                </w:rPrChange>
              </w:rPr>
            </w:pPr>
          </w:p>
        </w:tc>
        <w:tc>
          <w:tcPr>
            <w:tcW w:w="4590" w:type="dxa"/>
          </w:tcPr>
          <w:p w14:paraId="129600F5" w14:textId="77777777" w:rsidR="009700E5" w:rsidRPr="009700E5" w:rsidRDefault="002C033C">
            <w:pPr>
              <w:pStyle w:val="Standard1"/>
              <w:rPr>
                <w:ins w:id="5794" w:author="Author" w:date="2025-07-24T11:10:00Z"/>
                <w:rFonts w:ascii="Times New Roman" w:hAnsi="Times New Roman"/>
                <w:b/>
                <w:noProof/>
                <w:sz w:val="22"/>
                <w:szCs w:val="22"/>
                <w:lang w:val="sk-SK"/>
                <w:rPrChange w:id="5795" w:author="Author" w:date="2025-08-22T15:12:00Z">
                  <w:rPr>
                    <w:ins w:id="5796" w:author="Author" w:date="2025-07-24T11:10:00Z"/>
                    <w:b/>
                    <w:noProof/>
                    <w:szCs w:val="22"/>
                    <w:lang w:val="en-GB"/>
                  </w:rPr>
                </w:rPrChange>
              </w:rPr>
            </w:pPr>
            <w:ins w:id="5797" w:author="Author" w:date="2025-07-24T11:10:00Z">
              <w:r>
                <w:rPr>
                  <w:rFonts w:ascii="Times New Roman" w:hAnsi="Times New Roman"/>
                  <w:b/>
                  <w:noProof/>
                  <w:sz w:val="22"/>
                  <w:szCs w:val="22"/>
                  <w:lang w:val="sk-SK"/>
                  <w:rPrChange w:id="5798" w:author="Author" w:date="2025-08-22T15:12:00Z">
                    <w:rPr>
                      <w:b/>
                      <w:noProof/>
                      <w:szCs w:val="22"/>
                      <w:lang w:val="en-GB"/>
                    </w:rPr>
                  </w:rPrChange>
                </w:rPr>
                <w:t>Slovenija</w:t>
              </w:r>
            </w:ins>
          </w:p>
          <w:p w14:paraId="1FAF647D" w14:textId="77777777" w:rsidR="009700E5" w:rsidRPr="009700E5" w:rsidRDefault="002C033C">
            <w:pPr>
              <w:pStyle w:val="Standard1"/>
              <w:rPr>
                <w:ins w:id="5799" w:author="Author" w:date="2025-07-24T11:10:00Z"/>
                <w:rFonts w:ascii="Times New Roman" w:hAnsi="Times New Roman"/>
                <w:noProof/>
                <w:sz w:val="22"/>
                <w:szCs w:val="22"/>
                <w:lang w:val="sk-SK"/>
                <w:rPrChange w:id="5800" w:author="Author" w:date="2025-08-22T15:12:00Z">
                  <w:rPr>
                    <w:ins w:id="5801" w:author="Author" w:date="2025-07-24T11:10:00Z"/>
                    <w:noProof/>
                    <w:szCs w:val="22"/>
                    <w:lang w:val="en-GB"/>
                  </w:rPr>
                </w:rPrChange>
              </w:rPr>
            </w:pPr>
            <w:ins w:id="5802" w:author="Author" w:date="2025-07-24T11:10:00Z">
              <w:r>
                <w:rPr>
                  <w:rFonts w:ascii="Times New Roman" w:hAnsi="Times New Roman"/>
                  <w:noProof/>
                  <w:sz w:val="22"/>
                  <w:szCs w:val="22"/>
                  <w:lang w:val="sk-SK"/>
                  <w:rPrChange w:id="5803" w:author="Author" w:date="2025-08-22T15:12:00Z">
                    <w:rPr>
                      <w:noProof/>
                      <w:szCs w:val="22"/>
                      <w:lang w:val="en-GB"/>
                    </w:rPr>
                  </w:rPrChange>
                </w:rPr>
                <w:t>Roche farmacevtska družba d.o.o.</w:t>
              </w:r>
            </w:ins>
          </w:p>
          <w:p w14:paraId="26AECCB4" w14:textId="77777777" w:rsidR="009700E5" w:rsidRPr="009700E5" w:rsidRDefault="002C033C">
            <w:pPr>
              <w:pStyle w:val="Standard1"/>
              <w:rPr>
                <w:ins w:id="5804" w:author="Author" w:date="2025-07-24T11:10:00Z"/>
                <w:rFonts w:ascii="Times New Roman" w:eastAsia="MS Mincho" w:hAnsi="Times New Roman"/>
                <w:noProof/>
                <w:sz w:val="22"/>
                <w:szCs w:val="22"/>
                <w:lang w:val="sk-SK"/>
                <w:rPrChange w:id="5805" w:author="Author" w:date="2025-08-22T15:12:00Z">
                  <w:rPr>
                    <w:ins w:id="5806" w:author="Author" w:date="2025-07-24T11:10:00Z"/>
                    <w:rFonts w:eastAsia="MS Mincho"/>
                    <w:noProof/>
                    <w:szCs w:val="22"/>
                    <w:lang w:val="en-GB"/>
                  </w:rPr>
                </w:rPrChange>
              </w:rPr>
            </w:pPr>
            <w:ins w:id="5807" w:author="Author" w:date="2025-07-24T11:10:00Z">
              <w:r>
                <w:rPr>
                  <w:rFonts w:ascii="Times New Roman" w:eastAsia="MS Mincho" w:hAnsi="Times New Roman"/>
                  <w:noProof/>
                  <w:sz w:val="22"/>
                  <w:szCs w:val="22"/>
                  <w:lang w:val="sk-SK"/>
                  <w:rPrChange w:id="5808" w:author="Author" w:date="2025-08-22T15:12:00Z">
                    <w:rPr>
                      <w:rFonts w:eastAsia="MS Mincho"/>
                      <w:noProof/>
                      <w:szCs w:val="22"/>
                      <w:lang w:val="en-GB"/>
                    </w:rPr>
                  </w:rPrChange>
                </w:rPr>
                <w:t>Tel: +386 - 1 360 26 00</w:t>
              </w:r>
            </w:ins>
          </w:p>
          <w:p w14:paraId="1AEFDF33" w14:textId="77777777" w:rsidR="009700E5" w:rsidRPr="009700E5" w:rsidRDefault="009700E5">
            <w:pPr>
              <w:pStyle w:val="Standard1"/>
              <w:rPr>
                <w:ins w:id="5809" w:author="Author" w:date="2025-07-24T11:10:00Z"/>
                <w:rFonts w:ascii="Times New Roman" w:hAnsi="Times New Roman"/>
                <w:b/>
                <w:noProof/>
                <w:sz w:val="22"/>
                <w:szCs w:val="22"/>
                <w:lang w:val="sk-SK"/>
                <w:rPrChange w:id="5810" w:author="Author" w:date="2025-08-22T15:12:00Z">
                  <w:rPr>
                    <w:ins w:id="5811" w:author="Author" w:date="2025-07-24T11:10:00Z"/>
                    <w:b/>
                    <w:lang w:val="en-GB"/>
                  </w:rPr>
                </w:rPrChange>
              </w:rPr>
            </w:pPr>
          </w:p>
        </w:tc>
      </w:tr>
      <w:tr w:rsidR="009700E5" w14:paraId="078CB2D5" w14:textId="77777777">
        <w:trPr>
          <w:cantSplit/>
          <w:ins w:id="5812" w:author="Author" w:date="2025-07-24T11:10:00Z"/>
        </w:trPr>
        <w:tc>
          <w:tcPr>
            <w:tcW w:w="4590" w:type="dxa"/>
          </w:tcPr>
          <w:p w14:paraId="14FE6C99" w14:textId="77777777" w:rsidR="009700E5" w:rsidRPr="009700E5" w:rsidRDefault="002C033C">
            <w:pPr>
              <w:pStyle w:val="Standard1"/>
              <w:rPr>
                <w:ins w:id="5813" w:author="Author" w:date="2025-07-24T11:10:00Z"/>
                <w:rFonts w:ascii="Times New Roman" w:hAnsi="Times New Roman"/>
                <w:b/>
                <w:noProof/>
                <w:sz w:val="22"/>
                <w:szCs w:val="22"/>
                <w:lang w:val="sk-SK"/>
                <w:rPrChange w:id="5814" w:author="Author" w:date="2025-08-22T15:12:00Z">
                  <w:rPr>
                    <w:ins w:id="5815" w:author="Author" w:date="2025-07-24T11:10:00Z"/>
                    <w:b/>
                    <w:noProof/>
                    <w:szCs w:val="22"/>
                    <w:lang w:val="en-GB"/>
                  </w:rPr>
                </w:rPrChange>
              </w:rPr>
            </w:pPr>
            <w:ins w:id="5816" w:author="Author" w:date="2025-07-24T11:10:00Z">
              <w:r>
                <w:rPr>
                  <w:rFonts w:ascii="Times New Roman" w:hAnsi="Times New Roman"/>
                  <w:b/>
                  <w:noProof/>
                  <w:sz w:val="22"/>
                  <w:szCs w:val="22"/>
                  <w:lang w:val="sk-SK"/>
                  <w:rPrChange w:id="5817" w:author="Author" w:date="2025-08-22T15:12:00Z">
                    <w:rPr>
                      <w:b/>
                      <w:noProof/>
                      <w:szCs w:val="22"/>
                      <w:lang w:val="en-GB"/>
                    </w:rPr>
                  </w:rPrChange>
                </w:rPr>
                <w:t>Ireland, Malta</w:t>
              </w:r>
            </w:ins>
          </w:p>
          <w:p w14:paraId="7F98F46F" w14:textId="77777777" w:rsidR="009700E5" w:rsidRPr="009700E5" w:rsidRDefault="002C033C">
            <w:pPr>
              <w:pStyle w:val="Standard1"/>
              <w:rPr>
                <w:ins w:id="5818" w:author="Author" w:date="2025-07-24T11:10:00Z"/>
                <w:rFonts w:ascii="Times New Roman" w:hAnsi="Times New Roman"/>
                <w:noProof/>
                <w:sz w:val="22"/>
                <w:szCs w:val="22"/>
                <w:lang w:val="sk-SK"/>
                <w:rPrChange w:id="5819" w:author="Author" w:date="2025-08-22T15:12:00Z">
                  <w:rPr>
                    <w:ins w:id="5820" w:author="Author" w:date="2025-07-24T11:10:00Z"/>
                    <w:noProof/>
                    <w:szCs w:val="22"/>
                    <w:lang w:val="en-GB"/>
                  </w:rPr>
                </w:rPrChange>
              </w:rPr>
            </w:pPr>
            <w:ins w:id="5821" w:author="Author" w:date="2025-07-24T11:10:00Z">
              <w:r>
                <w:rPr>
                  <w:rFonts w:ascii="Times New Roman" w:hAnsi="Times New Roman"/>
                  <w:noProof/>
                  <w:sz w:val="22"/>
                  <w:szCs w:val="22"/>
                  <w:lang w:val="sk-SK"/>
                  <w:rPrChange w:id="5822" w:author="Author" w:date="2025-08-22T15:12:00Z">
                    <w:rPr>
                      <w:noProof/>
                      <w:szCs w:val="22"/>
                      <w:lang w:val="en-GB"/>
                    </w:rPr>
                  </w:rPrChange>
                </w:rPr>
                <w:t>Roche Products (Ireland) Ltd.</w:t>
              </w:r>
            </w:ins>
          </w:p>
          <w:p w14:paraId="29E631C6" w14:textId="77777777" w:rsidR="009700E5" w:rsidRPr="009700E5" w:rsidRDefault="002C033C">
            <w:pPr>
              <w:pStyle w:val="Standard1"/>
              <w:rPr>
                <w:ins w:id="5823" w:author="Author" w:date="2025-07-24T11:10:00Z"/>
                <w:rFonts w:ascii="Times New Roman" w:hAnsi="Times New Roman"/>
                <w:noProof/>
                <w:sz w:val="22"/>
                <w:szCs w:val="22"/>
                <w:lang w:val="sk-SK"/>
                <w:rPrChange w:id="5824" w:author="Author" w:date="2025-08-22T15:12:00Z">
                  <w:rPr>
                    <w:ins w:id="5825" w:author="Author" w:date="2025-07-24T11:10:00Z"/>
                    <w:noProof/>
                    <w:szCs w:val="22"/>
                    <w:lang w:val="en-GB"/>
                  </w:rPr>
                </w:rPrChange>
              </w:rPr>
            </w:pPr>
            <w:ins w:id="5826" w:author="Author" w:date="2025-07-24T11:10:00Z">
              <w:r>
                <w:rPr>
                  <w:rFonts w:ascii="Times New Roman" w:hAnsi="Times New Roman"/>
                  <w:noProof/>
                  <w:sz w:val="22"/>
                  <w:szCs w:val="22"/>
                  <w:lang w:val="sk-SK"/>
                  <w:rPrChange w:id="5827" w:author="Author" w:date="2025-08-22T15:12:00Z">
                    <w:rPr>
                      <w:noProof/>
                      <w:szCs w:val="22"/>
                      <w:lang w:val="en-GB"/>
                    </w:rPr>
                  </w:rPrChange>
                </w:rPr>
                <w:t>Ireland/L-Irlanda</w:t>
              </w:r>
            </w:ins>
          </w:p>
          <w:p w14:paraId="7F103EAF" w14:textId="77777777" w:rsidR="009700E5" w:rsidRPr="009700E5" w:rsidRDefault="002C033C">
            <w:pPr>
              <w:pStyle w:val="Standard1"/>
              <w:rPr>
                <w:ins w:id="5828" w:author="Author" w:date="2025-07-24T11:10:00Z"/>
                <w:rFonts w:ascii="Times New Roman" w:hAnsi="Times New Roman"/>
                <w:noProof/>
                <w:sz w:val="22"/>
                <w:szCs w:val="22"/>
                <w:lang w:val="sk-SK"/>
                <w:rPrChange w:id="5829" w:author="Author" w:date="2025-08-22T15:12:00Z">
                  <w:rPr>
                    <w:ins w:id="5830" w:author="Author" w:date="2025-07-24T11:10:00Z"/>
                    <w:noProof/>
                    <w:szCs w:val="22"/>
                    <w:lang w:val="en-GB"/>
                  </w:rPr>
                </w:rPrChange>
              </w:rPr>
            </w:pPr>
            <w:ins w:id="5831" w:author="Author" w:date="2025-07-24T11:10:00Z">
              <w:r>
                <w:rPr>
                  <w:rFonts w:ascii="Times New Roman" w:hAnsi="Times New Roman"/>
                  <w:noProof/>
                  <w:sz w:val="22"/>
                  <w:szCs w:val="22"/>
                  <w:lang w:val="sk-SK"/>
                  <w:rPrChange w:id="5832" w:author="Author" w:date="2025-08-22T15:12:00Z">
                    <w:rPr>
                      <w:noProof/>
                      <w:szCs w:val="22"/>
                      <w:lang w:val="en-GB"/>
                    </w:rPr>
                  </w:rPrChange>
                </w:rPr>
                <w:t>Tel: +353 (0) 1 469 0700</w:t>
              </w:r>
            </w:ins>
          </w:p>
          <w:p w14:paraId="2D41C3E6" w14:textId="77777777" w:rsidR="009700E5" w:rsidRPr="009700E5" w:rsidRDefault="009700E5">
            <w:pPr>
              <w:pStyle w:val="Standard1"/>
              <w:rPr>
                <w:ins w:id="5833" w:author="Author" w:date="2025-07-24T11:10:00Z"/>
                <w:rFonts w:ascii="Times New Roman" w:hAnsi="Times New Roman"/>
                <w:noProof/>
                <w:sz w:val="22"/>
                <w:szCs w:val="22"/>
                <w:lang w:val="sk-SK"/>
                <w:rPrChange w:id="5834" w:author="Author" w:date="2025-08-22T15:12:00Z">
                  <w:rPr>
                    <w:ins w:id="5835" w:author="Author" w:date="2025-07-24T11:10:00Z"/>
                    <w:lang w:val="en-GB"/>
                  </w:rPr>
                </w:rPrChange>
              </w:rPr>
            </w:pPr>
          </w:p>
        </w:tc>
        <w:tc>
          <w:tcPr>
            <w:tcW w:w="4590" w:type="dxa"/>
          </w:tcPr>
          <w:p w14:paraId="4F052000" w14:textId="77777777" w:rsidR="009700E5" w:rsidRPr="009700E5" w:rsidRDefault="002C033C">
            <w:pPr>
              <w:pStyle w:val="Standard1"/>
              <w:rPr>
                <w:ins w:id="5836" w:author="Author" w:date="2025-07-24T11:10:00Z"/>
                <w:rFonts w:ascii="Times New Roman" w:hAnsi="Times New Roman"/>
                <w:b/>
                <w:noProof/>
                <w:sz w:val="22"/>
                <w:szCs w:val="22"/>
                <w:lang w:val="sk-SK"/>
                <w:rPrChange w:id="5837" w:author="Author" w:date="2025-08-22T15:12:00Z">
                  <w:rPr>
                    <w:ins w:id="5838" w:author="Author" w:date="2025-07-24T11:10:00Z"/>
                    <w:b/>
                    <w:lang w:val="it-IT"/>
                  </w:rPr>
                </w:rPrChange>
              </w:rPr>
            </w:pPr>
            <w:ins w:id="5839" w:author="Author" w:date="2025-07-24T11:10:00Z">
              <w:r>
                <w:rPr>
                  <w:rFonts w:ascii="Times New Roman" w:hAnsi="Times New Roman"/>
                  <w:b/>
                  <w:noProof/>
                  <w:sz w:val="22"/>
                  <w:szCs w:val="22"/>
                  <w:lang w:val="sk-SK"/>
                  <w:rPrChange w:id="5840" w:author="Author" w:date="2025-08-22T15:12:00Z">
                    <w:rPr>
                      <w:b/>
                      <w:lang w:val="it-IT"/>
                    </w:rPr>
                  </w:rPrChange>
                </w:rPr>
                <w:t xml:space="preserve">Slovenská republika </w:t>
              </w:r>
            </w:ins>
          </w:p>
          <w:p w14:paraId="12A98ADA" w14:textId="77777777" w:rsidR="009700E5" w:rsidRPr="009700E5" w:rsidRDefault="002C033C">
            <w:pPr>
              <w:pStyle w:val="Standard1"/>
              <w:rPr>
                <w:ins w:id="5841" w:author="Author" w:date="2025-07-24T11:10:00Z"/>
                <w:rFonts w:ascii="Times New Roman" w:hAnsi="Times New Roman"/>
                <w:noProof/>
                <w:sz w:val="22"/>
                <w:szCs w:val="22"/>
                <w:lang w:val="sk-SK"/>
                <w:rPrChange w:id="5842" w:author="Author" w:date="2025-08-22T15:12:00Z">
                  <w:rPr>
                    <w:ins w:id="5843" w:author="Author" w:date="2025-07-24T11:10:00Z"/>
                    <w:lang w:val="it-IT"/>
                  </w:rPr>
                </w:rPrChange>
              </w:rPr>
            </w:pPr>
            <w:ins w:id="5844" w:author="Author" w:date="2025-07-24T11:10:00Z">
              <w:r>
                <w:rPr>
                  <w:rFonts w:ascii="Times New Roman" w:hAnsi="Times New Roman"/>
                  <w:noProof/>
                  <w:sz w:val="22"/>
                  <w:szCs w:val="22"/>
                  <w:lang w:val="sk-SK"/>
                  <w:rPrChange w:id="5845" w:author="Author" w:date="2025-08-22T15:12:00Z">
                    <w:rPr>
                      <w:lang w:val="it-IT"/>
                    </w:rPr>
                  </w:rPrChange>
                </w:rPr>
                <w:t>Roche Slovensko, s.r.o.</w:t>
              </w:r>
            </w:ins>
          </w:p>
          <w:p w14:paraId="0D40816C" w14:textId="77777777" w:rsidR="009700E5" w:rsidRPr="009700E5" w:rsidRDefault="002C033C">
            <w:pPr>
              <w:pStyle w:val="Standard1"/>
              <w:rPr>
                <w:ins w:id="5846" w:author="Author" w:date="2025-07-24T11:10:00Z"/>
                <w:rFonts w:ascii="Times New Roman" w:hAnsi="Times New Roman"/>
                <w:noProof/>
                <w:sz w:val="22"/>
                <w:szCs w:val="22"/>
                <w:lang w:val="sk-SK"/>
                <w:rPrChange w:id="5847" w:author="Author" w:date="2025-08-22T15:12:00Z">
                  <w:rPr>
                    <w:ins w:id="5848" w:author="Author" w:date="2025-07-24T11:10:00Z"/>
                    <w:noProof/>
                    <w:szCs w:val="22"/>
                    <w:lang w:val="en-GB"/>
                  </w:rPr>
                </w:rPrChange>
              </w:rPr>
            </w:pPr>
            <w:ins w:id="5849" w:author="Author" w:date="2025-07-24T11:10:00Z">
              <w:r>
                <w:rPr>
                  <w:rFonts w:ascii="Times New Roman" w:hAnsi="Times New Roman"/>
                  <w:noProof/>
                  <w:sz w:val="22"/>
                  <w:szCs w:val="22"/>
                  <w:lang w:val="sk-SK"/>
                  <w:rPrChange w:id="5850" w:author="Author" w:date="2025-08-22T15:12:00Z">
                    <w:rPr>
                      <w:noProof/>
                      <w:szCs w:val="22"/>
                      <w:lang w:val="en-GB"/>
                    </w:rPr>
                  </w:rPrChange>
                </w:rPr>
                <w:t>Tel: +421 - 2 52638201</w:t>
              </w:r>
            </w:ins>
          </w:p>
          <w:p w14:paraId="7EB1D6DC" w14:textId="77777777" w:rsidR="009700E5" w:rsidRPr="009700E5" w:rsidRDefault="009700E5">
            <w:pPr>
              <w:pStyle w:val="Standard1"/>
              <w:rPr>
                <w:ins w:id="5851" w:author="Author" w:date="2025-07-24T11:10:00Z"/>
                <w:rFonts w:ascii="Times New Roman" w:hAnsi="Times New Roman"/>
                <w:noProof/>
                <w:sz w:val="22"/>
                <w:szCs w:val="22"/>
                <w:lang w:val="sk-SK"/>
                <w:rPrChange w:id="5852" w:author="Author" w:date="2025-08-22T15:12:00Z">
                  <w:rPr>
                    <w:ins w:id="5853" w:author="Author" w:date="2025-07-24T11:10:00Z"/>
                    <w:lang w:val="en-GB"/>
                  </w:rPr>
                </w:rPrChange>
              </w:rPr>
            </w:pPr>
          </w:p>
        </w:tc>
      </w:tr>
      <w:tr w:rsidR="009700E5" w14:paraId="5E89480E" w14:textId="77777777">
        <w:trPr>
          <w:cantSplit/>
          <w:ins w:id="5854" w:author="Author" w:date="2025-07-24T11:10:00Z"/>
        </w:trPr>
        <w:tc>
          <w:tcPr>
            <w:tcW w:w="4590" w:type="dxa"/>
          </w:tcPr>
          <w:p w14:paraId="3BB54110" w14:textId="77777777" w:rsidR="009700E5" w:rsidRPr="009700E5" w:rsidRDefault="002C033C">
            <w:pPr>
              <w:pStyle w:val="Standard1"/>
              <w:tabs>
                <w:tab w:val="left" w:pos="720"/>
              </w:tabs>
              <w:rPr>
                <w:ins w:id="5855" w:author="Author" w:date="2025-07-24T11:10:00Z"/>
                <w:rFonts w:ascii="Times New Roman" w:hAnsi="Times New Roman"/>
                <w:b/>
                <w:noProof/>
                <w:snapToGrid w:val="0"/>
                <w:sz w:val="22"/>
                <w:szCs w:val="22"/>
                <w:lang w:val="sk-SK"/>
                <w:rPrChange w:id="5856" w:author="Author" w:date="2025-08-22T15:12:00Z">
                  <w:rPr>
                    <w:ins w:id="5857" w:author="Author" w:date="2025-07-24T11:10:00Z"/>
                    <w:b/>
                    <w:noProof/>
                    <w:snapToGrid w:val="0"/>
                    <w:szCs w:val="22"/>
                    <w:lang w:val="en-GB"/>
                  </w:rPr>
                </w:rPrChange>
              </w:rPr>
            </w:pPr>
            <w:ins w:id="5858" w:author="Author" w:date="2025-07-24T11:10:00Z">
              <w:r>
                <w:rPr>
                  <w:rFonts w:ascii="Times New Roman" w:hAnsi="Times New Roman"/>
                  <w:b/>
                  <w:noProof/>
                  <w:snapToGrid w:val="0"/>
                  <w:sz w:val="22"/>
                  <w:szCs w:val="22"/>
                  <w:lang w:val="sk-SK"/>
                  <w:rPrChange w:id="5859" w:author="Author" w:date="2025-08-22T15:12:00Z">
                    <w:rPr>
                      <w:b/>
                      <w:noProof/>
                      <w:snapToGrid w:val="0"/>
                      <w:szCs w:val="22"/>
                      <w:lang w:val="en-GB"/>
                    </w:rPr>
                  </w:rPrChange>
                </w:rPr>
                <w:t xml:space="preserve">Ísland </w:t>
              </w:r>
            </w:ins>
          </w:p>
          <w:p w14:paraId="338DD8AE" w14:textId="77777777" w:rsidR="009700E5" w:rsidRPr="009700E5" w:rsidRDefault="002C033C">
            <w:pPr>
              <w:pStyle w:val="Standard1"/>
              <w:tabs>
                <w:tab w:val="left" w:pos="720"/>
              </w:tabs>
              <w:rPr>
                <w:ins w:id="5860" w:author="Author" w:date="2025-07-24T11:10:00Z"/>
                <w:rFonts w:ascii="Times New Roman" w:hAnsi="Times New Roman"/>
                <w:noProof/>
                <w:snapToGrid w:val="0"/>
                <w:sz w:val="22"/>
                <w:szCs w:val="22"/>
                <w:lang w:val="sk-SK"/>
                <w:rPrChange w:id="5861" w:author="Author" w:date="2025-08-22T15:12:00Z">
                  <w:rPr>
                    <w:ins w:id="5862" w:author="Author" w:date="2025-07-24T11:10:00Z"/>
                    <w:noProof/>
                    <w:snapToGrid w:val="0"/>
                    <w:szCs w:val="22"/>
                    <w:lang w:val="en-GB"/>
                  </w:rPr>
                </w:rPrChange>
              </w:rPr>
            </w:pPr>
            <w:ins w:id="5863" w:author="Author" w:date="2025-07-24T11:10:00Z">
              <w:r>
                <w:rPr>
                  <w:rFonts w:ascii="Times New Roman" w:hAnsi="Times New Roman"/>
                  <w:noProof/>
                  <w:sz w:val="22"/>
                  <w:szCs w:val="22"/>
                  <w:lang w:val="sk-SK"/>
                  <w:rPrChange w:id="5864" w:author="Author" w:date="2025-08-22T15:12:00Z">
                    <w:rPr>
                      <w:lang w:val="en-GB"/>
                    </w:rPr>
                  </w:rPrChange>
                </w:rPr>
                <w:t>Roche Pharmaceuticals A/S</w:t>
              </w:r>
            </w:ins>
          </w:p>
          <w:p w14:paraId="63BE6B31" w14:textId="77777777" w:rsidR="009700E5" w:rsidRPr="009700E5" w:rsidRDefault="002C033C">
            <w:pPr>
              <w:pStyle w:val="Standard1"/>
              <w:tabs>
                <w:tab w:val="left" w:pos="720"/>
              </w:tabs>
              <w:rPr>
                <w:ins w:id="5865" w:author="Author" w:date="2025-07-24T11:10:00Z"/>
                <w:rFonts w:ascii="Times New Roman" w:hAnsi="Times New Roman"/>
                <w:noProof/>
                <w:snapToGrid w:val="0"/>
                <w:sz w:val="22"/>
                <w:szCs w:val="22"/>
                <w:lang w:val="sk-SK"/>
                <w:rPrChange w:id="5866" w:author="Author" w:date="2025-08-22T15:12:00Z">
                  <w:rPr>
                    <w:ins w:id="5867" w:author="Author" w:date="2025-07-24T11:10:00Z"/>
                    <w:noProof/>
                    <w:snapToGrid w:val="0"/>
                    <w:szCs w:val="22"/>
                    <w:lang w:val="en-GB"/>
                  </w:rPr>
                </w:rPrChange>
              </w:rPr>
            </w:pPr>
            <w:ins w:id="5868" w:author="Author" w:date="2025-07-24T11:10:00Z">
              <w:r>
                <w:rPr>
                  <w:rFonts w:ascii="Times New Roman" w:hAnsi="Times New Roman"/>
                  <w:noProof/>
                  <w:sz w:val="22"/>
                  <w:szCs w:val="22"/>
                  <w:lang w:val="sk-SK"/>
                  <w:rPrChange w:id="5869" w:author="Author" w:date="2025-08-22T15:12:00Z">
                    <w:rPr>
                      <w:noProof/>
                      <w:szCs w:val="22"/>
                      <w:lang w:val="en-GB"/>
                    </w:rPr>
                  </w:rPrChange>
                </w:rPr>
                <w:t>c/o Icepharma hf</w:t>
              </w:r>
            </w:ins>
          </w:p>
          <w:p w14:paraId="1B232ACB" w14:textId="77777777" w:rsidR="009700E5" w:rsidRPr="009700E5" w:rsidRDefault="002C033C">
            <w:pPr>
              <w:pStyle w:val="Standard1"/>
              <w:rPr>
                <w:ins w:id="5870" w:author="Author" w:date="2025-07-24T11:10:00Z"/>
                <w:rFonts w:ascii="Times New Roman" w:hAnsi="Times New Roman"/>
                <w:noProof/>
                <w:snapToGrid w:val="0"/>
                <w:sz w:val="22"/>
                <w:szCs w:val="22"/>
                <w:lang w:val="sk-SK"/>
                <w:rPrChange w:id="5871" w:author="Author" w:date="2025-08-22T15:12:00Z">
                  <w:rPr>
                    <w:ins w:id="5872" w:author="Author" w:date="2025-07-24T11:10:00Z"/>
                    <w:noProof/>
                    <w:snapToGrid w:val="0"/>
                    <w:szCs w:val="22"/>
                    <w:lang w:val="en-GB"/>
                  </w:rPr>
                </w:rPrChange>
              </w:rPr>
            </w:pPr>
            <w:ins w:id="5873" w:author="Author" w:date="2025-07-24T11:10:00Z">
              <w:r>
                <w:rPr>
                  <w:rFonts w:ascii="Times New Roman" w:hAnsi="Times New Roman"/>
                  <w:noProof/>
                  <w:sz w:val="22"/>
                  <w:szCs w:val="22"/>
                  <w:lang w:val="sk-SK"/>
                  <w:rPrChange w:id="5874" w:author="Author" w:date="2025-08-22T15:12:00Z">
                    <w:rPr>
                      <w:noProof/>
                      <w:szCs w:val="22"/>
                      <w:lang w:val="en-GB"/>
                    </w:rPr>
                  </w:rPrChange>
                </w:rPr>
                <w:t>Sími</w:t>
              </w:r>
              <w:r>
                <w:rPr>
                  <w:rFonts w:ascii="Times New Roman" w:hAnsi="Times New Roman"/>
                  <w:noProof/>
                  <w:snapToGrid w:val="0"/>
                  <w:sz w:val="22"/>
                  <w:szCs w:val="22"/>
                  <w:lang w:val="sk-SK"/>
                  <w:rPrChange w:id="5875" w:author="Author" w:date="2025-08-22T15:12:00Z">
                    <w:rPr>
                      <w:noProof/>
                      <w:snapToGrid w:val="0"/>
                      <w:szCs w:val="22"/>
                      <w:lang w:val="en-GB"/>
                    </w:rPr>
                  </w:rPrChange>
                </w:rPr>
                <w:t>: +354 540 8000</w:t>
              </w:r>
            </w:ins>
          </w:p>
          <w:p w14:paraId="2F2D681E" w14:textId="77777777" w:rsidR="009700E5" w:rsidRPr="009700E5" w:rsidRDefault="009700E5">
            <w:pPr>
              <w:pStyle w:val="Standard1"/>
              <w:tabs>
                <w:tab w:val="left" w:pos="720"/>
              </w:tabs>
              <w:rPr>
                <w:ins w:id="5876" w:author="Author" w:date="2025-07-24T11:10:00Z"/>
                <w:rFonts w:ascii="Times New Roman" w:hAnsi="Times New Roman"/>
                <w:b/>
                <w:noProof/>
                <w:sz w:val="22"/>
                <w:szCs w:val="22"/>
                <w:lang w:val="sk-SK"/>
                <w:rPrChange w:id="5877" w:author="Author" w:date="2025-08-22T15:12:00Z">
                  <w:rPr>
                    <w:ins w:id="5878" w:author="Author" w:date="2025-07-24T11:10:00Z"/>
                    <w:b/>
                    <w:noProof/>
                    <w:szCs w:val="22"/>
                    <w:lang w:val="en-GB"/>
                  </w:rPr>
                </w:rPrChange>
              </w:rPr>
            </w:pPr>
          </w:p>
        </w:tc>
        <w:tc>
          <w:tcPr>
            <w:tcW w:w="4590" w:type="dxa"/>
          </w:tcPr>
          <w:p w14:paraId="7C000D7A" w14:textId="77777777" w:rsidR="009700E5" w:rsidRPr="009700E5" w:rsidRDefault="002C033C">
            <w:pPr>
              <w:pStyle w:val="Standard1"/>
              <w:rPr>
                <w:ins w:id="5879" w:author="Author" w:date="2025-07-24T11:10:00Z"/>
                <w:rFonts w:ascii="Times New Roman" w:hAnsi="Times New Roman"/>
                <w:b/>
                <w:noProof/>
                <w:sz w:val="22"/>
                <w:szCs w:val="22"/>
                <w:lang w:val="sk-SK"/>
                <w:rPrChange w:id="5880" w:author="Author" w:date="2025-08-22T15:12:00Z">
                  <w:rPr>
                    <w:ins w:id="5881" w:author="Author" w:date="2025-07-24T11:10:00Z"/>
                    <w:b/>
                    <w:lang w:val="de-DE"/>
                  </w:rPr>
                </w:rPrChange>
              </w:rPr>
            </w:pPr>
            <w:ins w:id="5882" w:author="Author" w:date="2025-07-24T11:10:00Z">
              <w:r>
                <w:rPr>
                  <w:rFonts w:ascii="Times New Roman" w:hAnsi="Times New Roman"/>
                  <w:b/>
                  <w:noProof/>
                  <w:sz w:val="22"/>
                  <w:szCs w:val="22"/>
                  <w:lang w:val="sk-SK"/>
                  <w:rPrChange w:id="5883" w:author="Author" w:date="2025-08-22T15:12:00Z">
                    <w:rPr>
                      <w:b/>
                      <w:lang w:val="de-DE"/>
                    </w:rPr>
                  </w:rPrChange>
                </w:rPr>
                <w:t>Suomi/Finland</w:t>
              </w:r>
            </w:ins>
          </w:p>
          <w:p w14:paraId="29120592" w14:textId="77777777" w:rsidR="009700E5" w:rsidRPr="009700E5" w:rsidRDefault="002C033C">
            <w:pPr>
              <w:pStyle w:val="Standard1"/>
              <w:rPr>
                <w:ins w:id="5884" w:author="Author" w:date="2025-07-24T11:10:00Z"/>
                <w:rFonts w:ascii="Times New Roman" w:hAnsi="Times New Roman"/>
                <w:noProof/>
                <w:sz w:val="22"/>
                <w:szCs w:val="22"/>
                <w:lang w:val="sk-SK"/>
                <w:rPrChange w:id="5885" w:author="Author" w:date="2025-08-22T15:12:00Z">
                  <w:rPr>
                    <w:ins w:id="5886" w:author="Author" w:date="2025-07-24T11:10:00Z"/>
                    <w:lang w:val="de-DE"/>
                  </w:rPr>
                </w:rPrChange>
              </w:rPr>
            </w:pPr>
            <w:ins w:id="5887" w:author="Author" w:date="2025-07-24T11:10:00Z">
              <w:r>
                <w:rPr>
                  <w:rFonts w:ascii="Times New Roman" w:hAnsi="Times New Roman"/>
                  <w:noProof/>
                  <w:sz w:val="22"/>
                  <w:szCs w:val="22"/>
                  <w:lang w:val="sk-SK"/>
                  <w:rPrChange w:id="5888" w:author="Author" w:date="2025-08-22T15:12:00Z">
                    <w:rPr>
                      <w:lang w:val="de-DE"/>
                    </w:rPr>
                  </w:rPrChange>
                </w:rPr>
                <w:t xml:space="preserve">Roche Oy </w:t>
              </w:r>
            </w:ins>
          </w:p>
          <w:p w14:paraId="336C7C72" w14:textId="77777777" w:rsidR="009700E5" w:rsidRPr="009700E5" w:rsidRDefault="002C033C">
            <w:pPr>
              <w:pStyle w:val="Standard1"/>
              <w:rPr>
                <w:ins w:id="5889" w:author="Author" w:date="2025-07-24T11:10:00Z"/>
                <w:rFonts w:ascii="Times New Roman" w:hAnsi="Times New Roman"/>
                <w:noProof/>
                <w:sz w:val="22"/>
                <w:szCs w:val="22"/>
                <w:lang w:val="sk-SK"/>
                <w:rPrChange w:id="5890" w:author="Author" w:date="2025-08-22T15:12:00Z">
                  <w:rPr>
                    <w:ins w:id="5891" w:author="Author" w:date="2025-07-24T11:10:00Z"/>
                    <w:lang w:val="de-DE"/>
                  </w:rPr>
                </w:rPrChange>
              </w:rPr>
            </w:pPr>
            <w:ins w:id="5892" w:author="Author" w:date="2025-07-24T11:10:00Z">
              <w:r>
                <w:rPr>
                  <w:rFonts w:ascii="Times New Roman" w:hAnsi="Times New Roman"/>
                  <w:noProof/>
                  <w:sz w:val="22"/>
                  <w:szCs w:val="22"/>
                  <w:lang w:val="sk-SK"/>
                  <w:rPrChange w:id="5893" w:author="Author" w:date="2025-08-22T15:12:00Z">
                    <w:rPr>
                      <w:lang w:val="de-DE"/>
                    </w:rPr>
                  </w:rPrChange>
                </w:rPr>
                <w:t>Puh/Tel: +358 (0) 10 554 500</w:t>
              </w:r>
            </w:ins>
          </w:p>
          <w:p w14:paraId="63EEE30D" w14:textId="77777777" w:rsidR="009700E5" w:rsidRPr="009700E5" w:rsidRDefault="009700E5">
            <w:pPr>
              <w:pStyle w:val="Standard1"/>
              <w:rPr>
                <w:ins w:id="5894" w:author="Author" w:date="2025-07-24T11:10:00Z"/>
                <w:rFonts w:ascii="Times New Roman" w:hAnsi="Times New Roman"/>
                <w:b/>
                <w:noProof/>
                <w:sz w:val="22"/>
                <w:szCs w:val="22"/>
                <w:lang w:val="sk-SK"/>
                <w:rPrChange w:id="5895" w:author="Author" w:date="2025-08-22T15:12:00Z">
                  <w:rPr>
                    <w:ins w:id="5896" w:author="Author" w:date="2025-07-24T11:10:00Z"/>
                    <w:b/>
                    <w:lang w:val="de-DE"/>
                  </w:rPr>
                </w:rPrChange>
              </w:rPr>
            </w:pPr>
          </w:p>
        </w:tc>
      </w:tr>
      <w:tr w:rsidR="009700E5" w14:paraId="61F5BE83" w14:textId="77777777">
        <w:trPr>
          <w:cantSplit/>
          <w:ins w:id="5897" w:author="Author" w:date="2025-07-24T11:10:00Z"/>
        </w:trPr>
        <w:tc>
          <w:tcPr>
            <w:tcW w:w="4590" w:type="dxa"/>
          </w:tcPr>
          <w:p w14:paraId="539E3539" w14:textId="77777777" w:rsidR="009700E5" w:rsidRPr="009700E5" w:rsidRDefault="002C033C">
            <w:pPr>
              <w:pStyle w:val="Standard1"/>
              <w:rPr>
                <w:ins w:id="5898" w:author="Author" w:date="2025-07-24T11:10:00Z"/>
                <w:rFonts w:ascii="Times New Roman" w:hAnsi="Times New Roman"/>
                <w:noProof/>
                <w:sz w:val="22"/>
                <w:szCs w:val="22"/>
                <w:lang w:val="sk-SK"/>
                <w:rPrChange w:id="5899" w:author="Author" w:date="2025-08-22T15:12:00Z">
                  <w:rPr>
                    <w:ins w:id="5900" w:author="Author" w:date="2025-07-24T11:10:00Z"/>
                    <w:lang w:val="it-IT"/>
                  </w:rPr>
                </w:rPrChange>
              </w:rPr>
            </w:pPr>
            <w:ins w:id="5901" w:author="Author" w:date="2025-07-24T11:10:00Z">
              <w:r>
                <w:rPr>
                  <w:rFonts w:ascii="Times New Roman" w:hAnsi="Times New Roman"/>
                  <w:b/>
                  <w:noProof/>
                  <w:sz w:val="22"/>
                  <w:szCs w:val="22"/>
                  <w:lang w:val="sk-SK"/>
                  <w:rPrChange w:id="5902" w:author="Author" w:date="2025-08-22T15:12:00Z">
                    <w:rPr>
                      <w:b/>
                      <w:lang w:val="it-IT"/>
                    </w:rPr>
                  </w:rPrChange>
                </w:rPr>
                <w:t>Italia</w:t>
              </w:r>
            </w:ins>
          </w:p>
          <w:p w14:paraId="776CBA60" w14:textId="77777777" w:rsidR="009700E5" w:rsidRPr="009700E5" w:rsidRDefault="002C033C">
            <w:pPr>
              <w:pStyle w:val="Standard1"/>
              <w:rPr>
                <w:ins w:id="5903" w:author="Author" w:date="2025-07-24T11:10:00Z"/>
                <w:rFonts w:ascii="Times New Roman" w:hAnsi="Times New Roman"/>
                <w:noProof/>
                <w:sz w:val="22"/>
                <w:szCs w:val="22"/>
                <w:lang w:val="sk-SK"/>
                <w:rPrChange w:id="5904" w:author="Author" w:date="2025-08-22T15:12:00Z">
                  <w:rPr>
                    <w:ins w:id="5905" w:author="Author" w:date="2025-07-24T11:10:00Z"/>
                    <w:lang w:val="de-DE"/>
                  </w:rPr>
                </w:rPrChange>
              </w:rPr>
            </w:pPr>
            <w:ins w:id="5906" w:author="Author" w:date="2025-07-24T11:10:00Z">
              <w:r>
                <w:rPr>
                  <w:rFonts w:ascii="Times New Roman" w:hAnsi="Times New Roman"/>
                  <w:noProof/>
                  <w:sz w:val="22"/>
                  <w:szCs w:val="22"/>
                  <w:lang w:val="sk-SK"/>
                  <w:rPrChange w:id="5907" w:author="Author" w:date="2025-08-22T15:12:00Z">
                    <w:rPr>
                      <w:lang w:val="de-DE"/>
                    </w:rPr>
                  </w:rPrChange>
                </w:rPr>
                <w:t xml:space="preserve">Roche </w:t>
              </w:r>
              <w:r>
                <w:rPr>
                  <w:rFonts w:ascii="Times New Roman" w:hAnsi="Times New Roman"/>
                  <w:noProof/>
                  <w:sz w:val="22"/>
                  <w:szCs w:val="22"/>
                  <w:lang w:val="sk-SK"/>
                  <w:rPrChange w:id="5908" w:author="Author" w:date="2025-08-22T15:12:00Z">
                    <w:rPr>
                      <w:noProof/>
                      <w:szCs w:val="22"/>
                      <w:lang w:val="de-DE"/>
                    </w:rPr>
                  </w:rPrChange>
                </w:rPr>
                <w:t>S.p.</w:t>
              </w:r>
              <w:r>
                <w:rPr>
                  <w:rFonts w:ascii="Times New Roman" w:hAnsi="Times New Roman"/>
                  <w:noProof/>
                  <w:sz w:val="22"/>
                  <w:szCs w:val="22"/>
                  <w:lang w:val="sk-SK"/>
                  <w:rPrChange w:id="5909" w:author="Author" w:date="2025-08-22T15:12:00Z">
                    <w:rPr>
                      <w:lang w:val="de-DE"/>
                    </w:rPr>
                  </w:rPrChange>
                </w:rPr>
                <w:t>A.</w:t>
              </w:r>
            </w:ins>
          </w:p>
          <w:p w14:paraId="2136D995" w14:textId="77777777" w:rsidR="009700E5" w:rsidRPr="009700E5" w:rsidRDefault="002C033C">
            <w:pPr>
              <w:pStyle w:val="Standard1"/>
              <w:rPr>
                <w:ins w:id="5910" w:author="Author" w:date="2025-07-24T11:10:00Z"/>
                <w:rFonts w:ascii="Times New Roman" w:hAnsi="Times New Roman"/>
                <w:noProof/>
                <w:sz w:val="22"/>
                <w:szCs w:val="22"/>
                <w:lang w:val="sk-SK"/>
                <w:rPrChange w:id="5911" w:author="Author" w:date="2025-08-22T15:12:00Z">
                  <w:rPr>
                    <w:ins w:id="5912" w:author="Author" w:date="2025-07-24T11:10:00Z"/>
                    <w:noProof/>
                    <w:szCs w:val="22"/>
                    <w:lang w:val="de-DE"/>
                  </w:rPr>
                </w:rPrChange>
              </w:rPr>
            </w:pPr>
            <w:ins w:id="5913" w:author="Author" w:date="2025-07-24T11:10:00Z">
              <w:r>
                <w:rPr>
                  <w:rFonts w:ascii="Times New Roman" w:hAnsi="Times New Roman"/>
                  <w:noProof/>
                  <w:sz w:val="22"/>
                  <w:szCs w:val="22"/>
                  <w:lang w:val="sk-SK"/>
                  <w:rPrChange w:id="5914" w:author="Author" w:date="2025-08-22T15:12:00Z">
                    <w:rPr>
                      <w:noProof/>
                      <w:szCs w:val="22"/>
                      <w:lang w:val="de-DE"/>
                    </w:rPr>
                  </w:rPrChange>
                </w:rPr>
                <w:t>Tel: +39 - 039 2471</w:t>
              </w:r>
            </w:ins>
          </w:p>
          <w:p w14:paraId="5045E166" w14:textId="77777777" w:rsidR="009700E5" w:rsidRPr="009700E5" w:rsidRDefault="009700E5">
            <w:pPr>
              <w:pStyle w:val="Standard1"/>
              <w:rPr>
                <w:ins w:id="5915" w:author="Author" w:date="2025-07-24T11:10:00Z"/>
                <w:rFonts w:ascii="Times New Roman" w:hAnsi="Times New Roman"/>
                <w:b/>
                <w:noProof/>
                <w:sz w:val="22"/>
                <w:szCs w:val="22"/>
                <w:lang w:val="sk-SK"/>
                <w:rPrChange w:id="5916" w:author="Author" w:date="2025-08-22T15:12:00Z">
                  <w:rPr>
                    <w:ins w:id="5917" w:author="Author" w:date="2025-07-24T11:10:00Z"/>
                    <w:b/>
                    <w:lang w:val="de-DE"/>
                  </w:rPr>
                </w:rPrChange>
              </w:rPr>
            </w:pPr>
          </w:p>
        </w:tc>
        <w:tc>
          <w:tcPr>
            <w:tcW w:w="4590" w:type="dxa"/>
          </w:tcPr>
          <w:p w14:paraId="23E4EFB5" w14:textId="77777777" w:rsidR="009700E5" w:rsidRPr="009700E5" w:rsidRDefault="002C033C">
            <w:pPr>
              <w:pStyle w:val="Standard1"/>
              <w:rPr>
                <w:ins w:id="5918" w:author="Author" w:date="2025-07-24T11:10:00Z"/>
                <w:rFonts w:ascii="Times New Roman" w:hAnsi="Times New Roman"/>
                <w:noProof/>
                <w:sz w:val="22"/>
                <w:szCs w:val="22"/>
                <w:lang w:val="sk-SK"/>
                <w:rPrChange w:id="5919" w:author="Author" w:date="2025-08-22T15:12:00Z">
                  <w:rPr>
                    <w:ins w:id="5920" w:author="Author" w:date="2025-07-24T11:10:00Z"/>
                    <w:noProof/>
                    <w:szCs w:val="22"/>
                    <w:lang w:val="en-GB"/>
                  </w:rPr>
                </w:rPrChange>
              </w:rPr>
            </w:pPr>
            <w:ins w:id="5921" w:author="Author" w:date="2025-07-24T11:10:00Z">
              <w:r>
                <w:rPr>
                  <w:rFonts w:ascii="Times New Roman" w:hAnsi="Times New Roman"/>
                  <w:b/>
                  <w:noProof/>
                  <w:sz w:val="22"/>
                  <w:szCs w:val="22"/>
                  <w:lang w:val="sk-SK"/>
                  <w:rPrChange w:id="5922" w:author="Author" w:date="2025-08-22T15:12:00Z">
                    <w:rPr>
                      <w:b/>
                      <w:noProof/>
                      <w:szCs w:val="22"/>
                      <w:lang w:val="en-GB"/>
                    </w:rPr>
                  </w:rPrChange>
                </w:rPr>
                <w:t>Sverige</w:t>
              </w:r>
            </w:ins>
          </w:p>
          <w:p w14:paraId="20CCAA94" w14:textId="77777777" w:rsidR="009700E5" w:rsidRPr="009700E5" w:rsidRDefault="002C033C">
            <w:pPr>
              <w:pStyle w:val="Standard1"/>
              <w:rPr>
                <w:ins w:id="5923" w:author="Author" w:date="2025-07-24T11:10:00Z"/>
                <w:rFonts w:ascii="Times New Roman" w:hAnsi="Times New Roman"/>
                <w:noProof/>
                <w:sz w:val="22"/>
                <w:szCs w:val="22"/>
                <w:lang w:val="sk-SK"/>
                <w:rPrChange w:id="5924" w:author="Author" w:date="2025-08-22T15:12:00Z">
                  <w:rPr>
                    <w:ins w:id="5925" w:author="Author" w:date="2025-07-24T11:10:00Z"/>
                    <w:noProof/>
                    <w:szCs w:val="22"/>
                    <w:lang w:val="en-GB"/>
                  </w:rPr>
                </w:rPrChange>
              </w:rPr>
            </w:pPr>
            <w:ins w:id="5926" w:author="Author" w:date="2025-07-24T11:10:00Z">
              <w:r>
                <w:rPr>
                  <w:rFonts w:ascii="Times New Roman" w:hAnsi="Times New Roman"/>
                  <w:noProof/>
                  <w:sz w:val="22"/>
                  <w:szCs w:val="22"/>
                  <w:lang w:val="sk-SK"/>
                  <w:rPrChange w:id="5927" w:author="Author" w:date="2025-08-22T15:12:00Z">
                    <w:rPr>
                      <w:noProof/>
                      <w:szCs w:val="22"/>
                      <w:lang w:val="en-GB"/>
                    </w:rPr>
                  </w:rPrChange>
                </w:rPr>
                <w:t>Roche AB</w:t>
              </w:r>
            </w:ins>
          </w:p>
          <w:p w14:paraId="66B8AF9A" w14:textId="77777777" w:rsidR="009700E5" w:rsidRPr="009700E5" w:rsidRDefault="002C033C">
            <w:pPr>
              <w:pStyle w:val="Standard1"/>
              <w:suppressAutoHyphens/>
              <w:rPr>
                <w:ins w:id="5928" w:author="Author" w:date="2025-07-24T11:10:00Z"/>
                <w:rFonts w:ascii="Times New Roman" w:hAnsi="Times New Roman"/>
                <w:noProof/>
                <w:sz w:val="22"/>
                <w:szCs w:val="22"/>
                <w:lang w:val="sk-SK"/>
                <w:rPrChange w:id="5929" w:author="Author" w:date="2025-08-22T15:12:00Z">
                  <w:rPr>
                    <w:ins w:id="5930" w:author="Author" w:date="2025-07-24T11:10:00Z"/>
                    <w:noProof/>
                    <w:szCs w:val="22"/>
                    <w:lang w:val="en-GB"/>
                  </w:rPr>
                </w:rPrChange>
              </w:rPr>
            </w:pPr>
            <w:ins w:id="5931" w:author="Author" w:date="2025-07-24T11:10:00Z">
              <w:r>
                <w:rPr>
                  <w:rFonts w:ascii="Times New Roman" w:hAnsi="Times New Roman"/>
                  <w:noProof/>
                  <w:sz w:val="22"/>
                  <w:szCs w:val="22"/>
                  <w:lang w:val="sk-SK"/>
                  <w:rPrChange w:id="5932" w:author="Author" w:date="2025-08-22T15:12:00Z">
                    <w:rPr>
                      <w:noProof/>
                      <w:szCs w:val="22"/>
                      <w:lang w:val="en-GB"/>
                    </w:rPr>
                  </w:rPrChange>
                </w:rPr>
                <w:t>Tel: +46 (0) 8 726 1200</w:t>
              </w:r>
            </w:ins>
          </w:p>
          <w:p w14:paraId="56359DDB" w14:textId="77777777" w:rsidR="009700E5" w:rsidRPr="009700E5" w:rsidRDefault="009700E5">
            <w:pPr>
              <w:pStyle w:val="Standard1"/>
              <w:rPr>
                <w:ins w:id="5933" w:author="Author" w:date="2025-07-24T11:10:00Z"/>
                <w:rFonts w:ascii="Times New Roman" w:hAnsi="Times New Roman"/>
                <w:noProof/>
                <w:sz w:val="22"/>
                <w:szCs w:val="22"/>
                <w:lang w:val="sk-SK"/>
                <w:rPrChange w:id="5934" w:author="Author" w:date="2025-08-22T15:12:00Z">
                  <w:rPr>
                    <w:ins w:id="5935" w:author="Author" w:date="2025-07-24T11:10:00Z"/>
                    <w:lang w:val="de-DE"/>
                  </w:rPr>
                </w:rPrChange>
              </w:rPr>
            </w:pPr>
          </w:p>
        </w:tc>
      </w:tr>
    </w:tbl>
    <w:p w14:paraId="2B9A8D45" w14:textId="77777777" w:rsidR="009700E5" w:rsidRDefault="009700E5">
      <w:pPr>
        <w:ind w:right="-449"/>
      </w:pPr>
    </w:p>
    <w:p w14:paraId="632A5633" w14:textId="77777777" w:rsidR="009700E5" w:rsidRDefault="002C033C">
      <w:pPr>
        <w:numPr>
          <w:ilvl w:val="12"/>
          <w:numId w:val="0"/>
        </w:numPr>
        <w:ind w:right="-2"/>
        <w:outlineLvl w:val="0"/>
        <w:rPr>
          <w:szCs w:val="24"/>
        </w:rPr>
      </w:pPr>
      <w:r>
        <w:rPr>
          <w:b/>
          <w:szCs w:val="22"/>
        </w:rPr>
        <w:t xml:space="preserve">Táto písomná informácia bola naposledy aktualizovaná v </w:t>
      </w:r>
    </w:p>
    <w:p w14:paraId="6A39BCF7" w14:textId="77777777" w:rsidR="009700E5" w:rsidRDefault="009700E5">
      <w:pPr>
        <w:ind w:right="-449"/>
        <w:rPr>
          <w:b/>
        </w:rPr>
      </w:pPr>
    </w:p>
    <w:p w14:paraId="441332C9" w14:textId="77777777" w:rsidR="009700E5" w:rsidRDefault="002C033C">
      <w:pPr>
        <w:ind w:right="-449"/>
        <w:rPr>
          <w:b/>
          <w:bCs/>
        </w:rPr>
      </w:pPr>
      <w:r>
        <w:rPr>
          <w:b/>
          <w:bCs/>
        </w:rPr>
        <w:t>Ďalšie zdroje informácií</w:t>
      </w:r>
    </w:p>
    <w:p w14:paraId="2F9027CE" w14:textId="77777777" w:rsidR="009700E5" w:rsidRDefault="002C033C">
      <w:pPr>
        <w:ind w:right="-449"/>
        <w:rPr>
          <w:bCs/>
        </w:rPr>
      </w:pPr>
      <w:r>
        <w:rPr>
          <w:bCs/>
        </w:rPr>
        <w:t xml:space="preserve">Podrobné informácie o tomto lieku sú dostupné na internetovej stránke Európskej agentúry pre lieky </w:t>
      </w:r>
      <w:hyperlink r:id="rId30" w:history="1">
        <w:r>
          <w:rPr>
            <w:rStyle w:val="Hyperlink"/>
            <w:bCs/>
          </w:rPr>
          <w:t>https://www.ema.europa.eu</w:t>
        </w:r>
      </w:hyperlink>
      <w:r>
        <w:rPr>
          <w:bCs/>
        </w:rPr>
        <w:t>.</w:t>
      </w:r>
    </w:p>
    <w:p w14:paraId="4853DB0F" w14:textId="77777777" w:rsidR="009700E5" w:rsidRDefault="009700E5">
      <w:pPr>
        <w:ind w:right="-449"/>
      </w:pPr>
    </w:p>
    <w:p w14:paraId="5407A464" w14:textId="77777777" w:rsidR="009700E5" w:rsidRDefault="002C033C">
      <w:pPr>
        <w:tabs>
          <w:tab w:val="left" w:pos="142"/>
        </w:tabs>
        <w:autoSpaceDE w:val="0"/>
        <w:autoSpaceDN w:val="0"/>
        <w:adjustRightInd w:val="0"/>
        <w:spacing w:after="120"/>
        <w:rPr>
          <w:b/>
          <w:color w:val="231F20"/>
        </w:rPr>
      </w:pPr>
      <w:r>
        <w:br w:type="page"/>
      </w:r>
      <w:r>
        <w:rPr>
          <w:b/>
        </w:rPr>
        <w:lastRenderedPageBreak/>
        <w:t xml:space="preserve">Čo potrebujete vedieť, aby ste naplnené pero </w:t>
      </w:r>
      <w:r>
        <w:rPr>
          <w:b/>
          <w:color w:val="231F20"/>
        </w:rPr>
        <w:t>RoActemry (ACTPen) používali bezpečne.</w:t>
      </w:r>
    </w:p>
    <w:p w14:paraId="443A7748" w14:textId="77777777" w:rsidR="009700E5" w:rsidRDefault="002C033C">
      <w:pPr>
        <w:autoSpaceDE w:val="0"/>
        <w:autoSpaceDN w:val="0"/>
        <w:adjustRightInd w:val="0"/>
        <w:spacing w:after="120"/>
        <w:rPr>
          <w:color w:val="231F20"/>
        </w:rPr>
      </w:pPr>
      <w:r>
        <w:rPr>
          <w:color w:val="231F20"/>
        </w:rPr>
        <w:t>Predtým ako naplnené pero RoActemry začnete používať a vždy, keď si na lekársky predpis zadovážite nové balenie, si prečítajte a dodržiavajte návod na použitie, ktorý je k nemu priložený. Je potrebné, aby vám váš lekár ukázal, ako správne používať naplnené pero RoActemry predtým, ako ho použijete po prvýkrát.</w:t>
      </w:r>
    </w:p>
    <w:p w14:paraId="11FECEAA" w14:textId="77777777" w:rsidR="009700E5" w:rsidRDefault="002C033C">
      <w:pPr>
        <w:autoSpaceDE w:val="0"/>
        <w:autoSpaceDN w:val="0"/>
        <w:adjustRightInd w:val="0"/>
        <w:spacing w:after="120"/>
      </w:pPr>
      <w:r>
        <w:t xml:space="preserve">Dôležité: Nepoužité naplnené perá uchovávajte v pôvodnom obale a uchovávajte ich v chladničke pri teplote 2 °C až 8 °C. </w:t>
      </w:r>
      <w:r>
        <w:rPr>
          <w:b/>
        </w:rPr>
        <w:t>Neuchovávajte</w:t>
      </w:r>
      <w:r>
        <w:t xml:space="preserve"> ich v mrazničke.</w:t>
      </w:r>
    </w:p>
    <w:p w14:paraId="774B0A80" w14:textId="77777777" w:rsidR="009700E5" w:rsidRDefault="002C033C">
      <w:r>
        <w:t xml:space="preserve">Po vybratí z chladničky možno naplnené pero uchovávať až počas celkovej doby 2 týždne pri teplote do 30 °C, </w:t>
      </w:r>
      <w:r>
        <w:rPr>
          <w:szCs w:val="22"/>
        </w:rPr>
        <w:t>nesmie sa však prekročiť pôvodný dátum exspirácie (EXP)</w:t>
      </w:r>
      <w:r>
        <w:t xml:space="preserve">. </w:t>
      </w:r>
      <w:r>
        <w:rPr>
          <w:szCs w:val="22"/>
        </w:rPr>
        <w:t xml:space="preserve">Označte príslušný dátum na škatuli. </w:t>
      </w:r>
      <w:r>
        <w:t>Naplnené perá vždy uchovávajte vo vonkajšom obale na ochranu pred svetlom a vlhkosťou.</w:t>
      </w:r>
    </w:p>
    <w:p w14:paraId="14DEB9ED" w14:textId="77777777" w:rsidR="009700E5" w:rsidRDefault="009700E5">
      <w:pPr>
        <w:autoSpaceDE w:val="0"/>
        <w:autoSpaceDN w:val="0"/>
        <w:adjustRightInd w:val="0"/>
      </w:pPr>
    </w:p>
    <w:p w14:paraId="3F8F8274" w14:textId="77777777" w:rsidR="009700E5" w:rsidRPr="009700E5" w:rsidRDefault="002C033C">
      <w:pPr>
        <w:pStyle w:val="ListParagraph"/>
        <w:numPr>
          <w:ilvl w:val="1"/>
          <w:numId w:val="325"/>
        </w:numPr>
        <w:rPr>
          <w:color w:val="231F20"/>
          <w:rPrChange w:id="5936" w:author="Author" w:date="2026-02-18T15:01:00Z">
            <w:rPr/>
          </w:rPrChange>
        </w:rPr>
        <w:pPrChange w:id="5937" w:author="Author" w:date="2026-02-18T15:01:00Z">
          <w:pPr>
            <w:ind w:left="567" w:hanging="567"/>
          </w:pPr>
        </w:pPrChange>
      </w:pPr>
      <w:del w:id="5938" w:author="Author" w:date="2026-02-18T15:01:00Z">
        <w:r>
          <w:delText>•</w:delText>
        </w:r>
        <w:r>
          <w:tab/>
        </w:r>
      </w:del>
      <w:r>
        <w:rPr>
          <w:color w:val="231F20"/>
          <w:rPrChange w:id="5939" w:author="Author" w:date="2026-02-18T15:01:00Z">
            <w:rPr/>
          </w:rPrChange>
        </w:rPr>
        <w:t>Neodstráňte viečko z naplneného pera, pokým nie ste pripravený podať si injekciu RoActemry.</w:t>
      </w:r>
    </w:p>
    <w:p w14:paraId="7F8C6F4F" w14:textId="77777777" w:rsidR="009700E5" w:rsidRPr="009700E5" w:rsidRDefault="002C033C">
      <w:pPr>
        <w:pStyle w:val="ListParagraph"/>
        <w:numPr>
          <w:ilvl w:val="1"/>
          <w:numId w:val="325"/>
        </w:numPr>
        <w:rPr>
          <w:color w:val="231F20"/>
          <w:rPrChange w:id="5940" w:author="Author" w:date="2026-02-18T15:01:00Z">
            <w:rPr/>
          </w:rPrChange>
        </w:rPr>
        <w:pPrChange w:id="5941" w:author="Author" w:date="2026-02-18T15:01:00Z">
          <w:pPr>
            <w:ind w:left="567" w:hanging="567"/>
          </w:pPr>
        </w:pPrChange>
      </w:pPr>
      <w:del w:id="5942" w:author="Author" w:date="2026-02-18T15:01:00Z">
        <w:r>
          <w:delText>•</w:delText>
        </w:r>
        <w:r>
          <w:tab/>
        </w:r>
      </w:del>
      <w:r>
        <w:rPr>
          <w:color w:val="231F20"/>
          <w:rPrChange w:id="5943" w:author="Author" w:date="2026-02-18T15:01:00Z">
            <w:rPr/>
          </w:rPrChange>
        </w:rPr>
        <w:t>Nikdy sa nepokúšajte naplnené pero rozobrať.</w:t>
      </w:r>
    </w:p>
    <w:p w14:paraId="49971B5D" w14:textId="77777777" w:rsidR="009700E5" w:rsidRDefault="002C033C">
      <w:pPr>
        <w:pStyle w:val="ListParagraph"/>
        <w:numPr>
          <w:ilvl w:val="1"/>
          <w:numId w:val="325"/>
        </w:numPr>
        <w:rPr>
          <w:color w:val="231F20"/>
        </w:rPr>
        <w:pPrChange w:id="5944" w:author="Author" w:date="2026-02-18T15:01:00Z">
          <w:pPr>
            <w:ind w:left="567" w:hanging="567"/>
          </w:pPr>
        </w:pPrChange>
      </w:pPr>
      <w:del w:id="5945" w:author="Author" w:date="2026-02-18T15:01:00Z">
        <w:r>
          <w:delText>•</w:delText>
        </w:r>
        <w:r>
          <w:tab/>
        </w:r>
      </w:del>
      <w:r>
        <w:t xml:space="preserve">Nepoužívajte opakovane </w:t>
      </w:r>
      <w:r>
        <w:rPr>
          <w:color w:val="231F20"/>
        </w:rPr>
        <w:t>rovnaké naplnené pero.</w:t>
      </w:r>
    </w:p>
    <w:p w14:paraId="4501ADC1" w14:textId="77777777" w:rsidR="009700E5" w:rsidRDefault="002C033C">
      <w:pPr>
        <w:pStyle w:val="ListParagraph"/>
        <w:numPr>
          <w:ilvl w:val="1"/>
          <w:numId w:val="325"/>
        </w:numPr>
        <w:pPrChange w:id="5946" w:author="Author" w:date="2026-02-18T15:01:00Z">
          <w:pPr>
            <w:ind w:left="567" w:hanging="567"/>
          </w:pPr>
        </w:pPrChange>
      </w:pPr>
      <w:del w:id="5947" w:author="Author" w:date="2026-02-18T15:01:00Z">
        <w:r>
          <w:delText>•</w:delText>
        </w:r>
        <w:r>
          <w:tab/>
        </w:r>
      </w:del>
      <w:r>
        <w:t>Nepoužívajte naplnené pero na vpichnutie lieku cez oblečenie.</w:t>
      </w:r>
    </w:p>
    <w:p w14:paraId="6C739F53" w14:textId="77777777" w:rsidR="009700E5" w:rsidRDefault="002C033C">
      <w:pPr>
        <w:pStyle w:val="ListParagraph"/>
        <w:numPr>
          <w:ilvl w:val="1"/>
          <w:numId w:val="325"/>
        </w:numPr>
        <w:pPrChange w:id="5948" w:author="Author" w:date="2026-02-18T15:01:00Z">
          <w:pPr>
            <w:ind w:left="567" w:hanging="567"/>
          </w:pPr>
        </w:pPrChange>
      </w:pPr>
      <w:del w:id="5949" w:author="Author" w:date="2026-02-18T15:01:00Z">
        <w:r>
          <w:delText>•</w:delText>
        </w:r>
        <w:r>
          <w:tab/>
        </w:r>
      </w:del>
      <w:r>
        <w:t>Nenechávajte naplnené pero bez dohľadu.</w:t>
      </w:r>
    </w:p>
    <w:p w14:paraId="2AB427AB" w14:textId="77777777" w:rsidR="009700E5" w:rsidRDefault="002C033C">
      <w:pPr>
        <w:pStyle w:val="ListParagraph"/>
        <w:numPr>
          <w:ilvl w:val="1"/>
          <w:numId w:val="325"/>
        </w:numPr>
        <w:pPrChange w:id="5950" w:author="Author" w:date="2026-02-18T15:01:00Z">
          <w:pPr>
            <w:ind w:left="567" w:hanging="567"/>
          </w:pPr>
        </w:pPrChange>
      </w:pPr>
      <w:del w:id="5951" w:author="Author" w:date="2026-02-18T15:01:00Z">
        <w:r>
          <w:delText>•</w:delText>
        </w:r>
        <w:r>
          <w:tab/>
        </w:r>
      </w:del>
      <w:r>
        <w:t>Uchovávajte mimo dosahu detí.</w:t>
      </w:r>
    </w:p>
    <w:p w14:paraId="5C628FFB" w14:textId="77777777" w:rsidR="009700E5" w:rsidRDefault="002C033C">
      <w:pPr>
        <w:spacing w:after="120"/>
      </w:pPr>
      <w:r>
        <w:t xml:space="preserve">Časti naplneného pera </w:t>
      </w:r>
      <w:r>
        <w:rPr>
          <w:color w:val="231F20"/>
          <w:szCs w:val="22"/>
        </w:rPr>
        <w:t>RoA</w:t>
      </w:r>
      <w:r>
        <w:rPr>
          <w:color w:val="231F20"/>
        </w:rPr>
        <w:t>ctemry</w:t>
      </w:r>
      <w:r>
        <w:rPr>
          <w:color w:val="231F20"/>
          <w:szCs w:val="22"/>
        </w:rPr>
        <w:t xml:space="preserve"> (</w:t>
      </w:r>
      <w:r>
        <w:rPr>
          <w:b/>
          <w:color w:val="231F20"/>
          <w:szCs w:val="22"/>
        </w:rPr>
        <w:t>pozri obrázok A</w:t>
      </w:r>
      <w:r>
        <w:rPr>
          <w:color w:val="231F20"/>
          <w:szCs w:val="22"/>
        </w:rPr>
        <w:t>).</w:t>
      </w:r>
    </w:p>
    <w:p w14:paraId="4C3A6740" w14:textId="77777777" w:rsidR="009700E5" w:rsidRDefault="009700E5"/>
    <w:p w14:paraId="7797DEA2" w14:textId="77777777" w:rsidR="009700E5" w:rsidRDefault="002C033C">
      <w:r>
        <w:rPr>
          <w:lang w:val="en-US" w:eastAsia="en-US"/>
        </w:rPr>
        <w:drawing>
          <wp:inline distT="0" distB="0" distL="0" distR="0" wp14:anchorId="1DFB2155" wp14:editId="463A88DA">
            <wp:extent cx="5762625" cy="4467225"/>
            <wp:effectExtent l="0" t="0" r="0" b="0"/>
            <wp:docPr id="1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4467225"/>
                    </a:xfrm>
                    <a:prstGeom prst="rect">
                      <a:avLst/>
                    </a:prstGeom>
                    <a:noFill/>
                    <a:ln>
                      <a:noFill/>
                    </a:ln>
                  </pic:spPr>
                </pic:pic>
              </a:graphicData>
            </a:graphic>
          </wp:inline>
        </w:drawing>
      </w:r>
    </w:p>
    <w:p w14:paraId="1844EBA2" w14:textId="77777777" w:rsidR="009700E5" w:rsidRDefault="002C033C">
      <w:pPr>
        <w:jc w:val="center"/>
        <w:rPr>
          <w:b/>
        </w:rPr>
      </w:pPr>
      <w:r>
        <w:rPr>
          <w:b/>
        </w:rPr>
        <w:t>Obrázok A</w:t>
      </w:r>
    </w:p>
    <w:p w14:paraId="27106638" w14:textId="77777777" w:rsidR="009700E5" w:rsidRDefault="009700E5"/>
    <w:p w14:paraId="3B2E26F2" w14:textId="77777777" w:rsidR="009700E5" w:rsidRDefault="002C033C">
      <w:pPr>
        <w:keepNext/>
        <w:keepLines/>
        <w:spacing w:after="60"/>
        <w:rPr>
          <w:b/>
        </w:rPr>
      </w:pPr>
      <w:r>
        <w:rPr>
          <w:b/>
        </w:rPr>
        <w:lastRenderedPageBreak/>
        <w:t>Pomôcky, ktoré potrebujete na podanie injekcie pomocou naplneného pera RoA</w:t>
      </w:r>
      <w:r>
        <w:rPr>
          <w:b/>
          <w:color w:val="231F20"/>
        </w:rPr>
        <w:t>ctemry</w:t>
      </w:r>
      <w:r>
        <w:rPr>
          <w:b/>
        </w:rPr>
        <w:t xml:space="preserve"> (pozri obrázok B):</w:t>
      </w:r>
    </w:p>
    <w:p w14:paraId="7498D905" w14:textId="77777777" w:rsidR="009700E5" w:rsidRDefault="002C033C">
      <w:pPr>
        <w:pStyle w:val="ListParagraph"/>
        <w:keepNext/>
        <w:keepLines/>
        <w:numPr>
          <w:ilvl w:val="1"/>
          <w:numId w:val="327"/>
        </w:numPr>
        <w:ind w:left="567" w:hanging="567"/>
        <w:pPrChange w:id="5952" w:author="Author" w:date="2026-02-18T15:02:00Z">
          <w:pPr>
            <w:keepNext/>
            <w:keepLines/>
            <w:ind w:left="567" w:hanging="567"/>
          </w:pPr>
        </w:pPrChange>
      </w:pPr>
      <w:del w:id="5953" w:author="Author" w:date="2026-02-18T15:02:00Z">
        <w:r>
          <w:delText>•</w:delText>
        </w:r>
        <w:r>
          <w:tab/>
        </w:r>
      </w:del>
      <w:r>
        <w:t>1 naplnené pero RoA</w:t>
      </w:r>
      <w:r>
        <w:rPr>
          <w:color w:val="231F20"/>
        </w:rPr>
        <w:t>ctemry</w:t>
      </w:r>
    </w:p>
    <w:p w14:paraId="26CA7D1E" w14:textId="77777777" w:rsidR="009700E5" w:rsidRDefault="002C033C">
      <w:pPr>
        <w:pStyle w:val="ListParagraph"/>
        <w:keepNext/>
        <w:keepLines/>
        <w:numPr>
          <w:ilvl w:val="1"/>
          <w:numId w:val="327"/>
        </w:numPr>
        <w:ind w:left="567" w:hanging="567"/>
        <w:pPrChange w:id="5954" w:author="Author" w:date="2026-02-18T15:02:00Z">
          <w:pPr>
            <w:keepNext/>
            <w:keepLines/>
            <w:ind w:left="567" w:hanging="567"/>
          </w:pPr>
        </w:pPrChange>
      </w:pPr>
      <w:del w:id="5955" w:author="Author" w:date="2026-02-18T15:02:00Z">
        <w:r>
          <w:delText>•</w:delText>
        </w:r>
        <w:r>
          <w:tab/>
        </w:r>
      </w:del>
      <w:r>
        <w:t>1 tampón napustený alkoholom</w:t>
      </w:r>
    </w:p>
    <w:p w14:paraId="412EBBBE" w14:textId="77777777" w:rsidR="009700E5" w:rsidRDefault="002C033C">
      <w:pPr>
        <w:pStyle w:val="ListParagraph"/>
        <w:keepNext/>
        <w:keepLines/>
        <w:numPr>
          <w:ilvl w:val="1"/>
          <w:numId w:val="327"/>
        </w:numPr>
        <w:ind w:left="567" w:hanging="567"/>
        <w:pPrChange w:id="5956" w:author="Author" w:date="2026-02-18T15:02:00Z">
          <w:pPr>
            <w:keepNext/>
            <w:keepLines/>
            <w:ind w:left="567" w:hanging="567"/>
          </w:pPr>
        </w:pPrChange>
      </w:pPr>
      <w:del w:id="5957" w:author="Author" w:date="2026-02-18T15:02:00Z">
        <w:r>
          <w:delText>•</w:delText>
        </w:r>
        <w:r>
          <w:tab/>
        </w:r>
      </w:del>
      <w:r>
        <w:t>1 sterilný vatový tampón alebo gáza</w:t>
      </w:r>
    </w:p>
    <w:p w14:paraId="38E54BAE" w14:textId="77777777" w:rsidR="009700E5" w:rsidRDefault="002C033C">
      <w:pPr>
        <w:pStyle w:val="ListParagraph"/>
        <w:numPr>
          <w:ilvl w:val="1"/>
          <w:numId w:val="327"/>
        </w:numPr>
        <w:ind w:left="567" w:hanging="567"/>
        <w:pPrChange w:id="5958" w:author="Author" w:date="2026-02-18T15:02:00Z">
          <w:pPr>
            <w:ind w:left="567" w:hanging="567"/>
          </w:pPr>
        </w:pPrChange>
      </w:pPr>
      <w:del w:id="5959" w:author="Author" w:date="2026-02-18T15:02:00Z">
        <w:r>
          <w:delText>•</w:delText>
        </w:r>
        <w:r>
          <w:tab/>
        </w:r>
      </w:del>
      <w:r>
        <w:t xml:space="preserve">1 nádoba odolná proti prepichnutiu alebo nádoba na </w:t>
      </w:r>
      <w:r>
        <w:rPr>
          <w:color w:val="231F20"/>
          <w:rPrChange w:id="5960" w:author="Author" w:date="2026-02-18T15:02:00Z">
            <w:rPr/>
          </w:rPrChange>
        </w:rPr>
        <w:t xml:space="preserve">ostré predmety na bezpečnú likvidáciu viečka naplneného pera a použitého naplneného pera </w:t>
      </w:r>
      <w:r>
        <w:rPr>
          <w:b/>
          <w:color w:val="231F20"/>
          <w:rPrChange w:id="5961" w:author="Author" w:date="2026-02-18T15:02:00Z">
            <w:rPr>
              <w:b/>
            </w:rPr>
          </w:rPrChange>
        </w:rPr>
        <w:t>(pozri časť 4 „Zlikvidujte naplnené pero“)</w:t>
      </w:r>
    </w:p>
    <w:p w14:paraId="4F951C04" w14:textId="77777777" w:rsidR="009700E5" w:rsidRDefault="009700E5"/>
    <w:p w14:paraId="26609C12" w14:textId="77777777" w:rsidR="009700E5" w:rsidRDefault="002C033C">
      <w:r>
        <w:rPr>
          <w:lang w:val="en-US" w:eastAsia="en-US"/>
        </w:rPr>
        <w:drawing>
          <wp:inline distT="0" distB="0" distL="0" distR="0" wp14:anchorId="4EA0FE44" wp14:editId="11476633">
            <wp:extent cx="5734050" cy="3171825"/>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3171825"/>
                    </a:xfrm>
                    <a:prstGeom prst="rect">
                      <a:avLst/>
                    </a:prstGeom>
                    <a:noFill/>
                    <a:ln>
                      <a:noFill/>
                    </a:ln>
                  </pic:spPr>
                </pic:pic>
              </a:graphicData>
            </a:graphic>
          </wp:inline>
        </w:drawing>
      </w:r>
    </w:p>
    <w:p w14:paraId="6350377A" w14:textId="77777777" w:rsidR="009700E5" w:rsidRDefault="009700E5"/>
    <w:p w14:paraId="176D3477" w14:textId="77777777" w:rsidR="009700E5" w:rsidRDefault="002C033C">
      <w:pPr>
        <w:jc w:val="center"/>
        <w:rPr>
          <w:b/>
        </w:rPr>
      </w:pPr>
      <w:r>
        <w:rPr>
          <w:b/>
        </w:rPr>
        <w:t>Obrázok B</w:t>
      </w:r>
    </w:p>
    <w:p w14:paraId="53827758" w14:textId="77777777" w:rsidR="009700E5" w:rsidRDefault="009700E5"/>
    <w:p w14:paraId="4F295B10" w14:textId="77777777" w:rsidR="009700E5" w:rsidRDefault="002C033C">
      <w:pPr>
        <w:spacing w:after="60"/>
        <w:rPr>
          <w:b/>
        </w:rPr>
      </w:pPr>
      <w:r>
        <w:rPr>
          <w:b/>
        </w:rPr>
        <w:t>1. krok Príprava na podanie injekcie RoA</w:t>
      </w:r>
      <w:r>
        <w:rPr>
          <w:b/>
          <w:color w:val="231F20"/>
        </w:rPr>
        <w:t>ctemry</w:t>
      </w:r>
    </w:p>
    <w:p w14:paraId="00974477" w14:textId="77777777" w:rsidR="009700E5" w:rsidRDefault="002C033C">
      <w:pPr>
        <w:spacing w:after="60"/>
      </w:pPr>
      <w:r>
        <w:t>Nájdite si pohodlný priestor s čistým rovným pracovným povrchom.</w:t>
      </w:r>
    </w:p>
    <w:p w14:paraId="462A3FEE" w14:textId="77777777" w:rsidR="009700E5" w:rsidRPr="009700E5" w:rsidRDefault="002C033C">
      <w:pPr>
        <w:pStyle w:val="ListParagraph"/>
        <w:numPr>
          <w:ilvl w:val="1"/>
          <w:numId w:val="329"/>
        </w:numPr>
        <w:spacing w:after="60"/>
        <w:ind w:left="567" w:hanging="567"/>
        <w:rPr>
          <w:color w:val="000000"/>
          <w:rPrChange w:id="5962" w:author="Author" w:date="2026-02-18T15:03:00Z">
            <w:rPr/>
          </w:rPrChange>
        </w:rPr>
        <w:pPrChange w:id="5963" w:author="Author" w:date="2026-02-18T15:03:00Z">
          <w:pPr>
            <w:spacing w:after="60"/>
            <w:ind w:left="567" w:hanging="567"/>
          </w:pPr>
        </w:pPrChange>
      </w:pPr>
      <w:del w:id="5964" w:author="Author" w:date="2026-02-18T15:03:00Z">
        <w:r>
          <w:delText>•</w:delText>
        </w:r>
        <w:r>
          <w:tab/>
        </w:r>
      </w:del>
      <w:r>
        <w:rPr>
          <w:color w:val="000000"/>
          <w:rPrChange w:id="5965" w:author="Author" w:date="2026-02-18T15:03:00Z">
            <w:rPr/>
          </w:rPrChange>
        </w:rPr>
        <w:t>Vyberte škatuľu obsahujúcu naplnené pero z chladničky.</w:t>
      </w:r>
    </w:p>
    <w:p w14:paraId="5DE357DD" w14:textId="77777777" w:rsidR="009700E5" w:rsidRDefault="002C033C">
      <w:pPr>
        <w:pStyle w:val="ListParagraph"/>
        <w:numPr>
          <w:ilvl w:val="1"/>
          <w:numId w:val="329"/>
        </w:numPr>
        <w:spacing w:after="60"/>
        <w:ind w:left="567" w:hanging="567"/>
        <w:pPrChange w:id="5966" w:author="Author" w:date="2026-02-18T15:03:00Z">
          <w:pPr>
            <w:spacing w:after="60"/>
            <w:ind w:left="567" w:hanging="567"/>
          </w:pPr>
        </w:pPrChange>
      </w:pPr>
      <w:del w:id="5967" w:author="Author" w:date="2026-02-18T15:03:00Z">
        <w:r>
          <w:delText>•</w:delText>
        </w:r>
        <w:r>
          <w:tab/>
        </w:r>
      </w:del>
      <w:r>
        <w:t xml:space="preserve">Ak škatuľu otvárate po prvýkrát, skontrolujte ju, aby ste sa uistili, že je riadne zatvorená. </w:t>
      </w:r>
      <w:r>
        <w:rPr>
          <w:b/>
        </w:rPr>
        <w:t xml:space="preserve">Nepoužite </w:t>
      </w:r>
      <w:r>
        <w:t>naplnené pero, ak škatuľa vyzerá, ako keby už bola otvorená.</w:t>
      </w:r>
    </w:p>
    <w:p w14:paraId="75AEACBF" w14:textId="77777777" w:rsidR="009700E5" w:rsidRDefault="002C033C">
      <w:pPr>
        <w:pStyle w:val="ListParagraph"/>
        <w:numPr>
          <w:ilvl w:val="1"/>
          <w:numId w:val="329"/>
        </w:numPr>
        <w:spacing w:after="60"/>
        <w:ind w:left="567" w:hanging="567"/>
        <w:pPrChange w:id="5968" w:author="Author" w:date="2026-02-18T15:03:00Z">
          <w:pPr>
            <w:spacing w:after="60"/>
            <w:ind w:left="567" w:hanging="567"/>
          </w:pPr>
        </w:pPrChange>
      </w:pPr>
      <w:del w:id="5969" w:author="Author" w:date="2026-02-18T15:03:00Z">
        <w:r>
          <w:delText>•</w:delText>
        </w:r>
        <w:r>
          <w:tab/>
        </w:r>
      </w:del>
      <w:r>
        <w:t xml:space="preserve">Skontrolujte, či škatuľa s naplnenými perami nie je poškodená. </w:t>
      </w:r>
      <w:r>
        <w:rPr>
          <w:b/>
        </w:rPr>
        <w:t xml:space="preserve">Nepoužite </w:t>
      </w:r>
      <w:r>
        <w:t>naplnené pero, ak škatuľa javí známky poškodenia.</w:t>
      </w:r>
    </w:p>
    <w:p w14:paraId="49261811" w14:textId="77777777" w:rsidR="009700E5" w:rsidRDefault="002C033C">
      <w:pPr>
        <w:pStyle w:val="ListParagraph"/>
        <w:numPr>
          <w:ilvl w:val="1"/>
          <w:numId w:val="329"/>
        </w:numPr>
        <w:spacing w:after="60"/>
        <w:ind w:left="567" w:hanging="567"/>
        <w:pPrChange w:id="5970" w:author="Author" w:date="2026-02-18T15:03:00Z">
          <w:pPr>
            <w:spacing w:after="60"/>
            <w:ind w:left="567" w:hanging="567"/>
          </w:pPr>
        </w:pPrChange>
      </w:pPr>
      <w:del w:id="5971" w:author="Author" w:date="2026-02-18T15:03:00Z">
        <w:r>
          <w:delText>•</w:delText>
        </w:r>
        <w:r>
          <w:tab/>
        </w:r>
      </w:del>
      <w:r>
        <w:rPr>
          <w:b/>
          <w:color w:val="231F20"/>
        </w:rPr>
        <w:t>Skontrolujte dátum exspirácie na škatuli s naplneným perom.</w:t>
      </w:r>
      <w:r>
        <w:rPr>
          <w:color w:val="231F20"/>
        </w:rPr>
        <w:t xml:space="preserve"> </w:t>
      </w:r>
      <w:r>
        <w:rPr>
          <w:b/>
        </w:rPr>
        <w:t xml:space="preserve">Nepoužite </w:t>
      </w:r>
      <w:r>
        <w:t>naplnené pero, ak uplynul dátum exspirácie, pretože jeho použitie nemusí byť bezpečné.</w:t>
      </w:r>
    </w:p>
    <w:p w14:paraId="5576279B" w14:textId="77777777" w:rsidR="009700E5" w:rsidRDefault="002C033C">
      <w:pPr>
        <w:pStyle w:val="ListParagraph"/>
        <w:numPr>
          <w:ilvl w:val="1"/>
          <w:numId w:val="329"/>
        </w:numPr>
        <w:spacing w:after="60"/>
        <w:ind w:left="567" w:hanging="567"/>
        <w:pPrChange w:id="5972" w:author="Author" w:date="2026-02-18T15:03:00Z">
          <w:pPr>
            <w:spacing w:after="60"/>
            <w:ind w:left="567" w:hanging="567"/>
          </w:pPr>
        </w:pPrChange>
      </w:pPr>
      <w:del w:id="5973" w:author="Author" w:date="2026-02-18T15:03:00Z">
        <w:r>
          <w:delText>•</w:delText>
        </w:r>
        <w:r>
          <w:tab/>
        </w:r>
      </w:del>
      <w:r>
        <w:t>Otvorte škatuľu a vyberte z nej 1 naplnené pero RoA</w:t>
      </w:r>
      <w:r>
        <w:rPr>
          <w:color w:val="231F20"/>
        </w:rPr>
        <w:t>ctemry</w:t>
      </w:r>
      <w:r>
        <w:t xml:space="preserve"> určené na jednorazové použitie.</w:t>
      </w:r>
    </w:p>
    <w:p w14:paraId="30DA4093" w14:textId="77777777" w:rsidR="009700E5" w:rsidRDefault="002C033C">
      <w:pPr>
        <w:pStyle w:val="ListParagraph"/>
        <w:numPr>
          <w:ilvl w:val="1"/>
          <w:numId w:val="329"/>
        </w:numPr>
        <w:spacing w:after="60"/>
        <w:ind w:left="567" w:hanging="567"/>
        <w:pPrChange w:id="5974" w:author="Author" w:date="2026-02-18T15:03:00Z">
          <w:pPr>
            <w:spacing w:after="60"/>
            <w:ind w:left="567" w:hanging="567"/>
          </w:pPr>
        </w:pPrChange>
      </w:pPr>
      <w:del w:id="5975" w:author="Author" w:date="2026-02-18T15:03:00Z">
        <w:r>
          <w:delText>•</w:delText>
        </w:r>
        <w:r>
          <w:tab/>
        </w:r>
      </w:del>
      <w:r>
        <w:t>Vráťte všetky zvyšné naplnené perá v škatuli do chladničky.</w:t>
      </w:r>
    </w:p>
    <w:p w14:paraId="3FEC0405" w14:textId="77777777" w:rsidR="009700E5" w:rsidRDefault="002C033C">
      <w:pPr>
        <w:pStyle w:val="ListParagraph"/>
        <w:numPr>
          <w:ilvl w:val="1"/>
          <w:numId w:val="329"/>
        </w:numPr>
        <w:spacing w:after="60"/>
        <w:ind w:left="567" w:hanging="567"/>
        <w:pPrChange w:id="5976" w:author="Author" w:date="2026-02-18T15:03:00Z">
          <w:pPr>
            <w:spacing w:after="60"/>
            <w:ind w:left="567" w:hanging="567"/>
          </w:pPr>
        </w:pPrChange>
      </w:pPr>
      <w:del w:id="5977" w:author="Author" w:date="2026-02-18T15:03:00Z">
        <w:r>
          <w:delText>•</w:delText>
        </w:r>
        <w:r>
          <w:tab/>
        </w:r>
      </w:del>
      <w:r>
        <w:rPr>
          <w:b/>
          <w:color w:val="231F20"/>
        </w:rPr>
        <w:t>Skontrolujte dátum exspirácie na naplnenom pere RoActemry (pozri obrázok A).</w:t>
      </w:r>
      <w:r>
        <w:rPr>
          <w:color w:val="231F20"/>
        </w:rPr>
        <w:t xml:space="preserve"> </w:t>
      </w:r>
      <w:r>
        <w:rPr>
          <w:b/>
        </w:rPr>
        <w:t xml:space="preserve">Nepoužite </w:t>
      </w:r>
      <w:r>
        <w:t>naplnené pero, ak uplynul dátum exspirácie, pretože jeho použitie nemusí byť bezpečné. Ak uplynul dátum exspirácie, naplnené pero bezpečne zlikvidujte tak, že ho vložíte do nádoby na ostré predmety, a vezmite si nové naplnené pero.</w:t>
      </w:r>
    </w:p>
    <w:p w14:paraId="5C630BA2" w14:textId="77777777" w:rsidR="009700E5" w:rsidRDefault="002C033C">
      <w:pPr>
        <w:pStyle w:val="ListParagraph"/>
        <w:numPr>
          <w:ilvl w:val="1"/>
          <w:numId w:val="329"/>
        </w:numPr>
        <w:spacing w:after="60"/>
        <w:ind w:left="567" w:hanging="567"/>
        <w:pPrChange w:id="5978" w:author="Author" w:date="2026-02-18T15:03:00Z">
          <w:pPr>
            <w:spacing w:after="60"/>
            <w:ind w:left="567" w:hanging="567"/>
          </w:pPr>
        </w:pPrChange>
      </w:pPr>
      <w:del w:id="5979" w:author="Author" w:date="2026-02-18T15:03:00Z">
        <w:r>
          <w:delText>•</w:delText>
        </w:r>
        <w:r>
          <w:tab/>
        </w:r>
      </w:del>
      <w:r>
        <w:rPr>
          <w:b/>
        </w:rPr>
        <w:t>Skontrolujte naplnené pero, aby ste sa uistili, že nie je poškodené.</w:t>
      </w:r>
      <w:r>
        <w:t xml:space="preserve"> Nepoužite naplnené pero, ak javí známky poškodenia alebo ak vám naplnené pero náhodou spadlo.</w:t>
      </w:r>
    </w:p>
    <w:p w14:paraId="5EC21B31" w14:textId="77777777" w:rsidR="009700E5" w:rsidRDefault="002C033C">
      <w:pPr>
        <w:pStyle w:val="ListParagraph"/>
        <w:keepNext/>
        <w:keepLines/>
        <w:numPr>
          <w:ilvl w:val="1"/>
          <w:numId w:val="329"/>
        </w:numPr>
        <w:spacing w:after="60"/>
        <w:ind w:left="567" w:hanging="567"/>
        <w:rPr>
          <w:ins w:id="5980" w:author="Author" w:date="2026-02-18T15:05:00Z"/>
          <w:szCs w:val="22"/>
        </w:rPr>
        <w:pPrChange w:id="5981" w:author="Author" w:date="2026-02-18T15:06:00Z">
          <w:pPr>
            <w:pStyle w:val="ListParagraph"/>
            <w:keepNext/>
            <w:keepLines/>
            <w:numPr>
              <w:ilvl w:val="1"/>
              <w:numId w:val="329"/>
            </w:numPr>
            <w:spacing w:after="60"/>
            <w:ind w:left="862" w:hanging="360"/>
          </w:pPr>
        </w:pPrChange>
      </w:pPr>
      <w:del w:id="5982" w:author="Author" w:date="2026-02-18T15:03:00Z">
        <w:r>
          <w:lastRenderedPageBreak/>
          <w:delText>•</w:delText>
        </w:r>
        <w:r>
          <w:tab/>
        </w:r>
      </w:del>
      <w:r>
        <w:rPr>
          <w:color w:val="000000"/>
        </w:rPr>
        <w:t>Položte naplnené pero na čistý rovný povrch a n</w:t>
      </w:r>
      <w:r>
        <w:rPr>
          <w:color w:val="231F20"/>
        </w:rPr>
        <w:t>echajte ho voľne položené 45 minút, aby sa ohrialo tak, že dosiahne izbovú teplotu.</w:t>
      </w:r>
      <w:r>
        <w:rPr>
          <w:szCs w:val="22"/>
        </w:rPr>
        <w:t xml:space="preserve"> Ak naplnené pero nedosiahne izbovú teplotu, mohlo by to spôsobiť, že vpichovanie lieku bude nepríjemné a mohlo by to trvať dlhšie.</w:t>
      </w:r>
    </w:p>
    <w:p w14:paraId="579A22BB" w14:textId="77777777" w:rsidR="009700E5" w:rsidRDefault="002C033C">
      <w:pPr>
        <w:pStyle w:val="ListParagraph"/>
        <w:keepNext/>
        <w:keepLines/>
        <w:numPr>
          <w:ilvl w:val="1"/>
          <w:numId w:val="329"/>
        </w:numPr>
        <w:spacing w:after="60"/>
        <w:ind w:left="567" w:hanging="567"/>
        <w:rPr>
          <w:ins w:id="5983" w:author="Author" w:date="2026-02-18T15:05:00Z"/>
          <w:szCs w:val="22"/>
        </w:rPr>
        <w:pPrChange w:id="5984" w:author="Author" w:date="2026-02-18T15:06:00Z">
          <w:pPr>
            <w:pStyle w:val="ListParagraph"/>
            <w:keepNext/>
            <w:keepLines/>
            <w:numPr>
              <w:ilvl w:val="1"/>
              <w:numId w:val="329"/>
            </w:numPr>
            <w:spacing w:after="60"/>
            <w:ind w:left="862" w:hanging="360"/>
          </w:pPr>
        </w:pPrChange>
      </w:pPr>
      <w:ins w:id="5985" w:author="Author" w:date="2026-02-18T15:05:00Z">
        <w:r>
          <w:rPr>
            <w:b/>
          </w:rPr>
          <w:t xml:space="preserve">Neurýchľujte </w:t>
        </w:r>
        <w:r>
          <w:t>proces ohrievania nijakým spôsobom, napríklad, nepoužívajte na to mikrovlnnú rúru ani nedávajte naplnené pero do teplej vody.</w:t>
        </w:r>
      </w:ins>
    </w:p>
    <w:p w14:paraId="4F334A68" w14:textId="77777777" w:rsidR="009700E5" w:rsidRDefault="002C033C">
      <w:pPr>
        <w:pStyle w:val="ListParagraph"/>
        <w:keepNext/>
        <w:keepLines/>
        <w:numPr>
          <w:ilvl w:val="1"/>
          <w:numId w:val="329"/>
        </w:numPr>
        <w:spacing w:after="60"/>
        <w:ind w:left="567" w:hanging="567"/>
        <w:rPr>
          <w:szCs w:val="22"/>
        </w:rPr>
        <w:pPrChange w:id="5986" w:author="Author" w:date="2026-02-18T15:06:00Z">
          <w:pPr>
            <w:keepNext/>
            <w:keepLines/>
            <w:spacing w:after="60"/>
            <w:ind w:left="567" w:hanging="567"/>
          </w:pPr>
        </w:pPrChange>
      </w:pPr>
      <w:ins w:id="5987" w:author="Author" w:date="2026-02-18T15:05:00Z">
        <w:r>
          <w:rPr>
            <w:b/>
          </w:rPr>
          <w:t xml:space="preserve">Nenechávajte </w:t>
        </w:r>
        <w:r>
          <w:t>naplnené pero ohriať sa na priamom slnečnom žiarení.</w:t>
        </w:r>
      </w:ins>
    </w:p>
    <w:p w14:paraId="7DBA55E3" w14:textId="77777777" w:rsidR="009700E5" w:rsidRDefault="002C033C">
      <w:pPr>
        <w:keepNext/>
        <w:keepLines/>
        <w:spacing w:after="60"/>
        <w:ind w:left="567"/>
        <w:rPr>
          <w:del w:id="5988" w:author="Author" w:date="2026-02-18T15:05:00Z"/>
        </w:rPr>
        <w:pPrChange w:id="5989" w:author="Author" w:date="2026-02-19T10:37:00Z">
          <w:pPr>
            <w:keepNext/>
            <w:keepLines/>
            <w:spacing w:after="60"/>
            <w:ind w:left="1077" w:hanging="357"/>
          </w:pPr>
        </w:pPrChange>
      </w:pPr>
      <w:del w:id="5990" w:author="Author" w:date="2026-02-18T15:05:00Z">
        <w:r>
          <w:delText>-</w:delText>
        </w:r>
        <w:r>
          <w:tab/>
        </w:r>
        <w:r>
          <w:rPr>
            <w:b/>
          </w:rPr>
          <w:delText xml:space="preserve">Neurýchľujte </w:delText>
        </w:r>
        <w:r>
          <w:delText>proces ohrievania nijakým spôsobom, napríklad, nepoužívajte na to mikrovlnnú rúru ani nedávajte naplnené pero do teplej vody.</w:delText>
        </w:r>
      </w:del>
    </w:p>
    <w:p w14:paraId="707DEB0F" w14:textId="77777777" w:rsidR="009700E5" w:rsidRDefault="002C033C">
      <w:pPr>
        <w:spacing w:after="60"/>
        <w:ind w:left="567"/>
        <w:rPr>
          <w:del w:id="5991" w:author="Author" w:date="2026-02-18T15:05:00Z"/>
        </w:rPr>
        <w:pPrChange w:id="5992" w:author="Author" w:date="2026-02-19T10:37:00Z">
          <w:pPr>
            <w:spacing w:after="60"/>
            <w:ind w:left="1077" w:hanging="357"/>
          </w:pPr>
        </w:pPrChange>
      </w:pPr>
      <w:del w:id="5993" w:author="Author" w:date="2026-02-18T15:05:00Z">
        <w:r>
          <w:delText>-</w:delText>
        </w:r>
        <w:r>
          <w:tab/>
        </w:r>
        <w:r>
          <w:rPr>
            <w:b/>
          </w:rPr>
          <w:delText xml:space="preserve">Nenechávajte </w:delText>
        </w:r>
        <w:r>
          <w:delText>naplnené pero ohriať sa na priamom slnečnom žiarení.</w:delText>
        </w:r>
      </w:del>
    </w:p>
    <w:p w14:paraId="29AF998F" w14:textId="77777777" w:rsidR="009700E5" w:rsidRDefault="002C033C">
      <w:pPr>
        <w:spacing w:after="60"/>
        <w:ind w:left="567"/>
        <w:rPr>
          <w:b/>
        </w:rPr>
        <w:pPrChange w:id="5994" w:author="Author" w:date="2026-02-19T10:37:00Z">
          <w:pPr>
            <w:spacing w:after="60"/>
            <w:ind w:left="357"/>
          </w:pPr>
        </w:pPrChange>
      </w:pPr>
      <w:r>
        <w:rPr>
          <w:b/>
        </w:rPr>
        <w:t>Neodstráňte zelené viečko počas toho, ako nechávate naplnené pero RoA</w:t>
      </w:r>
      <w:r>
        <w:rPr>
          <w:b/>
          <w:color w:val="231F20"/>
        </w:rPr>
        <w:t>ctemry</w:t>
      </w:r>
      <w:r>
        <w:rPr>
          <w:b/>
        </w:rPr>
        <w:t xml:space="preserve"> dosiahnuť izbovú teplotu.</w:t>
      </w:r>
    </w:p>
    <w:p w14:paraId="50A2C735" w14:textId="77777777" w:rsidR="009700E5" w:rsidRDefault="002C033C">
      <w:pPr>
        <w:pStyle w:val="ListParagraph"/>
        <w:numPr>
          <w:ilvl w:val="1"/>
          <w:numId w:val="331"/>
        </w:numPr>
        <w:ind w:left="567" w:hanging="567"/>
        <w:pPrChange w:id="5995" w:author="Author" w:date="2026-02-18T15:07:00Z">
          <w:pPr>
            <w:ind w:left="567" w:hanging="567"/>
          </w:pPr>
        </w:pPrChange>
      </w:pPr>
      <w:del w:id="5996" w:author="Author" w:date="2026-02-18T15:07:00Z">
        <w:r>
          <w:delText>•</w:delText>
        </w:r>
        <w:r>
          <w:tab/>
        </w:r>
      </w:del>
      <w:r>
        <w:t>Držte naplnené pero RoA</w:t>
      </w:r>
      <w:r>
        <w:rPr>
          <w:color w:val="231F20"/>
        </w:rPr>
        <w:t>ctemry</w:t>
      </w:r>
      <w:r>
        <w:t xml:space="preserve"> tak, aby zelené viečko smerovalo nadol </w:t>
      </w:r>
      <w:r>
        <w:rPr>
          <w:b/>
        </w:rPr>
        <w:t>(pozri obrázok C)</w:t>
      </w:r>
      <w:r>
        <w:t>.</w:t>
      </w:r>
    </w:p>
    <w:p w14:paraId="0FC1284E" w14:textId="77777777" w:rsidR="009700E5" w:rsidRDefault="009700E5"/>
    <w:p w14:paraId="0033E8F8" w14:textId="77777777" w:rsidR="009700E5" w:rsidRDefault="002C033C">
      <w:pPr>
        <w:jc w:val="center"/>
      </w:pPr>
      <w:r>
        <w:rPr>
          <w:b/>
          <w:szCs w:val="22"/>
          <w:lang w:val="en-US" w:eastAsia="en-US"/>
        </w:rPr>
        <w:drawing>
          <wp:inline distT="0" distB="0" distL="0" distR="0" wp14:anchorId="7B2870CA" wp14:editId="597BF369">
            <wp:extent cx="2743200" cy="2162175"/>
            <wp:effectExtent l="0" t="0" r="0" b="0"/>
            <wp:docPr id="13"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3200" cy="2162175"/>
                    </a:xfrm>
                    <a:prstGeom prst="rect">
                      <a:avLst/>
                    </a:prstGeom>
                    <a:noFill/>
                    <a:ln>
                      <a:noFill/>
                    </a:ln>
                  </pic:spPr>
                </pic:pic>
              </a:graphicData>
            </a:graphic>
          </wp:inline>
        </w:drawing>
      </w:r>
    </w:p>
    <w:p w14:paraId="627D2126" w14:textId="77777777" w:rsidR="009700E5" w:rsidRDefault="002C033C">
      <w:pPr>
        <w:jc w:val="center"/>
        <w:rPr>
          <w:b/>
        </w:rPr>
      </w:pPr>
      <w:r>
        <w:rPr>
          <w:b/>
        </w:rPr>
        <w:t>Obrázok C</w:t>
      </w:r>
    </w:p>
    <w:p w14:paraId="756D8B57" w14:textId="77777777" w:rsidR="009700E5" w:rsidRDefault="009700E5"/>
    <w:p w14:paraId="06877D59" w14:textId="77777777" w:rsidR="009700E5" w:rsidRDefault="002C033C">
      <w:pPr>
        <w:pStyle w:val="ListParagraph"/>
        <w:numPr>
          <w:ilvl w:val="1"/>
          <w:numId w:val="333"/>
        </w:numPr>
        <w:spacing w:after="60"/>
        <w:ind w:left="851" w:hanging="851"/>
        <w:pPrChange w:id="5997" w:author="Author" w:date="2026-02-18T15:07:00Z">
          <w:pPr>
            <w:spacing w:after="60"/>
            <w:ind w:left="567" w:hanging="567"/>
          </w:pPr>
        </w:pPrChange>
      </w:pPr>
      <w:del w:id="5998" w:author="Author" w:date="2026-02-18T15:07:00Z">
        <w:r>
          <w:delText>•</w:delText>
        </w:r>
        <w:r>
          <w:tab/>
        </w:r>
      </w:del>
      <w:r>
        <w:t>Pozrite sa do priehľadného kontrolného okienka. Skontrolujte tekutinu v naplnenom pere RoA</w:t>
      </w:r>
      <w:r>
        <w:rPr>
          <w:color w:val="231F20"/>
        </w:rPr>
        <w:t>ctemry</w:t>
      </w:r>
      <w:r>
        <w:t xml:space="preserve"> </w:t>
      </w:r>
      <w:r>
        <w:rPr>
          <w:b/>
        </w:rPr>
        <w:t>(pozri obrázok C)</w:t>
      </w:r>
      <w:r>
        <w:t xml:space="preserve">. Mala by byť číra a bezfarebná až svetložltá. </w:t>
      </w:r>
      <w:r>
        <w:rPr>
          <w:b/>
        </w:rPr>
        <w:t xml:space="preserve">Nepodávajte </w:t>
      </w:r>
      <w:r>
        <w:t>si injekciu RoA</w:t>
      </w:r>
      <w:r>
        <w:rPr>
          <w:color w:val="231F20"/>
        </w:rPr>
        <w:t>ctemry</w:t>
      </w:r>
      <w:r>
        <w:t>, ak je tekutina zakalená, ak má zmenenú farbu alebo ak obsahuje zrazeniny alebo čiastočky, pretože jej použitie nemusí byť bezpečné. Naplnené pero bezpečne zlikvidujte tak, že ho vložíte do nádoby na ostré predmety, a vezmite si nové naplnené pero.</w:t>
      </w:r>
    </w:p>
    <w:p w14:paraId="16E072D0" w14:textId="77777777" w:rsidR="009700E5" w:rsidRDefault="002C033C">
      <w:pPr>
        <w:pStyle w:val="ListParagraph"/>
        <w:numPr>
          <w:ilvl w:val="1"/>
          <w:numId w:val="333"/>
        </w:numPr>
        <w:ind w:left="851" w:hanging="851"/>
        <w:pPrChange w:id="5999" w:author="Author" w:date="2026-02-18T15:07:00Z">
          <w:pPr>
            <w:ind w:left="567" w:hanging="567"/>
          </w:pPr>
        </w:pPrChange>
      </w:pPr>
      <w:del w:id="6000" w:author="Author" w:date="2026-02-18T15:07:00Z">
        <w:r>
          <w:delText>•</w:delText>
        </w:r>
        <w:r>
          <w:tab/>
        </w:r>
      </w:del>
      <w:r>
        <w:t>Dôkladne si umyte ruky mydlom a vodou.</w:t>
      </w:r>
    </w:p>
    <w:p w14:paraId="3BA140DF" w14:textId="77777777" w:rsidR="009700E5" w:rsidRDefault="009700E5"/>
    <w:p w14:paraId="34428467" w14:textId="77777777" w:rsidR="009700E5" w:rsidRDefault="002C033C">
      <w:pPr>
        <w:spacing w:after="60"/>
        <w:rPr>
          <w:b/>
        </w:rPr>
      </w:pPr>
      <w:r>
        <w:rPr>
          <w:b/>
        </w:rPr>
        <w:t>2. krok Zvoľte si miesto vpichu a pripravte ho</w:t>
      </w:r>
    </w:p>
    <w:p w14:paraId="76DE31A4" w14:textId="77777777" w:rsidR="009700E5" w:rsidRDefault="002C033C">
      <w:pPr>
        <w:spacing w:after="60"/>
        <w:rPr>
          <w:b/>
        </w:rPr>
      </w:pPr>
      <w:r>
        <w:rPr>
          <w:b/>
        </w:rPr>
        <w:t>Zvoľte si miesto vpichu</w:t>
      </w:r>
    </w:p>
    <w:p w14:paraId="452352B2" w14:textId="77777777" w:rsidR="009700E5" w:rsidRDefault="002C033C">
      <w:pPr>
        <w:pStyle w:val="ListParagraph"/>
        <w:numPr>
          <w:ilvl w:val="1"/>
          <w:numId w:val="335"/>
        </w:numPr>
        <w:spacing w:after="60"/>
        <w:ind w:left="709" w:hanging="709"/>
        <w:pPrChange w:id="6001" w:author="Author" w:date="2026-02-18T15:09:00Z">
          <w:pPr>
            <w:spacing w:after="60"/>
            <w:ind w:left="567" w:hanging="567"/>
          </w:pPr>
        </w:pPrChange>
      </w:pPr>
      <w:del w:id="6002" w:author="Author" w:date="2026-02-18T15:08:00Z">
        <w:r>
          <w:delText>•</w:delText>
        </w:r>
        <w:r>
          <w:tab/>
        </w:r>
      </w:del>
      <w:r>
        <w:t xml:space="preserve">Odporúčané miesta vpichu sú </w:t>
      </w:r>
      <w:r>
        <w:rPr>
          <w:color w:val="231F20"/>
          <w:rPrChange w:id="6003" w:author="Author" w:date="2026-02-18T15:08:00Z">
            <w:rPr/>
          </w:rPrChange>
        </w:rPr>
        <w:t>predná časť stehna alebo brucho okrem päťcentimetrovej (dvojpalcovej) oblasti v okolí pupka</w:t>
      </w:r>
      <w:r>
        <w:t xml:space="preserve"> </w:t>
      </w:r>
      <w:r>
        <w:rPr>
          <w:b/>
        </w:rPr>
        <w:t>(pozri obrázok D)</w:t>
      </w:r>
      <w:r>
        <w:t>.</w:t>
      </w:r>
    </w:p>
    <w:p w14:paraId="772842B7" w14:textId="77777777" w:rsidR="009700E5" w:rsidRDefault="002C033C">
      <w:pPr>
        <w:pStyle w:val="ListParagraph"/>
        <w:numPr>
          <w:ilvl w:val="1"/>
          <w:numId w:val="337"/>
        </w:numPr>
        <w:spacing w:after="60"/>
        <w:ind w:left="709" w:hanging="709"/>
        <w:rPr>
          <w:b/>
        </w:rPr>
        <w:pPrChange w:id="6004" w:author="Author" w:date="2026-02-18T15:08:00Z">
          <w:pPr>
            <w:spacing w:after="60"/>
            <w:ind w:left="567" w:hanging="567"/>
          </w:pPr>
        </w:pPrChange>
      </w:pPr>
      <w:del w:id="6005" w:author="Author" w:date="2026-02-18T15:08:00Z">
        <w:r>
          <w:delText>•</w:delText>
        </w:r>
        <w:r>
          <w:tab/>
        </w:r>
      </w:del>
      <w:r>
        <w:t xml:space="preserve">Môže sa použiť aj </w:t>
      </w:r>
      <w:r>
        <w:rPr>
          <w:color w:val="231F20"/>
          <w:rPrChange w:id="6006" w:author="Author" w:date="2026-02-18T15:08:00Z">
            <w:rPr/>
          </w:rPrChange>
        </w:rPr>
        <w:t xml:space="preserve">vonkajšia strana hornej časti ramien, ale iba ak injekciu podáva osoba, ktorá sa o vás stará. Nepokúšajte sa sám si podať injekciu do hornej časti ramena </w:t>
      </w:r>
      <w:r>
        <w:rPr>
          <w:b/>
          <w:color w:val="231F20"/>
          <w:rPrChange w:id="6007" w:author="Author" w:date="2026-02-18T15:08:00Z">
            <w:rPr>
              <w:b/>
            </w:rPr>
          </w:rPrChange>
        </w:rPr>
        <w:t>(pozri obrázok D)</w:t>
      </w:r>
      <w:r>
        <w:rPr>
          <w:color w:val="231F20"/>
          <w:rPrChange w:id="6008" w:author="Author" w:date="2026-02-18T15:08:00Z">
            <w:rPr/>
          </w:rPrChange>
        </w:rPr>
        <w:t>.</w:t>
      </w:r>
    </w:p>
    <w:p w14:paraId="5E944E54" w14:textId="77777777" w:rsidR="009700E5" w:rsidRDefault="002C033C">
      <w:pPr>
        <w:spacing w:after="60"/>
        <w:rPr>
          <w:b/>
        </w:rPr>
      </w:pPr>
      <w:r>
        <w:rPr>
          <w:b/>
        </w:rPr>
        <w:t>Striedajte miesta vpichu</w:t>
      </w:r>
    </w:p>
    <w:p w14:paraId="7A8DE36C" w14:textId="77777777" w:rsidR="009700E5" w:rsidRDefault="002C033C">
      <w:pPr>
        <w:ind w:left="567" w:hanging="425"/>
        <w:pPrChange w:id="6009" w:author="Author" w:date="2025-07-20T22:12:00Z">
          <w:pPr>
            <w:ind w:left="567" w:hanging="567"/>
          </w:pPr>
        </w:pPrChange>
      </w:pPr>
      <w:r>
        <w:t>•</w:t>
      </w:r>
      <w:r>
        <w:tab/>
        <w:t>Pri každej ďalšej injekcii si zvoľte odlišné miesto vpichu, ktoré je aspoň 2,5 cm (1 palec) vzdialené od miesta, kde ste si injekciu podali naposledy.</w:t>
      </w:r>
    </w:p>
    <w:p w14:paraId="305AB08E" w14:textId="77777777" w:rsidR="009700E5" w:rsidRDefault="002C033C">
      <w:pPr>
        <w:ind w:left="567" w:hanging="425"/>
        <w:pPrChange w:id="6010" w:author="Author" w:date="2025-07-20T22:12:00Z">
          <w:pPr>
            <w:ind w:left="567" w:hanging="567"/>
          </w:pPr>
        </w:pPrChange>
      </w:pPr>
      <w:r>
        <w:t>•</w:t>
      </w:r>
      <w:r>
        <w:tab/>
      </w:r>
      <w:r>
        <w:rPr>
          <w:color w:val="231F20"/>
        </w:rPr>
        <w:t>Nepodávajte si injekciu do materských znamienok, jaziev, modrín ani do miest, kde je koža citlivá, červená, stvrdnutá alebo porušená.</w:t>
      </w:r>
    </w:p>
    <w:p w14:paraId="2233F70D" w14:textId="77777777" w:rsidR="009700E5" w:rsidRDefault="009700E5"/>
    <w:p w14:paraId="3E9981CB" w14:textId="77777777" w:rsidR="009700E5" w:rsidRDefault="002C033C">
      <w:pPr>
        <w:jc w:val="center"/>
      </w:pPr>
      <w:r>
        <w:rPr>
          <w:lang w:val="en-US" w:eastAsia="en-US"/>
        </w:rPr>
        <w:lastRenderedPageBreak/>
        <w:drawing>
          <wp:inline distT="0" distB="0" distL="0" distR="0" wp14:anchorId="0335F112" wp14:editId="476DDE8F">
            <wp:extent cx="3276600" cy="2705100"/>
            <wp:effectExtent l="0" t="0" r="0" b="0"/>
            <wp:docPr id="14"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76600" cy="2705100"/>
                    </a:xfrm>
                    <a:prstGeom prst="rect">
                      <a:avLst/>
                    </a:prstGeom>
                    <a:noFill/>
                    <a:ln>
                      <a:noFill/>
                    </a:ln>
                  </pic:spPr>
                </pic:pic>
              </a:graphicData>
            </a:graphic>
          </wp:inline>
        </w:drawing>
      </w:r>
    </w:p>
    <w:p w14:paraId="22151AF2" w14:textId="77777777" w:rsidR="009700E5" w:rsidRDefault="002C033C">
      <w:pPr>
        <w:jc w:val="center"/>
        <w:rPr>
          <w:b/>
        </w:rPr>
      </w:pPr>
      <w:r>
        <w:rPr>
          <w:b/>
        </w:rPr>
        <w:t>Obrázok D</w:t>
      </w:r>
    </w:p>
    <w:p w14:paraId="1EB7735C" w14:textId="77777777" w:rsidR="009700E5" w:rsidRDefault="009700E5"/>
    <w:p w14:paraId="7ED141CC" w14:textId="77777777" w:rsidR="009700E5" w:rsidRDefault="002C033C">
      <w:pPr>
        <w:spacing w:after="60"/>
        <w:rPr>
          <w:b/>
        </w:rPr>
      </w:pPr>
      <w:r>
        <w:rPr>
          <w:b/>
        </w:rPr>
        <w:t>Pripravte si miesto vpichu</w:t>
      </w:r>
    </w:p>
    <w:p w14:paraId="3CD623D9" w14:textId="77777777" w:rsidR="009700E5" w:rsidRDefault="002C033C">
      <w:pPr>
        <w:ind w:left="567" w:hanging="425"/>
        <w:pPrChange w:id="6011" w:author="Author" w:date="2025-07-20T22:12:00Z">
          <w:pPr>
            <w:ind w:left="567" w:hanging="567"/>
          </w:pPr>
        </w:pPrChange>
      </w:pPr>
      <w:r>
        <w:t>•</w:t>
      </w:r>
      <w:r>
        <w:tab/>
        <w:t xml:space="preserve">Očistite si miesto vpichu tak, že ho krúživým pohybom utriete tampónom napusteným alkoholom a necháte ho uschnúť na vzduchu, aby ste znížili riziko vzniku infekcie. </w:t>
      </w:r>
      <w:r>
        <w:rPr>
          <w:b/>
        </w:rPr>
        <w:t xml:space="preserve">Nedotknite </w:t>
      </w:r>
      <w:r>
        <w:t>sa znovu tohto miesta vpichu pred podaním injekcie.</w:t>
      </w:r>
    </w:p>
    <w:p w14:paraId="7E2A15AB" w14:textId="77777777" w:rsidR="009700E5" w:rsidRDefault="002C033C">
      <w:pPr>
        <w:ind w:left="567" w:hanging="425"/>
        <w:pPrChange w:id="6012" w:author="Author" w:date="2025-07-20T22:12:00Z">
          <w:pPr>
            <w:ind w:left="567" w:hanging="567"/>
          </w:pPr>
        </w:pPrChange>
      </w:pPr>
      <w:r>
        <w:t>•</w:t>
      </w:r>
      <w:r>
        <w:tab/>
        <w:t xml:space="preserve">Očistené miesto </w:t>
      </w:r>
      <w:r>
        <w:rPr>
          <w:b/>
        </w:rPr>
        <w:t>nesušte</w:t>
      </w:r>
      <w:r>
        <w:t xml:space="preserve"> ovievaním ani fúkaním.</w:t>
      </w:r>
    </w:p>
    <w:p w14:paraId="2F8E3928" w14:textId="77777777" w:rsidR="009700E5" w:rsidRDefault="009700E5"/>
    <w:p w14:paraId="7E338D11" w14:textId="77777777" w:rsidR="009700E5" w:rsidRDefault="002C033C">
      <w:pPr>
        <w:spacing w:after="60"/>
        <w:rPr>
          <w:b/>
        </w:rPr>
      </w:pPr>
      <w:r>
        <w:rPr>
          <w:b/>
        </w:rPr>
        <w:t>3. krok Podajte si injekciu RoA</w:t>
      </w:r>
      <w:r>
        <w:rPr>
          <w:b/>
          <w:color w:val="231F20"/>
        </w:rPr>
        <w:t>ctemry</w:t>
      </w:r>
    </w:p>
    <w:p w14:paraId="1AB7C7B4" w14:textId="77777777" w:rsidR="009700E5" w:rsidRDefault="002C033C">
      <w:pPr>
        <w:spacing w:after="60"/>
        <w:ind w:left="567" w:hanging="425"/>
        <w:pPrChange w:id="6013" w:author="Author" w:date="2025-07-20T22:13:00Z">
          <w:pPr>
            <w:spacing w:after="60"/>
            <w:ind w:left="567" w:hanging="567"/>
          </w:pPr>
        </w:pPrChange>
      </w:pPr>
      <w:r>
        <w:t>•</w:t>
      </w:r>
      <w:r>
        <w:tab/>
        <w:t xml:space="preserve">Držte </w:t>
      </w:r>
      <w:r>
        <w:rPr>
          <w:color w:val="000000"/>
        </w:rPr>
        <w:t>naplnené pero RoA</w:t>
      </w:r>
      <w:r>
        <w:rPr>
          <w:color w:val="231F20"/>
        </w:rPr>
        <w:t>ctemry</w:t>
      </w:r>
      <w:r>
        <w:rPr>
          <w:color w:val="000000"/>
        </w:rPr>
        <w:t xml:space="preserve"> pevne jednou rukou. Otočte a vytiahnite zelené viečko druhou rukou </w:t>
      </w:r>
      <w:r>
        <w:rPr>
          <w:b/>
          <w:color w:val="000000"/>
        </w:rPr>
        <w:t>(pozri obrázok E)</w:t>
      </w:r>
      <w:r>
        <w:rPr>
          <w:color w:val="000000"/>
        </w:rPr>
        <w:t>. Zelené viečko obsahuje voľne vloženú kovovú rúrku.</w:t>
      </w:r>
    </w:p>
    <w:p w14:paraId="1775080E" w14:textId="77777777" w:rsidR="009700E5" w:rsidRDefault="002C033C">
      <w:pPr>
        <w:spacing w:after="60"/>
        <w:ind w:left="567" w:hanging="425"/>
        <w:pPrChange w:id="6014" w:author="Author" w:date="2025-07-20T22:13:00Z">
          <w:pPr>
            <w:spacing w:after="60"/>
            <w:ind w:left="567" w:hanging="567"/>
          </w:pPr>
        </w:pPrChange>
      </w:pPr>
      <w:r>
        <w:t>•</w:t>
      </w:r>
      <w:r>
        <w:tab/>
        <w:t>Ak sa vám nedá odstrániť zelené viečko, požiadajte o pomoc osobu, ktorá sa o vás stará, alebo sa obráťte na svojho lekára.</w:t>
      </w:r>
    </w:p>
    <w:p w14:paraId="7FC2B562" w14:textId="77777777" w:rsidR="009700E5" w:rsidRDefault="009700E5"/>
    <w:p w14:paraId="6BB5688F" w14:textId="77777777" w:rsidR="009700E5" w:rsidRDefault="002C033C">
      <w:pPr>
        <w:jc w:val="center"/>
      </w:pPr>
      <w:r>
        <w:rPr>
          <w:lang w:val="en-US" w:eastAsia="en-US"/>
        </w:rPr>
        <w:drawing>
          <wp:inline distT="0" distB="0" distL="0" distR="0" wp14:anchorId="5CFFF56F" wp14:editId="627779DD">
            <wp:extent cx="3124200" cy="2409825"/>
            <wp:effectExtent l="0" t="0" r="0" b="0"/>
            <wp:docPr id="15"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4200" cy="2409825"/>
                    </a:xfrm>
                    <a:prstGeom prst="rect">
                      <a:avLst/>
                    </a:prstGeom>
                    <a:noFill/>
                    <a:ln>
                      <a:noFill/>
                    </a:ln>
                  </pic:spPr>
                </pic:pic>
              </a:graphicData>
            </a:graphic>
          </wp:inline>
        </w:drawing>
      </w:r>
    </w:p>
    <w:p w14:paraId="29792ECF" w14:textId="77777777" w:rsidR="009700E5" w:rsidRDefault="002C033C">
      <w:pPr>
        <w:spacing w:after="60"/>
        <w:jc w:val="center"/>
        <w:rPr>
          <w:b/>
        </w:rPr>
      </w:pPr>
      <w:r>
        <w:rPr>
          <w:b/>
        </w:rPr>
        <w:t>Obrázok E</w:t>
      </w:r>
    </w:p>
    <w:p w14:paraId="29059497" w14:textId="77777777" w:rsidR="009700E5" w:rsidRDefault="002C033C">
      <w:pPr>
        <w:spacing w:after="60"/>
        <w:ind w:left="720"/>
        <w:rPr>
          <w:b/>
        </w:rPr>
      </w:pPr>
      <w:r>
        <w:rPr>
          <w:b/>
        </w:rPr>
        <w:t>Dôležité: Nedotýkajte sa krytu ihly, ktorý sa nachádza na hrote naplneného pera pod kontrolným okienkom (pozri obrázok A), aby ste predišli náhodnému poraneniu sa pichnutím ihlou.</w:t>
      </w:r>
    </w:p>
    <w:p w14:paraId="56223314" w14:textId="77777777" w:rsidR="009700E5" w:rsidRDefault="002C033C">
      <w:pPr>
        <w:spacing w:after="60"/>
        <w:ind w:left="567" w:hanging="425"/>
        <w:rPr>
          <w:color w:val="231F20"/>
        </w:rPr>
        <w:pPrChange w:id="6015" w:author="Author" w:date="2025-07-20T22:13:00Z">
          <w:pPr>
            <w:spacing w:after="60"/>
            <w:ind w:left="567" w:hanging="567"/>
          </w:pPr>
        </w:pPrChange>
      </w:pPr>
      <w:r>
        <w:t>•</w:t>
      </w:r>
      <w:r>
        <w:tab/>
      </w:r>
      <w:r>
        <w:rPr>
          <w:color w:val="231F20"/>
        </w:rPr>
        <w:t>Vyhoďte zelené viečko do nádoby na ostré predmety.</w:t>
      </w:r>
    </w:p>
    <w:p w14:paraId="790E7861" w14:textId="77777777" w:rsidR="009700E5" w:rsidRDefault="002C033C">
      <w:pPr>
        <w:spacing w:after="60"/>
        <w:ind w:left="567" w:hanging="425"/>
        <w:rPr>
          <w:color w:val="231F20"/>
        </w:rPr>
        <w:pPrChange w:id="6016" w:author="Author" w:date="2025-07-20T22:13:00Z">
          <w:pPr>
            <w:spacing w:after="60"/>
            <w:ind w:left="567" w:hanging="567"/>
          </w:pPr>
        </w:pPrChange>
      </w:pPr>
      <w:r>
        <w:t>•</w:t>
      </w:r>
      <w:r>
        <w:tab/>
      </w:r>
      <w:r>
        <w:rPr>
          <w:color w:val="231F20"/>
        </w:rPr>
        <w:t>Po odstránení zeleného viečka je naplnené pero pripravené na použitie. Ak sa naplnené pero nepoužije do 3 minút od odstránenia viečka, musí sa vyhodiť do nádoby na ostré predmety a musí sa použiť nové naplnené pero.</w:t>
      </w:r>
    </w:p>
    <w:p w14:paraId="3B2D1394" w14:textId="77777777" w:rsidR="009700E5" w:rsidRDefault="002C033C">
      <w:pPr>
        <w:spacing w:after="60"/>
        <w:ind w:left="567" w:hanging="425"/>
        <w:rPr>
          <w:color w:val="000000"/>
        </w:rPr>
        <w:pPrChange w:id="6017" w:author="Author" w:date="2025-07-20T22:13:00Z">
          <w:pPr>
            <w:spacing w:after="60"/>
            <w:ind w:left="567" w:hanging="567"/>
          </w:pPr>
        </w:pPrChange>
      </w:pPr>
      <w:r>
        <w:t>•</w:t>
      </w:r>
      <w:r>
        <w:tab/>
      </w:r>
      <w:r>
        <w:rPr>
          <w:color w:val="000000"/>
        </w:rPr>
        <w:t>Odstránené zelené viečko nikdy znovu nenasaďte.</w:t>
      </w:r>
    </w:p>
    <w:p w14:paraId="4B54F5CC" w14:textId="77777777" w:rsidR="009700E5" w:rsidRDefault="002C033C">
      <w:pPr>
        <w:spacing w:after="60"/>
        <w:ind w:left="567" w:hanging="425"/>
        <w:pPrChange w:id="6018" w:author="Author" w:date="2025-07-20T22:13:00Z">
          <w:pPr>
            <w:spacing w:after="60"/>
            <w:ind w:left="567" w:hanging="567"/>
          </w:pPr>
        </w:pPrChange>
      </w:pPr>
      <w:r>
        <w:lastRenderedPageBreak/>
        <w:t>•</w:t>
      </w:r>
      <w:r>
        <w:tab/>
      </w:r>
      <w:r>
        <w:rPr>
          <w:color w:val="231F20"/>
        </w:rPr>
        <w:t xml:space="preserve">Držte naplnené pero vo vrchnej časti pohodlne jednou rukou tak, aby ste videli kontrolné okienko naplneného pera </w:t>
      </w:r>
      <w:r>
        <w:rPr>
          <w:b/>
          <w:color w:val="231F20"/>
        </w:rPr>
        <w:t>(pozri obrázok F)</w:t>
      </w:r>
      <w:r>
        <w:rPr>
          <w:color w:val="231F20"/>
        </w:rPr>
        <w:t>.</w:t>
      </w:r>
    </w:p>
    <w:p w14:paraId="15667591" w14:textId="77777777" w:rsidR="009700E5" w:rsidRDefault="009700E5">
      <w:pPr>
        <w:autoSpaceDE w:val="0"/>
        <w:autoSpaceDN w:val="0"/>
        <w:adjustRightInd w:val="0"/>
        <w:rPr>
          <w:szCs w:val="22"/>
        </w:rPr>
      </w:pPr>
    </w:p>
    <w:p w14:paraId="16B90914" w14:textId="77777777" w:rsidR="009700E5" w:rsidRDefault="002C033C">
      <w:pPr>
        <w:autoSpaceDE w:val="0"/>
        <w:autoSpaceDN w:val="0"/>
        <w:adjustRightInd w:val="0"/>
        <w:jc w:val="center"/>
        <w:rPr>
          <w:szCs w:val="22"/>
        </w:rPr>
      </w:pPr>
      <w:r>
        <w:rPr>
          <w:szCs w:val="22"/>
          <w:lang w:val="en-US" w:eastAsia="en-US"/>
        </w:rPr>
        <w:drawing>
          <wp:inline distT="0" distB="0" distL="0" distR="0" wp14:anchorId="1C8B0B9F" wp14:editId="1D49A1AA">
            <wp:extent cx="2743200" cy="2152650"/>
            <wp:effectExtent l="0" t="0" r="0" b="0"/>
            <wp:docPr id="16" name="Obrázok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3200" cy="2152650"/>
                    </a:xfrm>
                    <a:prstGeom prst="rect">
                      <a:avLst/>
                    </a:prstGeom>
                    <a:noFill/>
                    <a:ln>
                      <a:noFill/>
                    </a:ln>
                  </pic:spPr>
                </pic:pic>
              </a:graphicData>
            </a:graphic>
          </wp:inline>
        </w:drawing>
      </w:r>
    </w:p>
    <w:p w14:paraId="539E1018" w14:textId="77777777" w:rsidR="009700E5" w:rsidRDefault="002C033C">
      <w:pPr>
        <w:autoSpaceDE w:val="0"/>
        <w:autoSpaceDN w:val="0"/>
        <w:adjustRightInd w:val="0"/>
        <w:jc w:val="center"/>
        <w:rPr>
          <w:b/>
          <w:szCs w:val="22"/>
        </w:rPr>
      </w:pPr>
      <w:r>
        <w:rPr>
          <w:b/>
          <w:szCs w:val="22"/>
        </w:rPr>
        <w:t>Obrázok F</w:t>
      </w:r>
    </w:p>
    <w:p w14:paraId="71DC3BA9" w14:textId="77777777" w:rsidR="009700E5" w:rsidRDefault="009700E5">
      <w:pPr>
        <w:autoSpaceDE w:val="0"/>
        <w:autoSpaceDN w:val="0"/>
        <w:adjustRightInd w:val="0"/>
        <w:rPr>
          <w:szCs w:val="22"/>
        </w:rPr>
      </w:pPr>
    </w:p>
    <w:p w14:paraId="28E9C585" w14:textId="77777777" w:rsidR="009700E5" w:rsidRDefault="002C033C">
      <w:pPr>
        <w:autoSpaceDE w:val="0"/>
        <w:autoSpaceDN w:val="0"/>
        <w:adjustRightInd w:val="0"/>
        <w:spacing w:after="60"/>
        <w:ind w:left="567" w:hanging="425"/>
        <w:rPr>
          <w:color w:val="231F20"/>
        </w:rPr>
        <w:pPrChange w:id="6019" w:author="Author" w:date="2025-07-20T22:13:00Z">
          <w:pPr>
            <w:autoSpaceDE w:val="0"/>
            <w:autoSpaceDN w:val="0"/>
            <w:adjustRightInd w:val="0"/>
            <w:spacing w:after="60"/>
            <w:ind w:left="567" w:hanging="567"/>
          </w:pPr>
        </w:pPrChange>
      </w:pPr>
      <w:r>
        <w:t>•</w:t>
      </w:r>
      <w:r>
        <w:tab/>
        <w:t xml:space="preserve">Použite vašu druhú ruku na jemné stlačenie kože a vytvorenie kožnej riasy na očistenom mieste, aby ste pripravili pevné miesto vpichu </w:t>
      </w:r>
      <w:r>
        <w:rPr>
          <w:b/>
        </w:rPr>
        <w:t>(pozri obrázok G)</w:t>
      </w:r>
      <w:r>
        <w:t xml:space="preserve">. Naplnené pero </w:t>
      </w:r>
      <w:r>
        <w:rPr>
          <w:color w:val="231F20"/>
        </w:rPr>
        <w:t>vyžaduje pevné miesto vpichu, aby sa správne aktivovalo.</w:t>
      </w:r>
    </w:p>
    <w:p w14:paraId="2B4B545D" w14:textId="77777777" w:rsidR="009700E5" w:rsidRDefault="002C033C">
      <w:pPr>
        <w:autoSpaceDE w:val="0"/>
        <w:autoSpaceDN w:val="0"/>
        <w:adjustRightInd w:val="0"/>
        <w:spacing w:after="60"/>
        <w:ind w:left="567" w:hanging="425"/>
        <w:pPrChange w:id="6020" w:author="Author" w:date="2025-07-20T22:13:00Z">
          <w:pPr>
            <w:autoSpaceDE w:val="0"/>
            <w:autoSpaceDN w:val="0"/>
            <w:adjustRightInd w:val="0"/>
            <w:spacing w:after="60"/>
            <w:ind w:left="567" w:hanging="567"/>
          </w:pPr>
        </w:pPrChange>
      </w:pPr>
      <w:r>
        <w:t>•</w:t>
      </w:r>
      <w:r>
        <w:tab/>
      </w:r>
      <w:r>
        <w:rPr>
          <w:rFonts w:eastAsia="TimesNewRoman,Bold"/>
        </w:rPr>
        <w:t xml:space="preserve">Vytvorenie kožnej riasy je dôležité, aby sa zaistilo, že si liek vpichnete pod kožu (do tukového tkaniva), ale nie hlbšie (do svalu). Vpichovanie lieku do svalu by </w:t>
      </w:r>
      <w:r>
        <w:rPr>
          <w:szCs w:val="22"/>
        </w:rPr>
        <w:t xml:space="preserve">mohlo </w:t>
      </w:r>
      <w:r>
        <w:rPr>
          <w:rFonts w:eastAsia="TimesNewRoman,Bold"/>
        </w:rPr>
        <w:t>byť nepríjemné</w:t>
      </w:r>
      <w:r>
        <w:t>.</w:t>
      </w:r>
    </w:p>
    <w:p w14:paraId="03F02D7C" w14:textId="77777777" w:rsidR="009700E5" w:rsidRDefault="009700E5">
      <w:pPr>
        <w:autoSpaceDE w:val="0"/>
        <w:autoSpaceDN w:val="0"/>
        <w:adjustRightInd w:val="0"/>
      </w:pPr>
    </w:p>
    <w:p w14:paraId="300D9C47" w14:textId="77777777" w:rsidR="009700E5" w:rsidRDefault="002C033C">
      <w:pPr>
        <w:autoSpaceDE w:val="0"/>
        <w:autoSpaceDN w:val="0"/>
        <w:adjustRightInd w:val="0"/>
        <w:jc w:val="center"/>
      </w:pPr>
      <w:r>
        <w:rPr>
          <w:szCs w:val="22"/>
          <w:lang w:val="en-US" w:eastAsia="en-US"/>
        </w:rPr>
        <w:drawing>
          <wp:inline distT="0" distB="0" distL="0" distR="0" wp14:anchorId="2CCBB480" wp14:editId="1DD85FC1">
            <wp:extent cx="2743200" cy="2152650"/>
            <wp:effectExtent l="0" t="0" r="0" b="0"/>
            <wp:docPr id="17" name="Obrázo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200" cy="2152650"/>
                    </a:xfrm>
                    <a:prstGeom prst="rect">
                      <a:avLst/>
                    </a:prstGeom>
                    <a:noFill/>
                    <a:ln>
                      <a:noFill/>
                    </a:ln>
                  </pic:spPr>
                </pic:pic>
              </a:graphicData>
            </a:graphic>
          </wp:inline>
        </w:drawing>
      </w:r>
    </w:p>
    <w:p w14:paraId="15312C68" w14:textId="77777777" w:rsidR="009700E5" w:rsidRDefault="002C033C">
      <w:pPr>
        <w:autoSpaceDE w:val="0"/>
        <w:autoSpaceDN w:val="0"/>
        <w:adjustRightInd w:val="0"/>
        <w:jc w:val="center"/>
        <w:rPr>
          <w:b/>
        </w:rPr>
      </w:pPr>
      <w:r>
        <w:rPr>
          <w:b/>
        </w:rPr>
        <w:t>Obrázok G</w:t>
      </w:r>
    </w:p>
    <w:p w14:paraId="1A8158BE" w14:textId="77777777" w:rsidR="009700E5" w:rsidRDefault="009700E5">
      <w:pPr>
        <w:autoSpaceDE w:val="0"/>
        <w:autoSpaceDN w:val="0"/>
        <w:adjustRightInd w:val="0"/>
      </w:pPr>
    </w:p>
    <w:p w14:paraId="6F362505" w14:textId="77777777" w:rsidR="009700E5" w:rsidRDefault="002C033C">
      <w:pPr>
        <w:autoSpaceDE w:val="0"/>
        <w:autoSpaceDN w:val="0"/>
        <w:adjustRightInd w:val="0"/>
        <w:spacing w:after="60"/>
        <w:ind w:left="567" w:hanging="425"/>
        <w:rPr>
          <w:color w:val="231F20"/>
        </w:rPr>
        <w:pPrChange w:id="6021" w:author="Author" w:date="2025-07-20T22:13:00Z">
          <w:pPr>
            <w:autoSpaceDE w:val="0"/>
            <w:autoSpaceDN w:val="0"/>
            <w:adjustRightInd w:val="0"/>
            <w:spacing w:after="60"/>
            <w:ind w:left="567" w:hanging="567"/>
          </w:pPr>
        </w:pPrChange>
      </w:pPr>
      <w:r>
        <w:t>•</w:t>
      </w:r>
      <w:r>
        <w:tab/>
      </w:r>
      <w:r>
        <w:rPr>
          <w:color w:val="231F20"/>
        </w:rPr>
        <w:t xml:space="preserve">Zelené aktivačné tlačidlo ešte </w:t>
      </w:r>
      <w:r>
        <w:rPr>
          <w:b/>
          <w:color w:val="231F20"/>
        </w:rPr>
        <w:t>nestlačte</w:t>
      </w:r>
      <w:r>
        <w:rPr>
          <w:color w:val="231F20"/>
        </w:rPr>
        <w:t>.</w:t>
      </w:r>
    </w:p>
    <w:p w14:paraId="0B373345" w14:textId="77777777" w:rsidR="009700E5" w:rsidRDefault="002C033C">
      <w:pPr>
        <w:autoSpaceDE w:val="0"/>
        <w:autoSpaceDN w:val="0"/>
        <w:adjustRightInd w:val="0"/>
        <w:spacing w:after="60"/>
        <w:ind w:left="567" w:hanging="425"/>
        <w:rPr>
          <w:color w:val="231F20"/>
        </w:rPr>
        <w:pPrChange w:id="6022" w:author="Author" w:date="2025-07-20T22:13:00Z">
          <w:pPr>
            <w:autoSpaceDE w:val="0"/>
            <w:autoSpaceDN w:val="0"/>
            <w:adjustRightInd w:val="0"/>
            <w:spacing w:after="60"/>
            <w:ind w:left="567" w:hanging="567"/>
          </w:pPr>
        </w:pPrChange>
      </w:pPr>
      <w:r>
        <w:t>•</w:t>
      </w:r>
      <w:r>
        <w:tab/>
      </w:r>
      <w:r>
        <w:rPr>
          <w:color w:val="231F20"/>
        </w:rPr>
        <w:t xml:space="preserve">Umiestnite kryt ihly naplneného pera oproti kožnej riase v 90 °uhle </w:t>
      </w:r>
      <w:r>
        <w:rPr>
          <w:b/>
          <w:color w:val="231F20"/>
        </w:rPr>
        <w:t>(pozri obrázok H)</w:t>
      </w:r>
      <w:r>
        <w:rPr>
          <w:color w:val="231F20"/>
        </w:rPr>
        <w:t>.</w:t>
      </w:r>
    </w:p>
    <w:p w14:paraId="5FB69AAF" w14:textId="77777777" w:rsidR="009700E5" w:rsidRDefault="002C033C">
      <w:pPr>
        <w:autoSpaceDE w:val="0"/>
        <w:autoSpaceDN w:val="0"/>
        <w:adjustRightInd w:val="0"/>
        <w:spacing w:after="60"/>
        <w:ind w:left="567" w:hanging="425"/>
        <w:pPrChange w:id="6023" w:author="Author" w:date="2025-07-20T22:13:00Z">
          <w:pPr>
            <w:autoSpaceDE w:val="0"/>
            <w:autoSpaceDN w:val="0"/>
            <w:adjustRightInd w:val="0"/>
            <w:spacing w:after="60"/>
            <w:ind w:left="567" w:hanging="567"/>
          </w:pPr>
        </w:pPrChange>
      </w:pPr>
      <w:r>
        <w:t>•</w:t>
      </w:r>
      <w:r>
        <w:tab/>
        <w:t>Je dôležité použiť správny uhol, aby sa zaistilo, že sa liek podá pod kožu (do tukového tkaniva), inak by vpichovanie lieku mohlo byť bolestivé a liek by nemusel účinkovať.</w:t>
      </w:r>
    </w:p>
    <w:p w14:paraId="7B590363" w14:textId="77777777" w:rsidR="009700E5" w:rsidRDefault="009700E5">
      <w:pPr>
        <w:autoSpaceDE w:val="0"/>
        <w:autoSpaceDN w:val="0"/>
        <w:adjustRightInd w:val="0"/>
      </w:pPr>
    </w:p>
    <w:p w14:paraId="20E3E8AC" w14:textId="77777777" w:rsidR="009700E5" w:rsidRDefault="002C033C">
      <w:pPr>
        <w:autoSpaceDE w:val="0"/>
        <w:autoSpaceDN w:val="0"/>
        <w:adjustRightInd w:val="0"/>
        <w:jc w:val="center"/>
      </w:pPr>
      <w:r>
        <w:rPr>
          <w:szCs w:val="22"/>
          <w:lang w:val="en-US" w:eastAsia="en-US"/>
        </w:rPr>
        <w:lastRenderedPageBreak/>
        <w:drawing>
          <wp:inline distT="0" distB="0" distL="0" distR="0" wp14:anchorId="10DE2D02" wp14:editId="36715A8D">
            <wp:extent cx="2743200" cy="2162175"/>
            <wp:effectExtent l="0" t="0" r="0" b="0"/>
            <wp:docPr id="18" name="Obrázo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3200" cy="2162175"/>
                    </a:xfrm>
                    <a:prstGeom prst="rect">
                      <a:avLst/>
                    </a:prstGeom>
                    <a:noFill/>
                    <a:ln>
                      <a:noFill/>
                    </a:ln>
                  </pic:spPr>
                </pic:pic>
              </a:graphicData>
            </a:graphic>
          </wp:inline>
        </w:drawing>
      </w:r>
    </w:p>
    <w:p w14:paraId="6261E420" w14:textId="77777777" w:rsidR="009700E5" w:rsidRDefault="002C033C">
      <w:pPr>
        <w:autoSpaceDE w:val="0"/>
        <w:autoSpaceDN w:val="0"/>
        <w:adjustRightInd w:val="0"/>
        <w:jc w:val="center"/>
        <w:rPr>
          <w:b/>
        </w:rPr>
      </w:pPr>
      <w:r>
        <w:rPr>
          <w:b/>
        </w:rPr>
        <w:t>Obrázok H</w:t>
      </w:r>
    </w:p>
    <w:p w14:paraId="60799111" w14:textId="77777777" w:rsidR="009700E5" w:rsidRDefault="009700E5">
      <w:pPr>
        <w:autoSpaceDE w:val="0"/>
        <w:autoSpaceDN w:val="0"/>
        <w:adjustRightInd w:val="0"/>
      </w:pPr>
    </w:p>
    <w:p w14:paraId="32BF132A" w14:textId="77777777" w:rsidR="009700E5" w:rsidRDefault="002C033C">
      <w:pPr>
        <w:autoSpaceDE w:val="0"/>
        <w:autoSpaceDN w:val="0"/>
        <w:adjustRightInd w:val="0"/>
        <w:spacing w:after="60"/>
        <w:ind w:left="567" w:hanging="425"/>
        <w:rPr>
          <w:color w:val="231F20"/>
        </w:rPr>
        <w:pPrChange w:id="6024" w:author="Author" w:date="2025-07-20T22:13:00Z">
          <w:pPr>
            <w:autoSpaceDE w:val="0"/>
            <w:autoSpaceDN w:val="0"/>
            <w:adjustRightInd w:val="0"/>
            <w:spacing w:after="60"/>
            <w:ind w:left="567" w:hanging="567"/>
          </w:pPr>
        </w:pPrChange>
      </w:pPr>
      <w:r>
        <w:t>•</w:t>
      </w:r>
      <w:r>
        <w:tab/>
        <w:t>Aby ste naplnené pero mohli použiť, najprv musíte odblokovať z</w:t>
      </w:r>
      <w:r>
        <w:rPr>
          <w:color w:val="231F20"/>
        </w:rPr>
        <w:t>elené aktivačné tlačidlo.</w:t>
      </w:r>
    </w:p>
    <w:p w14:paraId="674F11DD" w14:textId="77777777" w:rsidR="009700E5" w:rsidRDefault="002C033C">
      <w:pPr>
        <w:autoSpaceDE w:val="0"/>
        <w:autoSpaceDN w:val="0"/>
        <w:adjustRightInd w:val="0"/>
        <w:spacing w:after="60"/>
        <w:ind w:left="567" w:hanging="425"/>
        <w:rPr>
          <w:color w:val="231F20"/>
        </w:rPr>
        <w:pPrChange w:id="6025" w:author="Author" w:date="2025-07-20T22:13:00Z">
          <w:pPr>
            <w:autoSpaceDE w:val="0"/>
            <w:autoSpaceDN w:val="0"/>
            <w:adjustRightInd w:val="0"/>
            <w:spacing w:after="60"/>
            <w:ind w:left="567" w:hanging="567"/>
          </w:pPr>
        </w:pPrChange>
      </w:pPr>
      <w:r>
        <w:t>•</w:t>
      </w:r>
      <w:r>
        <w:tab/>
      </w:r>
      <w:r>
        <w:rPr>
          <w:color w:val="231F20"/>
        </w:rPr>
        <w:t xml:space="preserve">Odblokujte ho tak, že naplnené pero silno pritlačíte na kožnú riasu, až kým sa kryt ihly úplne nevysunie </w:t>
      </w:r>
      <w:r>
        <w:rPr>
          <w:b/>
          <w:color w:val="231F20"/>
        </w:rPr>
        <w:t>(pozri obrázok I)</w:t>
      </w:r>
      <w:r>
        <w:rPr>
          <w:color w:val="231F20"/>
        </w:rPr>
        <w:t>.</w:t>
      </w:r>
    </w:p>
    <w:p w14:paraId="5F6D42CB" w14:textId="77777777" w:rsidR="009700E5" w:rsidRDefault="009700E5">
      <w:pPr>
        <w:autoSpaceDE w:val="0"/>
        <w:autoSpaceDN w:val="0"/>
        <w:adjustRightInd w:val="0"/>
      </w:pPr>
    </w:p>
    <w:p w14:paraId="7DA85B15" w14:textId="77777777" w:rsidR="009700E5" w:rsidRDefault="002C033C">
      <w:pPr>
        <w:autoSpaceDE w:val="0"/>
        <w:autoSpaceDN w:val="0"/>
        <w:adjustRightInd w:val="0"/>
        <w:jc w:val="center"/>
      </w:pPr>
      <w:r>
        <w:rPr>
          <w:szCs w:val="22"/>
          <w:lang w:val="en-US" w:eastAsia="en-US"/>
        </w:rPr>
        <w:drawing>
          <wp:inline distT="0" distB="0" distL="0" distR="0" wp14:anchorId="35ABAF3C" wp14:editId="166E6CBD">
            <wp:extent cx="3038475" cy="2352675"/>
            <wp:effectExtent l="0" t="0" r="0" b="0"/>
            <wp:docPr id="19"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38475" cy="2352675"/>
                    </a:xfrm>
                    <a:prstGeom prst="rect">
                      <a:avLst/>
                    </a:prstGeom>
                    <a:noFill/>
                    <a:ln>
                      <a:noFill/>
                    </a:ln>
                  </pic:spPr>
                </pic:pic>
              </a:graphicData>
            </a:graphic>
          </wp:inline>
        </w:drawing>
      </w:r>
    </w:p>
    <w:p w14:paraId="3EBB1FB4" w14:textId="77777777" w:rsidR="009700E5" w:rsidRDefault="002C033C">
      <w:pPr>
        <w:autoSpaceDE w:val="0"/>
        <w:autoSpaceDN w:val="0"/>
        <w:adjustRightInd w:val="0"/>
        <w:jc w:val="center"/>
        <w:rPr>
          <w:b/>
        </w:rPr>
      </w:pPr>
      <w:r>
        <w:rPr>
          <w:b/>
        </w:rPr>
        <w:t>Obrázok I</w:t>
      </w:r>
    </w:p>
    <w:p w14:paraId="2BBC0599" w14:textId="77777777" w:rsidR="009700E5" w:rsidRDefault="009700E5">
      <w:pPr>
        <w:autoSpaceDE w:val="0"/>
        <w:autoSpaceDN w:val="0"/>
        <w:adjustRightInd w:val="0"/>
      </w:pPr>
    </w:p>
    <w:p w14:paraId="672F83D0" w14:textId="77777777" w:rsidR="009700E5" w:rsidRDefault="002C033C">
      <w:pPr>
        <w:autoSpaceDE w:val="0"/>
        <w:autoSpaceDN w:val="0"/>
        <w:adjustRightInd w:val="0"/>
        <w:spacing w:after="60"/>
        <w:ind w:left="567" w:hanging="425"/>
        <w:rPr>
          <w:color w:val="231F20"/>
        </w:rPr>
        <w:pPrChange w:id="6026" w:author="Author" w:date="2025-07-20T22:14:00Z">
          <w:pPr>
            <w:autoSpaceDE w:val="0"/>
            <w:autoSpaceDN w:val="0"/>
            <w:adjustRightInd w:val="0"/>
            <w:spacing w:after="60"/>
            <w:ind w:left="567" w:hanging="567"/>
          </w:pPr>
        </w:pPrChange>
      </w:pPr>
      <w:r>
        <w:t>•</w:t>
      </w:r>
      <w:r>
        <w:tab/>
        <w:t>K</w:t>
      </w:r>
      <w:r>
        <w:rPr>
          <w:color w:val="231F20"/>
        </w:rPr>
        <w:t>ryt ihly ponechajte stále vysunutý.</w:t>
      </w:r>
    </w:p>
    <w:p w14:paraId="24E0BC79" w14:textId="77777777" w:rsidR="009700E5" w:rsidRDefault="002C033C">
      <w:pPr>
        <w:autoSpaceDE w:val="0"/>
        <w:autoSpaceDN w:val="0"/>
        <w:adjustRightInd w:val="0"/>
        <w:spacing w:after="60"/>
        <w:ind w:left="567" w:hanging="425"/>
        <w:rPr>
          <w:color w:val="231F20"/>
        </w:rPr>
        <w:pPrChange w:id="6027" w:author="Author" w:date="2025-07-20T22:14:00Z">
          <w:pPr>
            <w:autoSpaceDE w:val="0"/>
            <w:autoSpaceDN w:val="0"/>
            <w:adjustRightInd w:val="0"/>
            <w:spacing w:after="60"/>
            <w:ind w:left="567" w:hanging="567"/>
          </w:pPr>
        </w:pPrChange>
      </w:pPr>
      <w:r>
        <w:t>•</w:t>
      </w:r>
      <w:r>
        <w:tab/>
        <w:t xml:space="preserve">Ak kryt ihly nezostane </w:t>
      </w:r>
      <w:r>
        <w:rPr>
          <w:color w:val="231F20"/>
        </w:rPr>
        <w:t>úplne pritlačený na kožu, zelené aktivačné tlačidlo nebude fungovať.</w:t>
      </w:r>
    </w:p>
    <w:p w14:paraId="5CAB35BD" w14:textId="77777777" w:rsidR="009700E5" w:rsidRDefault="002C033C">
      <w:pPr>
        <w:autoSpaceDE w:val="0"/>
        <w:autoSpaceDN w:val="0"/>
        <w:adjustRightInd w:val="0"/>
        <w:spacing w:after="60"/>
        <w:ind w:left="567" w:hanging="425"/>
        <w:rPr>
          <w:color w:val="231F20"/>
        </w:rPr>
        <w:pPrChange w:id="6028" w:author="Author" w:date="2025-07-20T22:14:00Z">
          <w:pPr>
            <w:autoSpaceDE w:val="0"/>
            <w:autoSpaceDN w:val="0"/>
            <w:adjustRightInd w:val="0"/>
            <w:spacing w:after="60"/>
            <w:ind w:left="567" w:hanging="567"/>
          </w:pPr>
        </w:pPrChange>
      </w:pPr>
      <w:r>
        <w:t>•</w:t>
      </w:r>
      <w:r>
        <w:tab/>
        <w:t>Držte naplnené pero v správnej polohe a zároveň stále držte vytvorenú kožnú riasu.</w:t>
      </w:r>
    </w:p>
    <w:p w14:paraId="2F396DF3" w14:textId="77777777" w:rsidR="009700E5" w:rsidRDefault="002C033C">
      <w:pPr>
        <w:autoSpaceDE w:val="0"/>
        <w:autoSpaceDN w:val="0"/>
        <w:adjustRightInd w:val="0"/>
        <w:spacing w:after="60"/>
        <w:ind w:left="567" w:hanging="425"/>
        <w:rPr>
          <w:color w:val="231F20"/>
        </w:rPr>
        <w:pPrChange w:id="6029" w:author="Author" w:date="2025-07-20T22:14:00Z">
          <w:pPr>
            <w:autoSpaceDE w:val="0"/>
            <w:autoSpaceDN w:val="0"/>
            <w:adjustRightInd w:val="0"/>
            <w:spacing w:after="60"/>
            <w:ind w:left="567" w:hanging="567"/>
          </w:pPr>
        </w:pPrChange>
      </w:pPr>
      <w:r>
        <w:t>•</w:t>
      </w:r>
      <w:r>
        <w:tab/>
        <w:t>S</w:t>
      </w:r>
      <w:r>
        <w:rPr>
          <w:color w:val="231F20"/>
        </w:rPr>
        <w:t xml:space="preserve">tlačte zelené aktivačné tlačidlo, aby sa začalo podávanie injekcie. Zvuk „kliknutia“ znamená začiatok podávania injekcie. Držte zelené tlačidlo stlačené a neustále držte naplnené pero silno pritlačené na kožu </w:t>
      </w:r>
      <w:r>
        <w:rPr>
          <w:b/>
          <w:color w:val="231F20"/>
        </w:rPr>
        <w:t>(pozri obrázok J)</w:t>
      </w:r>
      <w:r>
        <w:rPr>
          <w:color w:val="231F20"/>
        </w:rPr>
        <w:t>. Ak neviete začať podávať injekciu, požiadajte o pomoc osobu, ktorá sa o vás stará, alebo sa obráťte na svojho lekára.</w:t>
      </w:r>
    </w:p>
    <w:p w14:paraId="493BD865" w14:textId="77777777" w:rsidR="009700E5" w:rsidRDefault="009700E5">
      <w:pPr>
        <w:autoSpaceDE w:val="0"/>
        <w:autoSpaceDN w:val="0"/>
        <w:adjustRightInd w:val="0"/>
        <w:ind w:hanging="425"/>
        <w:pPrChange w:id="6030" w:author="Author" w:date="2025-07-20T22:14:00Z">
          <w:pPr>
            <w:autoSpaceDE w:val="0"/>
            <w:autoSpaceDN w:val="0"/>
            <w:adjustRightInd w:val="0"/>
          </w:pPr>
        </w:pPrChange>
      </w:pPr>
    </w:p>
    <w:p w14:paraId="17E981B8" w14:textId="77777777" w:rsidR="009700E5" w:rsidRDefault="002C033C">
      <w:pPr>
        <w:autoSpaceDE w:val="0"/>
        <w:autoSpaceDN w:val="0"/>
        <w:adjustRightInd w:val="0"/>
        <w:jc w:val="center"/>
      </w:pPr>
      <w:r>
        <w:rPr>
          <w:lang w:val="en-US" w:eastAsia="en-US"/>
        </w:rPr>
        <w:lastRenderedPageBreak/>
        <w:drawing>
          <wp:inline distT="0" distB="0" distL="0" distR="0" wp14:anchorId="254E3D44" wp14:editId="459132CB">
            <wp:extent cx="2933700" cy="2295525"/>
            <wp:effectExtent l="0" t="0" r="0" b="0"/>
            <wp:docPr id="20"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33700" cy="2295525"/>
                    </a:xfrm>
                    <a:prstGeom prst="rect">
                      <a:avLst/>
                    </a:prstGeom>
                    <a:noFill/>
                    <a:ln>
                      <a:noFill/>
                    </a:ln>
                  </pic:spPr>
                </pic:pic>
              </a:graphicData>
            </a:graphic>
          </wp:inline>
        </w:drawing>
      </w:r>
    </w:p>
    <w:p w14:paraId="74224050" w14:textId="77777777" w:rsidR="009700E5" w:rsidRDefault="002C033C">
      <w:pPr>
        <w:autoSpaceDE w:val="0"/>
        <w:autoSpaceDN w:val="0"/>
        <w:adjustRightInd w:val="0"/>
        <w:jc w:val="center"/>
        <w:rPr>
          <w:b/>
        </w:rPr>
      </w:pPr>
      <w:r>
        <w:rPr>
          <w:b/>
        </w:rPr>
        <w:t>Obrázok J</w:t>
      </w:r>
    </w:p>
    <w:p w14:paraId="610A4069" w14:textId="77777777" w:rsidR="009700E5" w:rsidRDefault="009700E5">
      <w:pPr>
        <w:autoSpaceDE w:val="0"/>
        <w:autoSpaceDN w:val="0"/>
        <w:adjustRightInd w:val="0"/>
      </w:pPr>
    </w:p>
    <w:p w14:paraId="6155E604" w14:textId="77777777" w:rsidR="009700E5" w:rsidRDefault="002C033C">
      <w:pPr>
        <w:autoSpaceDE w:val="0"/>
        <w:autoSpaceDN w:val="0"/>
        <w:adjustRightInd w:val="0"/>
        <w:spacing w:after="60"/>
        <w:ind w:left="567" w:hanging="425"/>
        <w:pPrChange w:id="6031" w:author="Author" w:date="2025-07-20T22:14:00Z">
          <w:pPr>
            <w:autoSpaceDE w:val="0"/>
            <w:autoSpaceDN w:val="0"/>
            <w:adjustRightInd w:val="0"/>
            <w:spacing w:after="60"/>
            <w:ind w:left="567" w:hanging="567"/>
          </w:pPr>
        </w:pPrChange>
      </w:pPr>
      <w:r>
        <w:t>•</w:t>
      </w:r>
      <w:r>
        <w:tab/>
        <w:t xml:space="preserve">Počas vpichovania lieku sa fialový indikátor bude posúvať pozdĺž kontrolného okienka </w:t>
      </w:r>
      <w:r>
        <w:rPr>
          <w:b/>
        </w:rPr>
        <w:t>(pozri obrázok K)</w:t>
      </w:r>
      <w:r>
        <w:t>.</w:t>
      </w:r>
    </w:p>
    <w:p w14:paraId="37661A8B" w14:textId="77777777" w:rsidR="009700E5" w:rsidRDefault="002C033C">
      <w:pPr>
        <w:autoSpaceDE w:val="0"/>
        <w:autoSpaceDN w:val="0"/>
        <w:adjustRightInd w:val="0"/>
        <w:spacing w:after="60"/>
        <w:ind w:left="567" w:hanging="425"/>
        <w:pPrChange w:id="6032" w:author="Author" w:date="2025-07-20T22:14:00Z">
          <w:pPr>
            <w:autoSpaceDE w:val="0"/>
            <w:autoSpaceDN w:val="0"/>
            <w:adjustRightInd w:val="0"/>
            <w:spacing w:after="60"/>
            <w:ind w:left="567" w:hanging="567"/>
          </w:pPr>
        </w:pPrChange>
      </w:pPr>
      <w:r>
        <w:t>•</w:t>
      </w:r>
      <w:r>
        <w:tab/>
        <w:t>Sledujte fialový indikátor, pokým sa neprestane posúvať, aby ste si boli istý, že ste si vpichli celú dávku lieku.</w:t>
      </w:r>
    </w:p>
    <w:p w14:paraId="63152055" w14:textId="77777777" w:rsidR="009700E5" w:rsidRDefault="009700E5">
      <w:pPr>
        <w:autoSpaceDE w:val="0"/>
        <w:autoSpaceDN w:val="0"/>
        <w:adjustRightInd w:val="0"/>
      </w:pPr>
    </w:p>
    <w:p w14:paraId="3C8654EA" w14:textId="77777777" w:rsidR="009700E5" w:rsidRDefault="002C033C">
      <w:pPr>
        <w:autoSpaceDE w:val="0"/>
        <w:autoSpaceDN w:val="0"/>
        <w:adjustRightInd w:val="0"/>
        <w:jc w:val="center"/>
      </w:pPr>
      <w:r>
        <w:rPr>
          <w:szCs w:val="22"/>
          <w:lang w:val="en-US" w:eastAsia="en-US"/>
        </w:rPr>
        <w:drawing>
          <wp:inline distT="0" distB="0" distL="0" distR="0" wp14:anchorId="6E566E75" wp14:editId="04D8811C">
            <wp:extent cx="2743200" cy="2124075"/>
            <wp:effectExtent l="0" t="0" r="0" b="0"/>
            <wp:docPr id="21" name="Obrázo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3200" cy="2124075"/>
                    </a:xfrm>
                    <a:prstGeom prst="rect">
                      <a:avLst/>
                    </a:prstGeom>
                    <a:noFill/>
                    <a:ln>
                      <a:noFill/>
                    </a:ln>
                  </pic:spPr>
                </pic:pic>
              </a:graphicData>
            </a:graphic>
          </wp:inline>
        </w:drawing>
      </w:r>
    </w:p>
    <w:p w14:paraId="08746E67" w14:textId="77777777" w:rsidR="009700E5" w:rsidRDefault="002C033C">
      <w:pPr>
        <w:autoSpaceDE w:val="0"/>
        <w:autoSpaceDN w:val="0"/>
        <w:adjustRightInd w:val="0"/>
        <w:jc w:val="center"/>
        <w:rPr>
          <w:b/>
        </w:rPr>
      </w:pPr>
      <w:r>
        <w:rPr>
          <w:b/>
        </w:rPr>
        <w:t>Obrázok K</w:t>
      </w:r>
    </w:p>
    <w:p w14:paraId="75BC0D47" w14:textId="77777777" w:rsidR="009700E5" w:rsidRDefault="009700E5">
      <w:pPr>
        <w:autoSpaceDE w:val="0"/>
        <w:autoSpaceDN w:val="0"/>
        <w:adjustRightInd w:val="0"/>
      </w:pPr>
    </w:p>
    <w:p w14:paraId="4A564EE9" w14:textId="77777777" w:rsidR="009700E5" w:rsidRDefault="002C033C">
      <w:pPr>
        <w:autoSpaceDE w:val="0"/>
        <w:autoSpaceDN w:val="0"/>
        <w:adjustRightInd w:val="0"/>
        <w:spacing w:after="60"/>
        <w:ind w:left="567" w:hanging="425"/>
        <w:pPrChange w:id="6033" w:author="Author" w:date="2025-07-20T22:14:00Z">
          <w:pPr>
            <w:autoSpaceDE w:val="0"/>
            <w:autoSpaceDN w:val="0"/>
            <w:adjustRightInd w:val="0"/>
            <w:spacing w:after="60"/>
            <w:ind w:left="567" w:hanging="567"/>
          </w:pPr>
        </w:pPrChange>
      </w:pPr>
      <w:r>
        <w:t>•</w:t>
      </w:r>
      <w:r>
        <w:tab/>
        <w:t xml:space="preserve">Vpichovanie lieku môže trvať až </w:t>
      </w:r>
      <w:r>
        <w:rPr>
          <w:b/>
        </w:rPr>
        <w:t>10 sekúnd</w:t>
      </w:r>
      <w:r>
        <w:t>.</w:t>
      </w:r>
    </w:p>
    <w:p w14:paraId="6C1E0CB2" w14:textId="77777777" w:rsidR="009700E5" w:rsidRDefault="002C033C">
      <w:pPr>
        <w:autoSpaceDE w:val="0"/>
        <w:autoSpaceDN w:val="0"/>
        <w:adjustRightInd w:val="0"/>
        <w:spacing w:after="60"/>
        <w:ind w:left="567" w:hanging="425"/>
        <w:rPr>
          <w:color w:val="231F20"/>
        </w:rPr>
        <w:pPrChange w:id="6034" w:author="Author" w:date="2025-07-20T22:14:00Z">
          <w:pPr>
            <w:autoSpaceDE w:val="0"/>
            <w:autoSpaceDN w:val="0"/>
            <w:adjustRightInd w:val="0"/>
            <w:spacing w:after="60"/>
            <w:ind w:left="567" w:hanging="567"/>
          </w:pPr>
        </w:pPrChange>
      </w:pPr>
      <w:r>
        <w:t>•</w:t>
      </w:r>
      <w:r>
        <w:tab/>
      </w:r>
      <w:r>
        <w:rPr>
          <w:color w:val="231F20"/>
        </w:rPr>
        <w:t>Počas vpichovania lieku môžete začuť druhé „kliknutie“, ale naplnené pero musíte stále držať silno pritlačené na kožu, pokým sa fialový indikátor neprestane posúvať.</w:t>
      </w:r>
    </w:p>
    <w:p w14:paraId="57D9F083" w14:textId="77777777" w:rsidR="009700E5" w:rsidRDefault="002C033C">
      <w:pPr>
        <w:autoSpaceDE w:val="0"/>
        <w:autoSpaceDN w:val="0"/>
        <w:adjustRightInd w:val="0"/>
        <w:spacing w:after="60"/>
        <w:ind w:left="567" w:hanging="425"/>
        <w:pPrChange w:id="6035" w:author="Author" w:date="2025-07-20T22:14:00Z">
          <w:pPr>
            <w:autoSpaceDE w:val="0"/>
            <w:autoSpaceDN w:val="0"/>
            <w:adjustRightInd w:val="0"/>
            <w:spacing w:after="60"/>
            <w:ind w:left="567" w:hanging="567"/>
          </w:pPr>
        </w:pPrChange>
      </w:pPr>
      <w:r>
        <w:t>•</w:t>
      </w:r>
      <w:r>
        <w:tab/>
        <w:t xml:space="preserve">Keď sa </w:t>
      </w:r>
      <w:r>
        <w:rPr>
          <w:color w:val="231F20"/>
        </w:rPr>
        <w:t xml:space="preserve">fialový indikátor prestane posúvať, pustite zelené tlačidlo. Vytiahnite naplnené pero z miesta vpichu v priamom smere pod 90 ° uhlom, aby ste vybrali ihlu z kože. Kryt ihly sa potom vysunie a v tejto polohe sa zablokuje, pričom prekryje ihlu </w:t>
      </w:r>
      <w:r>
        <w:rPr>
          <w:b/>
          <w:color w:val="231F20"/>
        </w:rPr>
        <w:t>(pozri obrázok L)</w:t>
      </w:r>
      <w:r>
        <w:rPr>
          <w:color w:val="231F20"/>
        </w:rPr>
        <w:t>.</w:t>
      </w:r>
    </w:p>
    <w:p w14:paraId="5EECC880" w14:textId="77777777" w:rsidR="009700E5" w:rsidRDefault="009700E5">
      <w:pPr>
        <w:autoSpaceDE w:val="0"/>
        <w:autoSpaceDN w:val="0"/>
        <w:adjustRightInd w:val="0"/>
      </w:pPr>
    </w:p>
    <w:p w14:paraId="3CD4BA74" w14:textId="77777777" w:rsidR="009700E5" w:rsidRDefault="002C033C">
      <w:pPr>
        <w:autoSpaceDE w:val="0"/>
        <w:autoSpaceDN w:val="0"/>
        <w:adjustRightInd w:val="0"/>
        <w:jc w:val="center"/>
      </w:pPr>
      <w:r>
        <w:rPr>
          <w:szCs w:val="22"/>
          <w:lang w:val="en-US" w:eastAsia="en-US"/>
        </w:rPr>
        <w:lastRenderedPageBreak/>
        <w:drawing>
          <wp:inline distT="0" distB="0" distL="0" distR="0" wp14:anchorId="00DDB35E" wp14:editId="5436C65C">
            <wp:extent cx="2743200" cy="2124075"/>
            <wp:effectExtent l="0" t="0" r="0" b="0"/>
            <wp:docPr id="22" name="Obrázo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3200" cy="2124075"/>
                    </a:xfrm>
                    <a:prstGeom prst="rect">
                      <a:avLst/>
                    </a:prstGeom>
                    <a:noFill/>
                    <a:ln>
                      <a:noFill/>
                    </a:ln>
                  </pic:spPr>
                </pic:pic>
              </a:graphicData>
            </a:graphic>
          </wp:inline>
        </w:drawing>
      </w:r>
    </w:p>
    <w:p w14:paraId="4801D9D1" w14:textId="77777777" w:rsidR="009700E5" w:rsidRDefault="002C033C">
      <w:pPr>
        <w:autoSpaceDE w:val="0"/>
        <w:autoSpaceDN w:val="0"/>
        <w:adjustRightInd w:val="0"/>
        <w:jc w:val="center"/>
        <w:rPr>
          <w:b/>
        </w:rPr>
      </w:pPr>
      <w:r>
        <w:rPr>
          <w:b/>
        </w:rPr>
        <w:t>Obrázok L</w:t>
      </w:r>
    </w:p>
    <w:p w14:paraId="0A0E136D" w14:textId="77777777" w:rsidR="009700E5" w:rsidRDefault="009700E5">
      <w:pPr>
        <w:autoSpaceDE w:val="0"/>
        <w:autoSpaceDN w:val="0"/>
        <w:adjustRightInd w:val="0"/>
      </w:pPr>
    </w:p>
    <w:p w14:paraId="590BF0AC" w14:textId="77777777" w:rsidR="009700E5" w:rsidRDefault="002C033C">
      <w:pPr>
        <w:autoSpaceDE w:val="0"/>
        <w:autoSpaceDN w:val="0"/>
        <w:adjustRightInd w:val="0"/>
        <w:spacing w:after="60"/>
        <w:ind w:left="567" w:hanging="425"/>
        <w:pPrChange w:id="6036" w:author="Author" w:date="2025-07-20T22:14:00Z">
          <w:pPr>
            <w:autoSpaceDE w:val="0"/>
            <w:autoSpaceDN w:val="0"/>
            <w:adjustRightInd w:val="0"/>
            <w:spacing w:after="60"/>
            <w:ind w:left="567" w:hanging="567"/>
          </w:pPr>
        </w:pPrChange>
      </w:pPr>
      <w:r>
        <w:t>•</w:t>
      </w:r>
      <w:r>
        <w:tab/>
        <w:t>S</w:t>
      </w:r>
      <w:r>
        <w:rPr>
          <w:color w:val="231F20"/>
        </w:rPr>
        <w:t>kontrolujte kontrolné okienko, aby ste zistili, či sa naplnilo fialovým indikátorom</w:t>
      </w:r>
      <w:r>
        <w:t xml:space="preserve"> </w:t>
      </w:r>
      <w:r>
        <w:rPr>
          <w:b/>
        </w:rPr>
        <w:t>(pozri obrázok L)</w:t>
      </w:r>
      <w:r>
        <w:t>.</w:t>
      </w:r>
    </w:p>
    <w:p w14:paraId="3A1CD98A" w14:textId="77777777" w:rsidR="009700E5" w:rsidRDefault="002C033C">
      <w:pPr>
        <w:autoSpaceDE w:val="0"/>
        <w:autoSpaceDN w:val="0"/>
        <w:adjustRightInd w:val="0"/>
        <w:spacing w:after="60"/>
        <w:ind w:left="567" w:hanging="425"/>
        <w:pPrChange w:id="6037" w:author="Author" w:date="2025-07-20T22:14:00Z">
          <w:pPr>
            <w:autoSpaceDE w:val="0"/>
            <w:autoSpaceDN w:val="0"/>
            <w:adjustRightInd w:val="0"/>
            <w:spacing w:after="60"/>
            <w:ind w:left="567" w:hanging="567"/>
          </w:pPr>
        </w:pPrChange>
      </w:pPr>
      <w:r>
        <w:t>•</w:t>
      </w:r>
      <w:r>
        <w:tab/>
        <w:t>Ak kontrolné okienko nie je naplnené fialovým indikátorom:</w:t>
      </w:r>
    </w:p>
    <w:p w14:paraId="7FD261EA" w14:textId="77777777" w:rsidR="009700E5" w:rsidRDefault="002C033C">
      <w:pPr>
        <w:autoSpaceDE w:val="0"/>
        <w:autoSpaceDN w:val="0"/>
        <w:adjustRightInd w:val="0"/>
        <w:spacing w:after="60"/>
        <w:ind w:left="1077" w:hanging="425"/>
        <w:rPr>
          <w:color w:val="231F20"/>
        </w:rPr>
        <w:pPrChange w:id="6038" w:author="Author" w:date="2025-07-20T22:14:00Z">
          <w:pPr>
            <w:autoSpaceDE w:val="0"/>
            <w:autoSpaceDN w:val="0"/>
            <w:adjustRightInd w:val="0"/>
            <w:spacing w:after="60"/>
            <w:ind w:left="1077" w:hanging="357"/>
          </w:pPr>
        </w:pPrChange>
      </w:pPr>
      <w:r>
        <w:t>-</w:t>
      </w:r>
      <w:r>
        <w:tab/>
        <w:t>K</w:t>
      </w:r>
      <w:r>
        <w:rPr>
          <w:color w:val="231F20"/>
        </w:rPr>
        <w:t xml:space="preserve">ryt ihly sa možno nezablokoval. </w:t>
      </w:r>
      <w:r>
        <w:rPr>
          <w:b/>
          <w:color w:val="231F20"/>
        </w:rPr>
        <w:t xml:space="preserve">Nedotýkajte </w:t>
      </w:r>
      <w:r>
        <w:rPr>
          <w:color w:val="231F20"/>
        </w:rPr>
        <w:t>sa krytu ihly naplneného pera, pretože by ste sa mohli pichnúť ihlou. Ak ihla nie je prekrytá, opatrne vložte naplnené pero do nádoby na ostré predmety, aby ste sa vyhli poraneniu ihlou.</w:t>
      </w:r>
    </w:p>
    <w:p w14:paraId="45034598" w14:textId="77777777" w:rsidR="009700E5" w:rsidRDefault="002C033C">
      <w:pPr>
        <w:autoSpaceDE w:val="0"/>
        <w:autoSpaceDN w:val="0"/>
        <w:adjustRightInd w:val="0"/>
        <w:ind w:left="1077" w:hanging="425"/>
        <w:rPr>
          <w:color w:val="231F20"/>
        </w:rPr>
        <w:pPrChange w:id="6039" w:author="Author" w:date="2025-07-20T22:14:00Z">
          <w:pPr>
            <w:autoSpaceDE w:val="0"/>
            <w:autoSpaceDN w:val="0"/>
            <w:adjustRightInd w:val="0"/>
            <w:ind w:left="1077" w:hanging="357"/>
          </w:pPr>
        </w:pPrChange>
      </w:pPr>
      <w:r>
        <w:t>-</w:t>
      </w:r>
      <w:r>
        <w:tab/>
      </w:r>
      <w:r>
        <w:rPr>
          <w:color w:val="231F20"/>
        </w:rPr>
        <w:t xml:space="preserve">Možno ste si nepodali vašu celú dávku RoActemry. </w:t>
      </w:r>
      <w:r>
        <w:rPr>
          <w:b/>
          <w:color w:val="222222"/>
          <w:szCs w:val="22"/>
          <w:lang w:eastAsia="zh-CN"/>
        </w:rPr>
        <w:t xml:space="preserve">Nepokúšajte </w:t>
      </w:r>
      <w:r>
        <w:rPr>
          <w:color w:val="222222"/>
          <w:szCs w:val="22"/>
          <w:lang w:eastAsia="zh-CN"/>
        </w:rPr>
        <w:t>sa znovu použiť toto naplnené pero. Neopakujte podanie injekcie pomocou ďalšieho naplneného pera. Zatelefonujte svojmu lekárovi a poraďte sa s ním</w:t>
      </w:r>
      <w:r>
        <w:rPr>
          <w:color w:val="231F20"/>
        </w:rPr>
        <w:t>.</w:t>
      </w:r>
    </w:p>
    <w:p w14:paraId="2991AE2A" w14:textId="77777777" w:rsidR="009700E5" w:rsidRDefault="009700E5">
      <w:pPr>
        <w:autoSpaceDE w:val="0"/>
        <w:autoSpaceDN w:val="0"/>
        <w:adjustRightInd w:val="0"/>
      </w:pPr>
    </w:p>
    <w:p w14:paraId="54D341D8" w14:textId="77777777" w:rsidR="009700E5" w:rsidRDefault="002C033C">
      <w:pPr>
        <w:autoSpaceDE w:val="0"/>
        <w:autoSpaceDN w:val="0"/>
        <w:adjustRightInd w:val="0"/>
        <w:spacing w:after="60"/>
        <w:rPr>
          <w:b/>
        </w:rPr>
      </w:pPr>
      <w:r>
        <w:rPr>
          <w:b/>
        </w:rPr>
        <w:t>Po podaní injekcie</w:t>
      </w:r>
    </w:p>
    <w:p w14:paraId="4791EB56" w14:textId="77777777" w:rsidR="009700E5" w:rsidRDefault="002C033C">
      <w:pPr>
        <w:autoSpaceDE w:val="0"/>
        <w:autoSpaceDN w:val="0"/>
        <w:adjustRightInd w:val="0"/>
        <w:spacing w:after="60"/>
        <w:ind w:left="567" w:hanging="425"/>
        <w:pPrChange w:id="6040" w:author="Author" w:date="2025-07-20T22:14:00Z">
          <w:pPr>
            <w:autoSpaceDE w:val="0"/>
            <w:autoSpaceDN w:val="0"/>
            <w:adjustRightInd w:val="0"/>
            <w:spacing w:after="60"/>
            <w:ind w:left="567" w:hanging="567"/>
          </w:pPr>
        </w:pPrChange>
      </w:pPr>
      <w:r>
        <w:t>•</w:t>
      </w:r>
      <w:r>
        <w:tab/>
        <w:t>V mieste vpichu sa môže objaviť malé krvácanie. Na miesto vpichu môžete pritlačiť vatový tampón alebo gázu.</w:t>
      </w:r>
    </w:p>
    <w:p w14:paraId="43FE2359" w14:textId="77777777" w:rsidR="009700E5" w:rsidRDefault="002C033C">
      <w:pPr>
        <w:autoSpaceDE w:val="0"/>
        <w:autoSpaceDN w:val="0"/>
        <w:adjustRightInd w:val="0"/>
        <w:spacing w:after="60"/>
        <w:ind w:left="567" w:hanging="425"/>
        <w:pPrChange w:id="6041" w:author="Author" w:date="2025-07-20T22:14:00Z">
          <w:pPr>
            <w:autoSpaceDE w:val="0"/>
            <w:autoSpaceDN w:val="0"/>
            <w:adjustRightInd w:val="0"/>
            <w:spacing w:after="60"/>
            <w:ind w:left="567" w:hanging="567"/>
          </w:pPr>
        </w:pPrChange>
      </w:pPr>
      <w:r>
        <w:t>•</w:t>
      </w:r>
      <w:r>
        <w:tab/>
        <w:t xml:space="preserve">Miesto vpichu </w:t>
      </w:r>
      <w:r>
        <w:rPr>
          <w:b/>
        </w:rPr>
        <w:t>nemasírujte</w:t>
      </w:r>
      <w:r>
        <w:t>.</w:t>
      </w:r>
    </w:p>
    <w:p w14:paraId="079EF6C3" w14:textId="77777777" w:rsidR="009700E5" w:rsidRDefault="002C033C">
      <w:pPr>
        <w:autoSpaceDE w:val="0"/>
        <w:autoSpaceDN w:val="0"/>
        <w:adjustRightInd w:val="0"/>
        <w:ind w:left="567" w:hanging="425"/>
        <w:pPrChange w:id="6042" w:author="Author" w:date="2025-07-20T22:14:00Z">
          <w:pPr>
            <w:autoSpaceDE w:val="0"/>
            <w:autoSpaceDN w:val="0"/>
            <w:adjustRightInd w:val="0"/>
            <w:ind w:left="567" w:hanging="567"/>
          </w:pPr>
        </w:pPrChange>
      </w:pPr>
      <w:r>
        <w:t>•</w:t>
      </w:r>
      <w:r>
        <w:tab/>
        <w:t>V prípade potreby môžete miesto vpichu prekryť malou náplasťou.</w:t>
      </w:r>
    </w:p>
    <w:p w14:paraId="786D39C1" w14:textId="77777777" w:rsidR="009700E5" w:rsidRDefault="009700E5">
      <w:pPr>
        <w:autoSpaceDE w:val="0"/>
        <w:autoSpaceDN w:val="0"/>
        <w:adjustRightInd w:val="0"/>
      </w:pPr>
    </w:p>
    <w:p w14:paraId="114D93AF" w14:textId="77777777" w:rsidR="009700E5" w:rsidRDefault="002C033C">
      <w:pPr>
        <w:autoSpaceDE w:val="0"/>
        <w:autoSpaceDN w:val="0"/>
        <w:adjustRightInd w:val="0"/>
        <w:spacing w:after="60"/>
        <w:rPr>
          <w:b/>
        </w:rPr>
      </w:pPr>
      <w:r>
        <w:rPr>
          <w:b/>
        </w:rPr>
        <w:t>4. krok Zlikvidujte naplnené pero</w:t>
      </w:r>
    </w:p>
    <w:p w14:paraId="682749B5" w14:textId="77777777" w:rsidR="009700E5" w:rsidRDefault="002C033C">
      <w:pPr>
        <w:autoSpaceDE w:val="0"/>
        <w:autoSpaceDN w:val="0"/>
        <w:adjustRightInd w:val="0"/>
        <w:spacing w:after="60"/>
        <w:ind w:left="567" w:hanging="425"/>
        <w:pPrChange w:id="6043" w:author="Author" w:date="2025-07-20T22:14:00Z">
          <w:pPr>
            <w:autoSpaceDE w:val="0"/>
            <w:autoSpaceDN w:val="0"/>
            <w:adjustRightInd w:val="0"/>
            <w:spacing w:after="60"/>
            <w:ind w:left="567" w:hanging="567"/>
          </w:pPr>
        </w:pPrChange>
      </w:pPr>
      <w:r>
        <w:t>•</w:t>
      </w:r>
      <w:r>
        <w:tab/>
        <w:t>Naplnené pero RoA</w:t>
      </w:r>
      <w:r>
        <w:rPr>
          <w:color w:val="231F20"/>
        </w:rPr>
        <w:t>ctemry</w:t>
      </w:r>
      <w:r>
        <w:t xml:space="preserve"> sa nesmie opakovane používať.</w:t>
      </w:r>
    </w:p>
    <w:p w14:paraId="46439A3E" w14:textId="77777777" w:rsidR="009700E5" w:rsidRDefault="002C033C">
      <w:pPr>
        <w:autoSpaceDE w:val="0"/>
        <w:autoSpaceDN w:val="0"/>
        <w:adjustRightInd w:val="0"/>
        <w:ind w:left="567" w:hanging="425"/>
        <w:pPrChange w:id="6044" w:author="Author" w:date="2025-07-20T22:14:00Z">
          <w:pPr>
            <w:autoSpaceDE w:val="0"/>
            <w:autoSpaceDN w:val="0"/>
            <w:adjustRightInd w:val="0"/>
            <w:ind w:left="567" w:hanging="567"/>
          </w:pPr>
        </w:pPrChange>
      </w:pPr>
      <w:r>
        <w:t>•</w:t>
      </w:r>
      <w:r>
        <w:tab/>
        <w:t xml:space="preserve">Vložte použité naplnené pero do nádoby na ostré predmety (pozri </w:t>
      </w:r>
      <w:r>
        <w:rPr>
          <w:b/>
        </w:rPr>
        <w:t>„Ako zlikvidujem použité naplnené perá?“</w:t>
      </w:r>
      <w:r>
        <w:t>).</w:t>
      </w:r>
    </w:p>
    <w:p w14:paraId="2A810F2C" w14:textId="77777777" w:rsidR="009700E5" w:rsidRDefault="002C033C">
      <w:pPr>
        <w:autoSpaceDE w:val="0"/>
        <w:autoSpaceDN w:val="0"/>
        <w:adjustRightInd w:val="0"/>
        <w:ind w:left="567" w:hanging="425"/>
        <w:pPrChange w:id="6045" w:author="Author" w:date="2025-07-20T22:14:00Z">
          <w:pPr>
            <w:autoSpaceDE w:val="0"/>
            <w:autoSpaceDN w:val="0"/>
            <w:adjustRightInd w:val="0"/>
            <w:ind w:left="567" w:hanging="567"/>
          </w:pPr>
        </w:pPrChange>
      </w:pPr>
      <w:r>
        <w:t>•</w:t>
      </w:r>
      <w:r>
        <w:tab/>
      </w:r>
      <w:r>
        <w:rPr>
          <w:b/>
        </w:rPr>
        <w:t>Nedávajte</w:t>
      </w:r>
      <w:r>
        <w:t xml:space="preserve"> viečko späť na naplnené pero.</w:t>
      </w:r>
    </w:p>
    <w:p w14:paraId="342FCBE0" w14:textId="77777777" w:rsidR="009700E5" w:rsidRDefault="002C033C">
      <w:pPr>
        <w:autoSpaceDE w:val="0"/>
        <w:autoSpaceDN w:val="0"/>
        <w:adjustRightInd w:val="0"/>
        <w:spacing w:after="60"/>
        <w:ind w:left="567" w:hanging="425"/>
        <w:rPr>
          <w:b/>
        </w:rPr>
        <w:pPrChange w:id="6046" w:author="Author" w:date="2025-07-20T22:14:00Z">
          <w:pPr>
            <w:autoSpaceDE w:val="0"/>
            <w:autoSpaceDN w:val="0"/>
            <w:adjustRightInd w:val="0"/>
            <w:spacing w:after="60"/>
            <w:ind w:left="567" w:hanging="567"/>
          </w:pPr>
        </w:pPrChange>
      </w:pPr>
      <w:r>
        <w:t>•</w:t>
      </w:r>
      <w:r>
        <w:tab/>
      </w:r>
      <w:r>
        <w:rPr>
          <w:b/>
        </w:rPr>
        <w:t>Ak vám injekciu podáva iná osoba, táto osoba musí byť tiež opatrná pri vyťahovaní naplneného pera z miesta vpichu a pri jeho likvidácii, aby sa predišlo náhodnému poraneniu sa pichnutím ihlou a prenosu infekcie.</w:t>
      </w:r>
    </w:p>
    <w:p w14:paraId="28AD0F64" w14:textId="77777777" w:rsidR="009700E5" w:rsidRDefault="002C033C">
      <w:pPr>
        <w:autoSpaceDE w:val="0"/>
        <w:autoSpaceDN w:val="0"/>
        <w:adjustRightInd w:val="0"/>
        <w:spacing w:after="60"/>
        <w:rPr>
          <w:b/>
        </w:rPr>
      </w:pPr>
      <w:r>
        <w:rPr>
          <w:b/>
        </w:rPr>
        <w:t>Ako zlikvidujem použité naplnené perá?</w:t>
      </w:r>
    </w:p>
    <w:p w14:paraId="12343FF4" w14:textId="77777777" w:rsidR="009700E5" w:rsidRDefault="002C033C">
      <w:pPr>
        <w:autoSpaceDE w:val="0"/>
        <w:autoSpaceDN w:val="0"/>
        <w:adjustRightInd w:val="0"/>
        <w:spacing w:after="60"/>
        <w:ind w:left="567" w:hanging="425"/>
        <w:pPrChange w:id="6047" w:author="Author" w:date="2025-07-20T22:15:00Z">
          <w:pPr>
            <w:autoSpaceDE w:val="0"/>
            <w:autoSpaceDN w:val="0"/>
            <w:adjustRightInd w:val="0"/>
            <w:spacing w:after="60"/>
            <w:ind w:left="567" w:hanging="567"/>
          </w:pPr>
        </w:pPrChange>
      </w:pPr>
      <w:r>
        <w:t>•</w:t>
      </w:r>
      <w:r>
        <w:tab/>
        <w:t>Vložte použité naplnené pero RoA</w:t>
      </w:r>
      <w:r>
        <w:rPr>
          <w:color w:val="231F20"/>
        </w:rPr>
        <w:t>ctemry</w:t>
      </w:r>
      <w:r>
        <w:t xml:space="preserve"> a zelené viečko do nádoby na likvidáciu ostrých predmetov ihneď po použití </w:t>
      </w:r>
      <w:r>
        <w:rPr>
          <w:b/>
        </w:rPr>
        <w:t>(pozri obrázok M)</w:t>
      </w:r>
      <w:r>
        <w:t>.</w:t>
      </w:r>
    </w:p>
    <w:p w14:paraId="79863832" w14:textId="77777777" w:rsidR="009700E5" w:rsidRDefault="002C033C">
      <w:pPr>
        <w:autoSpaceDE w:val="0"/>
        <w:autoSpaceDN w:val="0"/>
        <w:adjustRightInd w:val="0"/>
        <w:spacing w:after="60"/>
        <w:ind w:left="567" w:hanging="425"/>
        <w:pPrChange w:id="6048" w:author="Author" w:date="2025-07-20T22:15:00Z">
          <w:pPr>
            <w:autoSpaceDE w:val="0"/>
            <w:autoSpaceDN w:val="0"/>
            <w:adjustRightInd w:val="0"/>
            <w:spacing w:after="60"/>
            <w:ind w:left="567" w:hanging="567"/>
          </w:pPr>
        </w:pPrChange>
      </w:pPr>
      <w:r>
        <w:t>•</w:t>
      </w:r>
      <w:r>
        <w:tab/>
      </w:r>
      <w:r>
        <w:rPr>
          <w:b/>
        </w:rPr>
        <w:t>Nevyhadzujte (nelikvidujte) naplnené pero a zelené viečko do domového odpadu a nerecyklujte ich.</w:t>
      </w:r>
    </w:p>
    <w:p w14:paraId="2D26DE16" w14:textId="77777777" w:rsidR="009700E5" w:rsidRDefault="009700E5">
      <w:pPr>
        <w:autoSpaceDE w:val="0"/>
        <w:autoSpaceDN w:val="0"/>
        <w:adjustRightInd w:val="0"/>
      </w:pPr>
    </w:p>
    <w:p w14:paraId="4722B8A6" w14:textId="77777777" w:rsidR="009700E5" w:rsidRDefault="002C033C">
      <w:pPr>
        <w:autoSpaceDE w:val="0"/>
        <w:autoSpaceDN w:val="0"/>
        <w:adjustRightInd w:val="0"/>
        <w:jc w:val="center"/>
      </w:pPr>
      <w:r>
        <w:rPr>
          <w:b/>
          <w:szCs w:val="22"/>
          <w:lang w:val="en-US" w:eastAsia="en-US"/>
        </w:rPr>
        <w:lastRenderedPageBreak/>
        <w:drawing>
          <wp:inline distT="0" distB="0" distL="0" distR="0" wp14:anchorId="54648D84" wp14:editId="3095DAF1">
            <wp:extent cx="2743200" cy="2152650"/>
            <wp:effectExtent l="0" t="0" r="0" b="0"/>
            <wp:docPr id="23" name="Obrázo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0" cy="2152650"/>
                    </a:xfrm>
                    <a:prstGeom prst="rect">
                      <a:avLst/>
                    </a:prstGeom>
                    <a:noFill/>
                    <a:ln>
                      <a:noFill/>
                    </a:ln>
                  </pic:spPr>
                </pic:pic>
              </a:graphicData>
            </a:graphic>
          </wp:inline>
        </w:drawing>
      </w:r>
    </w:p>
    <w:p w14:paraId="1A129D29" w14:textId="77777777" w:rsidR="009700E5" w:rsidRDefault="002C033C">
      <w:pPr>
        <w:autoSpaceDE w:val="0"/>
        <w:autoSpaceDN w:val="0"/>
        <w:adjustRightInd w:val="0"/>
        <w:jc w:val="center"/>
        <w:rPr>
          <w:b/>
        </w:rPr>
      </w:pPr>
      <w:r>
        <w:rPr>
          <w:b/>
        </w:rPr>
        <w:t>Obrázok M</w:t>
      </w:r>
    </w:p>
    <w:p w14:paraId="5723F41A" w14:textId="77777777" w:rsidR="009700E5" w:rsidRDefault="009700E5">
      <w:pPr>
        <w:autoSpaceDE w:val="0"/>
        <w:autoSpaceDN w:val="0"/>
        <w:adjustRightInd w:val="0"/>
      </w:pPr>
    </w:p>
    <w:p w14:paraId="19586ADB" w14:textId="77777777" w:rsidR="009700E5" w:rsidRDefault="002C033C">
      <w:pPr>
        <w:autoSpaceDE w:val="0"/>
        <w:autoSpaceDN w:val="0"/>
        <w:adjustRightInd w:val="0"/>
        <w:spacing w:after="60"/>
        <w:ind w:left="567" w:hanging="425"/>
        <w:pPrChange w:id="6049" w:author="Author" w:date="2025-07-20T22:15:00Z">
          <w:pPr>
            <w:autoSpaceDE w:val="0"/>
            <w:autoSpaceDN w:val="0"/>
            <w:adjustRightInd w:val="0"/>
            <w:spacing w:after="60"/>
            <w:ind w:left="567" w:hanging="567"/>
          </w:pPr>
        </w:pPrChange>
      </w:pPr>
      <w:r>
        <w:t>•</w:t>
      </w:r>
      <w:r>
        <w:tab/>
        <w:t>Zlikvidujte plnú nádobu podľa pokynov svojho lekára alebo lekárnika.</w:t>
      </w:r>
    </w:p>
    <w:p w14:paraId="70080C20" w14:textId="77777777" w:rsidR="009700E5" w:rsidRDefault="002C033C">
      <w:pPr>
        <w:autoSpaceDE w:val="0"/>
        <w:autoSpaceDN w:val="0"/>
        <w:adjustRightInd w:val="0"/>
        <w:ind w:left="567" w:hanging="425"/>
        <w:pPrChange w:id="6050" w:author="Author" w:date="2025-07-20T22:15:00Z">
          <w:pPr>
            <w:autoSpaceDE w:val="0"/>
            <w:autoSpaceDN w:val="0"/>
            <w:adjustRightInd w:val="0"/>
            <w:ind w:left="567" w:hanging="567"/>
          </w:pPr>
        </w:pPrChange>
      </w:pPr>
      <w:r>
        <w:t>•</w:t>
      </w:r>
      <w:r>
        <w:tab/>
        <w:t>Nádobu odolnú proti prepichnutiu vždy uchovávajte mimo dohľadu a dosahu detí.</w:t>
      </w:r>
    </w:p>
    <w:p w14:paraId="7FC62D25" w14:textId="77777777" w:rsidR="009700E5" w:rsidRDefault="009700E5">
      <w:pPr>
        <w:autoSpaceDE w:val="0"/>
        <w:autoSpaceDN w:val="0"/>
        <w:adjustRightInd w:val="0"/>
      </w:pPr>
    </w:p>
    <w:p w14:paraId="70BED8A7" w14:textId="77777777" w:rsidR="009700E5" w:rsidRDefault="002C033C">
      <w:pPr>
        <w:autoSpaceDE w:val="0"/>
        <w:autoSpaceDN w:val="0"/>
        <w:adjustRightInd w:val="0"/>
        <w:spacing w:after="60"/>
        <w:rPr>
          <w:b/>
        </w:rPr>
      </w:pPr>
      <w:r>
        <w:rPr>
          <w:b/>
        </w:rPr>
        <w:t>Naplnené pero RoA</w:t>
      </w:r>
      <w:r>
        <w:rPr>
          <w:b/>
          <w:color w:val="231F20"/>
        </w:rPr>
        <w:t>ctemry</w:t>
      </w:r>
      <w:r>
        <w:rPr>
          <w:b/>
        </w:rPr>
        <w:t xml:space="preserve"> a nádobu na likvidáciu uchovávajte mimo dosahu detí.</w:t>
      </w:r>
    </w:p>
    <w:p w14:paraId="648A7461" w14:textId="77777777" w:rsidR="009700E5" w:rsidRDefault="002C033C">
      <w:pPr>
        <w:autoSpaceDE w:val="0"/>
        <w:autoSpaceDN w:val="0"/>
        <w:adjustRightInd w:val="0"/>
        <w:spacing w:after="60"/>
        <w:rPr>
          <w:b/>
        </w:rPr>
      </w:pPr>
      <w:r>
        <w:rPr>
          <w:b/>
        </w:rPr>
        <w:t>Zaznamenajte si podanie injekcie</w:t>
      </w:r>
    </w:p>
    <w:p w14:paraId="2E9F94DE" w14:textId="77777777" w:rsidR="009700E5" w:rsidRDefault="002C033C">
      <w:pPr>
        <w:autoSpaceDE w:val="0"/>
        <w:autoSpaceDN w:val="0"/>
        <w:adjustRightInd w:val="0"/>
        <w:ind w:left="567" w:hanging="425"/>
        <w:pPrChange w:id="6051" w:author="Author" w:date="2025-07-20T22:15:00Z">
          <w:pPr>
            <w:autoSpaceDE w:val="0"/>
            <w:autoSpaceDN w:val="0"/>
            <w:adjustRightInd w:val="0"/>
            <w:ind w:left="567" w:hanging="567"/>
          </w:pPr>
        </w:pPrChange>
      </w:pPr>
      <w:r>
        <w:t>•</w:t>
      </w:r>
      <w:r>
        <w:tab/>
        <w:t>Zapíšte si dátum, čas a konkrétne miesto tela, kde ste si podali injekciu. Tiež môže byť užitočné zapísať si akékoľvek otázky alebo obavy týkajúce sa podania injekcie, aby ste si ich mohli prediskutovať so svojím lekárom.</w:t>
      </w:r>
    </w:p>
    <w:p w14:paraId="3B1EC424" w14:textId="77777777" w:rsidR="009700E5" w:rsidRDefault="009700E5">
      <w:pPr>
        <w:autoSpaceDE w:val="0"/>
        <w:autoSpaceDN w:val="0"/>
        <w:adjustRightInd w:val="0"/>
        <w:rPr>
          <w:b/>
        </w:rPr>
      </w:pPr>
    </w:p>
    <w:p w14:paraId="26577B76" w14:textId="77777777" w:rsidR="009700E5" w:rsidRDefault="002C033C">
      <w:pPr>
        <w:autoSpaceDE w:val="0"/>
        <w:autoSpaceDN w:val="0"/>
        <w:adjustRightInd w:val="0"/>
        <w:rPr>
          <w:ins w:id="6052" w:author="Author" w:date="2025-07-20T22:15:00Z"/>
          <w:b/>
        </w:rPr>
      </w:pPr>
      <w:r>
        <w:rPr>
          <w:b/>
        </w:rPr>
        <w:t>Ak máte akékoľvek otázky alebo obavy týkajúce sa naplneného pera RoActemry, obráťte sa na svojho lekára, ktorý je s používaním RoActemry dobre oboznámený.</w:t>
      </w:r>
    </w:p>
    <w:p w14:paraId="0528244E" w14:textId="77777777" w:rsidR="009700E5" w:rsidRDefault="009700E5">
      <w:pPr>
        <w:autoSpaceDE w:val="0"/>
        <w:autoSpaceDN w:val="0"/>
        <w:adjustRightInd w:val="0"/>
        <w:rPr>
          <w:ins w:id="6053" w:author="Author" w:date="2025-07-20T22:15:00Z"/>
          <w:b/>
        </w:rPr>
      </w:pPr>
    </w:p>
    <w:p w14:paraId="70056DEB" w14:textId="77777777" w:rsidR="009700E5" w:rsidRDefault="002C033C">
      <w:pPr>
        <w:rPr>
          <w:ins w:id="6054" w:author="Author" w:date="2025-07-20T22:16:00Z"/>
        </w:rPr>
      </w:pPr>
      <w:ins w:id="6055" w:author="Author" w:date="2025-07-20T22:16:00Z">
        <w:r>
          <w:br w:type="page"/>
        </w:r>
      </w:ins>
    </w:p>
    <w:p w14:paraId="1B56C94F" w14:textId="77777777" w:rsidR="009700E5" w:rsidRDefault="002C033C">
      <w:pPr>
        <w:autoSpaceDE w:val="0"/>
        <w:autoSpaceDN w:val="0"/>
        <w:adjustRightInd w:val="0"/>
        <w:rPr>
          <w:ins w:id="6056" w:author="Author" w:date="2025-07-20T22:17:00Z"/>
        </w:rPr>
      </w:pPr>
      <w:ins w:id="6057" w:author="Author" w:date="2025-07-20T22:16:00Z">
        <w:r>
          <w:lastRenderedPageBreak/>
          <w:t>Tieto piktogramy sú zobrazené na ľavej strane tlačenej pí</w:t>
        </w:r>
      </w:ins>
      <w:ins w:id="6058" w:author="Author" w:date="2025-07-20T22:17:00Z">
        <w:r>
          <w:t>somnej informácie pre používateľa.</w:t>
        </w:r>
      </w:ins>
    </w:p>
    <w:p w14:paraId="6B7595C4" w14:textId="77777777" w:rsidR="009700E5" w:rsidRDefault="002C033C">
      <w:pPr>
        <w:jc w:val="center"/>
        <w:rPr>
          <w:ins w:id="6059" w:author="Author" w:date="2025-07-20T22:18:00Z"/>
        </w:rPr>
      </w:pPr>
      <w:ins w:id="6060" w:author="Author" w:date="2025-07-20T22:21:00Z">
        <w:r>
          <w:rPr>
            <w:lang w:val="en-US" w:eastAsia="en-US"/>
          </w:rPr>
          <mc:AlternateContent>
            <mc:Choice Requires="wps">
              <w:drawing>
                <wp:anchor distT="45720" distB="45720" distL="114300" distR="114300" simplePos="0" relativeHeight="251664384" behindDoc="0" locked="0" layoutInCell="1" allowOverlap="1" wp14:anchorId="7FFD2F28" wp14:editId="2F07090B">
                  <wp:simplePos x="0" y="0"/>
                  <wp:positionH relativeFrom="margin">
                    <wp:posOffset>2076857</wp:posOffset>
                  </wp:positionH>
                  <wp:positionV relativeFrom="paragraph">
                    <wp:posOffset>3793668</wp:posOffset>
                  </wp:positionV>
                  <wp:extent cx="559588" cy="214746"/>
                  <wp:effectExtent l="0" t="0" r="0" b="0"/>
                  <wp:wrapNone/>
                  <wp:docPr id="1502824788" name="Text Box 1928504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588" cy="214746"/>
                          </a:xfrm>
                          <a:prstGeom prst="rect">
                            <a:avLst/>
                          </a:prstGeom>
                          <a:solidFill>
                            <a:schemeClr val="bg1"/>
                          </a:solidFill>
                          <a:ln w="9525">
                            <a:noFill/>
                            <a:miter lim="800000"/>
                            <a:headEnd/>
                            <a:tailEnd/>
                          </a:ln>
                        </wps:spPr>
                        <wps:txbx>
                          <w:txbxContent>
                            <w:p w14:paraId="2DAACD39" w14:textId="77777777" w:rsidR="002460B6" w:rsidRPr="009700E5" w:rsidRDefault="002460B6">
                              <w:pPr>
                                <w:spacing w:line="192" w:lineRule="auto"/>
                                <w:rPr>
                                  <w:ins w:id="6061" w:author="Author" w:date="2025-07-15T16:28:00Z"/>
                                  <w:rFonts w:asciiTheme="minorHAnsi" w:hAnsiTheme="minorHAnsi" w:cstheme="minorHAnsi"/>
                                  <w:b/>
                                  <w:bCs/>
                                  <w:sz w:val="16"/>
                                  <w:szCs w:val="16"/>
                                  <w:rPrChange w:id="6062" w:author="Author" w:date="2026-02-19T10:42:00Z">
                                    <w:rPr>
                                      <w:ins w:id="6063" w:author="Author" w:date="2025-07-15T16:28:00Z"/>
                                      <w:rFonts w:asciiTheme="minorHAnsi" w:hAnsiTheme="minorHAnsi" w:cstheme="minorHAnsi"/>
                                      <w:sz w:val="24"/>
                                      <w:szCs w:val="24"/>
                                    </w:rPr>
                                  </w:rPrChange>
                                </w:rPr>
                              </w:pPr>
                              <w:ins w:id="6064" w:author="Author" w:date="2026-02-19T10:39:00Z">
                                <w:r>
                                  <w:rPr>
                                    <w:rFonts w:asciiTheme="minorHAnsi" w:hAnsiTheme="minorHAnsi" w:cstheme="minorHAnsi"/>
                                    <w:b/>
                                    <w:bCs/>
                                    <w:sz w:val="16"/>
                                    <w:szCs w:val="16"/>
                                    <w:rPrChange w:id="6065" w:author="Author" w:date="2026-02-19T10:42:00Z">
                                      <w:rPr>
                                        <w:rFonts w:asciiTheme="minorHAnsi" w:hAnsiTheme="minorHAnsi" w:cstheme="minorHAnsi"/>
                                        <w:b/>
                                        <w:bCs/>
                                        <w:sz w:val="12"/>
                                        <w:szCs w:val="12"/>
                                      </w:rPr>
                                    </w:rPrChange>
                                  </w:rPr>
                                  <w:t xml:space="preserve"> </w:t>
                                </w:r>
                              </w:ins>
                              <w:ins w:id="6066" w:author="Author" w:date="2026-02-19T10:42:00Z">
                                <w:r>
                                  <w:rPr>
                                    <w:rFonts w:asciiTheme="minorHAnsi" w:hAnsiTheme="minorHAnsi" w:cstheme="minorHAnsi"/>
                                    <w:b/>
                                    <w:bCs/>
                                    <w:sz w:val="16"/>
                                    <w:szCs w:val="16"/>
                                    <w:rPrChange w:id="6067" w:author="Author" w:date="2026-02-19T10:42:00Z">
                                      <w:rPr>
                                        <w:rFonts w:asciiTheme="minorHAnsi" w:hAnsiTheme="minorHAnsi" w:cstheme="minorHAnsi"/>
                                        <w:b/>
                                        <w:bCs/>
                                        <w:sz w:val="12"/>
                                        <w:szCs w:val="12"/>
                                      </w:rPr>
                                    </w:rPrChange>
                                  </w:rPr>
                                  <w:t>„</w:t>
                                </w:r>
                              </w:ins>
                              <w:ins w:id="6068" w:author="Author" w:date="2026-02-19T10:39:00Z">
                                <w:r>
                                  <w:rPr>
                                    <w:rFonts w:asciiTheme="minorHAnsi" w:hAnsiTheme="minorHAnsi" w:cstheme="minorHAnsi"/>
                                    <w:b/>
                                    <w:bCs/>
                                    <w:sz w:val="16"/>
                                    <w:szCs w:val="16"/>
                                    <w:rPrChange w:id="6069" w:author="Author" w:date="2026-02-19T10:42:00Z">
                                      <w:rPr>
                                        <w:rFonts w:asciiTheme="minorHAnsi" w:hAnsiTheme="minorHAnsi" w:cstheme="minorHAnsi"/>
                                        <w:b/>
                                        <w:bCs/>
                                        <w:sz w:val="12"/>
                                        <w:szCs w:val="12"/>
                                      </w:rPr>
                                    </w:rPrChange>
                                  </w:rPr>
                                  <w:t xml:space="preserve"> </w:t>
                                </w:r>
                              </w:ins>
                              <w:ins w:id="6070" w:author="Author" w:date="2025-07-15T16:28:00Z">
                                <w:del w:id="6071" w:author="Author" w:date="2025-07-20T22:20:00Z">
                                  <w:r>
                                    <w:rPr>
                                      <w:rFonts w:asciiTheme="minorHAnsi" w:hAnsiTheme="minorHAnsi" w:cstheme="minorHAnsi"/>
                                      <w:b/>
                                      <w:bCs/>
                                      <w:sz w:val="16"/>
                                      <w:szCs w:val="16"/>
                                      <w:rPrChange w:id="6072" w:author="Author" w:date="2026-02-19T10:42:00Z">
                                        <w:rPr>
                                          <w:rFonts w:asciiTheme="minorHAnsi" w:hAnsiTheme="minorHAnsi" w:cstheme="minorHAnsi"/>
                                          <w:sz w:val="24"/>
                                          <w:szCs w:val="24"/>
                                        </w:rPr>
                                      </w:rPrChange>
                                    </w:rPr>
                                    <w:delText xml:space="preserve">Refer to </w:delText>
                                  </w:r>
                                  <w:r>
                                    <w:rPr>
                                      <w:rFonts w:asciiTheme="minorHAnsi" w:hAnsiTheme="minorHAnsi" w:cstheme="minorHAnsi"/>
                                      <w:b/>
                                      <w:bCs/>
                                      <w:sz w:val="16"/>
                                      <w:szCs w:val="16"/>
                                      <w:highlight w:val="green"/>
                                      <w:rPrChange w:id="6073" w:author="Author" w:date="2026-02-19T10:42:00Z">
                                        <w:rPr>
                                          <w:rFonts w:asciiTheme="minorHAnsi" w:hAnsiTheme="minorHAnsi" w:cstheme="minorHAnsi"/>
                                          <w:sz w:val="24"/>
                                          <w:szCs w:val="24"/>
                                          <w:highlight w:val="green"/>
                                        </w:rPr>
                                      </w:rPrChange>
                                    </w:rPr>
                                    <w:delText>Instructions for Use</w:delText>
                                  </w:r>
                                </w:del>
                              </w:ins>
                              <w:ins w:id="6074" w:author="Author" w:date="2026-02-19T10:40:00Z">
                                <w:r>
                                  <w:rPr>
                                    <w:rFonts w:asciiTheme="minorHAnsi" w:hAnsiTheme="minorHAnsi" w:cstheme="minorHAnsi"/>
                                    <w:b/>
                                    <w:bCs/>
                                    <w:sz w:val="16"/>
                                    <w:szCs w:val="16"/>
                                    <w:rPrChange w:id="6075" w:author="Author" w:date="2026-02-19T10:42:00Z">
                                      <w:rPr>
                                        <w:rFonts w:asciiTheme="minorHAnsi" w:hAnsiTheme="minorHAnsi" w:cstheme="minorHAnsi"/>
                                        <w:b/>
                                        <w:bCs/>
                                        <w:sz w:val="12"/>
                                        <w:szCs w:val="12"/>
                                      </w:rPr>
                                    </w:rPrChange>
                                  </w:rPr>
                                  <w:t>k</w:t>
                                </w:r>
                              </w:ins>
                              <w:ins w:id="6076" w:author="Author" w:date="2025-07-20T22:21:00Z">
                                <w:r>
                                  <w:rPr>
                                    <w:rFonts w:asciiTheme="minorHAnsi" w:hAnsiTheme="minorHAnsi" w:cstheme="minorHAnsi"/>
                                    <w:b/>
                                    <w:bCs/>
                                    <w:sz w:val="16"/>
                                    <w:szCs w:val="16"/>
                                    <w:rPrChange w:id="6077" w:author="Author" w:date="2026-02-19T10:42:00Z">
                                      <w:rPr>
                                        <w:rFonts w:asciiTheme="minorHAnsi" w:hAnsiTheme="minorHAnsi" w:cstheme="minorHAnsi"/>
                                        <w:sz w:val="24"/>
                                        <w:szCs w:val="24"/>
                                      </w:rPr>
                                    </w:rPrChange>
                                  </w:rPr>
                                  <w:t>lik</w:t>
                                </w:r>
                              </w:ins>
                              <w:ins w:id="6078" w:author="Author" w:date="2026-02-19T10:42:00Z">
                                <w:r>
                                  <w:rPr>
                                    <w:rFonts w:asciiTheme="minorHAnsi" w:hAnsiTheme="minorHAnsi" w:cstheme="minorHAnsi"/>
                                    <w:b/>
                                    <w:bCs/>
                                    <w:sz w:val="16"/>
                                    <w:szCs w:val="16"/>
                                    <w:rPrChange w:id="6079" w:author="Author" w:date="2026-02-19T10:42:00Z">
                                      <w:rPr>
                                        <w:rFonts w:asciiTheme="minorHAnsi" w:hAnsiTheme="minorHAnsi" w:cstheme="minorHAnsi"/>
                                        <w:b/>
                                        <w:bCs/>
                                        <w:sz w:val="20"/>
                                      </w:rPr>
                                    </w:rPrChange>
                                  </w:rPr>
                                  <w: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FD2F28" id="_x0000_t202" coordsize="21600,21600" o:spt="202" path="m,l,21600r21600,l21600,xe">
                  <v:stroke joinstyle="miter"/>
                  <v:path gradientshapeok="t" o:connecttype="rect"/>
                </v:shapetype>
                <v:shape id="Text Box 1928504212" o:spid="_x0000_s1026" type="#_x0000_t202" style="position:absolute;left:0;text-align:left;margin-left:163.55pt;margin-top:298.7pt;width:44.05pt;height:16.9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" fillcolor="white [3212]" stroked="f">
                  <v:textbox>
                    <w:txbxContent>
                      <w:p w14:paraId="2DAACD39" w14:textId="77777777" w:rsidR="002460B6" w:rsidRPr="009700E5" w:rsidRDefault="002460B6">
                        <w:pPr>
                          <w:spacing w:line="192" w:lineRule="auto"/>
                          <w:rPr>
                            <w:ins w:id="6114" w:author="Author" w:date="2025-07-15T16:28:00Z"/>
                            <w:rFonts w:asciiTheme="minorHAnsi" w:hAnsiTheme="minorHAnsi" w:cstheme="minorHAnsi"/>
                            <w:b/>
                            <w:bCs/>
                            <w:sz w:val="16"/>
                            <w:szCs w:val="16"/>
                            <w:rPrChange w:id="6115" w:author="Author" w:date="2026-02-19T10:42:00Z">
                              <w:rPr>
                                <w:ins w:id="6116" w:author="Author" w:date="2025-07-15T16:28:00Z"/>
                                <w:rFonts w:asciiTheme="minorHAnsi" w:hAnsiTheme="minorHAnsi" w:cstheme="minorHAnsi"/>
                                <w:sz w:val="24"/>
                                <w:szCs w:val="24"/>
                              </w:rPr>
                            </w:rPrChange>
                          </w:rPr>
                        </w:pPr>
                        <w:ins w:id="6117" w:author="Author" w:date="2026-02-19T10:39:00Z">
                          <w:r>
                            <w:rPr>
                              <w:rFonts w:asciiTheme="minorHAnsi" w:hAnsiTheme="minorHAnsi" w:cstheme="minorHAnsi"/>
                              <w:b/>
                              <w:bCs/>
                              <w:sz w:val="16"/>
                              <w:szCs w:val="16"/>
                              <w:rPrChange w:id="6118" w:author="Author" w:date="2026-02-19T10:42:00Z">
                                <w:rPr>
                                  <w:rFonts w:asciiTheme="minorHAnsi" w:hAnsiTheme="minorHAnsi" w:cstheme="minorHAnsi"/>
                                  <w:b/>
                                  <w:bCs/>
                                  <w:sz w:val="12"/>
                                  <w:szCs w:val="12"/>
                                </w:rPr>
                              </w:rPrChange>
                            </w:rPr>
                            <w:t xml:space="preserve"> </w:t>
                          </w:r>
                        </w:ins>
                        <w:ins w:id="6119" w:author="Author" w:date="2026-02-19T10:42:00Z">
                          <w:r>
                            <w:rPr>
                              <w:rFonts w:asciiTheme="minorHAnsi" w:hAnsiTheme="minorHAnsi" w:cstheme="minorHAnsi"/>
                              <w:b/>
                              <w:bCs/>
                              <w:sz w:val="16"/>
                              <w:szCs w:val="16"/>
                              <w:rPrChange w:id="6120" w:author="Author" w:date="2026-02-19T10:42:00Z">
                                <w:rPr>
                                  <w:rFonts w:asciiTheme="minorHAnsi" w:hAnsiTheme="minorHAnsi" w:cstheme="minorHAnsi"/>
                                  <w:b/>
                                  <w:bCs/>
                                  <w:sz w:val="12"/>
                                  <w:szCs w:val="12"/>
                                </w:rPr>
                              </w:rPrChange>
                            </w:rPr>
                            <w:t>„</w:t>
                          </w:r>
                        </w:ins>
                        <w:ins w:id="6121" w:author="Author" w:date="2026-02-19T10:39:00Z">
                          <w:r>
                            <w:rPr>
                              <w:rFonts w:asciiTheme="minorHAnsi" w:hAnsiTheme="minorHAnsi" w:cstheme="minorHAnsi"/>
                              <w:b/>
                              <w:bCs/>
                              <w:sz w:val="16"/>
                              <w:szCs w:val="16"/>
                              <w:rPrChange w:id="6122" w:author="Author" w:date="2026-02-19T10:42:00Z">
                                <w:rPr>
                                  <w:rFonts w:asciiTheme="minorHAnsi" w:hAnsiTheme="minorHAnsi" w:cstheme="minorHAnsi"/>
                                  <w:b/>
                                  <w:bCs/>
                                  <w:sz w:val="12"/>
                                  <w:szCs w:val="12"/>
                                </w:rPr>
                              </w:rPrChange>
                            </w:rPr>
                            <w:t xml:space="preserve"> </w:t>
                          </w:r>
                        </w:ins>
                        <w:ins w:id="6123" w:author="Author" w:date="2025-07-15T16:28:00Z">
                          <w:del w:id="6124" w:author="Author" w:date="2025-07-20T22:20:00Z">
                            <w:r>
                              <w:rPr>
                                <w:rFonts w:asciiTheme="minorHAnsi" w:hAnsiTheme="minorHAnsi" w:cstheme="minorHAnsi"/>
                                <w:b/>
                                <w:bCs/>
                                <w:sz w:val="16"/>
                                <w:szCs w:val="16"/>
                                <w:rPrChange w:id="6125" w:author="Author" w:date="2026-02-19T10:42:00Z">
                                  <w:rPr>
                                    <w:rFonts w:asciiTheme="minorHAnsi" w:hAnsiTheme="minorHAnsi" w:cstheme="minorHAnsi"/>
                                    <w:sz w:val="24"/>
                                    <w:szCs w:val="24"/>
                                  </w:rPr>
                                </w:rPrChange>
                              </w:rPr>
                              <w:delText xml:space="preserve">Refer to </w:delText>
                            </w:r>
                            <w:r>
                              <w:rPr>
                                <w:rFonts w:asciiTheme="minorHAnsi" w:hAnsiTheme="minorHAnsi" w:cstheme="minorHAnsi"/>
                                <w:b/>
                                <w:bCs/>
                                <w:sz w:val="16"/>
                                <w:szCs w:val="16"/>
                                <w:highlight w:val="green"/>
                                <w:rPrChange w:id="6126" w:author="Author" w:date="2026-02-19T10:42:00Z">
                                  <w:rPr>
                                    <w:rFonts w:asciiTheme="minorHAnsi" w:hAnsiTheme="minorHAnsi" w:cstheme="minorHAnsi"/>
                                    <w:sz w:val="24"/>
                                    <w:szCs w:val="24"/>
                                    <w:highlight w:val="green"/>
                                  </w:rPr>
                                </w:rPrChange>
                              </w:rPr>
                              <w:delText>Instructions for Use</w:delText>
                            </w:r>
                          </w:del>
                        </w:ins>
                        <w:ins w:id="6127" w:author="Author" w:date="2026-02-19T10:40:00Z">
                          <w:r>
                            <w:rPr>
                              <w:rFonts w:asciiTheme="minorHAnsi" w:hAnsiTheme="minorHAnsi" w:cstheme="minorHAnsi"/>
                              <w:b/>
                              <w:bCs/>
                              <w:sz w:val="16"/>
                              <w:szCs w:val="16"/>
                              <w:rPrChange w:id="6128" w:author="Author" w:date="2026-02-19T10:42:00Z">
                                <w:rPr>
                                  <w:rFonts w:asciiTheme="minorHAnsi" w:hAnsiTheme="minorHAnsi" w:cstheme="minorHAnsi"/>
                                  <w:b/>
                                  <w:bCs/>
                                  <w:sz w:val="12"/>
                                  <w:szCs w:val="12"/>
                                </w:rPr>
                              </w:rPrChange>
                            </w:rPr>
                            <w:t>k</w:t>
                          </w:r>
                        </w:ins>
                        <w:ins w:id="6129" w:author="Author" w:date="2025-07-20T22:21:00Z">
                          <w:r>
                            <w:rPr>
                              <w:rFonts w:asciiTheme="minorHAnsi" w:hAnsiTheme="minorHAnsi" w:cstheme="minorHAnsi"/>
                              <w:b/>
                              <w:bCs/>
                              <w:sz w:val="16"/>
                              <w:szCs w:val="16"/>
                              <w:rPrChange w:id="6130" w:author="Author" w:date="2026-02-19T10:42:00Z">
                                <w:rPr>
                                  <w:rFonts w:asciiTheme="minorHAnsi" w:hAnsiTheme="minorHAnsi" w:cstheme="minorHAnsi"/>
                                  <w:sz w:val="24"/>
                                  <w:szCs w:val="24"/>
                                </w:rPr>
                              </w:rPrChange>
                            </w:rPr>
                            <w:t>lik</w:t>
                          </w:r>
                        </w:ins>
                        <w:ins w:id="6131" w:author="Author" w:date="2026-02-19T10:42:00Z">
                          <w:r>
                            <w:rPr>
                              <w:rFonts w:asciiTheme="minorHAnsi" w:hAnsiTheme="minorHAnsi" w:cstheme="minorHAnsi"/>
                              <w:b/>
                              <w:bCs/>
                              <w:sz w:val="16"/>
                              <w:szCs w:val="16"/>
                              <w:rPrChange w:id="6132" w:author="Author" w:date="2026-02-19T10:42:00Z">
                                <w:rPr>
                                  <w:rFonts w:asciiTheme="minorHAnsi" w:hAnsiTheme="minorHAnsi" w:cstheme="minorHAnsi"/>
                                  <w:b/>
                                  <w:bCs/>
                                  <w:sz w:val="20"/>
                                </w:rPr>
                              </w:rPrChange>
                            </w:rPr>
                            <w:t>“</w:t>
                          </w:r>
                        </w:ins>
                      </w:p>
                    </w:txbxContent>
                  </v:textbox>
                  <w10:wrap anchorx="margin"/>
                </v:shape>
              </w:pict>
            </mc:Fallback>
          </mc:AlternateContent>
        </w:r>
      </w:ins>
      <w:ins w:id="6080" w:author="Author" w:date="2025-07-20T22:18:00Z">
        <w:r>
          <w:rPr>
            <w:lang w:val="en-US" w:eastAsia="en-US"/>
          </w:rPr>
          <mc:AlternateContent>
            <mc:Choice Requires="wps">
              <w:drawing>
                <wp:anchor distT="45720" distB="45720" distL="114300" distR="114300" simplePos="0" relativeHeight="251661312" behindDoc="0" locked="0" layoutInCell="1" allowOverlap="1" wp14:anchorId="3BF2BA0C" wp14:editId="69D82A09">
                  <wp:simplePos x="0" y="0"/>
                  <wp:positionH relativeFrom="margin">
                    <wp:posOffset>1850721</wp:posOffset>
                  </wp:positionH>
                  <wp:positionV relativeFrom="paragraph">
                    <wp:posOffset>4534092</wp:posOffset>
                  </wp:positionV>
                  <wp:extent cx="2057400" cy="612251"/>
                  <wp:effectExtent l="0" t="0" r="0" b="0"/>
                  <wp:wrapNone/>
                  <wp:docPr id="1928504212" name="Text Box 1928504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12251"/>
                          </a:xfrm>
                          <a:prstGeom prst="rect">
                            <a:avLst/>
                          </a:prstGeom>
                          <a:noFill/>
                          <a:ln w="9525">
                            <a:noFill/>
                            <a:miter lim="800000"/>
                            <a:headEnd/>
                            <a:tailEnd/>
                          </a:ln>
                        </wps:spPr>
                        <wps:txbx>
                          <w:txbxContent>
                            <w:p w14:paraId="05DFB949" w14:textId="77777777" w:rsidR="002460B6" w:rsidRDefault="002460B6">
                              <w:pPr>
                                <w:spacing w:line="192" w:lineRule="auto"/>
                                <w:rPr>
                                  <w:ins w:id="6081" w:author="Author" w:date="2025-07-15T16:28:00Z"/>
                                  <w:rFonts w:ascii="Calibri" w:hAnsi="Calibri" w:cs="Calibri"/>
                                  <w:sz w:val="24"/>
                                  <w:szCs w:val="24"/>
                                </w:rPr>
                              </w:pPr>
                              <w:ins w:id="6082" w:author="Author" w:date="2025-07-15T16:28:00Z">
                                <w:del w:id="6083" w:author="Author" w:date="2025-07-20T22:20:00Z">
                                  <w:r>
                                    <w:rPr>
                                      <w:rFonts w:ascii="Calibri" w:hAnsi="Calibri" w:cs="Calibri"/>
                                      <w:sz w:val="24"/>
                                      <w:szCs w:val="24"/>
                                    </w:rPr>
                                    <w:delText xml:space="preserve">Refer to </w:delText>
                                  </w:r>
                                  <w:r>
                                    <w:rPr>
                                      <w:rFonts w:ascii="Calibri" w:hAnsi="Calibri" w:cs="Calibri"/>
                                      <w:sz w:val="24"/>
                                      <w:szCs w:val="24"/>
                                      <w:rPrChange w:id="6084" w:author="Author" w:date="2025-08-22T15:23:00Z">
                                        <w:rPr>
                                          <w:rFonts w:ascii="Calibri" w:hAnsi="Calibri" w:cs="Calibri"/>
                                          <w:sz w:val="24"/>
                                          <w:szCs w:val="24"/>
                                          <w:highlight w:val="green"/>
                                        </w:rPr>
                                      </w:rPrChange>
                                    </w:rPr>
                                    <w:delText>Instructions for Use</w:delText>
                                  </w:r>
                                </w:del>
                              </w:ins>
                              <w:ins w:id="6085" w:author="Author" w:date="2025-07-20T22:20:00Z">
                                <w:r>
                                  <w:rPr>
                                    <w:rFonts w:ascii="Calibri" w:hAnsi="Calibri" w:cs="Calibri"/>
                                    <w:sz w:val="24"/>
                                    <w:szCs w:val="24"/>
                                  </w:rPr>
                                  <w:t>Pozr</w:t>
                                </w:r>
                              </w:ins>
                              <w:ins w:id="6086" w:author="Author" w:date="2025-07-20T22:21:00Z">
                                <w:r>
                                  <w:rPr>
                                    <w:rFonts w:ascii="Calibri" w:hAnsi="Calibri" w:cs="Calibri"/>
                                    <w:sz w:val="24"/>
                                    <w:szCs w:val="24"/>
                                  </w:rPr>
                                  <w:t>i</w:t>
                                </w:r>
                              </w:ins>
                              <w:ins w:id="6087" w:author="Author" w:date="2025-07-20T22:23:00Z">
                                <w:r>
                                  <w:rPr>
                                    <w:rFonts w:ascii="Calibri" w:hAnsi="Calibri" w:cs="Calibri"/>
                                    <w:sz w:val="24"/>
                                    <w:szCs w:val="24"/>
                                  </w:rPr>
                                  <w:t>te si</w:t>
                                </w:r>
                              </w:ins>
                              <w:ins w:id="6088" w:author="Author" w:date="2025-07-20T22:21:00Z">
                                <w:r>
                                  <w:rPr>
                                    <w:rFonts w:ascii="Calibri" w:hAnsi="Calibri" w:cs="Calibri"/>
                                    <w:sz w:val="24"/>
                                    <w:szCs w:val="24"/>
                                  </w:rPr>
                                  <w:t xml:space="preserve"> návod na použitie.</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2BA0C" id="_x0000_s1027" type="#_x0000_t202" style="position:absolute;left:0;text-align:left;margin-left:145.75pt;margin-top:357pt;width:162pt;height:48.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" filled="f" stroked="f">
                  <v:textbox>
                    <w:txbxContent>
                      <w:p w14:paraId="05DFB949" w14:textId="77777777" w:rsidR="002460B6" w:rsidRDefault="002460B6">
                        <w:pPr>
                          <w:spacing w:line="192" w:lineRule="auto"/>
                          <w:rPr>
                            <w:ins w:id="6142" w:author="Author" w:date="2025-07-15T16:28:00Z"/>
                            <w:rFonts w:ascii="Calibri" w:hAnsi="Calibri" w:cs="Calibri"/>
                            <w:sz w:val="24"/>
                            <w:szCs w:val="24"/>
                          </w:rPr>
                        </w:pPr>
                        <w:ins w:id="6143" w:author="Author" w:date="2025-07-15T16:28:00Z">
                          <w:del w:id="6144" w:author="Author" w:date="2025-07-20T22:20:00Z">
                            <w:r>
                              <w:rPr>
                                <w:rFonts w:ascii="Calibri" w:hAnsi="Calibri" w:cs="Calibri"/>
                                <w:sz w:val="24"/>
                                <w:szCs w:val="24"/>
                              </w:rPr>
                              <w:delText xml:space="preserve">Refer to </w:delText>
                            </w:r>
                            <w:r>
                              <w:rPr>
                                <w:rFonts w:ascii="Calibri" w:hAnsi="Calibri" w:cs="Calibri"/>
                                <w:sz w:val="24"/>
                                <w:szCs w:val="24"/>
                                <w:rPrChange w:id="6145" w:author="Author" w:date="2025-08-22T15:23:00Z">
                                  <w:rPr>
                                    <w:rFonts w:ascii="Calibri" w:hAnsi="Calibri" w:cs="Calibri"/>
                                    <w:sz w:val="24"/>
                                    <w:szCs w:val="24"/>
                                    <w:highlight w:val="green"/>
                                  </w:rPr>
                                </w:rPrChange>
                              </w:rPr>
                              <w:delText>Instructions for Use</w:delText>
                            </w:r>
                          </w:del>
                        </w:ins>
                        <w:ins w:id="6146" w:author="Author" w:date="2025-07-20T22:20:00Z">
                          <w:r>
                            <w:rPr>
                              <w:rFonts w:ascii="Calibri" w:hAnsi="Calibri" w:cs="Calibri"/>
                              <w:sz w:val="24"/>
                              <w:szCs w:val="24"/>
                            </w:rPr>
                            <w:t>Pozr</w:t>
                          </w:r>
                        </w:ins>
                        <w:ins w:id="6147" w:author="Author" w:date="2025-07-20T22:21:00Z">
                          <w:r>
                            <w:rPr>
                              <w:rFonts w:ascii="Calibri" w:hAnsi="Calibri" w:cs="Calibri"/>
                              <w:sz w:val="24"/>
                              <w:szCs w:val="24"/>
                            </w:rPr>
                            <w:t>i</w:t>
                          </w:r>
                        </w:ins>
                        <w:ins w:id="6148" w:author="Author" w:date="2025-07-20T22:23:00Z">
                          <w:r>
                            <w:rPr>
                              <w:rFonts w:ascii="Calibri" w:hAnsi="Calibri" w:cs="Calibri"/>
                              <w:sz w:val="24"/>
                              <w:szCs w:val="24"/>
                            </w:rPr>
                            <w:t>te si</w:t>
                          </w:r>
                        </w:ins>
                        <w:ins w:id="6149" w:author="Author" w:date="2025-07-20T22:21:00Z">
                          <w:r>
                            <w:rPr>
                              <w:rFonts w:ascii="Calibri" w:hAnsi="Calibri" w:cs="Calibri"/>
                              <w:sz w:val="24"/>
                              <w:szCs w:val="24"/>
                            </w:rPr>
                            <w:t xml:space="preserve"> návod na použitie.</w:t>
                          </w:r>
                        </w:ins>
                      </w:p>
                    </w:txbxContent>
                  </v:textbox>
                  <w10:wrap anchorx="margin"/>
                </v:shape>
              </w:pict>
            </mc:Fallback>
          </mc:AlternateContent>
        </w:r>
        <w:r>
          <w:rPr>
            <w:lang w:val="en-US" w:eastAsia="en-US"/>
          </w:rPr>
          <mc:AlternateContent>
            <mc:Choice Requires="wps">
              <w:drawing>
                <wp:anchor distT="45720" distB="45720" distL="114300" distR="114300" simplePos="0" relativeHeight="251660288" behindDoc="0" locked="0" layoutInCell="1" allowOverlap="1" wp14:anchorId="24D186A5" wp14:editId="15272696">
                  <wp:simplePos x="0" y="0"/>
                  <wp:positionH relativeFrom="column">
                    <wp:posOffset>2041553</wp:posOffset>
                  </wp:positionH>
                  <wp:positionV relativeFrom="paragraph">
                    <wp:posOffset>2403144</wp:posOffset>
                  </wp:positionV>
                  <wp:extent cx="1984375" cy="747422"/>
                  <wp:effectExtent l="0" t="0" r="0" b="0"/>
                  <wp:wrapNone/>
                  <wp:docPr id="1492092514" name="Text Box 14920925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984375" cy="747422"/>
                          </a:xfrm>
                          <a:prstGeom prst="rect">
                            <a:avLst/>
                          </a:prstGeom>
                          <a:noFill/>
                          <a:ln w="9525">
                            <a:noFill/>
                            <a:miter lim="800000"/>
                            <a:headEnd/>
                            <a:tailEnd/>
                          </a:ln>
                        </wps:spPr>
                        <wps:txbx>
                          <w:txbxContent>
                            <w:p w14:paraId="44D0D974" w14:textId="77777777" w:rsidR="002460B6" w:rsidRDefault="002460B6">
                              <w:pPr>
                                <w:spacing w:line="192" w:lineRule="auto"/>
                                <w:rPr>
                                  <w:ins w:id="6089" w:author="Author" w:date="2025-07-15T16:28:00Z"/>
                                  <w:rFonts w:ascii="Calibri" w:hAnsi="Calibri" w:cs="Calibri"/>
                                  <w:sz w:val="24"/>
                                  <w:szCs w:val="24"/>
                                </w:rPr>
                              </w:pPr>
                              <w:ins w:id="6090" w:author="Author" w:date="2025-07-15T16:28:00Z">
                                <w:del w:id="6091" w:author="Author" w:date="2025-07-20T22:20:00Z">
                                  <w:r>
                                    <w:rPr>
                                      <w:rFonts w:ascii="Calibri" w:hAnsi="Calibri" w:cs="Calibri"/>
                                      <w:b/>
                                      <w:sz w:val="24"/>
                                      <w:szCs w:val="24"/>
                                    </w:rPr>
                                    <w:delText>Then</w:delText>
                                  </w:r>
                                </w:del>
                              </w:ins>
                              <w:ins w:id="6092" w:author="Author" w:date="2025-07-20T22:20:00Z">
                                <w:r>
                                  <w:rPr>
                                    <w:rFonts w:ascii="Calibri" w:hAnsi="Calibri" w:cs="Calibri"/>
                                    <w:b/>
                                    <w:sz w:val="24"/>
                                    <w:szCs w:val="24"/>
                                  </w:rPr>
                                  <w:t>Potom</w:t>
                                </w:r>
                              </w:ins>
                              <w:ins w:id="6093" w:author="Author" w:date="2025-07-15T16:28:00Z">
                                <w:r>
                                  <w:rPr>
                                    <w:rFonts w:ascii="Calibri" w:hAnsi="Calibri" w:cs="Calibri"/>
                                    <w:b/>
                                    <w:sz w:val="24"/>
                                    <w:szCs w:val="24"/>
                                  </w:rPr>
                                  <w:t xml:space="preserve"> </w:t>
                                </w:r>
                                <w:del w:id="6094" w:author="Author" w:date="2025-07-20T22:20:00Z">
                                  <w:r>
                                    <w:rPr>
                                      <w:rFonts w:ascii="Calibri" w:hAnsi="Calibri" w:cs="Calibri"/>
                                      <w:sz w:val="24"/>
                                      <w:szCs w:val="24"/>
                                    </w:rPr>
                                    <w:delText xml:space="preserve">press </w:delText>
                                  </w:r>
                                  <w:r>
                                    <w:rPr>
                                      <w:rFonts w:ascii="Calibri" w:hAnsi="Calibri" w:cs="Calibri"/>
                                      <w:sz w:val="24"/>
                                      <w:szCs w:val="24"/>
                                      <w:rPrChange w:id="6095" w:author="Author" w:date="2025-08-22T15:23:00Z">
                                        <w:rPr>
                                          <w:rFonts w:ascii="Calibri" w:hAnsi="Calibri" w:cs="Calibri"/>
                                          <w:sz w:val="24"/>
                                          <w:szCs w:val="24"/>
                                          <w:highlight w:val="green"/>
                                        </w:rPr>
                                      </w:rPrChange>
                                    </w:rPr>
                                    <w:delText>green button</w:delText>
                                  </w:r>
                                  <w:r>
                                    <w:rPr>
                                      <w:rFonts w:ascii="Calibri" w:hAnsi="Calibri" w:cs="Calibri"/>
                                      <w:sz w:val="24"/>
                                      <w:szCs w:val="24"/>
                                    </w:rPr>
                                    <w:delText xml:space="preserve"> to inject.</w:delText>
                                  </w:r>
                                </w:del>
                              </w:ins>
                              <w:ins w:id="6096" w:author="Author" w:date="2025-07-20T22:20:00Z">
                                <w:r>
                                  <w:rPr>
                                    <w:rFonts w:ascii="Calibri" w:hAnsi="Calibri" w:cs="Calibri"/>
                                    <w:sz w:val="24"/>
                                    <w:szCs w:val="24"/>
                                  </w:rPr>
                                  <w:t>vpichnite stlačením zeleného tlačidla.</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86A5" id="Text Box 1492092514" o:spid="_x0000_s1028" type="#_x0000_t202" style="position:absolute;left:0;text-align:left;margin-left:160.75pt;margin-top:189.2pt;width:156.25pt;height:58.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" filled="f" stroked="f">
                  <o:lock v:ext="edit" aspectratio="t"/>
                  <v:textbox>
                    <w:txbxContent>
                      <w:p w14:paraId="44D0D974" w14:textId="77777777" w:rsidR="002460B6" w:rsidRDefault="002460B6">
                        <w:pPr>
                          <w:spacing w:line="192" w:lineRule="auto"/>
                          <w:rPr>
                            <w:ins w:id="6158" w:author="Author" w:date="2025-07-15T16:28:00Z"/>
                            <w:rFonts w:ascii="Calibri" w:hAnsi="Calibri" w:cs="Calibri"/>
                            <w:sz w:val="24"/>
                            <w:szCs w:val="24"/>
                          </w:rPr>
                        </w:pPr>
                        <w:ins w:id="6159" w:author="Author" w:date="2025-07-15T16:28:00Z">
                          <w:del w:id="6160" w:author="Author" w:date="2025-07-20T22:20:00Z">
                            <w:r>
                              <w:rPr>
                                <w:rFonts w:ascii="Calibri" w:hAnsi="Calibri" w:cs="Calibri"/>
                                <w:b/>
                                <w:sz w:val="24"/>
                                <w:szCs w:val="24"/>
                              </w:rPr>
                              <w:delText>Then</w:delText>
                            </w:r>
                          </w:del>
                        </w:ins>
                        <w:ins w:id="6161" w:author="Author" w:date="2025-07-20T22:20:00Z">
                          <w:r>
                            <w:rPr>
                              <w:rFonts w:ascii="Calibri" w:hAnsi="Calibri" w:cs="Calibri"/>
                              <w:b/>
                              <w:sz w:val="24"/>
                              <w:szCs w:val="24"/>
                            </w:rPr>
                            <w:t>Potom</w:t>
                          </w:r>
                        </w:ins>
                        <w:ins w:id="6162" w:author="Author" w:date="2025-07-15T16:28:00Z">
                          <w:r>
                            <w:rPr>
                              <w:rFonts w:ascii="Calibri" w:hAnsi="Calibri" w:cs="Calibri"/>
                              <w:b/>
                              <w:sz w:val="24"/>
                              <w:szCs w:val="24"/>
                            </w:rPr>
                            <w:t xml:space="preserve"> </w:t>
                          </w:r>
                          <w:del w:id="6163" w:author="Author" w:date="2025-07-20T22:20:00Z">
                            <w:r>
                              <w:rPr>
                                <w:rFonts w:ascii="Calibri" w:hAnsi="Calibri" w:cs="Calibri"/>
                                <w:sz w:val="24"/>
                                <w:szCs w:val="24"/>
                              </w:rPr>
                              <w:delText xml:space="preserve">press </w:delText>
                            </w:r>
                            <w:r>
                              <w:rPr>
                                <w:rFonts w:ascii="Calibri" w:hAnsi="Calibri" w:cs="Calibri"/>
                                <w:sz w:val="24"/>
                                <w:szCs w:val="24"/>
                                <w:rPrChange w:id="6164" w:author="Author" w:date="2025-08-22T15:23:00Z">
                                  <w:rPr>
                                    <w:rFonts w:ascii="Calibri" w:hAnsi="Calibri" w:cs="Calibri"/>
                                    <w:sz w:val="24"/>
                                    <w:szCs w:val="24"/>
                                    <w:highlight w:val="green"/>
                                  </w:rPr>
                                </w:rPrChange>
                              </w:rPr>
                              <w:delText>green button</w:delText>
                            </w:r>
                            <w:r>
                              <w:rPr>
                                <w:rFonts w:ascii="Calibri" w:hAnsi="Calibri" w:cs="Calibri"/>
                                <w:sz w:val="24"/>
                                <w:szCs w:val="24"/>
                              </w:rPr>
                              <w:delText xml:space="preserve"> to inject.</w:delText>
                            </w:r>
                          </w:del>
                        </w:ins>
                        <w:ins w:id="6165" w:author="Author" w:date="2025-07-20T22:20:00Z">
                          <w:r>
                            <w:rPr>
                              <w:rFonts w:ascii="Calibri" w:hAnsi="Calibri" w:cs="Calibri"/>
                              <w:sz w:val="24"/>
                              <w:szCs w:val="24"/>
                            </w:rPr>
                            <w:t>vpichnite stlačením zeleného tlačidla.</w:t>
                          </w:r>
                        </w:ins>
                      </w:p>
                    </w:txbxContent>
                  </v:textbox>
                </v:shape>
              </w:pict>
            </mc:Fallback>
          </mc:AlternateContent>
        </w:r>
        <w:r>
          <w:rPr>
            <w:lang w:val="en-US" w:eastAsia="en-US"/>
          </w:rPr>
          <mc:AlternateContent>
            <mc:Choice Requires="wps">
              <w:drawing>
                <wp:anchor distT="45720" distB="45720" distL="114300" distR="114300" simplePos="0" relativeHeight="251659264" behindDoc="0" locked="0" layoutInCell="1" allowOverlap="1" wp14:anchorId="19FFF647" wp14:editId="0B97B499">
                  <wp:simplePos x="0" y="0"/>
                  <wp:positionH relativeFrom="margin">
                    <wp:posOffset>2009747</wp:posOffset>
                  </wp:positionH>
                  <wp:positionV relativeFrom="paragraph">
                    <wp:posOffset>41606</wp:posOffset>
                  </wp:positionV>
                  <wp:extent cx="1898650" cy="1089329"/>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1089329"/>
                          </a:xfrm>
                          <a:prstGeom prst="rect">
                            <a:avLst/>
                          </a:prstGeom>
                          <a:noFill/>
                          <a:ln w="9525">
                            <a:noFill/>
                            <a:miter lim="800000"/>
                            <a:headEnd/>
                            <a:tailEnd/>
                          </a:ln>
                        </wps:spPr>
                        <wps:txbx>
                          <w:txbxContent>
                            <w:p w14:paraId="12D42B33" w14:textId="77777777" w:rsidR="002460B6" w:rsidRDefault="002460B6">
                              <w:pPr>
                                <w:spacing w:line="192" w:lineRule="auto"/>
                                <w:rPr>
                                  <w:ins w:id="6097" w:author="Author" w:date="2025-07-15T16:28:00Z"/>
                                  <w:rFonts w:ascii="Calibri" w:hAnsi="Calibri" w:cs="Calibri"/>
                                  <w:sz w:val="24"/>
                                  <w:szCs w:val="24"/>
                                </w:rPr>
                              </w:pPr>
                              <w:ins w:id="6098" w:author="Author" w:date="2025-07-15T16:28:00Z">
                                <w:del w:id="6099" w:author="Author" w:date="2025-07-20T22:18:00Z">
                                  <w:r>
                                    <w:rPr>
                                      <w:rFonts w:ascii="Calibri" w:hAnsi="Calibri" w:cs="Calibri"/>
                                      <w:b/>
                                      <w:sz w:val="24"/>
                                      <w:szCs w:val="24"/>
                                    </w:rPr>
                                    <w:delText>Push</w:delText>
                                  </w:r>
                                </w:del>
                              </w:ins>
                              <w:ins w:id="6100" w:author="Author" w:date="2025-08-19T16:03:00Z">
                                <w:r>
                                  <w:rPr>
                                    <w:rFonts w:ascii="Calibri" w:hAnsi="Calibri" w:cs="Calibri"/>
                                    <w:b/>
                                    <w:sz w:val="24"/>
                                    <w:szCs w:val="24"/>
                                  </w:rPr>
                                  <w:t>Pritlačte</w:t>
                                </w:r>
                              </w:ins>
                              <w:ins w:id="6101" w:author="Author" w:date="2025-07-20T22:18:00Z">
                                <w:del w:id="6102" w:author="Author" w:date="2025-07-21T11:21:00Z">
                                  <w:r>
                                    <w:rPr>
                                      <w:rFonts w:ascii="Calibri" w:hAnsi="Calibri" w:cs="Calibri"/>
                                      <w:b/>
                                      <w:sz w:val="24"/>
                                      <w:szCs w:val="24"/>
                                    </w:rPr>
                                    <w:delText>ením</w:delText>
                                  </w:r>
                                </w:del>
                                <w:r>
                                  <w:rPr>
                                    <w:rFonts w:ascii="Calibri" w:hAnsi="Calibri" w:cs="Calibri"/>
                                    <w:b/>
                                    <w:sz w:val="24"/>
                                    <w:szCs w:val="24"/>
                                  </w:rPr>
                                  <w:t xml:space="preserve"> </w:t>
                                </w:r>
                              </w:ins>
                              <w:ins w:id="6103" w:author="Author" w:date="2025-08-19T16:03:00Z">
                                <w:r>
                                  <w:rPr>
                                    <w:rFonts w:ascii="Calibri" w:hAnsi="Calibri" w:cs="Calibri"/>
                                    <w:bCs/>
                                    <w:sz w:val="24"/>
                                    <w:szCs w:val="24"/>
                                  </w:rPr>
                                  <w:t>na</w:t>
                                </w:r>
                              </w:ins>
                              <w:ins w:id="6104" w:author="Author" w:date="2025-07-20T22:18:00Z">
                                <w:r>
                                  <w:rPr>
                                    <w:rFonts w:ascii="Calibri" w:hAnsi="Calibri" w:cs="Calibri"/>
                                    <w:bCs/>
                                    <w:sz w:val="24"/>
                                    <w:szCs w:val="24"/>
                                    <w:rPrChange w:id="6105" w:author="Author" w:date="2025-08-22T15:12:00Z">
                                      <w:rPr>
                                        <w:rFonts w:asciiTheme="minorHAnsi" w:hAnsiTheme="minorHAnsi" w:cstheme="minorHAnsi"/>
                                        <w:b/>
                                        <w:sz w:val="24"/>
                                        <w:szCs w:val="24"/>
                                      </w:rPr>
                                    </w:rPrChange>
                                  </w:rPr>
                                  <w:t xml:space="preserve"> kož</w:t>
                                </w:r>
                              </w:ins>
                              <w:ins w:id="6106" w:author="Author" w:date="2025-08-19T16:03:00Z">
                                <w:r>
                                  <w:rPr>
                                    <w:rFonts w:ascii="Calibri" w:hAnsi="Calibri" w:cs="Calibri"/>
                                    <w:bCs/>
                                    <w:sz w:val="24"/>
                                    <w:szCs w:val="24"/>
                                  </w:rPr>
                                  <w:t>u</w:t>
                                </w:r>
                              </w:ins>
                              <w:ins w:id="6107" w:author="Author" w:date="2025-07-20T22:18:00Z">
                                <w:r>
                                  <w:rPr>
                                    <w:rFonts w:ascii="Calibri" w:hAnsi="Calibri" w:cs="Calibri"/>
                                    <w:bCs/>
                                    <w:sz w:val="24"/>
                                    <w:szCs w:val="24"/>
                                    <w:rPrChange w:id="6108" w:author="Author" w:date="2025-08-22T15:12:00Z">
                                      <w:rPr>
                                        <w:rFonts w:asciiTheme="minorHAnsi" w:hAnsiTheme="minorHAnsi" w:cstheme="minorHAnsi"/>
                                        <w:b/>
                                        <w:sz w:val="24"/>
                                        <w:szCs w:val="24"/>
                                      </w:rPr>
                                    </w:rPrChange>
                                  </w:rPr>
                                  <w:t xml:space="preserve"> a</w:t>
                                </w:r>
                              </w:ins>
                              <w:ins w:id="6109" w:author="Author" w:date="2025-07-21T11:21:00Z">
                                <w:r>
                                  <w:rPr>
                                    <w:rFonts w:ascii="Calibri" w:hAnsi="Calibri" w:cs="Calibri"/>
                                    <w:bCs/>
                                    <w:sz w:val="24"/>
                                    <w:szCs w:val="24"/>
                                  </w:rPr>
                                  <w:t> </w:t>
                                </w:r>
                              </w:ins>
                              <w:ins w:id="6110" w:author="Author" w:date="2025-07-20T22:18:00Z">
                                <w:del w:id="6111" w:author="Author" w:date="2025-07-21T11:21:00Z">
                                  <w:r>
                                    <w:rPr>
                                      <w:rFonts w:ascii="Calibri" w:hAnsi="Calibri" w:cs="Calibri"/>
                                      <w:bCs/>
                                      <w:sz w:val="24"/>
                                      <w:szCs w:val="24"/>
                                      <w:rPrChange w:id="6112" w:author="Author" w:date="2025-08-22T15:12:00Z">
                                        <w:rPr>
                                          <w:rFonts w:asciiTheme="minorHAnsi" w:hAnsiTheme="minorHAnsi" w:cstheme="minorHAnsi"/>
                                          <w:b/>
                                          <w:sz w:val="24"/>
                                          <w:szCs w:val="24"/>
                                        </w:rPr>
                                      </w:rPrChange>
                                    </w:rPr>
                                    <w:delText xml:space="preserve"> </w:delText>
                                  </w:r>
                                </w:del>
                                <w:r>
                                  <w:rPr>
                                    <w:rFonts w:ascii="Calibri" w:hAnsi="Calibri" w:cs="Calibri"/>
                                    <w:bCs/>
                                    <w:sz w:val="24"/>
                                    <w:szCs w:val="24"/>
                                    <w:rPrChange w:id="6113" w:author="Author" w:date="2025-08-22T15:12:00Z">
                                      <w:rPr>
                                        <w:rFonts w:asciiTheme="minorHAnsi" w:hAnsiTheme="minorHAnsi" w:cstheme="minorHAnsi"/>
                                        <w:b/>
                                        <w:sz w:val="24"/>
                                        <w:szCs w:val="24"/>
                                      </w:rPr>
                                    </w:rPrChange>
                                  </w:rPr>
                                  <w:t>odistite.</w:t>
                                </w:r>
                              </w:ins>
                              <w:ins w:id="6114" w:author="Author" w:date="2025-07-15T16:28:00Z">
                                <w:r>
                                  <w:rPr>
                                    <w:rFonts w:ascii="Calibri" w:hAnsi="Calibri" w:cs="Calibri"/>
                                    <w:sz w:val="24"/>
                                    <w:szCs w:val="24"/>
                                  </w:rPr>
                                  <w:t xml:space="preserve"> </w:t>
                                </w:r>
                                <w:del w:id="6115" w:author="Author" w:date="2025-07-20T22:19:00Z">
                                  <w:r>
                                    <w:rPr>
                                      <w:rFonts w:ascii="Calibri" w:hAnsi="Calibri" w:cs="Calibri"/>
                                      <w:sz w:val="24"/>
                                      <w:szCs w:val="24"/>
                                    </w:rPr>
                                    <w:delText>against skin to unlock</w:delText>
                                  </w:r>
                                </w:del>
                              </w:ins>
                              <w:ins w:id="6116" w:author="Author" w:date="2025-07-20T22:19:00Z">
                                <w:r>
                                  <w:rPr>
                                    <w:rFonts w:ascii="Calibri" w:hAnsi="Calibri" w:cs="Calibri"/>
                                    <w:sz w:val="24"/>
                                    <w:szCs w:val="24"/>
                                  </w:rPr>
                                  <w:t>Ešte</w:t>
                                </w:r>
                              </w:ins>
                              <w:ins w:id="6117" w:author="Author" w:date="2025-07-15T16:28:00Z">
                                <w:del w:id="6118" w:author="Author" w:date="2025-07-20T22:19:00Z">
                                  <w:r>
                                    <w:rPr>
                                      <w:rFonts w:ascii="Calibri" w:hAnsi="Calibri" w:cs="Calibri"/>
                                      <w:sz w:val="24"/>
                                      <w:szCs w:val="24"/>
                                    </w:rPr>
                                    <w:delText>.</w:delText>
                                  </w:r>
                                </w:del>
                                <w:r>
                                  <w:rPr>
                                    <w:rFonts w:ascii="Calibri" w:hAnsi="Calibri" w:cs="Calibri"/>
                                    <w:sz w:val="24"/>
                                    <w:szCs w:val="24"/>
                                  </w:rPr>
                                  <w:t xml:space="preserve"> </w:t>
                                </w:r>
                                <w:del w:id="6119" w:author="Author" w:date="2025-07-20T22:19:00Z">
                                  <w:r>
                                    <w:rPr>
                                      <w:rFonts w:ascii="Calibri" w:hAnsi="Calibri" w:cs="Calibri"/>
                                      <w:b/>
                                      <w:sz w:val="24"/>
                                      <w:szCs w:val="24"/>
                                    </w:rPr>
                                    <w:delText>Do Not</w:delText>
                                  </w:r>
                                </w:del>
                              </w:ins>
                              <w:ins w:id="6120" w:author="Author" w:date="2025-07-20T22:19:00Z">
                                <w:r>
                                  <w:rPr>
                                    <w:rFonts w:ascii="Calibri" w:hAnsi="Calibri" w:cs="Calibri"/>
                                    <w:b/>
                                    <w:sz w:val="24"/>
                                    <w:szCs w:val="24"/>
                                  </w:rPr>
                                  <w:t>nestláčajte</w:t>
                                </w:r>
                              </w:ins>
                              <w:ins w:id="6121" w:author="Author" w:date="2025-07-15T16:28:00Z">
                                <w:r>
                                  <w:rPr>
                                    <w:rFonts w:ascii="Calibri" w:hAnsi="Calibri" w:cs="Calibri"/>
                                    <w:b/>
                                    <w:sz w:val="24"/>
                                    <w:szCs w:val="24"/>
                                  </w:rPr>
                                  <w:t xml:space="preserve"> </w:t>
                                </w:r>
                                <w:del w:id="6122" w:author="Author" w:date="2025-07-20T22:19:00Z">
                                  <w:r>
                                    <w:rPr>
                                      <w:rFonts w:ascii="Calibri" w:hAnsi="Calibri" w:cs="Calibri"/>
                                      <w:sz w:val="24"/>
                                      <w:szCs w:val="24"/>
                                    </w:rPr>
                                    <w:delText xml:space="preserve">push </w:delText>
                                  </w:r>
                                  <w:r>
                                    <w:rPr>
                                      <w:rFonts w:ascii="Calibri" w:hAnsi="Calibri" w:cs="Calibri"/>
                                      <w:sz w:val="24"/>
                                      <w:szCs w:val="24"/>
                                      <w:rPrChange w:id="6123" w:author="Author" w:date="2025-08-22T15:23:00Z">
                                        <w:rPr>
                                          <w:rFonts w:ascii="Calibri" w:hAnsi="Calibri" w:cs="Calibri"/>
                                          <w:sz w:val="24"/>
                                          <w:szCs w:val="24"/>
                                          <w:highlight w:val="green"/>
                                        </w:rPr>
                                      </w:rPrChange>
                                    </w:rPr>
                                    <w:delText>green button</w:delText>
                                  </w:r>
                                </w:del>
                              </w:ins>
                              <w:ins w:id="6124" w:author="Author" w:date="2025-07-20T22:19:00Z">
                                <w:r>
                                  <w:rPr>
                                    <w:rFonts w:ascii="Calibri" w:hAnsi="Calibri" w:cs="Calibri"/>
                                    <w:sz w:val="24"/>
                                    <w:szCs w:val="24"/>
                                  </w:rPr>
                                  <w:t>zelené tlačidlo</w:t>
                                </w:r>
                              </w:ins>
                              <w:ins w:id="6125" w:author="Author" w:date="2025-07-15T16:28:00Z">
                                <w:del w:id="6126" w:author="Author" w:date="2025-07-20T22:19:00Z">
                                  <w:r>
                                    <w:rPr>
                                      <w:rFonts w:ascii="Calibri" w:hAnsi="Calibri" w:cs="Calibri"/>
                                      <w:sz w:val="24"/>
                                      <w:szCs w:val="24"/>
                                    </w:rPr>
                                    <w:delText xml:space="preserve"> yet</w:delText>
                                  </w:r>
                                </w:del>
                                <w:r>
                                  <w:rPr>
                                    <w:rFonts w:ascii="Calibri" w:hAnsi="Calibri" w:cs="Calibri"/>
                                    <w:sz w:val="24"/>
                                    <w:szCs w:val="24"/>
                                  </w:rPr>
                                  <w: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FF647" id="Text Box 2" o:spid="_x0000_s1029" type="#_x0000_t202" style="position:absolute;left:0;text-align:left;margin-left:158.25pt;margin-top:3.3pt;width:149.5pt;height:85.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" filled="f" stroked="f">
                  <v:textbox>
                    <w:txbxContent>
                      <w:p w14:paraId="12D42B33" w14:textId="77777777" w:rsidR="002460B6" w:rsidRDefault="002460B6">
                        <w:pPr>
                          <w:spacing w:line="192" w:lineRule="auto"/>
                          <w:rPr>
                            <w:ins w:id="6196" w:author="Author" w:date="2025-07-15T16:28:00Z"/>
                            <w:rFonts w:ascii="Calibri" w:hAnsi="Calibri" w:cs="Calibri"/>
                            <w:sz w:val="24"/>
                            <w:szCs w:val="24"/>
                          </w:rPr>
                        </w:pPr>
                        <w:ins w:id="6197" w:author="Author" w:date="2025-07-15T16:28:00Z">
                          <w:del w:id="6198" w:author="Author" w:date="2025-07-20T22:18:00Z">
                            <w:r>
                              <w:rPr>
                                <w:rFonts w:ascii="Calibri" w:hAnsi="Calibri" w:cs="Calibri"/>
                                <w:b/>
                                <w:sz w:val="24"/>
                                <w:szCs w:val="24"/>
                              </w:rPr>
                              <w:delText>Push</w:delText>
                            </w:r>
                          </w:del>
                        </w:ins>
                        <w:ins w:id="6199" w:author="Author" w:date="2025-08-19T16:03:00Z">
                          <w:r>
                            <w:rPr>
                              <w:rFonts w:ascii="Calibri" w:hAnsi="Calibri" w:cs="Calibri"/>
                              <w:b/>
                              <w:sz w:val="24"/>
                              <w:szCs w:val="24"/>
                            </w:rPr>
                            <w:t>Pritlačte</w:t>
                          </w:r>
                        </w:ins>
                        <w:ins w:id="6200" w:author="Author" w:date="2025-07-20T22:18:00Z">
                          <w:del w:id="6201" w:author="Author" w:date="2025-07-21T11:21:00Z">
                            <w:r>
                              <w:rPr>
                                <w:rFonts w:ascii="Calibri" w:hAnsi="Calibri" w:cs="Calibri"/>
                                <w:b/>
                                <w:sz w:val="24"/>
                                <w:szCs w:val="24"/>
                              </w:rPr>
                              <w:delText>ením</w:delText>
                            </w:r>
                          </w:del>
                          <w:r>
                            <w:rPr>
                              <w:rFonts w:ascii="Calibri" w:hAnsi="Calibri" w:cs="Calibri"/>
                              <w:b/>
                              <w:sz w:val="24"/>
                              <w:szCs w:val="24"/>
                            </w:rPr>
                            <w:t xml:space="preserve"> </w:t>
                          </w:r>
                        </w:ins>
                        <w:ins w:id="6202" w:author="Author" w:date="2025-08-19T16:03:00Z">
                          <w:r>
                            <w:rPr>
                              <w:rFonts w:ascii="Calibri" w:hAnsi="Calibri" w:cs="Calibri"/>
                              <w:bCs/>
                              <w:sz w:val="24"/>
                              <w:szCs w:val="24"/>
                            </w:rPr>
                            <w:t>na</w:t>
                          </w:r>
                        </w:ins>
                        <w:ins w:id="6203" w:author="Author" w:date="2025-07-20T22:18:00Z">
                          <w:r>
                            <w:rPr>
                              <w:rFonts w:ascii="Calibri" w:hAnsi="Calibri" w:cs="Calibri"/>
                              <w:bCs/>
                              <w:sz w:val="24"/>
                              <w:szCs w:val="24"/>
                              <w:rPrChange w:id="6204" w:author="Author" w:date="2025-08-22T15:12:00Z">
                                <w:rPr>
                                  <w:rFonts w:asciiTheme="minorHAnsi" w:hAnsiTheme="minorHAnsi" w:cstheme="minorHAnsi"/>
                                  <w:b/>
                                  <w:sz w:val="24"/>
                                  <w:szCs w:val="24"/>
                                </w:rPr>
                              </w:rPrChange>
                            </w:rPr>
                            <w:t xml:space="preserve"> kož</w:t>
                          </w:r>
                        </w:ins>
                        <w:ins w:id="6205" w:author="Author" w:date="2025-08-19T16:03:00Z">
                          <w:r>
                            <w:rPr>
                              <w:rFonts w:ascii="Calibri" w:hAnsi="Calibri" w:cs="Calibri"/>
                              <w:bCs/>
                              <w:sz w:val="24"/>
                              <w:szCs w:val="24"/>
                            </w:rPr>
                            <w:t>u</w:t>
                          </w:r>
                        </w:ins>
                        <w:ins w:id="6206" w:author="Author" w:date="2025-07-20T22:18:00Z">
                          <w:r>
                            <w:rPr>
                              <w:rFonts w:ascii="Calibri" w:hAnsi="Calibri" w:cs="Calibri"/>
                              <w:bCs/>
                              <w:sz w:val="24"/>
                              <w:szCs w:val="24"/>
                              <w:rPrChange w:id="6207" w:author="Author" w:date="2025-08-22T15:12:00Z">
                                <w:rPr>
                                  <w:rFonts w:asciiTheme="minorHAnsi" w:hAnsiTheme="minorHAnsi" w:cstheme="minorHAnsi"/>
                                  <w:b/>
                                  <w:sz w:val="24"/>
                                  <w:szCs w:val="24"/>
                                </w:rPr>
                              </w:rPrChange>
                            </w:rPr>
                            <w:t xml:space="preserve"> a</w:t>
                          </w:r>
                        </w:ins>
                        <w:ins w:id="6208" w:author="Author" w:date="2025-07-21T11:21:00Z">
                          <w:r>
                            <w:rPr>
                              <w:rFonts w:ascii="Calibri" w:hAnsi="Calibri" w:cs="Calibri"/>
                              <w:bCs/>
                              <w:sz w:val="24"/>
                              <w:szCs w:val="24"/>
                            </w:rPr>
                            <w:t> </w:t>
                          </w:r>
                        </w:ins>
                        <w:ins w:id="6209" w:author="Author" w:date="2025-07-20T22:18:00Z">
                          <w:del w:id="6210" w:author="Author" w:date="2025-07-21T11:21:00Z">
                            <w:r>
                              <w:rPr>
                                <w:rFonts w:ascii="Calibri" w:hAnsi="Calibri" w:cs="Calibri"/>
                                <w:bCs/>
                                <w:sz w:val="24"/>
                                <w:szCs w:val="24"/>
                                <w:rPrChange w:id="6211" w:author="Author" w:date="2025-08-22T15:12:00Z">
                                  <w:rPr>
                                    <w:rFonts w:asciiTheme="minorHAnsi" w:hAnsiTheme="minorHAnsi" w:cstheme="minorHAnsi"/>
                                    <w:b/>
                                    <w:sz w:val="24"/>
                                    <w:szCs w:val="24"/>
                                  </w:rPr>
                                </w:rPrChange>
                              </w:rPr>
                              <w:delText xml:space="preserve"> </w:delText>
                            </w:r>
                          </w:del>
                          <w:r>
                            <w:rPr>
                              <w:rFonts w:ascii="Calibri" w:hAnsi="Calibri" w:cs="Calibri"/>
                              <w:bCs/>
                              <w:sz w:val="24"/>
                              <w:szCs w:val="24"/>
                              <w:rPrChange w:id="6212" w:author="Author" w:date="2025-08-22T15:12:00Z">
                                <w:rPr>
                                  <w:rFonts w:asciiTheme="minorHAnsi" w:hAnsiTheme="minorHAnsi" w:cstheme="minorHAnsi"/>
                                  <w:b/>
                                  <w:sz w:val="24"/>
                                  <w:szCs w:val="24"/>
                                </w:rPr>
                              </w:rPrChange>
                            </w:rPr>
                            <w:t>odistite.</w:t>
                          </w:r>
                        </w:ins>
                        <w:ins w:id="6213" w:author="Author" w:date="2025-07-15T16:28:00Z">
                          <w:r>
                            <w:rPr>
                              <w:rFonts w:ascii="Calibri" w:hAnsi="Calibri" w:cs="Calibri"/>
                              <w:sz w:val="24"/>
                              <w:szCs w:val="24"/>
                            </w:rPr>
                            <w:t xml:space="preserve"> </w:t>
                          </w:r>
                          <w:del w:id="6214" w:author="Author" w:date="2025-07-20T22:19:00Z">
                            <w:r>
                              <w:rPr>
                                <w:rFonts w:ascii="Calibri" w:hAnsi="Calibri" w:cs="Calibri"/>
                                <w:sz w:val="24"/>
                                <w:szCs w:val="24"/>
                              </w:rPr>
                              <w:delText>against skin to unlock</w:delText>
                            </w:r>
                          </w:del>
                        </w:ins>
                        <w:ins w:id="6215" w:author="Author" w:date="2025-07-20T22:19:00Z">
                          <w:r>
                            <w:rPr>
                              <w:rFonts w:ascii="Calibri" w:hAnsi="Calibri" w:cs="Calibri"/>
                              <w:sz w:val="24"/>
                              <w:szCs w:val="24"/>
                            </w:rPr>
                            <w:t>Ešte</w:t>
                          </w:r>
                        </w:ins>
                        <w:ins w:id="6216" w:author="Author" w:date="2025-07-15T16:28:00Z">
                          <w:del w:id="6217" w:author="Author" w:date="2025-07-20T22:19:00Z">
                            <w:r>
                              <w:rPr>
                                <w:rFonts w:ascii="Calibri" w:hAnsi="Calibri" w:cs="Calibri"/>
                                <w:sz w:val="24"/>
                                <w:szCs w:val="24"/>
                              </w:rPr>
                              <w:delText>.</w:delText>
                            </w:r>
                          </w:del>
                          <w:r>
                            <w:rPr>
                              <w:rFonts w:ascii="Calibri" w:hAnsi="Calibri" w:cs="Calibri"/>
                              <w:sz w:val="24"/>
                              <w:szCs w:val="24"/>
                            </w:rPr>
                            <w:t xml:space="preserve"> </w:t>
                          </w:r>
                          <w:del w:id="6218" w:author="Author" w:date="2025-07-20T22:19:00Z">
                            <w:r>
                              <w:rPr>
                                <w:rFonts w:ascii="Calibri" w:hAnsi="Calibri" w:cs="Calibri"/>
                                <w:b/>
                                <w:sz w:val="24"/>
                                <w:szCs w:val="24"/>
                              </w:rPr>
                              <w:delText>Do Not</w:delText>
                            </w:r>
                          </w:del>
                        </w:ins>
                        <w:ins w:id="6219" w:author="Author" w:date="2025-07-20T22:19:00Z">
                          <w:r>
                            <w:rPr>
                              <w:rFonts w:ascii="Calibri" w:hAnsi="Calibri" w:cs="Calibri"/>
                              <w:b/>
                              <w:sz w:val="24"/>
                              <w:szCs w:val="24"/>
                            </w:rPr>
                            <w:t>nestláčajte</w:t>
                          </w:r>
                        </w:ins>
                        <w:ins w:id="6220" w:author="Author" w:date="2025-07-15T16:28:00Z">
                          <w:r>
                            <w:rPr>
                              <w:rFonts w:ascii="Calibri" w:hAnsi="Calibri" w:cs="Calibri"/>
                              <w:b/>
                              <w:sz w:val="24"/>
                              <w:szCs w:val="24"/>
                            </w:rPr>
                            <w:t xml:space="preserve"> </w:t>
                          </w:r>
                          <w:del w:id="6221" w:author="Author" w:date="2025-07-20T22:19:00Z">
                            <w:r>
                              <w:rPr>
                                <w:rFonts w:ascii="Calibri" w:hAnsi="Calibri" w:cs="Calibri"/>
                                <w:sz w:val="24"/>
                                <w:szCs w:val="24"/>
                              </w:rPr>
                              <w:delText xml:space="preserve">push </w:delText>
                            </w:r>
                            <w:r>
                              <w:rPr>
                                <w:rFonts w:ascii="Calibri" w:hAnsi="Calibri" w:cs="Calibri"/>
                                <w:sz w:val="24"/>
                                <w:szCs w:val="24"/>
                                <w:rPrChange w:id="6222" w:author="Author" w:date="2025-08-22T15:23:00Z">
                                  <w:rPr>
                                    <w:rFonts w:ascii="Calibri" w:hAnsi="Calibri" w:cs="Calibri"/>
                                    <w:sz w:val="24"/>
                                    <w:szCs w:val="24"/>
                                    <w:highlight w:val="green"/>
                                  </w:rPr>
                                </w:rPrChange>
                              </w:rPr>
                              <w:delText>green button</w:delText>
                            </w:r>
                          </w:del>
                        </w:ins>
                        <w:ins w:id="6223" w:author="Author" w:date="2025-07-20T22:19:00Z">
                          <w:r>
                            <w:rPr>
                              <w:rFonts w:ascii="Calibri" w:hAnsi="Calibri" w:cs="Calibri"/>
                              <w:sz w:val="24"/>
                              <w:szCs w:val="24"/>
                            </w:rPr>
                            <w:t>zelené tlačidlo</w:t>
                          </w:r>
                        </w:ins>
                        <w:ins w:id="6224" w:author="Author" w:date="2025-07-15T16:28:00Z">
                          <w:del w:id="6225" w:author="Author" w:date="2025-07-20T22:19:00Z">
                            <w:r>
                              <w:rPr>
                                <w:rFonts w:ascii="Calibri" w:hAnsi="Calibri" w:cs="Calibri"/>
                                <w:sz w:val="24"/>
                                <w:szCs w:val="24"/>
                              </w:rPr>
                              <w:delText xml:space="preserve"> yet</w:delText>
                            </w:r>
                          </w:del>
                          <w:r>
                            <w:rPr>
                              <w:rFonts w:ascii="Calibri" w:hAnsi="Calibri" w:cs="Calibri"/>
                              <w:sz w:val="24"/>
                              <w:szCs w:val="24"/>
                            </w:rPr>
                            <w:t>.</w:t>
                          </w:r>
                        </w:ins>
                      </w:p>
                    </w:txbxContent>
                  </v:textbox>
                  <w10:wrap anchorx="margin"/>
                </v:shape>
              </w:pict>
            </mc:Fallback>
          </mc:AlternateContent>
        </w:r>
        <w:r>
          <w:rPr>
            <w:lang w:val="en-US" w:eastAsia="en-US"/>
          </w:rPr>
          <mc:AlternateContent>
            <mc:Choice Requires="wps">
              <w:drawing>
                <wp:anchor distT="0" distB="0" distL="114300" distR="114300" simplePos="0" relativeHeight="251662336" behindDoc="0" locked="0" layoutInCell="1" allowOverlap="1" wp14:anchorId="55F80AE7" wp14:editId="27C71809">
                  <wp:simplePos x="0" y="0"/>
                  <wp:positionH relativeFrom="column">
                    <wp:posOffset>2110105</wp:posOffset>
                  </wp:positionH>
                  <wp:positionV relativeFrom="paragraph">
                    <wp:posOffset>3796030</wp:posOffset>
                  </wp:positionV>
                  <wp:extent cx="528918" cy="792480"/>
                  <wp:effectExtent l="0" t="0" r="5080" b="0"/>
                  <wp:wrapNone/>
                  <wp:docPr id="1423048315" name="Надпись 4"/>
                  <wp:cNvGraphicFramePr/>
                  <a:graphic xmlns:a="http://schemas.openxmlformats.org/drawingml/2006/main">
                    <a:graphicData uri="http://schemas.microsoft.com/office/word/2010/wordprocessingShape">
                      <wps:wsp>
                        <wps:cNvSpPr txBox="1"/>
                        <wps:spPr>
                          <a:xfrm>
                            <a:off x="0" y="0"/>
                            <a:ext cx="528918" cy="792480"/>
                          </a:xfrm>
                          <a:prstGeom prst="rect">
                            <a:avLst/>
                          </a:prstGeom>
                          <a:solidFill>
                            <a:schemeClr val="lt1"/>
                          </a:solidFill>
                          <a:ln w="6350">
                            <a:noFill/>
                          </a:ln>
                        </wps:spPr>
                        <wps:txbx>
                          <w:txbxContent>
                            <w:p w14:paraId="7BA14752" w14:textId="77777777" w:rsidR="002460B6" w:rsidRDefault="002460B6">
                              <w:pPr>
                                <w:jc w:val="center"/>
                                <w:rPr>
                                  <w:rFonts w:asciiTheme="minorHAnsi" w:hAnsiTheme="minorHAnsi" w:cstheme="minorHAnsi"/>
                                  <w:b/>
                                  <w:bCs/>
                                  <w:color w:val="000000" w:themeColor="text1"/>
                                </w:rPr>
                              </w:pPr>
                              <w:ins w:id="6127" w:author="Author" w:date="2025-07-16T15:41:00Z">
                                <w:r>
                                  <w:rPr>
                                    <w:rFonts w:asciiTheme="minorHAnsi" w:hAnsiTheme="minorHAnsi" w:cstheme="minorHAnsi"/>
                                    <w:b/>
                                    <w:bCs/>
                                    <w:color w:val="000000" w:themeColor="text1"/>
                                  </w:rPr>
                                  <w:t>“Click”</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5F80AE7" id="Надпись 4" o:spid="_x0000_s1030" type="#_x0000_t202" style="position:absolute;left:0;text-align:left;margin-left:166.15pt;margin-top:298.9pt;width:41.65pt;height:62.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" fillcolor="white [3201]" stroked="f" strokeweight=".5pt">
                  <v:textbox style="mso-fit-shape-to-text:t" inset="0,0,0,0">
                    <w:txbxContent>
                      <w:p w14:paraId="7BA14752" w14:textId="77777777" w:rsidR="002460B6" w:rsidRDefault="002460B6">
                        <w:pPr>
                          <w:jc w:val="center"/>
                          <w:rPr>
                            <w:rFonts w:asciiTheme="minorHAnsi" w:hAnsiTheme="minorHAnsi" w:cstheme="minorHAnsi"/>
                            <w:b/>
                            <w:bCs/>
                            <w:color w:val="000000" w:themeColor="text1"/>
                          </w:rPr>
                        </w:pPr>
                        <w:ins w:id="6227" w:author="Author" w:date="2025-07-16T15:41:00Z">
                          <w:r>
                            <w:rPr>
                              <w:rFonts w:asciiTheme="minorHAnsi" w:hAnsiTheme="minorHAnsi" w:cstheme="minorHAnsi"/>
                              <w:b/>
                              <w:bCs/>
                              <w:color w:val="000000" w:themeColor="text1"/>
                            </w:rPr>
                            <w:t>“Click”</w:t>
                          </w:r>
                        </w:ins>
                      </w:p>
                    </w:txbxContent>
                  </v:textbox>
                </v:shape>
              </w:pict>
            </mc:Fallback>
          </mc:AlternateContent>
        </w:r>
        <w:r>
          <w:rPr>
            <w:lang w:val="en-US" w:eastAsia="en-US"/>
          </w:rPr>
          <w:drawing>
            <wp:inline distT="0" distB="0" distL="0" distR="0" wp14:anchorId="1BF1DC20" wp14:editId="28967CB6">
              <wp:extent cx="2295525" cy="4972160"/>
              <wp:effectExtent l="0" t="0" r="0" b="0"/>
              <wp:docPr id="1550659247" name="Picture 1550659247" descr="Obrázok, na ktorom je animák, kreslený obrázok, náčrt, dizajn&#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59247" name="Picture 1550659247" descr="Obrázok, na ktorom je animák, kreslený obrázok, náčrt, dizajn&#10;&#10;Obsah vygenerovaný pomocou AI môže byť nesprávny."/>
                      <pic:cNvPicPr/>
                    </pic:nvPicPr>
                    <pic:blipFill>
                      <a:blip r:embed="rId44">
                        <a:extLst>
                          <a:ext uri="{28A0092B-C50C-407E-A947-70E740481C1C}">
                            <a14:useLocalDpi xmlns:a14="http://schemas.microsoft.com/office/drawing/2010/main" val="0"/>
                          </a:ext>
                        </a:extLst>
                      </a:blip>
                      <a:stretch>
                        <a:fillRect/>
                      </a:stretch>
                    </pic:blipFill>
                    <pic:spPr>
                      <a:xfrm>
                        <a:off x="0" y="0"/>
                        <a:ext cx="2302853" cy="4988033"/>
                      </a:xfrm>
                      <a:prstGeom prst="rect">
                        <a:avLst/>
                      </a:prstGeom>
                    </pic:spPr>
                  </pic:pic>
                </a:graphicData>
              </a:graphic>
            </wp:inline>
          </w:drawing>
        </w:r>
      </w:ins>
    </w:p>
    <w:p w14:paraId="18FF77A4" w14:textId="77777777" w:rsidR="009700E5" w:rsidRPr="009700E5" w:rsidRDefault="009700E5">
      <w:pPr>
        <w:pStyle w:val="Standard1"/>
        <w:jc w:val="center"/>
        <w:rPr>
          <w:ins w:id="6128" w:author="Author" w:date="2025-07-20T22:18:00Z"/>
          <w:noProof/>
          <w:lang w:val="sk-SK"/>
          <w:rPrChange w:id="6129" w:author="Author" w:date="2025-08-22T15:12:00Z">
            <w:rPr>
              <w:ins w:id="6130" w:author="Author" w:date="2025-07-20T22:18:00Z"/>
              <w:lang w:val="en-GB"/>
            </w:rPr>
          </w:rPrChange>
        </w:rPr>
        <w:pPrChange w:id="6131" w:author="Author" w:date="2025-07-15T16:27:00Z">
          <w:pPr>
            <w:pStyle w:val="Standard1"/>
          </w:pPr>
        </w:pPrChange>
      </w:pPr>
    </w:p>
    <w:p w14:paraId="1B9D96BD" w14:textId="77777777" w:rsidR="009700E5" w:rsidRDefault="009700E5">
      <w:pPr>
        <w:autoSpaceDE w:val="0"/>
        <w:autoSpaceDN w:val="0"/>
        <w:adjustRightInd w:val="0"/>
      </w:pPr>
    </w:p>
    <w:sectPr w:rsidR="009700E5">
      <w:footerReference w:type="default" r:id="rId45"/>
      <w:footerReference w:type="first" r:id="rId46"/>
      <w:endnotePr>
        <w:numFmt w:val="decimal"/>
      </w:endnotePr>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7D0A4B" w14:textId="77777777" w:rsidR="002460B6" w:rsidRDefault="002460B6">
      <w:r>
        <w:separator/>
      </w:r>
    </w:p>
  </w:endnote>
  <w:endnote w:type="continuationSeparator" w:id="0">
    <w:p w14:paraId="4567401E" w14:textId="77777777" w:rsidR="002460B6" w:rsidRDefault="00246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Yu Gothic"/>
    <w:charset w:val="00"/>
    <w:family w:val="roman"/>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Roboto">
    <w:altName w:val="Times New Roman"/>
    <w:charset w:val="00"/>
    <w:family w:val="auto"/>
    <w:pitch w:val="variable"/>
    <w:sig w:usb0="00000001" w:usb1="5000217F" w:usb2="00000021" w:usb3="00000000" w:csb0="0000019F" w:csb1="00000000"/>
  </w:font>
  <w:font w:name="HelveticaNeueLTPro-Bd">
    <w:altName w:val="Arial"/>
    <w:panose1 w:val="00000000000000000000"/>
    <w:charset w:val="00"/>
    <w:family w:val="swiss"/>
    <w:notTrueType/>
    <w:pitch w:val="default"/>
    <w:sig w:usb0="00000003" w:usb1="00000000" w:usb2="00000000" w:usb3="00000000" w:csb0="00000001" w:csb1="00000000"/>
  </w:font>
  <w:font w:name="HelveticaNeueLTPro-Roman">
    <w:altName w:val="Arial"/>
    <w:panose1 w:val="00000000000000000000"/>
    <w:charset w:val="00"/>
    <w:family w:val="swiss"/>
    <w:notTrueType/>
    <w:pitch w:val="default"/>
    <w:sig w:usb0="00000003" w:usb1="00000000" w:usb2="00000000" w:usb3="00000000" w:csb0="00000001" w:csb1="00000000"/>
  </w:font>
  <w:font w:name="TimesNewRoman,Bold">
    <w:altName w:val="Yu Gothic UI"/>
    <w:charset w:val="80"/>
    <w:family w:val="auto"/>
    <w:pitch w:val="default"/>
    <w:sig w:usb0="00000000" w:usb1="08070000" w:usb2="00000010" w:usb3="00000000" w:csb0="00020001" w:csb1="00000000"/>
  </w:font>
  <w:font w:name="Aptos">
    <w:altName w:val="Calibri"/>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38CE7" w14:textId="0E567A49" w:rsidR="002460B6" w:rsidRDefault="002460B6">
    <w:pPr>
      <w:pStyle w:val="Footer"/>
      <w:tabs>
        <w:tab w:val="right" w:pos="8931"/>
      </w:tabs>
      <w:ind w:right="96"/>
      <w:jc w:val="center"/>
      <w:rPr>
        <w:rFonts w:ascii="Times New Roman" w:hAnsi="Times New Roman"/>
        <w:sz w:val="18"/>
        <w:szCs w:val="18"/>
      </w:rPr>
    </w:pPr>
    <w:r>
      <w:fldChar w:fldCharType="begin"/>
    </w:r>
    <w:r>
      <w:instrText xml:space="preserve"> EQ </w:instrText>
    </w:r>
    <w:r>
      <w:fldChar w:fldCharType="end"/>
    </w:r>
    <w:r>
      <w:rPr>
        <w:rStyle w:val="PageNumber"/>
        <w:rFonts w:ascii="Times New Roman" w:hAnsi="Times New Roman"/>
        <w:sz w:val="18"/>
        <w:szCs w:val="18"/>
      </w:rPr>
      <w:fldChar w:fldCharType="begin"/>
    </w:r>
    <w:r>
      <w:rPr>
        <w:rStyle w:val="PageNumber"/>
        <w:rFonts w:ascii="Times New Roman" w:hAnsi="Times New Roman"/>
        <w:sz w:val="18"/>
        <w:szCs w:val="18"/>
      </w:rPr>
      <w:instrText xml:space="preserve">PAGE  </w:instrText>
    </w:r>
    <w:r>
      <w:rPr>
        <w:rStyle w:val="PageNumber"/>
        <w:rFonts w:ascii="Times New Roman" w:hAnsi="Times New Roman"/>
        <w:sz w:val="18"/>
        <w:szCs w:val="18"/>
      </w:rPr>
      <w:fldChar w:fldCharType="separate"/>
    </w:r>
    <w:r w:rsidR="008A5612">
      <w:rPr>
        <w:rStyle w:val="PageNumber"/>
        <w:rFonts w:ascii="Times New Roman" w:hAnsi="Times New Roman"/>
        <w:sz w:val="18"/>
        <w:szCs w:val="18"/>
      </w:rPr>
      <w:t>165</w:t>
    </w:r>
    <w:r>
      <w:rPr>
        <w:rStyle w:val="PageNumber"/>
        <w:rFonts w:ascii="Times New Roman" w:hAnsi="Times New Roman"/>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9AA04" w14:textId="77777777" w:rsidR="002460B6" w:rsidRDefault="002460B6">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rPr>
      <w:t>77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15A1C3" w14:textId="77777777" w:rsidR="002460B6" w:rsidRDefault="002460B6">
      <w:r>
        <w:separator/>
      </w:r>
    </w:p>
  </w:footnote>
  <w:footnote w:type="continuationSeparator" w:id="0">
    <w:p w14:paraId="686624AB" w14:textId="77777777" w:rsidR="002460B6" w:rsidRDefault="002460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01017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188BD22"/>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CF2415B0"/>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4BAC5EF6"/>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47B66982"/>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65841400"/>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DB3AD108"/>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CF00F1E2"/>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81700E2C"/>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A45E4F9A"/>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BAA25CE0"/>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3C3D79"/>
    <w:multiLevelType w:val="hybridMultilevel"/>
    <w:tmpl w:val="C154274A"/>
    <w:lvl w:ilvl="0" w:tplc="A8B475EE">
      <w:numFmt w:val="bullet"/>
      <w:lvlText w:val="•"/>
      <w:lvlJc w:val="left"/>
      <w:pPr>
        <w:ind w:left="577" w:hanging="435"/>
      </w:pPr>
      <w:rPr>
        <w:rFonts w:ascii="Times New Roman" w:eastAsia="Times New Roman" w:hAnsi="Times New Roman" w:cs="Times New Roman"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12" w15:restartNumberingAfterBreak="0">
    <w:nsid w:val="00F96DA9"/>
    <w:multiLevelType w:val="hybridMultilevel"/>
    <w:tmpl w:val="99F4C23C"/>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3" w15:restartNumberingAfterBreak="0">
    <w:nsid w:val="0176351E"/>
    <w:multiLevelType w:val="hybridMultilevel"/>
    <w:tmpl w:val="0D6A2054"/>
    <w:lvl w:ilvl="0" w:tplc="073E3A92">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01D33468"/>
    <w:multiLevelType w:val="hybridMultilevel"/>
    <w:tmpl w:val="4B44F38E"/>
    <w:lvl w:ilvl="0" w:tplc="073E3A92">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01E148C7"/>
    <w:multiLevelType w:val="hybridMultilevel"/>
    <w:tmpl w:val="5920AD1E"/>
    <w:lvl w:ilvl="0" w:tplc="073E3A92">
      <w:start w:val="1"/>
      <w:numFmt w:val="bullet"/>
      <w:lvlText w:val=""/>
      <w:lvlJc w:val="left"/>
      <w:pPr>
        <w:ind w:left="924" w:hanging="567"/>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16" w15:restartNumberingAfterBreak="0">
    <w:nsid w:val="01E31025"/>
    <w:multiLevelType w:val="hybridMultilevel"/>
    <w:tmpl w:val="2AAA2AE2"/>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86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7" w15:restartNumberingAfterBreak="0">
    <w:nsid w:val="01FE2923"/>
    <w:multiLevelType w:val="hybridMultilevel"/>
    <w:tmpl w:val="D87A6158"/>
    <w:lvl w:ilvl="0" w:tplc="3760C606">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028F49C0"/>
    <w:multiLevelType w:val="hybridMultilevel"/>
    <w:tmpl w:val="357C5CC4"/>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9" w15:restartNumberingAfterBreak="0">
    <w:nsid w:val="031E398F"/>
    <w:multiLevelType w:val="hybridMultilevel"/>
    <w:tmpl w:val="5DD8BEC0"/>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86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0" w15:restartNumberingAfterBreak="0">
    <w:nsid w:val="039C36D1"/>
    <w:multiLevelType w:val="hybridMultilevel"/>
    <w:tmpl w:val="7CA68A6C"/>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1" w15:restartNumberingAfterBreak="0">
    <w:nsid w:val="040F6BB6"/>
    <w:multiLevelType w:val="hybridMultilevel"/>
    <w:tmpl w:val="F99EE99A"/>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2" w15:restartNumberingAfterBreak="0">
    <w:nsid w:val="04B7146E"/>
    <w:multiLevelType w:val="hybridMultilevel"/>
    <w:tmpl w:val="9F7018CE"/>
    <w:lvl w:ilvl="0" w:tplc="0074E1D8">
      <w:numFmt w:val="bullet"/>
      <w:lvlText w:val="•"/>
      <w:lvlJc w:val="left"/>
      <w:pPr>
        <w:ind w:left="577" w:hanging="435"/>
      </w:pPr>
      <w:rPr>
        <w:rFonts w:ascii="Times New Roman" w:eastAsia="Times New Roman" w:hAnsi="Times New Roman" w:cs="Times New Roman" w:hint="default"/>
        <w:color w:val="auto"/>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23" w15:restartNumberingAfterBreak="0">
    <w:nsid w:val="053B67C4"/>
    <w:multiLevelType w:val="multilevel"/>
    <w:tmpl w:val="51360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5460D82"/>
    <w:multiLevelType w:val="hybridMultilevel"/>
    <w:tmpl w:val="E6AAAD80"/>
    <w:lvl w:ilvl="0" w:tplc="17B2879C">
      <w:numFmt w:val="bullet"/>
      <w:lvlText w:val="•"/>
      <w:lvlJc w:val="left"/>
      <w:pPr>
        <w:ind w:left="930" w:hanging="57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06190F14"/>
    <w:multiLevelType w:val="hybridMultilevel"/>
    <w:tmpl w:val="664A9B84"/>
    <w:lvl w:ilvl="0" w:tplc="073E3A92">
      <w:start w:val="1"/>
      <w:numFmt w:val="bullet"/>
      <w:lvlText w:val=""/>
      <w:lvlJc w:val="left"/>
      <w:pPr>
        <w:ind w:left="924" w:hanging="567"/>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26" w15:restartNumberingAfterBreak="0">
    <w:nsid w:val="06201AC9"/>
    <w:multiLevelType w:val="hybridMultilevel"/>
    <w:tmpl w:val="8E68A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729509B"/>
    <w:multiLevelType w:val="hybridMultilevel"/>
    <w:tmpl w:val="9AD20502"/>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86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8" w15:restartNumberingAfterBreak="0">
    <w:nsid w:val="08456642"/>
    <w:multiLevelType w:val="hybridMultilevel"/>
    <w:tmpl w:val="717E739C"/>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9" w15:restartNumberingAfterBreak="0">
    <w:nsid w:val="084E4E34"/>
    <w:multiLevelType w:val="hybridMultilevel"/>
    <w:tmpl w:val="A6E2B668"/>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0" w15:restartNumberingAfterBreak="0">
    <w:nsid w:val="086A06D2"/>
    <w:multiLevelType w:val="hybridMultilevel"/>
    <w:tmpl w:val="F698B906"/>
    <w:lvl w:ilvl="0" w:tplc="1700DB42">
      <w:numFmt w:val="bullet"/>
      <w:lvlText w:val="•"/>
      <w:lvlJc w:val="left"/>
      <w:pPr>
        <w:ind w:left="577" w:hanging="435"/>
      </w:pPr>
      <w:rPr>
        <w:rFonts w:ascii="Times New Roman" w:eastAsia="Times New Roman" w:hAnsi="Times New Roman" w:cs="Times New Roman"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31" w15:restartNumberingAfterBreak="0">
    <w:nsid w:val="08B07B7D"/>
    <w:multiLevelType w:val="hybridMultilevel"/>
    <w:tmpl w:val="5F40787C"/>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2" w15:restartNumberingAfterBreak="0">
    <w:nsid w:val="08CF2848"/>
    <w:multiLevelType w:val="hybridMultilevel"/>
    <w:tmpl w:val="0CB01434"/>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3" w15:restartNumberingAfterBreak="0">
    <w:nsid w:val="096A4F0A"/>
    <w:multiLevelType w:val="hybridMultilevel"/>
    <w:tmpl w:val="594AF238"/>
    <w:lvl w:ilvl="0" w:tplc="E760E290">
      <w:numFmt w:val="bullet"/>
      <w:lvlText w:val="•"/>
      <w:lvlJc w:val="left"/>
      <w:pPr>
        <w:ind w:left="577" w:hanging="435"/>
      </w:pPr>
      <w:rPr>
        <w:rFonts w:ascii="Times New Roman" w:eastAsia="Times New Roman" w:hAnsi="Times New Roman" w:cs="Times New Roman"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34" w15:restartNumberingAfterBreak="0">
    <w:nsid w:val="0A035798"/>
    <w:multiLevelType w:val="hybridMultilevel"/>
    <w:tmpl w:val="6C961040"/>
    <w:lvl w:ilvl="0" w:tplc="4EC2E4B4">
      <w:numFmt w:val="bullet"/>
      <w:lvlText w:val="•"/>
      <w:lvlJc w:val="left"/>
      <w:pPr>
        <w:ind w:left="577" w:hanging="435"/>
      </w:pPr>
      <w:rPr>
        <w:rFonts w:ascii="Times New Roman" w:eastAsia="Times New Roman" w:hAnsi="Times New Roman" w:cs="Times New Roman" w:hint="default"/>
        <w:color w:val="231F20"/>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35" w15:restartNumberingAfterBreak="0">
    <w:nsid w:val="0A4078AB"/>
    <w:multiLevelType w:val="hybridMultilevel"/>
    <w:tmpl w:val="B5D42EE8"/>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86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6" w15:restartNumberingAfterBreak="0">
    <w:nsid w:val="0AA22804"/>
    <w:multiLevelType w:val="hybridMultilevel"/>
    <w:tmpl w:val="947A7F4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0ABD280F"/>
    <w:multiLevelType w:val="hybridMultilevel"/>
    <w:tmpl w:val="F1D2939E"/>
    <w:lvl w:ilvl="0" w:tplc="07605234">
      <w:numFmt w:val="bullet"/>
      <w:lvlText w:val="•"/>
      <w:lvlJc w:val="left"/>
      <w:pPr>
        <w:ind w:left="577" w:hanging="435"/>
      </w:pPr>
      <w:rPr>
        <w:rFonts w:ascii="Times New Roman" w:eastAsia="Times New Roman" w:hAnsi="Times New Roman" w:cs="Times New Roman"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38" w15:restartNumberingAfterBreak="0">
    <w:nsid w:val="0AED4A5D"/>
    <w:multiLevelType w:val="hybridMultilevel"/>
    <w:tmpl w:val="1AD4788E"/>
    <w:lvl w:ilvl="0" w:tplc="073E3A92">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0B573A3A"/>
    <w:multiLevelType w:val="hybridMultilevel"/>
    <w:tmpl w:val="126C3254"/>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40" w15:restartNumberingAfterBreak="0">
    <w:nsid w:val="0B6E2874"/>
    <w:multiLevelType w:val="hybridMultilevel"/>
    <w:tmpl w:val="D0307DDE"/>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86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1" w15:restartNumberingAfterBreak="0">
    <w:nsid w:val="0B8466D0"/>
    <w:multiLevelType w:val="hybridMultilevel"/>
    <w:tmpl w:val="9134E440"/>
    <w:lvl w:ilvl="0" w:tplc="D34487B4">
      <w:numFmt w:val="bullet"/>
      <w:lvlText w:val="•"/>
      <w:lvlJc w:val="left"/>
      <w:pPr>
        <w:ind w:left="577" w:hanging="435"/>
      </w:pPr>
      <w:rPr>
        <w:rFonts w:ascii="Times New Roman" w:eastAsia="Times New Roman" w:hAnsi="Times New Roman" w:cs="Times New Roman"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42" w15:restartNumberingAfterBreak="0">
    <w:nsid w:val="0C5120C7"/>
    <w:multiLevelType w:val="hybridMultilevel"/>
    <w:tmpl w:val="40A44192"/>
    <w:lvl w:ilvl="0" w:tplc="073E3A92">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0C624885"/>
    <w:multiLevelType w:val="hybridMultilevel"/>
    <w:tmpl w:val="439878E6"/>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158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4" w15:restartNumberingAfterBreak="0">
    <w:nsid w:val="0CAA1695"/>
    <w:multiLevelType w:val="hybridMultilevel"/>
    <w:tmpl w:val="233C18D6"/>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45" w15:restartNumberingAfterBreak="0">
    <w:nsid w:val="0CEF6662"/>
    <w:multiLevelType w:val="hybridMultilevel"/>
    <w:tmpl w:val="081214BA"/>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46" w15:restartNumberingAfterBreak="0">
    <w:nsid w:val="0D6C2215"/>
    <w:multiLevelType w:val="hybridMultilevel"/>
    <w:tmpl w:val="922883E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7" w15:restartNumberingAfterBreak="0">
    <w:nsid w:val="0DFC3D8F"/>
    <w:multiLevelType w:val="hybridMultilevel"/>
    <w:tmpl w:val="AF76AD1C"/>
    <w:lvl w:ilvl="0" w:tplc="073E3A92">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0E615EF7"/>
    <w:multiLevelType w:val="hybridMultilevel"/>
    <w:tmpl w:val="EB1627FA"/>
    <w:lvl w:ilvl="0" w:tplc="073E3A92">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0E6613F9"/>
    <w:multiLevelType w:val="hybridMultilevel"/>
    <w:tmpl w:val="CBBA2738"/>
    <w:lvl w:ilvl="0" w:tplc="073E3A92">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0F1673EF"/>
    <w:multiLevelType w:val="hybridMultilevel"/>
    <w:tmpl w:val="C638D71A"/>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86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1" w15:restartNumberingAfterBreak="0">
    <w:nsid w:val="100A74FF"/>
    <w:multiLevelType w:val="hybridMultilevel"/>
    <w:tmpl w:val="39F612AE"/>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52" w15:restartNumberingAfterBreak="0">
    <w:nsid w:val="1049765C"/>
    <w:multiLevelType w:val="hybridMultilevel"/>
    <w:tmpl w:val="05562B74"/>
    <w:lvl w:ilvl="0" w:tplc="3760C606">
      <w:start w:val="1"/>
      <w:numFmt w:val="bullet"/>
      <w:lvlText w:val=""/>
      <w:lvlJc w:val="left"/>
      <w:pPr>
        <w:ind w:left="924" w:hanging="567"/>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53" w15:restartNumberingAfterBreak="0">
    <w:nsid w:val="10BC3571"/>
    <w:multiLevelType w:val="hybridMultilevel"/>
    <w:tmpl w:val="E3DC255E"/>
    <w:lvl w:ilvl="0" w:tplc="073E3A92">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15:restartNumberingAfterBreak="0">
    <w:nsid w:val="10CB66FE"/>
    <w:multiLevelType w:val="hybridMultilevel"/>
    <w:tmpl w:val="9CF887B0"/>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86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5" w15:restartNumberingAfterBreak="0">
    <w:nsid w:val="10D15D2B"/>
    <w:multiLevelType w:val="hybridMultilevel"/>
    <w:tmpl w:val="E9DC2B90"/>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56" w15:restartNumberingAfterBreak="0">
    <w:nsid w:val="117A1E63"/>
    <w:multiLevelType w:val="hybridMultilevel"/>
    <w:tmpl w:val="DBAAC26C"/>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57" w15:restartNumberingAfterBreak="0">
    <w:nsid w:val="11A77466"/>
    <w:multiLevelType w:val="hybridMultilevel"/>
    <w:tmpl w:val="7ADE1A7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12561C03"/>
    <w:multiLevelType w:val="hybridMultilevel"/>
    <w:tmpl w:val="B4E8B196"/>
    <w:lvl w:ilvl="0" w:tplc="073E3A92">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15:restartNumberingAfterBreak="0">
    <w:nsid w:val="125C14B9"/>
    <w:multiLevelType w:val="hybridMultilevel"/>
    <w:tmpl w:val="5B0C34BE"/>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60" w15:restartNumberingAfterBreak="0">
    <w:nsid w:val="128660AE"/>
    <w:multiLevelType w:val="hybridMultilevel"/>
    <w:tmpl w:val="96FCDDF4"/>
    <w:lvl w:ilvl="0" w:tplc="3760C606">
      <w:start w:val="1"/>
      <w:numFmt w:val="bullet"/>
      <w:lvlText w:val=""/>
      <w:lvlJc w:val="left"/>
      <w:pPr>
        <w:ind w:left="924" w:hanging="567"/>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61" w15:restartNumberingAfterBreak="0">
    <w:nsid w:val="128F3CFC"/>
    <w:multiLevelType w:val="hybridMultilevel"/>
    <w:tmpl w:val="B6182AFE"/>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62" w15:restartNumberingAfterBreak="0">
    <w:nsid w:val="12EA52BC"/>
    <w:multiLevelType w:val="hybridMultilevel"/>
    <w:tmpl w:val="90D49632"/>
    <w:lvl w:ilvl="0" w:tplc="073E3A92">
      <w:start w:val="1"/>
      <w:numFmt w:val="bullet"/>
      <w:lvlText w:val=""/>
      <w:lvlJc w:val="left"/>
      <w:pPr>
        <w:ind w:left="924" w:hanging="567"/>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63" w15:restartNumberingAfterBreak="0">
    <w:nsid w:val="143B3E34"/>
    <w:multiLevelType w:val="hybridMultilevel"/>
    <w:tmpl w:val="242C182A"/>
    <w:lvl w:ilvl="0" w:tplc="073E3A92">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15:restartNumberingAfterBreak="0">
    <w:nsid w:val="16340D13"/>
    <w:multiLevelType w:val="hybridMultilevel"/>
    <w:tmpl w:val="9B1850E4"/>
    <w:lvl w:ilvl="0" w:tplc="3760C606">
      <w:start w:val="1"/>
      <w:numFmt w:val="bullet"/>
      <w:lvlText w:val=""/>
      <w:lvlJc w:val="left"/>
      <w:pPr>
        <w:ind w:left="924" w:hanging="567"/>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65" w15:restartNumberingAfterBreak="0">
    <w:nsid w:val="1715470C"/>
    <w:multiLevelType w:val="hybridMultilevel"/>
    <w:tmpl w:val="CF56BCD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17C21BE2"/>
    <w:multiLevelType w:val="hybridMultilevel"/>
    <w:tmpl w:val="ACBAD7FC"/>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67" w15:restartNumberingAfterBreak="0">
    <w:nsid w:val="183278F3"/>
    <w:multiLevelType w:val="hybridMultilevel"/>
    <w:tmpl w:val="9CE0B312"/>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68" w15:restartNumberingAfterBreak="0">
    <w:nsid w:val="18AC23C8"/>
    <w:multiLevelType w:val="hybridMultilevel"/>
    <w:tmpl w:val="F574E926"/>
    <w:lvl w:ilvl="0" w:tplc="073E3A92">
      <w:start w:val="1"/>
      <w:numFmt w:val="bullet"/>
      <w:lvlText w:val=""/>
      <w:lvlJc w:val="left"/>
      <w:pPr>
        <w:ind w:left="924" w:hanging="567"/>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69" w15:restartNumberingAfterBreak="0">
    <w:nsid w:val="191D1452"/>
    <w:multiLevelType w:val="hybridMultilevel"/>
    <w:tmpl w:val="B894909C"/>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86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70" w15:restartNumberingAfterBreak="0">
    <w:nsid w:val="19515FA3"/>
    <w:multiLevelType w:val="hybridMultilevel"/>
    <w:tmpl w:val="68226A6A"/>
    <w:lvl w:ilvl="0" w:tplc="FFFFFFFF">
      <w:start w:val="1"/>
      <w:numFmt w:val="bullet"/>
      <w:lvlText w:val=""/>
      <w:lvlJc w:val="left"/>
      <w:pPr>
        <w:ind w:left="720" w:hanging="360"/>
      </w:pPr>
      <w:rPr>
        <w:rFonts w:ascii="Symbol" w:hAnsi="Symbol" w:hint="default"/>
      </w:rPr>
    </w:lvl>
    <w:lvl w:ilvl="1" w:tplc="041B0001">
      <w:start w:val="1"/>
      <w:numFmt w:val="bullet"/>
      <w:lvlText w:val=""/>
      <w:lvlJc w:val="left"/>
      <w:pPr>
        <w:ind w:left="1582"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197F61E3"/>
    <w:multiLevelType w:val="hybridMultilevel"/>
    <w:tmpl w:val="AA9E0946"/>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86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72" w15:restartNumberingAfterBreak="0">
    <w:nsid w:val="19E220C2"/>
    <w:multiLevelType w:val="hybridMultilevel"/>
    <w:tmpl w:val="E0941136"/>
    <w:lvl w:ilvl="0" w:tplc="3760C606">
      <w:start w:val="1"/>
      <w:numFmt w:val="bullet"/>
      <w:lvlText w:val=""/>
      <w:lvlJc w:val="left"/>
      <w:pPr>
        <w:ind w:left="924" w:hanging="567"/>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73" w15:restartNumberingAfterBreak="0">
    <w:nsid w:val="19F04834"/>
    <w:multiLevelType w:val="hybridMultilevel"/>
    <w:tmpl w:val="F8465072"/>
    <w:lvl w:ilvl="0" w:tplc="89982564">
      <w:numFmt w:val="bullet"/>
      <w:lvlText w:val="•"/>
      <w:lvlJc w:val="left"/>
      <w:pPr>
        <w:ind w:left="577" w:hanging="435"/>
      </w:pPr>
      <w:rPr>
        <w:rFonts w:ascii="Times New Roman" w:eastAsia="Times New Roman" w:hAnsi="Times New Roman" w:cs="Times New Roman"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74" w15:restartNumberingAfterBreak="0">
    <w:nsid w:val="1A4E6688"/>
    <w:multiLevelType w:val="hybridMultilevel"/>
    <w:tmpl w:val="3DD2259C"/>
    <w:lvl w:ilvl="0" w:tplc="041B0001">
      <w:start w:val="1"/>
      <w:numFmt w:val="bullet"/>
      <w:lvlText w:val=""/>
      <w:lvlJc w:val="left"/>
      <w:pPr>
        <w:ind w:left="862" w:hanging="360"/>
      </w:pPr>
      <w:rPr>
        <w:rFonts w:ascii="Symbol" w:hAnsi="Symbol" w:hint="default"/>
      </w:rPr>
    </w:lvl>
    <w:lvl w:ilvl="1" w:tplc="FFFFFFFF">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75" w15:restartNumberingAfterBreak="0">
    <w:nsid w:val="1BDA20C6"/>
    <w:multiLevelType w:val="hybridMultilevel"/>
    <w:tmpl w:val="2DC8B192"/>
    <w:lvl w:ilvl="0" w:tplc="3760C606">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6" w15:restartNumberingAfterBreak="0">
    <w:nsid w:val="1BEA0D1E"/>
    <w:multiLevelType w:val="hybridMultilevel"/>
    <w:tmpl w:val="BB3A47D6"/>
    <w:lvl w:ilvl="0" w:tplc="073E3A92">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15:restartNumberingAfterBreak="0">
    <w:nsid w:val="1C30149D"/>
    <w:multiLevelType w:val="hybridMultilevel"/>
    <w:tmpl w:val="0246758C"/>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78" w15:restartNumberingAfterBreak="0">
    <w:nsid w:val="1C4F3F1D"/>
    <w:multiLevelType w:val="hybridMultilevel"/>
    <w:tmpl w:val="F746F5F0"/>
    <w:lvl w:ilvl="0" w:tplc="CA883FE0">
      <w:numFmt w:val="bullet"/>
      <w:lvlText w:val="•"/>
      <w:lvlJc w:val="left"/>
      <w:pPr>
        <w:ind w:left="577" w:hanging="435"/>
      </w:pPr>
      <w:rPr>
        <w:rFonts w:ascii="Times New Roman" w:eastAsia="Times New Roman" w:hAnsi="Times New Roman" w:cs="Times New Roman"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79" w15:restartNumberingAfterBreak="0">
    <w:nsid w:val="1C8837BD"/>
    <w:multiLevelType w:val="hybridMultilevel"/>
    <w:tmpl w:val="010EB1C2"/>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80" w15:restartNumberingAfterBreak="0">
    <w:nsid w:val="1C8B291B"/>
    <w:multiLevelType w:val="hybridMultilevel"/>
    <w:tmpl w:val="410259B0"/>
    <w:lvl w:ilvl="0" w:tplc="3760C606">
      <w:start w:val="1"/>
      <w:numFmt w:val="bullet"/>
      <w:lvlText w:val=""/>
      <w:lvlJc w:val="left"/>
      <w:pPr>
        <w:ind w:left="924" w:hanging="567"/>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81" w15:restartNumberingAfterBreak="0">
    <w:nsid w:val="1CA22343"/>
    <w:multiLevelType w:val="hybridMultilevel"/>
    <w:tmpl w:val="C25A979A"/>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158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82" w15:restartNumberingAfterBreak="0">
    <w:nsid w:val="1CAA6806"/>
    <w:multiLevelType w:val="hybridMultilevel"/>
    <w:tmpl w:val="EC5C476A"/>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83" w15:restartNumberingAfterBreak="0">
    <w:nsid w:val="1CB326A5"/>
    <w:multiLevelType w:val="hybridMultilevel"/>
    <w:tmpl w:val="742E650A"/>
    <w:lvl w:ilvl="0" w:tplc="001A1DC6">
      <w:numFmt w:val="bullet"/>
      <w:lvlText w:val="•"/>
      <w:lvlJc w:val="left"/>
      <w:pPr>
        <w:ind w:left="577" w:hanging="435"/>
      </w:pPr>
      <w:rPr>
        <w:rFonts w:ascii="Times New Roman" w:eastAsia="Times New Roman" w:hAnsi="Times New Roman" w:cs="Times New Roman"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84" w15:restartNumberingAfterBreak="0">
    <w:nsid w:val="1D1E3774"/>
    <w:multiLevelType w:val="hybridMultilevel"/>
    <w:tmpl w:val="54523CAE"/>
    <w:lvl w:ilvl="0" w:tplc="073E3A92">
      <w:start w:val="1"/>
      <w:numFmt w:val="bullet"/>
      <w:lvlText w:val=""/>
      <w:lvlJc w:val="left"/>
      <w:pPr>
        <w:ind w:left="924" w:hanging="567"/>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85" w15:restartNumberingAfterBreak="0">
    <w:nsid w:val="1D446F4A"/>
    <w:multiLevelType w:val="hybridMultilevel"/>
    <w:tmpl w:val="4F7A8C80"/>
    <w:lvl w:ilvl="0" w:tplc="871E1F04">
      <w:numFmt w:val="bullet"/>
      <w:lvlText w:val="•"/>
      <w:lvlJc w:val="left"/>
      <w:pPr>
        <w:ind w:left="930" w:hanging="57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6" w15:restartNumberingAfterBreak="0">
    <w:nsid w:val="1D520CF5"/>
    <w:multiLevelType w:val="hybridMultilevel"/>
    <w:tmpl w:val="93AA7D3A"/>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87" w15:restartNumberingAfterBreak="0">
    <w:nsid w:val="1D656AD2"/>
    <w:multiLevelType w:val="hybridMultilevel"/>
    <w:tmpl w:val="76EA49F2"/>
    <w:lvl w:ilvl="0" w:tplc="041B0001">
      <w:start w:val="1"/>
      <w:numFmt w:val="bullet"/>
      <w:lvlText w:val=""/>
      <w:lvlJc w:val="left"/>
      <w:pPr>
        <w:ind w:left="1077" w:hanging="360"/>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88" w15:restartNumberingAfterBreak="0">
    <w:nsid w:val="1DAF7570"/>
    <w:multiLevelType w:val="hybridMultilevel"/>
    <w:tmpl w:val="4288EF42"/>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89" w15:restartNumberingAfterBreak="0">
    <w:nsid w:val="1DFC7762"/>
    <w:multiLevelType w:val="hybridMultilevel"/>
    <w:tmpl w:val="6FC40D3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0" w15:restartNumberingAfterBreak="0">
    <w:nsid w:val="1E9565ED"/>
    <w:multiLevelType w:val="hybridMultilevel"/>
    <w:tmpl w:val="06400336"/>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91" w15:restartNumberingAfterBreak="0">
    <w:nsid w:val="1EDA50E4"/>
    <w:multiLevelType w:val="hybridMultilevel"/>
    <w:tmpl w:val="DFEE69F8"/>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92" w15:restartNumberingAfterBreak="0">
    <w:nsid w:val="1F2B5FE7"/>
    <w:multiLevelType w:val="hybridMultilevel"/>
    <w:tmpl w:val="4B5ED43A"/>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86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93" w15:restartNumberingAfterBreak="0">
    <w:nsid w:val="1F36038F"/>
    <w:multiLevelType w:val="hybridMultilevel"/>
    <w:tmpl w:val="0CDCAFF0"/>
    <w:lvl w:ilvl="0" w:tplc="D4D6AE4C">
      <w:numFmt w:val="bullet"/>
      <w:lvlText w:val="•"/>
      <w:lvlJc w:val="left"/>
      <w:pPr>
        <w:ind w:left="577" w:hanging="435"/>
      </w:pPr>
      <w:rPr>
        <w:rFonts w:ascii="Times New Roman" w:eastAsia="Times New Roman" w:hAnsi="Times New Roman" w:cs="Times New Roman" w:hint="default"/>
        <w:color w:val="000000"/>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94" w15:restartNumberingAfterBreak="0">
    <w:nsid w:val="1F7919CD"/>
    <w:multiLevelType w:val="hybridMultilevel"/>
    <w:tmpl w:val="FEF4A0BA"/>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158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95" w15:restartNumberingAfterBreak="0">
    <w:nsid w:val="21543B05"/>
    <w:multiLevelType w:val="hybridMultilevel"/>
    <w:tmpl w:val="E78CA28A"/>
    <w:lvl w:ilvl="0" w:tplc="073E3A92">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6" w15:restartNumberingAfterBreak="0">
    <w:nsid w:val="21B60D64"/>
    <w:multiLevelType w:val="hybridMultilevel"/>
    <w:tmpl w:val="CA6661DC"/>
    <w:lvl w:ilvl="0" w:tplc="F3A46694">
      <w:numFmt w:val="bullet"/>
      <w:lvlText w:val="•"/>
      <w:lvlJc w:val="left"/>
      <w:pPr>
        <w:ind w:left="930" w:hanging="57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7" w15:restartNumberingAfterBreak="0">
    <w:nsid w:val="21EC0E6D"/>
    <w:multiLevelType w:val="hybridMultilevel"/>
    <w:tmpl w:val="556A3F94"/>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98" w15:restartNumberingAfterBreak="0">
    <w:nsid w:val="223A3DEA"/>
    <w:multiLevelType w:val="hybridMultilevel"/>
    <w:tmpl w:val="16AC0BB6"/>
    <w:lvl w:ilvl="0" w:tplc="073E3A92">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9" w15:restartNumberingAfterBreak="0">
    <w:nsid w:val="227B074B"/>
    <w:multiLevelType w:val="hybridMultilevel"/>
    <w:tmpl w:val="17684838"/>
    <w:lvl w:ilvl="0" w:tplc="073E3A92">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0" w15:restartNumberingAfterBreak="0">
    <w:nsid w:val="227E7C7B"/>
    <w:multiLevelType w:val="hybridMultilevel"/>
    <w:tmpl w:val="818094A8"/>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01" w15:restartNumberingAfterBreak="0">
    <w:nsid w:val="22C0558F"/>
    <w:multiLevelType w:val="hybridMultilevel"/>
    <w:tmpl w:val="4CE20C4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2" w15:restartNumberingAfterBreak="0">
    <w:nsid w:val="22DA3CA8"/>
    <w:multiLevelType w:val="hybridMultilevel"/>
    <w:tmpl w:val="8B2EC792"/>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03" w15:restartNumberingAfterBreak="0">
    <w:nsid w:val="232F698D"/>
    <w:multiLevelType w:val="hybridMultilevel"/>
    <w:tmpl w:val="26525F54"/>
    <w:lvl w:ilvl="0" w:tplc="3760C606">
      <w:start w:val="1"/>
      <w:numFmt w:val="bullet"/>
      <w:lvlText w:val=""/>
      <w:lvlJc w:val="left"/>
      <w:pPr>
        <w:ind w:left="924" w:hanging="567"/>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104" w15:restartNumberingAfterBreak="0">
    <w:nsid w:val="23AE71CF"/>
    <w:multiLevelType w:val="hybridMultilevel"/>
    <w:tmpl w:val="35DA579A"/>
    <w:lvl w:ilvl="0" w:tplc="0DDADF40">
      <w:numFmt w:val="bullet"/>
      <w:lvlText w:val="•"/>
      <w:lvlJc w:val="left"/>
      <w:pPr>
        <w:ind w:left="577" w:hanging="435"/>
      </w:pPr>
      <w:rPr>
        <w:rFonts w:ascii="Times New Roman" w:eastAsia="Times New Roman" w:hAnsi="Times New Roman" w:cs="Times New Roman"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105" w15:restartNumberingAfterBreak="0">
    <w:nsid w:val="23FA59A6"/>
    <w:multiLevelType w:val="hybridMultilevel"/>
    <w:tmpl w:val="19CC15E8"/>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06" w15:restartNumberingAfterBreak="0">
    <w:nsid w:val="24AC108D"/>
    <w:multiLevelType w:val="hybridMultilevel"/>
    <w:tmpl w:val="143CB5F6"/>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158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07" w15:restartNumberingAfterBreak="0">
    <w:nsid w:val="256832C3"/>
    <w:multiLevelType w:val="hybridMultilevel"/>
    <w:tmpl w:val="36A61074"/>
    <w:lvl w:ilvl="0" w:tplc="27A69090">
      <w:start w:val="1"/>
      <w:numFmt w:val="bullet"/>
      <w:lvlText w:val=""/>
      <w:lvlJc w:val="left"/>
      <w:pPr>
        <w:ind w:left="1582" w:hanging="360"/>
      </w:pPr>
      <w:rPr>
        <w:rFonts w:ascii="Symbol" w:hAnsi="Symbol" w:hint="default"/>
      </w:rPr>
    </w:lvl>
    <w:lvl w:ilvl="1" w:tplc="041B0003" w:tentative="1">
      <w:start w:val="1"/>
      <w:numFmt w:val="bullet"/>
      <w:lvlText w:val="o"/>
      <w:lvlJc w:val="left"/>
      <w:pPr>
        <w:ind w:left="2302" w:hanging="360"/>
      </w:pPr>
      <w:rPr>
        <w:rFonts w:ascii="Courier New" w:hAnsi="Courier New" w:cs="Courier New" w:hint="default"/>
      </w:rPr>
    </w:lvl>
    <w:lvl w:ilvl="2" w:tplc="041B0005" w:tentative="1">
      <w:start w:val="1"/>
      <w:numFmt w:val="bullet"/>
      <w:lvlText w:val=""/>
      <w:lvlJc w:val="left"/>
      <w:pPr>
        <w:ind w:left="3022" w:hanging="360"/>
      </w:pPr>
      <w:rPr>
        <w:rFonts w:ascii="Wingdings" w:hAnsi="Wingdings" w:hint="default"/>
      </w:rPr>
    </w:lvl>
    <w:lvl w:ilvl="3" w:tplc="041B0001" w:tentative="1">
      <w:start w:val="1"/>
      <w:numFmt w:val="bullet"/>
      <w:lvlText w:val=""/>
      <w:lvlJc w:val="left"/>
      <w:pPr>
        <w:ind w:left="3742" w:hanging="360"/>
      </w:pPr>
      <w:rPr>
        <w:rFonts w:ascii="Symbol" w:hAnsi="Symbol" w:hint="default"/>
      </w:rPr>
    </w:lvl>
    <w:lvl w:ilvl="4" w:tplc="041B0003" w:tentative="1">
      <w:start w:val="1"/>
      <w:numFmt w:val="bullet"/>
      <w:lvlText w:val="o"/>
      <w:lvlJc w:val="left"/>
      <w:pPr>
        <w:ind w:left="4462" w:hanging="360"/>
      </w:pPr>
      <w:rPr>
        <w:rFonts w:ascii="Courier New" w:hAnsi="Courier New" w:cs="Courier New" w:hint="default"/>
      </w:rPr>
    </w:lvl>
    <w:lvl w:ilvl="5" w:tplc="041B0005" w:tentative="1">
      <w:start w:val="1"/>
      <w:numFmt w:val="bullet"/>
      <w:lvlText w:val=""/>
      <w:lvlJc w:val="left"/>
      <w:pPr>
        <w:ind w:left="5182" w:hanging="360"/>
      </w:pPr>
      <w:rPr>
        <w:rFonts w:ascii="Wingdings" w:hAnsi="Wingdings" w:hint="default"/>
      </w:rPr>
    </w:lvl>
    <w:lvl w:ilvl="6" w:tplc="041B0001" w:tentative="1">
      <w:start w:val="1"/>
      <w:numFmt w:val="bullet"/>
      <w:lvlText w:val=""/>
      <w:lvlJc w:val="left"/>
      <w:pPr>
        <w:ind w:left="5902" w:hanging="360"/>
      </w:pPr>
      <w:rPr>
        <w:rFonts w:ascii="Symbol" w:hAnsi="Symbol" w:hint="default"/>
      </w:rPr>
    </w:lvl>
    <w:lvl w:ilvl="7" w:tplc="041B0003" w:tentative="1">
      <w:start w:val="1"/>
      <w:numFmt w:val="bullet"/>
      <w:lvlText w:val="o"/>
      <w:lvlJc w:val="left"/>
      <w:pPr>
        <w:ind w:left="6622" w:hanging="360"/>
      </w:pPr>
      <w:rPr>
        <w:rFonts w:ascii="Courier New" w:hAnsi="Courier New" w:cs="Courier New" w:hint="default"/>
      </w:rPr>
    </w:lvl>
    <w:lvl w:ilvl="8" w:tplc="041B0005" w:tentative="1">
      <w:start w:val="1"/>
      <w:numFmt w:val="bullet"/>
      <w:lvlText w:val=""/>
      <w:lvlJc w:val="left"/>
      <w:pPr>
        <w:ind w:left="7342" w:hanging="360"/>
      </w:pPr>
      <w:rPr>
        <w:rFonts w:ascii="Wingdings" w:hAnsi="Wingdings" w:hint="default"/>
      </w:rPr>
    </w:lvl>
  </w:abstractNum>
  <w:abstractNum w:abstractNumId="108" w15:restartNumberingAfterBreak="0">
    <w:nsid w:val="269027D8"/>
    <w:multiLevelType w:val="hybridMultilevel"/>
    <w:tmpl w:val="A8E6F956"/>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09" w15:restartNumberingAfterBreak="0">
    <w:nsid w:val="26B05C19"/>
    <w:multiLevelType w:val="hybridMultilevel"/>
    <w:tmpl w:val="C8D29442"/>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10" w15:restartNumberingAfterBreak="0">
    <w:nsid w:val="26FE0826"/>
    <w:multiLevelType w:val="hybridMultilevel"/>
    <w:tmpl w:val="8A52D9A8"/>
    <w:lvl w:ilvl="0" w:tplc="3760C606">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1" w15:restartNumberingAfterBreak="0">
    <w:nsid w:val="272E36C8"/>
    <w:multiLevelType w:val="hybridMultilevel"/>
    <w:tmpl w:val="7708ED18"/>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158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12" w15:restartNumberingAfterBreak="0">
    <w:nsid w:val="275F25AF"/>
    <w:multiLevelType w:val="hybridMultilevel"/>
    <w:tmpl w:val="E86AB478"/>
    <w:lvl w:ilvl="0" w:tplc="073E3A92">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3" w15:restartNumberingAfterBreak="0">
    <w:nsid w:val="276D291D"/>
    <w:multiLevelType w:val="hybridMultilevel"/>
    <w:tmpl w:val="04C8C748"/>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14" w15:restartNumberingAfterBreak="0">
    <w:nsid w:val="27A817B4"/>
    <w:multiLevelType w:val="hybridMultilevel"/>
    <w:tmpl w:val="FD1CAF62"/>
    <w:lvl w:ilvl="0" w:tplc="3760C606">
      <w:start w:val="1"/>
      <w:numFmt w:val="bullet"/>
      <w:lvlText w:val=""/>
      <w:lvlJc w:val="left"/>
      <w:pPr>
        <w:ind w:left="924" w:hanging="567"/>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115" w15:restartNumberingAfterBreak="0">
    <w:nsid w:val="27CB52EE"/>
    <w:multiLevelType w:val="hybridMultilevel"/>
    <w:tmpl w:val="53E4D70A"/>
    <w:lvl w:ilvl="0" w:tplc="3760C606">
      <w:start w:val="1"/>
      <w:numFmt w:val="bullet"/>
      <w:lvlText w:val=""/>
      <w:lvlJc w:val="left"/>
      <w:pPr>
        <w:ind w:left="924" w:hanging="567"/>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116" w15:restartNumberingAfterBreak="0">
    <w:nsid w:val="28132649"/>
    <w:multiLevelType w:val="hybridMultilevel"/>
    <w:tmpl w:val="D1FA1B06"/>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17" w15:restartNumberingAfterBreak="0">
    <w:nsid w:val="28841421"/>
    <w:multiLevelType w:val="hybridMultilevel"/>
    <w:tmpl w:val="6EB22A48"/>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86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18" w15:restartNumberingAfterBreak="0">
    <w:nsid w:val="28A206DE"/>
    <w:multiLevelType w:val="hybridMultilevel"/>
    <w:tmpl w:val="2C9E29EE"/>
    <w:lvl w:ilvl="0" w:tplc="3760C606">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9" w15:restartNumberingAfterBreak="0">
    <w:nsid w:val="28A56DC6"/>
    <w:multiLevelType w:val="hybridMultilevel"/>
    <w:tmpl w:val="14FEACD4"/>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20" w15:restartNumberingAfterBreak="0">
    <w:nsid w:val="293929BF"/>
    <w:multiLevelType w:val="hybridMultilevel"/>
    <w:tmpl w:val="91BC69C4"/>
    <w:lvl w:ilvl="0" w:tplc="073E3A92">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1" w15:restartNumberingAfterBreak="0">
    <w:nsid w:val="2A9718F2"/>
    <w:multiLevelType w:val="hybridMultilevel"/>
    <w:tmpl w:val="639E2C3E"/>
    <w:lvl w:ilvl="0" w:tplc="073E3A92">
      <w:start w:val="1"/>
      <w:numFmt w:val="bullet"/>
      <w:lvlText w:val=""/>
      <w:lvlJc w:val="left"/>
      <w:pPr>
        <w:ind w:left="924" w:hanging="567"/>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122" w15:restartNumberingAfterBreak="0">
    <w:nsid w:val="2AFC4C01"/>
    <w:multiLevelType w:val="hybridMultilevel"/>
    <w:tmpl w:val="7EE0B6E8"/>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158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23" w15:restartNumberingAfterBreak="0">
    <w:nsid w:val="2B2143B9"/>
    <w:multiLevelType w:val="hybridMultilevel"/>
    <w:tmpl w:val="9EBE8A60"/>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24" w15:restartNumberingAfterBreak="0">
    <w:nsid w:val="2B360061"/>
    <w:multiLevelType w:val="hybridMultilevel"/>
    <w:tmpl w:val="7228D648"/>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25" w15:restartNumberingAfterBreak="0">
    <w:nsid w:val="2B55254A"/>
    <w:multiLevelType w:val="hybridMultilevel"/>
    <w:tmpl w:val="859ACB78"/>
    <w:lvl w:ilvl="0" w:tplc="1A4EA8A0">
      <w:numFmt w:val="bullet"/>
      <w:lvlText w:val="•"/>
      <w:lvlJc w:val="left"/>
      <w:pPr>
        <w:ind w:left="577" w:hanging="435"/>
      </w:pPr>
      <w:rPr>
        <w:rFonts w:ascii="Times New Roman" w:eastAsia="Times New Roman" w:hAnsi="Times New Roman" w:cs="Times New Roman"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126" w15:restartNumberingAfterBreak="0">
    <w:nsid w:val="2BC90391"/>
    <w:multiLevelType w:val="hybridMultilevel"/>
    <w:tmpl w:val="26481D64"/>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27" w15:restartNumberingAfterBreak="0">
    <w:nsid w:val="2C6E36B0"/>
    <w:multiLevelType w:val="hybridMultilevel"/>
    <w:tmpl w:val="8494C088"/>
    <w:lvl w:ilvl="0" w:tplc="041B0001">
      <w:start w:val="1"/>
      <w:numFmt w:val="bullet"/>
      <w:lvlText w:val=""/>
      <w:lvlJc w:val="left"/>
      <w:pPr>
        <w:ind w:left="643" w:hanging="360"/>
      </w:pPr>
      <w:rPr>
        <w:rFonts w:ascii="Symbol" w:hAnsi="Symbol" w:hint="default"/>
      </w:rPr>
    </w:lvl>
    <w:lvl w:ilvl="1" w:tplc="041B0003">
      <w:start w:val="1"/>
      <w:numFmt w:val="bullet"/>
      <w:lvlText w:val="o"/>
      <w:lvlJc w:val="left"/>
      <w:pPr>
        <w:ind w:left="1363" w:hanging="360"/>
      </w:pPr>
      <w:rPr>
        <w:rFonts w:ascii="Courier New" w:hAnsi="Courier New" w:cs="Courier New" w:hint="default"/>
      </w:rPr>
    </w:lvl>
    <w:lvl w:ilvl="2" w:tplc="041B0005" w:tentative="1">
      <w:start w:val="1"/>
      <w:numFmt w:val="bullet"/>
      <w:lvlText w:val=""/>
      <w:lvlJc w:val="left"/>
      <w:pPr>
        <w:ind w:left="2083" w:hanging="360"/>
      </w:pPr>
      <w:rPr>
        <w:rFonts w:ascii="Wingdings" w:hAnsi="Wingdings" w:hint="default"/>
      </w:rPr>
    </w:lvl>
    <w:lvl w:ilvl="3" w:tplc="041B0001" w:tentative="1">
      <w:start w:val="1"/>
      <w:numFmt w:val="bullet"/>
      <w:lvlText w:val=""/>
      <w:lvlJc w:val="left"/>
      <w:pPr>
        <w:ind w:left="2803" w:hanging="360"/>
      </w:pPr>
      <w:rPr>
        <w:rFonts w:ascii="Symbol" w:hAnsi="Symbol" w:hint="default"/>
      </w:rPr>
    </w:lvl>
    <w:lvl w:ilvl="4" w:tplc="041B0003" w:tentative="1">
      <w:start w:val="1"/>
      <w:numFmt w:val="bullet"/>
      <w:lvlText w:val="o"/>
      <w:lvlJc w:val="left"/>
      <w:pPr>
        <w:ind w:left="3523" w:hanging="360"/>
      </w:pPr>
      <w:rPr>
        <w:rFonts w:ascii="Courier New" w:hAnsi="Courier New" w:cs="Courier New" w:hint="default"/>
      </w:rPr>
    </w:lvl>
    <w:lvl w:ilvl="5" w:tplc="041B0005" w:tentative="1">
      <w:start w:val="1"/>
      <w:numFmt w:val="bullet"/>
      <w:lvlText w:val=""/>
      <w:lvlJc w:val="left"/>
      <w:pPr>
        <w:ind w:left="4243" w:hanging="360"/>
      </w:pPr>
      <w:rPr>
        <w:rFonts w:ascii="Wingdings" w:hAnsi="Wingdings" w:hint="default"/>
      </w:rPr>
    </w:lvl>
    <w:lvl w:ilvl="6" w:tplc="041B0001" w:tentative="1">
      <w:start w:val="1"/>
      <w:numFmt w:val="bullet"/>
      <w:lvlText w:val=""/>
      <w:lvlJc w:val="left"/>
      <w:pPr>
        <w:ind w:left="4963" w:hanging="360"/>
      </w:pPr>
      <w:rPr>
        <w:rFonts w:ascii="Symbol" w:hAnsi="Symbol" w:hint="default"/>
      </w:rPr>
    </w:lvl>
    <w:lvl w:ilvl="7" w:tplc="041B0003" w:tentative="1">
      <w:start w:val="1"/>
      <w:numFmt w:val="bullet"/>
      <w:lvlText w:val="o"/>
      <w:lvlJc w:val="left"/>
      <w:pPr>
        <w:ind w:left="5683" w:hanging="360"/>
      </w:pPr>
      <w:rPr>
        <w:rFonts w:ascii="Courier New" w:hAnsi="Courier New" w:cs="Courier New" w:hint="default"/>
      </w:rPr>
    </w:lvl>
    <w:lvl w:ilvl="8" w:tplc="041B0005" w:tentative="1">
      <w:start w:val="1"/>
      <w:numFmt w:val="bullet"/>
      <w:lvlText w:val=""/>
      <w:lvlJc w:val="left"/>
      <w:pPr>
        <w:ind w:left="6403" w:hanging="360"/>
      </w:pPr>
      <w:rPr>
        <w:rFonts w:ascii="Wingdings" w:hAnsi="Wingdings" w:hint="default"/>
      </w:rPr>
    </w:lvl>
  </w:abstractNum>
  <w:abstractNum w:abstractNumId="128" w15:restartNumberingAfterBreak="0">
    <w:nsid w:val="2D0305B9"/>
    <w:multiLevelType w:val="hybridMultilevel"/>
    <w:tmpl w:val="14C89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2D3F0DE8"/>
    <w:multiLevelType w:val="hybridMultilevel"/>
    <w:tmpl w:val="81D2DB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0" w15:restartNumberingAfterBreak="0">
    <w:nsid w:val="2DCA6D80"/>
    <w:multiLevelType w:val="hybridMultilevel"/>
    <w:tmpl w:val="128CC106"/>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31" w15:restartNumberingAfterBreak="0">
    <w:nsid w:val="2EB75F3F"/>
    <w:multiLevelType w:val="hybridMultilevel"/>
    <w:tmpl w:val="8AC4E526"/>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32"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133" w15:restartNumberingAfterBreak="0">
    <w:nsid w:val="2EF94D34"/>
    <w:multiLevelType w:val="hybridMultilevel"/>
    <w:tmpl w:val="2410D2D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4" w15:restartNumberingAfterBreak="0">
    <w:nsid w:val="2F131DF6"/>
    <w:multiLevelType w:val="hybridMultilevel"/>
    <w:tmpl w:val="57C0F412"/>
    <w:lvl w:ilvl="0" w:tplc="3760C606">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5" w15:restartNumberingAfterBreak="0">
    <w:nsid w:val="2FED4682"/>
    <w:multiLevelType w:val="hybridMultilevel"/>
    <w:tmpl w:val="40E883D6"/>
    <w:lvl w:ilvl="0" w:tplc="073E3A92">
      <w:start w:val="1"/>
      <w:numFmt w:val="bullet"/>
      <w:lvlText w:val=""/>
      <w:lvlJc w:val="left"/>
      <w:pPr>
        <w:ind w:left="924" w:hanging="567"/>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136" w15:restartNumberingAfterBreak="0">
    <w:nsid w:val="300B4B16"/>
    <w:multiLevelType w:val="hybridMultilevel"/>
    <w:tmpl w:val="B8BECEC0"/>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37" w15:restartNumberingAfterBreak="0">
    <w:nsid w:val="30781980"/>
    <w:multiLevelType w:val="hybridMultilevel"/>
    <w:tmpl w:val="D466D656"/>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38" w15:restartNumberingAfterBreak="0">
    <w:nsid w:val="309C1ABD"/>
    <w:multiLevelType w:val="hybridMultilevel"/>
    <w:tmpl w:val="DBD28200"/>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39" w15:restartNumberingAfterBreak="0">
    <w:nsid w:val="309D32DC"/>
    <w:multiLevelType w:val="hybridMultilevel"/>
    <w:tmpl w:val="28D86AE0"/>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158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40" w15:restartNumberingAfterBreak="0">
    <w:nsid w:val="30D10BAE"/>
    <w:multiLevelType w:val="hybridMultilevel"/>
    <w:tmpl w:val="A99C3224"/>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41" w15:restartNumberingAfterBreak="0">
    <w:nsid w:val="315B1B3B"/>
    <w:multiLevelType w:val="hybridMultilevel"/>
    <w:tmpl w:val="B504F49C"/>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42" w15:restartNumberingAfterBreak="0">
    <w:nsid w:val="31AA75BB"/>
    <w:multiLevelType w:val="hybridMultilevel"/>
    <w:tmpl w:val="A0520FD6"/>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43" w15:restartNumberingAfterBreak="0">
    <w:nsid w:val="31B645C4"/>
    <w:multiLevelType w:val="hybridMultilevel"/>
    <w:tmpl w:val="38CE899C"/>
    <w:lvl w:ilvl="0" w:tplc="3640BBCC">
      <w:numFmt w:val="bullet"/>
      <w:lvlText w:val="•"/>
      <w:lvlJc w:val="left"/>
      <w:pPr>
        <w:ind w:left="567" w:hanging="425"/>
      </w:pPr>
      <w:rPr>
        <w:rFonts w:ascii="Times New Roman" w:eastAsia="Times New Roman" w:hAnsi="Times New Roman" w:cs="Times New Roman"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144" w15:restartNumberingAfterBreak="0">
    <w:nsid w:val="323969CE"/>
    <w:multiLevelType w:val="hybridMultilevel"/>
    <w:tmpl w:val="A0F8DBD6"/>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45" w15:restartNumberingAfterBreak="0">
    <w:nsid w:val="3260391A"/>
    <w:multiLevelType w:val="hybridMultilevel"/>
    <w:tmpl w:val="058ACEBC"/>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46" w15:restartNumberingAfterBreak="0">
    <w:nsid w:val="333A7EF9"/>
    <w:multiLevelType w:val="hybridMultilevel"/>
    <w:tmpl w:val="C19E83C6"/>
    <w:lvl w:ilvl="0" w:tplc="073E3A92">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7" w15:restartNumberingAfterBreak="0">
    <w:nsid w:val="33FF0842"/>
    <w:multiLevelType w:val="hybridMultilevel"/>
    <w:tmpl w:val="DF32084C"/>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48" w15:restartNumberingAfterBreak="0">
    <w:nsid w:val="3428333D"/>
    <w:multiLevelType w:val="hybridMultilevel"/>
    <w:tmpl w:val="F06602F0"/>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49" w15:restartNumberingAfterBreak="0">
    <w:nsid w:val="34351D53"/>
    <w:multiLevelType w:val="hybridMultilevel"/>
    <w:tmpl w:val="C60A0B68"/>
    <w:lvl w:ilvl="0" w:tplc="50D204C8">
      <w:numFmt w:val="bullet"/>
      <w:lvlText w:val="•"/>
      <w:lvlJc w:val="left"/>
      <w:pPr>
        <w:ind w:left="577" w:hanging="435"/>
      </w:pPr>
      <w:rPr>
        <w:rFonts w:ascii="Times New Roman" w:eastAsia="Times New Roman" w:hAnsi="Times New Roman" w:cs="Times New Roman"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150" w15:restartNumberingAfterBreak="0">
    <w:nsid w:val="34BD03AF"/>
    <w:multiLevelType w:val="hybridMultilevel"/>
    <w:tmpl w:val="EB0268DC"/>
    <w:lvl w:ilvl="0" w:tplc="073E3A92">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1" w15:restartNumberingAfterBreak="0">
    <w:nsid w:val="34C64C3C"/>
    <w:multiLevelType w:val="hybridMultilevel"/>
    <w:tmpl w:val="2C24EE26"/>
    <w:lvl w:ilvl="0" w:tplc="FD80D74C">
      <w:numFmt w:val="bullet"/>
      <w:lvlText w:val="•"/>
      <w:lvlJc w:val="left"/>
      <w:pPr>
        <w:ind w:left="577" w:hanging="435"/>
      </w:pPr>
      <w:rPr>
        <w:rFonts w:ascii="Times New Roman" w:eastAsia="Times New Roman" w:hAnsi="Times New Roman" w:cs="Times New Roman"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152" w15:restartNumberingAfterBreak="0">
    <w:nsid w:val="34DF0153"/>
    <w:multiLevelType w:val="hybridMultilevel"/>
    <w:tmpl w:val="FF6A0892"/>
    <w:lvl w:ilvl="0" w:tplc="073E3A92">
      <w:start w:val="1"/>
      <w:numFmt w:val="bullet"/>
      <w:lvlText w:val=""/>
      <w:lvlJc w:val="left"/>
      <w:pPr>
        <w:ind w:left="924" w:hanging="567"/>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153" w15:restartNumberingAfterBreak="0">
    <w:nsid w:val="3500117A"/>
    <w:multiLevelType w:val="hybridMultilevel"/>
    <w:tmpl w:val="97F41BF0"/>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54" w15:restartNumberingAfterBreak="0">
    <w:nsid w:val="35FD57C8"/>
    <w:multiLevelType w:val="hybridMultilevel"/>
    <w:tmpl w:val="C6AA092A"/>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158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55" w15:restartNumberingAfterBreak="0">
    <w:nsid w:val="36202C34"/>
    <w:multiLevelType w:val="hybridMultilevel"/>
    <w:tmpl w:val="E87A2700"/>
    <w:lvl w:ilvl="0" w:tplc="3A24061E">
      <w:numFmt w:val="bullet"/>
      <w:lvlText w:val="•"/>
      <w:lvlJc w:val="left"/>
      <w:pPr>
        <w:ind w:left="577" w:hanging="435"/>
      </w:pPr>
      <w:rPr>
        <w:rFonts w:ascii="Times New Roman" w:eastAsia="Times New Roman" w:hAnsi="Times New Roman" w:cs="Times New Roman"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156" w15:restartNumberingAfterBreak="0">
    <w:nsid w:val="36AD4544"/>
    <w:multiLevelType w:val="hybridMultilevel"/>
    <w:tmpl w:val="598E1056"/>
    <w:lvl w:ilvl="0" w:tplc="041B0001">
      <w:start w:val="1"/>
      <w:numFmt w:val="bullet"/>
      <w:lvlText w:val=""/>
      <w:lvlJc w:val="left"/>
      <w:pPr>
        <w:ind w:left="862" w:hanging="360"/>
      </w:pPr>
      <w:rPr>
        <w:rFonts w:ascii="Symbol" w:hAnsi="Symbol" w:hint="default"/>
      </w:rPr>
    </w:lvl>
    <w:lvl w:ilvl="1" w:tplc="FFFFFFFF">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57" w15:restartNumberingAfterBreak="0">
    <w:nsid w:val="37EF7E9E"/>
    <w:multiLevelType w:val="hybridMultilevel"/>
    <w:tmpl w:val="10AE3404"/>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158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58" w15:restartNumberingAfterBreak="0">
    <w:nsid w:val="3870727A"/>
    <w:multiLevelType w:val="hybridMultilevel"/>
    <w:tmpl w:val="3C285760"/>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86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59" w15:restartNumberingAfterBreak="0">
    <w:nsid w:val="395532BF"/>
    <w:multiLevelType w:val="hybridMultilevel"/>
    <w:tmpl w:val="2C26F888"/>
    <w:lvl w:ilvl="0" w:tplc="3760C606">
      <w:start w:val="1"/>
      <w:numFmt w:val="bullet"/>
      <w:lvlText w:val=""/>
      <w:lvlJc w:val="left"/>
      <w:pPr>
        <w:ind w:left="924" w:hanging="567"/>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160" w15:restartNumberingAfterBreak="0">
    <w:nsid w:val="3C7D4DE9"/>
    <w:multiLevelType w:val="hybridMultilevel"/>
    <w:tmpl w:val="4790B7CE"/>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61" w15:restartNumberingAfterBreak="0">
    <w:nsid w:val="3CF83322"/>
    <w:multiLevelType w:val="hybridMultilevel"/>
    <w:tmpl w:val="BA0E3156"/>
    <w:lvl w:ilvl="0" w:tplc="073E3A92">
      <w:start w:val="1"/>
      <w:numFmt w:val="bullet"/>
      <w:lvlText w:val=""/>
      <w:lvlJc w:val="left"/>
      <w:pPr>
        <w:ind w:left="924" w:hanging="567"/>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162" w15:restartNumberingAfterBreak="0">
    <w:nsid w:val="3D7731D4"/>
    <w:multiLevelType w:val="hybridMultilevel"/>
    <w:tmpl w:val="583085F6"/>
    <w:lvl w:ilvl="0" w:tplc="96DC1BAE">
      <w:numFmt w:val="bullet"/>
      <w:lvlText w:val="•"/>
      <w:lvlJc w:val="left"/>
      <w:pPr>
        <w:ind w:left="577" w:hanging="435"/>
      </w:pPr>
      <w:rPr>
        <w:rFonts w:ascii="Times New Roman" w:eastAsia="Times New Roman" w:hAnsi="Times New Roman" w:cs="Times New Roman"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163" w15:restartNumberingAfterBreak="0">
    <w:nsid w:val="3DBB0167"/>
    <w:multiLevelType w:val="hybridMultilevel"/>
    <w:tmpl w:val="DEDADD5C"/>
    <w:lvl w:ilvl="0" w:tplc="073E3A92">
      <w:start w:val="1"/>
      <w:numFmt w:val="bullet"/>
      <w:lvlText w:val=""/>
      <w:lvlJc w:val="left"/>
      <w:pPr>
        <w:ind w:left="924" w:hanging="567"/>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164" w15:restartNumberingAfterBreak="0">
    <w:nsid w:val="3E0F7999"/>
    <w:multiLevelType w:val="hybridMultilevel"/>
    <w:tmpl w:val="30D4BD26"/>
    <w:lvl w:ilvl="0" w:tplc="2EAE1B64">
      <w:numFmt w:val="bullet"/>
      <w:lvlText w:val="•"/>
      <w:lvlJc w:val="left"/>
      <w:pPr>
        <w:ind w:left="577" w:hanging="435"/>
      </w:pPr>
      <w:rPr>
        <w:rFonts w:ascii="Times New Roman" w:eastAsia="Times New Roman" w:hAnsi="Times New Roman" w:cs="Times New Roman"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165" w15:restartNumberingAfterBreak="0">
    <w:nsid w:val="3E3A6A3C"/>
    <w:multiLevelType w:val="hybridMultilevel"/>
    <w:tmpl w:val="76CE4F4E"/>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66" w15:restartNumberingAfterBreak="0">
    <w:nsid w:val="3E8A06AC"/>
    <w:multiLevelType w:val="hybridMultilevel"/>
    <w:tmpl w:val="B5368432"/>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158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67" w15:restartNumberingAfterBreak="0">
    <w:nsid w:val="3E9467F2"/>
    <w:multiLevelType w:val="hybridMultilevel"/>
    <w:tmpl w:val="1836309E"/>
    <w:lvl w:ilvl="0" w:tplc="073E3A92">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8" w15:restartNumberingAfterBreak="0">
    <w:nsid w:val="3ED12830"/>
    <w:multiLevelType w:val="hybridMultilevel"/>
    <w:tmpl w:val="C3A4F758"/>
    <w:lvl w:ilvl="0" w:tplc="3760C606">
      <w:start w:val="1"/>
      <w:numFmt w:val="bullet"/>
      <w:lvlText w:val=""/>
      <w:lvlJc w:val="left"/>
      <w:pPr>
        <w:ind w:left="924" w:hanging="567"/>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169" w15:restartNumberingAfterBreak="0">
    <w:nsid w:val="3F167CF4"/>
    <w:multiLevelType w:val="hybridMultilevel"/>
    <w:tmpl w:val="D0F4D502"/>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70" w15:restartNumberingAfterBreak="0">
    <w:nsid w:val="3F2D638F"/>
    <w:multiLevelType w:val="hybridMultilevel"/>
    <w:tmpl w:val="598A6B66"/>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86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71" w15:restartNumberingAfterBreak="0">
    <w:nsid w:val="3F3759DB"/>
    <w:multiLevelType w:val="hybridMultilevel"/>
    <w:tmpl w:val="CEBC807E"/>
    <w:lvl w:ilvl="0" w:tplc="073E3A92">
      <w:start w:val="1"/>
      <w:numFmt w:val="bullet"/>
      <w:lvlText w:val=""/>
      <w:lvlJc w:val="left"/>
      <w:pPr>
        <w:ind w:left="851" w:hanging="567"/>
      </w:pPr>
      <w:rPr>
        <w:rFonts w:ascii="Symbol" w:hAnsi="Symbol"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172" w15:restartNumberingAfterBreak="0">
    <w:nsid w:val="3F8D37DB"/>
    <w:multiLevelType w:val="hybridMultilevel"/>
    <w:tmpl w:val="3B404F14"/>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73" w15:restartNumberingAfterBreak="0">
    <w:nsid w:val="402D2D6E"/>
    <w:multiLevelType w:val="hybridMultilevel"/>
    <w:tmpl w:val="FFF8571C"/>
    <w:lvl w:ilvl="0" w:tplc="FFFFFFFF">
      <w:start w:val="1"/>
      <w:numFmt w:val="bullet"/>
      <w:lvlText w:val=""/>
      <w:lvlJc w:val="left"/>
      <w:pPr>
        <w:ind w:left="720" w:hanging="360"/>
      </w:pPr>
      <w:rPr>
        <w:rFonts w:ascii="Symbol" w:hAnsi="Symbol" w:hint="default"/>
      </w:rPr>
    </w:lvl>
    <w:lvl w:ilvl="1" w:tplc="041B0001">
      <w:start w:val="1"/>
      <w:numFmt w:val="bullet"/>
      <w:lvlText w:val=""/>
      <w:lvlJc w:val="left"/>
      <w:pPr>
        <w:ind w:left="1582"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4" w15:restartNumberingAfterBreak="0">
    <w:nsid w:val="409F43E0"/>
    <w:multiLevelType w:val="hybridMultilevel"/>
    <w:tmpl w:val="32AC7C82"/>
    <w:lvl w:ilvl="0" w:tplc="1E0058E8">
      <w:numFmt w:val="bullet"/>
      <w:lvlText w:val="•"/>
      <w:lvlJc w:val="left"/>
      <w:pPr>
        <w:ind w:left="577" w:hanging="435"/>
      </w:pPr>
      <w:rPr>
        <w:rFonts w:ascii="Times New Roman" w:eastAsia="Times New Roman" w:hAnsi="Times New Roman" w:cs="Times New Roman" w:hint="default"/>
        <w:color w:val="auto"/>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175" w15:restartNumberingAfterBreak="0">
    <w:nsid w:val="418B3F1D"/>
    <w:multiLevelType w:val="hybridMultilevel"/>
    <w:tmpl w:val="F3A24206"/>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76" w15:restartNumberingAfterBreak="0">
    <w:nsid w:val="418E23DF"/>
    <w:multiLevelType w:val="hybridMultilevel"/>
    <w:tmpl w:val="02721D16"/>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158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77" w15:restartNumberingAfterBreak="0">
    <w:nsid w:val="42807B8B"/>
    <w:multiLevelType w:val="hybridMultilevel"/>
    <w:tmpl w:val="BEAA34EA"/>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78" w15:restartNumberingAfterBreak="0">
    <w:nsid w:val="42A02DA8"/>
    <w:multiLevelType w:val="hybridMultilevel"/>
    <w:tmpl w:val="6D02654A"/>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79" w15:restartNumberingAfterBreak="0">
    <w:nsid w:val="43084AE0"/>
    <w:multiLevelType w:val="hybridMultilevel"/>
    <w:tmpl w:val="1C9E2AE8"/>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644"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80" w15:restartNumberingAfterBreak="0">
    <w:nsid w:val="430A2475"/>
    <w:multiLevelType w:val="hybridMultilevel"/>
    <w:tmpl w:val="BD0E6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43142B0F"/>
    <w:multiLevelType w:val="hybridMultilevel"/>
    <w:tmpl w:val="595C995E"/>
    <w:lvl w:ilvl="0" w:tplc="041B000F">
      <w:start w:val="1"/>
      <w:numFmt w:val="decimal"/>
      <w:lvlText w:val="%1."/>
      <w:lvlJc w:val="left"/>
      <w:pPr>
        <w:ind w:left="862" w:hanging="360"/>
      </w:pPr>
    </w:lvl>
    <w:lvl w:ilvl="1" w:tplc="041B0019">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182" w15:restartNumberingAfterBreak="0">
    <w:nsid w:val="43926F1C"/>
    <w:multiLevelType w:val="hybridMultilevel"/>
    <w:tmpl w:val="90208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44470FC6"/>
    <w:multiLevelType w:val="hybridMultilevel"/>
    <w:tmpl w:val="C7C67A36"/>
    <w:lvl w:ilvl="0" w:tplc="3760C606">
      <w:start w:val="1"/>
      <w:numFmt w:val="bullet"/>
      <w:lvlText w:val=""/>
      <w:lvlJc w:val="left"/>
      <w:pPr>
        <w:ind w:left="924" w:hanging="567"/>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184" w15:restartNumberingAfterBreak="0">
    <w:nsid w:val="44B4629A"/>
    <w:multiLevelType w:val="hybridMultilevel"/>
    <w:tmpl w:val="DE18C43C"/>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85" w15:restartNumberingAfterBreak="0">
    <w:nsid w:val="45366C44"/>
    <w:multiLevelType w:val="hybridMultilevel"/>
    <w:tmpl w:val="596AA1D8"/>
    <w:lvl w:ilvl="0" w:tplc="3760C606">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6" w15:restartNumberingAfterBreak="0">
    <w:nsid w:val="458013E9"/>
    <w:multiLevelType w:val="hybridMultilevel"/>
    <w:tmpl w:val="8654C17A"/>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158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87" w15:restartNumberingAfterBreak="0">
    <w:nsid w:val="464803D6"/>
    <w:multiLevelType w:val="hybridMultilevel"/>
    <w:tmpl w:val="8C8436F8"/>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88" w15:restartNumberingAfterBreak="0">
    <w:nsid w:val="465E3DD8"/>
    <w:multiLevelType w:val="hybridMultilevel"/>
    <w:tmpl w:val="8EC4987C"/>
    <w:lvl w:ilvl="0" w:tplc="744ACCAC">
      <w:numFmt w:val="bullet"/>
      <w:lvlText w:val="•"/>
      <w:lvlJc w:val="left"/>
      <w:pPr>
        <w:ind w:left="577" w:hanging="435"/>
      </w:pPr>
      <w:rPr>
        <w:rFonts w:ascii="Times New Roman" w:eastAsia="Times New Roman" w:hAnsi="Times New Roman" w:cs="Times New Roman"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189" w15:restartNumberingAfterBreak="0">
    <w:nsid w:val="46E203AE"/>
    <w:multiLevelType w:val="hybridMultilevel"/>
    <w:tmpl w:val="B6E035BE"/>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90" w15:restartNumberingAfterBreak="0">
    <w:nsid w:val="473A2CFB"/>
    <w:multiLevelType w:val="hybridMultilevel"/>
    <w:tmpl w:val="F5684606"/>
    <w:lvl w:ilvl="0" w:tplc="041B0001">
      <w:start w:val="1"/>
      <w:numFmt w:val="bullet"/>
      <w:lvlText w:val=""/>
      <w:lvlJc w:val="left"/>
      <w:pPr>
        <w:ind w:left="862" w:hanging="360"/>
      </w:pPr>
      <w:rPr>
        <w:rFonts w:ascii="Symbol" w:hAnsi="Symbol" w:hint="default"/>
      </w:rPr>
    </w:lvl>
    <w:lvl w:ilvl="1" w:tplc="FFFFFFFF">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91" w15:restartNumberingAfterBreak="0">
    <w:nsid w:val="47776C07"/>
    <w:multiLevelType w:val="hybridMultilevel"/>
    <w:tmpl w:val="6E925AA4"/>
    <w:lvl w:ilvl="0" w:tplc="F786822C">
      <w:numFmt w:val="bullet"/>
      <w:lvlText w:val="•"/>
      <w:lvlJc w:val="left"/>
      <w:pPr>
        <w:ind w:left="577" w:hanging="435"/>
      </w:pPr>
      <w:rPr>
        <w:rFonts w:ascii="Times New Roman" w:eastAsia="Times New Roman" w:hAnsi="Times New Roman" w:cs="Times New Roman"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192" w15:restartNumberingAfterBreak="0">
    <w:nsid w:val="47890E82"/>
    <w:multiLevelType w:val="hybridMultilevel"/>
    <w:tmpl w:val="81AADE1C"/>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93" w15:restartNumberingAfterBreak="0">
    <w:nsid w:val="480B14E3"/>
    <w:multiLevelType w:val="hybridMultilevel"/>
    <w:tmpl w:val="DA8855CC"/>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94" w15:restartNumberingAfterBreak="0">
    <w:nsid w:val="490C16A7"/>
    <w:multiLevelType w:val="hybridMultilevel"/>
    <w:tmpl w:val="6BA4CB96"/>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95" w15:restartNumberingAfterBreak="0">
    <w:nsid w:val="4953330A"/>
    <w:multiLevelType w:val="hybridMultilevel"/>
    <w:tmpl w:val="743EF804"/>
    <w:lvl w:ilvl="0" w:tplc="073E3A92">
      <w:start w:val="1"/>
      <w:numFmt w:val="bullet"/>
      <w:lvlText w:val=""/>
      <w:lvlJc w:val="left"/>
      <w:pPr>
        <w:ind w:left="924" w:hanging="567"/>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196" w15:restartNumberingAfterBreak="0">
    <w:nsid w:val="498E0847"/>
    <w:multiLevelType w:val="hybridMultilevel"/>
    <w:tmpl w:val="834449CE"/>
    <w:lvl w:ilvl="0" w:tplc="3760C606">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7" w15:restartNumberingAfterBreak="0">
    <w:nsid w:val="4A322DB0"/>
    <w:multiLevelType w:val="hybridMultilevel"/>
    <w:tmpl w:val="65DADEA4"/>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158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98" w15:restartNumberingAfterBreak="0">
    <w:nsid w:val="4A6A76E9"/>
    <w:multiLevelType w:val="hybridMultilevel"/>
    <w:tmpl w:val="2EF4A912"/>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99" w15:restartNumberingAfterBreak="0">
    <w:nsid w:val="4BF002FC"/>
    <w:multiLevelType w:val="hybridMultilevel"/>
    <w:tmpl w:val="4B0676A0"/>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00" w15:restartNumberingAfterBreak="0">
    <w:nsid w:val="4BF672DD"/>
    <w:multiLevelType w:val="hybridMultilevel"/>
    <w:tmpl w:val="9BCC4A54"/>
    <w:lvl w:ilvl="0" w:tplc="9E1E8584">
      <w:numFmt w:val="bullet"/>
      <w:lvlText w:val="•"/>
      <w:lvlJc w:val="left"/>
      <w:pPr>
        <w:ind w:left="577" w:hanging="435"/>
      </w:pPr>
      <w:rPr>
        <w:rFonts w:ascii="Times New Roman" w:eastAsia="Times New Roman" w:hAnsi="Times New Roman" w:cs="Times New Roman" w:hint="default"/>
        <w:color w:val="auto"/>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201" w15:restartNumberingAfterBreak="0">
    <w:nsid w:val="4BF77E6E"/>
    <w:multiLevelType w:val="hybridMultilevel"/>
    <w:tmpl w:val="0C5ED978"/>
    <w:lvl w:ilvl="0" w:tplc="3760C606">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2" w15:restartNumberingAfterBreak="0">
    <w:nsid w:val="4C094B0A"/>
    <w:multiLevelType w:val="hybridMultilevel"/>
    <w:tmpl w:val="0884EFCA"/>
    <w:lvl w:ilvl="0" w:tplc="FFFFFFFF">
      <w:start w:val="1"/>
      <w:numFmt w:val="bullet"/>
      <w:lvlText w:val=""/>
      <w:lvlJc w:val="left"/>
      <w:pPr>
        <w:ind w:left="720" w:hanging="360"/>
      </w:pPr>
      <w:rPr>
        <w:rFonts w:ascii="Symbol" w:hAnsi="Symbol" w:hint="default"/>
      </w:rPr>
    </w:lvl>
    <w:lvl w:ilvl="1" w:tplc="041B0001">
      <w:start w:val="1"/>
      <w:numFmt w:val="bullet"/>
      <w:lvlText w:val=""/>
      <w:lvlJc w:val="left"/>
      <w:pPr>
        <w:ind w:left="1582"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3" w15:restartNumberingAfterBreak="0">
    <w:nsid w:val="4CC603FD"/>
    <w:multiLevelType w:val="hybridMultilevel"/>
    <w:tmpl w:val="4692E4D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4" w15:restartNumberingAfterBreak="0">
    <w:nsid w:val="4D8818F6"/>
    <w:multiLevelType w:val="hybridMultilevel"/>
    <w:tmpl w:val="934C5FFA"/>
    <w:lvl w:ilvl="0" w:tplc="FFFFFFFF">
      <w:start w:val="1"/>
      <w:numFmt w:val="bullet"/>
      <w:lvlText w:val=""/>
      <w:lvlJc w:val="left"/>
      <w:pPr>
        <w:ind w:left="720" w:hanging="360"/>
      </w:pPr>
      <w:rPr>
        <w:rFonts w:ascii="Symbol" w:hAnsi="Symbol" w:hint="default"/>
      </w:rPr>
    </w:lvl>
    <w:lvl w:ilvl="1" w:tplc="041B0001">
      <w:start w:val="1"/>
      <w:numFmt w:val="bullet"/>
      <w:lvlText w:val=""/>
      <w:lvlJc w:val="left"/>
      <w:pPr>
        <w:ind w:left="1582"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5" w15:restartNumberingAfterBreak="0">
    <w:nsid w:val="4E8103B0"/>
    <w:multiLevelType w:val="hybridMultilevel"/>
    <w:tmpl w:val="E58CE428"/>
    <w:lvl w:ilvl="0" w:tplc="7EBEC8C6">
      <w:numFmt w:val="bullet"/>
      <w:lvlText w:val=""/>
      <w:lvlJc w:val="left"/>
      <w:pPr>
        <w:ind w:left="924" w:hanging="564"/>
      </w:pPr>
      <w:rPr>
        <w:rFonts w:ascii="Symbol" w:eastAsia="Times New Roman" w:hAnsi="Symbol"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6" w15:restartNumberingAfterBreak="0">
    <w:nsid w:val="4EA71E02"/>
    <w:multiLevelType w:val="hybridMultilevel"/>
    <w:tmpl w:val="F6408A96"/>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07" w15:restartNumberingAfterBreak="0">
    <w:nsid w:val="4F401144"/>
    <w:multiLevelType w:val="hybridMultilevel"/>
    <w:tmpl w:val="201E8D8A"/>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08" w15:restartNumberingAfterBreak="0">
    <w:nsid w:val="4F467681"/>
    <w:multiLevelType w:val="hybridMultilevel"/>
    <w:tmpl w:val="05E0C118"/>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86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09" w15:restartNumberingAfterBreak="0">
    <w:nsid w:val="4F523664"/>
    <w:multiLevelType w:val="hybridMultilevel"/>
    <w:tmpl w:val="91304CD2"/>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158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10" w15:restartNumberingAfterBreak="0">
    <w:nsid w:val="4FD14434"/>
    <w:multiLevelType w:val="hybridMultilevel"/>
    <w:tmpl w:val="4B46497C"/>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86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11" w15:restartNumberingAfterBreak="0">
    <w:nsid w:val="503B340C"/>
    <w:multiLevelType w:val="hybridMultilevel"/>
    <w:tmpl w:val="C1C2CCA0"/>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12" w15:restartNumberingAfterBreak="0">
    <w:nsid w:val="507B46FB"/>
    <w:multiLevelType w:val="hybridMultilevel"/>
    <w:tmpl w:val="9E56DE22"/>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86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13" w15:restartNumberingAfterBreak="0">
    <w:nsid w:val="50B16F20"/>
    <w:multiLevelType w:val="hybridMultilevel"/>
    <w:tmpl w:val="C6F8985E"/>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14" w15:restartNumberingAfterBreak="0">
    <w:nsid w:val="50F4607C"/>
    <w:multiLevelType w:val="hybridMultilevel"/>
    <w:tmpl w:val="A3C8B786"/>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86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15" w15:restartNumberingAfterBreak="0">
    <w:nsid w:val="52024DEE"/>
    <w:multiLevelType w:val="hybridMultilevel"/>
    <w:tmpl w:val="B44C5C5C"/>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158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16" w15:restartNumberingAfterBreak="0">
    <w:nsid w:val="52142292"/>
    <w:multiLevelType w:val="hybridMultilevel"/>
    <w:tmpl w:val="C56EBE60"/>
    <w:lvl w:ilvl="0" w:tplc="073E3A92">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7" w15:restartNumberingAfterBreak="0">
    <w:nsid w:val="52334396"/>
    <w:multiLevelType w:val="hybridMultilevel"/>
    <w:tmpl w:val="10C47E9C"/>
    <w:lvl w:ilvl="0" w:tplc="3760C606">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8" w15:restartNumberingAfterBreak="0">
    <w:nsid w:val="523D2D5A"/>
    <w:multiLevelType w:val="hybridMultilevel"/>
    <w:tmpl w:val="8AC4F302"/>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86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19" w15:restartNumberingAfterBreak="0">
    <w:nsid w:val="52B23935"/>
    <w:multiLevelType w:val="hybridMultilevel"/>
    <w:tmpl w:val="5218E6C0"/>
    <w:lvl w:ilvl="0" w:tplc="041B0001">
      <w:start w:val="1"/>
      <w:numFmt w:val="bullet"/>
      <w:lvlText w:val=""/>
      <w:lvlJc w:val="left"/>
      <w:pPr>
        <w:ind w:left="862" w:hanging="360"/>
      </w:pPr>
      <w:rPr>
        <w:rFonts w:ascii="Symbol" w:hAnsi="Symbol" w:hint="default"/>
      </w:rPr>
    </w:lvl>
    <w:lvl w:ilvl="1" w:tplc="FFFFFFFF">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20" w15:restartNumberingAfterBreak="0">
    <w:nsid w:val="53552D7F"/>
    <w:multiLevelType w:val="hybridMultilevel"/>
    <w:tmpl w:val="602A9620"/>
    <w:lvl w:ilvl="0" w:tplc="3760C606">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1" w15:restartNumberingAfterBreak="0">
    <w:nsid w:val="535815A3"/>
    <w:multiLevelType w:val="hybridMultilevel"/>
    <w:tmpl w:val="C3A8AB2A"/>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158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22" w15:restartNumberingAfterBreak="0">
    <w:nsid w:val="54312582"/>
    <w:multiLevelType w:val="hybridMultilevel"/>
    <w:tmpl w:val="87C03A8C"/>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86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23" w15:restartNumberingAfterBreak="0">
    <w:nsid w:val="5462769D"/>
    <w:multiLevelType w:val="hybridMultilevel"/>
    <w:tmpl w:val="F4921984"/>
    <w:lvl w:ilvl="0" w:tplc="3760C606">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4" w15:restartNumberingAfterBreak="0">
    <w:nsid w:val="547270A1"/>
    <w:multiLevelType w:val="hybridMultilevel"/>
    <w:tmpl w:val="3AD44D7C"/>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25" w15:restartNumberingAfterBreak="0">
    <w:nsid w:val="5477114D"/>
    <w:multiLevelType w:val="hybridMultilevel"/>
    <w:tmpl w:val="BB3A4346"/>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26" w15:restartNumberingAfterBreak="0">
    <w:nsid w:val="54F73DD2"/>
    <w:multiLevelType w:val="hybridMultilevel"/>
    <w:tmpl w:val="E870BA90"/>
    <w:lvl w:ilvl="0" w:tplc="073E3A92">
      <w:start w:val="1"/>
      <w:numFmt w:val="bullet"/>
      <w:lvlText w:val=""/>
      <w:lvlJc w:val="left"/>
      <w:pPr>
        <w:ind w:left="851" w:hanging="567"/>
      </w:pPr>
      <w:rPr>
        <w:rFonts w:ascii="Symbol" w:hAnsi="Symbol"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227" w15:restartNumberingAfterBreak="0">
    <w:nsid w:val="551141B4"/>
    <w:multiLevelType w:val="hybridMultilevel"/>
    <w:tmpl w:val="96EED3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8" w15:restartNumberingAfterBreak="0">
    <w:nsid w:val="5538099E"/>
    <w:multiLevelType w:val="hybridMultilevel"/>
    <w:tmpl w:val="47E6C8F8"/>
    <w:lvl w:ilvl="0" w:tplc="3760C606">
      <w:start w:val="1"/>
      <w:numFmt w:val="bullet"/>
      <w:lvlText w:val=""/>
      <w:lvlJc w:val="left"/>
      <w:pPr>
        <w:ind w:left="924" w:hanging="567"/>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229" w15:restartNumberingAfterBreak="0">
    <w:nsid w:val="55862FBB"/>
    <w:multiLevelType w:val="hybridMultilevel"/>
    <w:tmpl w:val="76B6BDCA"/>
    <w:lvl w:ilvl="0" w:tplc="B3A68F4A">
      <w:numFmt w:val="bullet"/>
      <w:lvlText w:val="•"/>
      <w:lvlJc w:val="left"/>
      <w:pPr>
        <w:ind w:left="577" w:hanging="435"/>
      </w:pPr>
      <w:rPr>
        <w:rFonts w:ascii="Times New Roman" w:eastAsia="Times New Roman" w:hAnsi="Times New Roman" w:cs="Times New Roman" w:hint="default"/>
        <w:color w:val="000000"/>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230" w15:restartNumberingAfterBreak="0">
    <w:nsid w:val="56833985"/>
    <w:multiLevelType w:val="hybridMultilevel"/>
    <w:tmpl w:val="CA0A8CE4"/>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31" w15:restartNumberingAfterBreak="0">
    <w:nsid w:val="56C15F2B"/>
    <w:multiLevelType w:val="hybridMultilevel"/>
    <w:tmpl w:val="9F865CAE"/>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32" w15:restartNumberingAfterBreak="0">
    <w:nsid w:val="571E5F49"/>
    <w:multiLevelType w:val="hybridMultilevel"/>
    <w:tmpl w:val="93663D70"/>
    <w:lvl w:ilvl="0" w:tplc="041B0001">
      <w:start w:val="1"/>
      <w:numFmt w:val="bullet"/>
      <w:lvlText w:val=""/>
      <w:lvlJc w:val="left"/>
      <w:pPr>
        <w:ind w:left="862" w:hanging="360"/>
      </w:pPr>
      <w:rPr>
        <w:rFonts w:ascii="Symbol" w:hAnsi="Symbol" w:hint="default"/>
      </w:rPr>
    </w:lvl>
    <w:lvl w:ilvl="1" w:tplc="041B0001">
      <w:start w:val="1"/>
      <w:numFmt w:val="bullet"/>
      <w:lvlText w:val=""/>
      <w:lvlJc w:val="left"/>
      <w:pPr>
        <w:ind w:left="862" w:hanging="360"/>
      </w:pPr>
      <w:rPr>
        <w:rFonts w:ascii="Symbol" w:hAnsi="Symbol"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33" w15:restartNumberingAfterBreak="0">
    <w:nsid w:val="584D3F84"/>
    <w:multiLevelType w:val="hybridMultilevel"/>
    <w:tmpl w:val="D3F0550A"/>
    <w:lvl w:ilvl="0" w:tplc="041B0001">
      <w:start w:val="1"/>
      <w:numFmt w:val="bullet"/>
      <w:lvlText w:val=""/>
      <w:lvlJc w:val="left"/>
      <w:pPr>
        <w:ind w:left="862" w:hanging="360"/>
      </w:pPr>
      <w:rPr>
        <w:rFonts w:ascii="Symbol" w:hAnsi="Symbol" w:hint="default"/>
      </w:rPr>
    </w:lvl>
    <w:lvl w:ilvl="1" w:tplc="FFFFFFFF">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34" w15:restartNumberingAfterBreak="0">
    <w:nsid w:val="594D180C"/>
    <w:multiLevelType w:val="hybridMultilevel"/>
    <w:tmpl w:val="12140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59AB3942"/>
    <w:multiLevelType w:val="hybridMultilevel"/>
    <w:tmpl w:val="A6AA3276"/>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36" w15:restartNumberingAfterBreak="0">
    <w:nsid w:val="5A6E6B76"/>
    <w:multiLevelType w:val="hybridMultilevel"/>
    <w:tmpl w:val="DBA02F44"/>
    <w:lvl w:ilvl="0" w:tplc="3760C606">
      <w:start w:val="1"/>
      <w:numFmt w:val="bullet"/>
      <w:lvlText w:val=""/>
      <w:lvlJc w:val="left"/>
      <w:pPr>
        <w:ind w:left="924" w:hanging="567"/>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237" w15:restartNumberingAfterBreak="0">
    <w:nsid w:val="5A9E3B28"/>
    <w:multiLevelType w:val="hybridMultilevel"/>
    <w:tmpl w:val="B614C5F0"/>
    <w:lvl w:ilvl="0" w:tplc="BDF02856">
      <w:numFmt w:val="bullet"/>
      <w:lvlText w:val="•"/>
      <w:lvlJc w:val="left"/>
      <w:pPr>
        <w:ind w:left="577" w:hanging="435"/>
      </w:pPr>
      <w:rPr>
        <w:rFonts w:ascii="Times New Roman" w:eastAsia="Times New Roman" w:hAnsi="Times New Roman" w:cs="Times New Roman"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238" w15:restartNumberingAfterBreak="0">
    <w:nsid w:val="5AAE2111"/>
    <w:multiLevelType w:val="hybridMultilevel"/>
    <w:tmpl w:val="666CCD92"/>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39" w15:restartNumberingAfterBreak="0">
    <w:nsid w:val="5ACA2E8F"/>
    <w:multiLevelType w:val="hybridMultilevel"/>
    <w:tmpl w:val="95A692FE"/>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158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40" w15:restartNumberingAfterBreak="0">
    <w:nsid w:val="5B7023F9"/>
    <w:multiLevelType w:val="hybridMultilevel"/>
    <w:tmpl w:val="E34C8244"/>
    <w:lvl w:ilvl="0" w:tplc="BFFE0B88">
      <w:numFmt w:val="bullet"/>
      <w:lvlText w:val="•"/>
      <w:lvlJc w:val="left"/>
      <w:pPr>
        <w:ind w:left="577" w:hanging="435"/>
      </w:pPr>
      <w:rPr>
        <w:rFonts w:ascii="Times New Roman" w:eastAsia="Times New Roman" w:hAnsi="Times New Roman" w:cs="Times New Roman"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241" w15:restartNumberingAfterBreak="0">
    <w:nsid w:val="5B837391"/>
    <w:multiLevelType w:val="hybridMultilevel"/>
    <w:tmpl w:val="0C5EDDB6"/>
    <w:lvl w:ilvl="0" w:tplc="18525DC6">
      <w:numFmt w:val="bullet"/>
      <w:lvlText w:val="•"/>
      <w:lvlJc w:val="left"/>
      <w:pPr>
        <w:ind w:left="930" w:hanging="57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2" w15:restartNumberingAfterBreak="0">
    <w:nsid w:val="5C585886"/>
    <w:multiLevelType w:val="hybridMultilevel"/>
    <w:tmpl w:val="CE3C4EE0"/>
    <w:lvl w:ilvl="0" w:tplc="073E3A92">
      <w:start w:val="1"/>
      <w:numFmt w:val="bullet"/>
      <w:lvlText w:val=""/>
      <w:lvlJc w:val="left"/>
      <w:pPr>
        <w:ind w:left="993" w:hanging="567"/>
      </w:pPr>
      <w:rPr>
        <w:rFonts w:ascii="Symbol" w:hAnsi="Symbol" w:hint="default"/>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243" w15:restartNumberingAfterBreak="0">
    <w:nsid w:val="5C5919B1"/>
    <w:multiLevelType w:val="hybridMultilevel"/>
    <w:tmpl w:val="68A03632"/>
    <w:lvl w:ilvl="0" w:tplc="FFFFFFFF">
      <w:start w:val="1"/>
      <w:numFmt w:val="bullet"/>
      <w:lvlText w:val=""/>
      <w:lvlJc w:val="left"/>
      <w:pPr>
        <w:ind w:left="720" w:hanging="360"/>
      </w:pPr>
      <w:rPr>
        <w:rFonts w:ascii="Symbol" w:hAnsi="Symbol" w:hint="default"/>
      </w:rPr>
    </w:lvl>
    <w:lvl w:ilvl="1" w:tplc="041B0001">
      <w:start w:val="1"/>
      <w:numFmt w:val="bullet"/>
      <w:lvlText w:val=""/>
      <w:lvlJc w:val="left"/>
      <w:pPr>
        <w:ind w:left="1582"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4" w15:restartNumberingAfterBreak="0">
    <w:nsid w:val="5CC23DE6"/>
    <w:multiLevelType w:val="hybridMultilevel"/>
    <w:tmpl w:val="E584A2B6"/>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86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45" w15:restartNumberingAfterBreak="0">
    <w:nsid w:val="5CFA24B2"/>
    <w:multiLevelType w:val="hybridMultilevel"/>
    <w:tmpl w:val="00D07842"/>
    <w:lvl w:ilvl="0" w:tplc="073E3A92">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6" w15:restartNumberingAfterBreak="0">
    <w:nsid w:val="5D3D2784"/>
    <w:multiLevelType w:val="hybridMultilevel"/>
    <w:tmpl w:val="690A1E20"/>
    <w:lvl w:ilvl="0" w:tplc="073E3A92">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7" w15:restartNumberingAfterBreak="0">
    <w:nsid w:val="5D8C03E2"/>
    <w:multiLevelType w:val="hybridMultilevel"/>
    <w:tmpl w:val="DCDC81D4"/>
    <w:lvl w:ilvl="0" w:tplc="D02EF140">
      <w:numFmt w:val="bullet"/>
      <w:lvlText w:val="•"/>
      <w:lvlJc w:val="left"/>
      <w:pPr>
        <w:ind w:left="577" w:hanging="435"/>
      </w:pPr>
      <w:rPr>
        <w:rFonts w:ascii="Times New Roman" w:eastAsia="Times New Roman" w:hAnsi="Times New Roman" w:cs="Times New Roman"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248" w15:restartNumberingAfterBreak="0">
    <w:nsid w:val="5DAE1AA2"/>
    <w:multiLevelType w:val="hybridMultilevel"/>
    <w:tmpl w:val="EFA634E6"/>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49" w15:restartNumberingAfterBreak="0">
    <w:nsid w:val="5DF53D72"/>
    <w:multiLevelType w:val="hybridMultilevel"/>
    <w:tmpl w:val="6658A444"/>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158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50" w15:restartNumberingAfterBreak="0">
    <w:nsid w:val="5E1D5B94"/>
    <w:multiLevelType w:val="hybridMultilevel"/>
    <w:tmpl w:val="21F657EA"/>
    <w:lvl w:ilvl="0" w:tplc="041B0001">
      <w:start w:val="1"/>
      <w:numFmt w:val="bullet"/>
      <w:lvlText w:val=""/>
      <w:lvlJc w:val="left"/>
      <w:pPr>
        <w:ind w:left="862" w:hanging="360"/>
      </w:pPr>
      <w:rPr>
        <w:rFonts w:ascii="Symbol" w:hAnsi="Symbol" w:hint="default"/>
      </w:rPr>
    </w:lvl>
    <w:lvl w:ilvl="1" w:tplc="02DC06A0">
      <w:numFmt w:val="bullet"/>
      <w:lvlText w:val="•"/>
      <w:lvlJc w:val="left"/>
      <w:pPr>
        <w:ind w:left="1657" w:hanging="435"/>
      </w:pPr>
      <w:rPr>
        <w:rFonts w:ascii="Times New Roman" w:eastAsia="Times New Roman" w:hAnsi="Times New Roman" w:cs="Times New Roman"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51" w15:restartNumberingAfterBreak="0">
    <w:nsid w:val="5E3E3C38"/>
    <w:multiLevelType w:val="hybridMultilevel"/>
    <w:tmpl w:val="CF905E88"/>
    <w:lvl w:ilvl="0" w:tplc="041B0001">
      <w:start w:val="1"/>
      <w:numFmt w:val="bullet"/>
      <w:lvlText w:val=""/>
      <w:lvlJc w:val="left"/>
      <w:pPr>
        <w:ind w:left="1077" w:hanging="360"/>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252" w15:restartNumberingAfterBreak="0">
    <w:nsid w:val="612E76E9"/>
    <w:multiLevelType w:val="hybridMultilevel"/>
    <w:tmpl w:val="FE1AD7B8"/>
    <w:lvl w:ilvl="0" w:tplc="FFFFFFFF">
      <w:start w:val="1"/>
      <w:numFmt w:val="bullet"/>
      <w:lvlText w:val=""/>
      <w:lvlJc w:val="left"/>
      <w:pPr>
        <w:ind w:left="720" w:hanging="360"/>
      </w:pPr>
      <w:rPr>
        <w:rFonts w:ascii="Symbol" w:hAnsi="Symbol" w:hint="default"/>
      </w:rPr>
    </w:lvl>
    <w:lvl w:ilvl="1" w:tplc="041B0001">
      <w:start w:val="1"/>
      <w:numFmt w:val="bullet"/>
      <w:lvlText w:val=""/>
      <w:lvlJc w:val="left"/>
      <w:pPr>
        <w:ind w:left="1582"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3" w15:restartNumberingAfterBreak="0">
    <w:nsid w:val="61E306F7"/>
    <w:multiLevelType w:val="hybridMultilevel"/>
    <w:tmpl w:val="BA2808E0"/>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54" w15:restartNumberingAfterBreak="0">
    <w:nsid w:val="61F955E4"/>
    <w:multiLevelType w:val="hybridMultilevel"/>
    <w:tmpl w:val="9D66EE62"/>
    <w:lvl w:ilvl="0" w:tplc="073E3A92">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5" w15:restartNumberingAfterBreak="0">
    <w:nsid w:val="62CC6CAB"/>
    <w:multiLevelType w:val="hybridMultilevel"/>
    <w:tmpl w:val="65F84DC8"/>
    <w:lvl w:ilvl="0" w:tplc="073E3A92">
      <w:start w:val="1"/>
      <w:numFmt w:val="bullet"/>
      <w:lvlText w:val=""/>
      <w:lvlJc w:val="left"/>
      <w:pPr>
        <w:ind w:left="924" w:hanging="567"/>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256" w15:restartNumberingAfterBreak="0">
    <w:nsid w:val="6385256F"/>
    <w:multiLevelType w:val="hybridMultilevel"/>
    <w:tmpl w:val="AFB2D7C0"/>
    <w:lvl w:ilvl="0" w:tplc="27A69090">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57" w15:restartNumberingAfterBreak="0">
    <w:nsid w:val="64281276"/>
    <w:multiLevelType w:val="hybridMultilevel"/>
    <w:tmpl w:val="C97C2ED2"/>
    <w:lvl w:ilvl="0" w:tplc="3760C606">
      <w:start w:val="1"/>
      <w:numFmt w:val="bullet"/>
      <w:lvlText w:val=""/>
      <w:lvlJc w:val="left"/>
      <w:pPr>
        <w:ind w:left="924" w:hanging="567"/>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258" w15:restartNumberingAfterBreak="0">
    <w:nsid w:val="643C2470"/>
    <w:multiLevelType w:val="hybridMultilevel"/>
    <w:tmpl w:val="B6F0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644A3EE3"/>
    <w:multiLevelType w:val="hybridMultilevel"/>
    <w:tmpl w:val="A0A44D6E"/>
    <w:lvl w:ilvl="0" w:tplc="3760C606">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0" w15:restartNumberingAfterBreak="0">
    <w:nsid w:val="64AB2F57"/>
    <w:multiLevelType w:val="hybridMultilevel"/>
    <w:tmpl w:val="C052BA2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1" w15:restartNumberingAfterBreak="0">
    <w:nsid w:val="64D63AD4"/>
    <w:multiLevelType w:val="hybridMultilevel"/>
    <w:tmpl w:val="0B3679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2" w15:restartNumberingAfterBreak="0">
    <w:nsid w:val="653914EE"/>
    <w:multiLevelType w:val="hybridMultilevel"/>
    <w:tmpl w:val="4A6228D0"/>
    <w:lvl w:ilvl="0" w:tplc="073E3A92">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3" w15:restartNumberingAfterBreak="0">
    <w:nsid w:val="65693284"/>
    <w:multiLevelType w:val="hybridMultilevel"/>
    <w:tmpl w:val="4ECAF73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4" w15:restartNumberingAfterBreak="0">
    <w:nsid w:val="656D5083"/>
    <w:multiLevelType w:val="hybridMultilevel"/>
    <w:tmpl w:val="CC2A0CC8"/>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65" w15:restartNumberingAfterBreak="0">
    <w:nsid w:val="65AD79C8"/>
    <w:multiLevelType w:val="hybridMultilevel"/>
    <w:tmpl w:val="63A41C6A"/>
    <w:lvl w:ilvl="0" w:tplc="073E3A92">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6" w15:restartNumberingAfterBreak="0">
    <w:nsid w:val="65F37925"/>
    <w:multiLevelType w:val="hybridMultilevel"/>
    <w:tmpl w:val="B4025244"/>
    <w:lvl w:ilvl="0" w:tplc="073E3A92">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7" w15:restartNumberingAfterBreak="0">
    <w:nsid w:val="665C2C49"/>
    <w:multiLevelType w:val="hybridMultilevel"/>
    <w:tmpl w:val="31C01D84"/>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68" w15:restartNumberingAfterBreak="0">
    <w:nsid w:val="66F91B2F"/>
    <w:multiLevelType w:val="hybridMultilevel"/>
    <w:tmpl w:val="6A0855D6"/>
    <w:lvl w:ilvl="0" w:tplc="2842C9C0">
      <w:numFmt w:val="bullet"/>
      <w:lvlText w:val="•"/>
      <w:lvlJc w:val="left"/>
      <w:pPr>
        <w:ind w:left="577" w:hanging="435"/>
      </w:pPr>
      <w:rPr>
        <w:rFonts w:ascii="Times New Roman" w:eastAsia="Times New Roman" w:hAnsi="Times New Roman" w:cs="Times New Roman"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269" w15:restartNumberingAfterBreak="0">
    <w:nsid w:val="675B541F"/>
    <w:multiLevelType w:val="hybridMultilevel"/>
    <w:tmpl w:val="0D4C9224"/>
    <w:lvl w:ilvl="0" w:tplc="681ECC8E">
      <w:numFmt w:val="bullet"/>
      <w:lvlText w:val="•"/>
      <w:lvlJc w:val="left"/>
      <w:pPr>
        <w:ind w:left="577" w:hanging="435"/>
      </w:pPr>
      <w:rPr>
        <w:rFonts w:ascii="Times New Roman" w:eastAsia="Times New Roman" w:hAnsi="Times New Roman" w:cs="Times New Roman"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270" w15:restartNumberingAfterBreak="0">
    <w:nsid w:val="67847277"/>
    <w:multiLevelType w:val="hybridMultilevel"/>
    <w:tmpl w:val="EABCAF3E"/>
    <w:lvl w:ilvl="0" w:tplc="041B0001">
      <w:start w:val="1"/>
      <w:numFmt w:val="bullet"/>
      <w:lvlText w:val=""/>
      <w:lvlJc w:val="left"/>
      <w:pPr>
        <w:ind w:left="862" w:hanging="360"/>
      </w:pPr>
      <w:rPr>
        <w:rFonts w:ascii="Symbol" w:hAnsi="Symbol" w:hint="default"/>
      </w:rPr>
    </w:lvl>
    <w:lvl w:ilvl="1" w:tplc="692AEBAE">
      <w:numFmt w:val="bullet"/>
      <w:lvlText w:val="•"/>
      <w:lvlJc w:val="left"/>
      <w:pPr>
        <w:ind w:left="1657" w:hanging="435"/>
      </w:pPr>
      <w:rPr>
        <w:rFonts w:ascii="Times New Roman" w:eastAsia="Times New Roman" w:hAnsi="Times New Roman" w:cs="Times New Roman"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71" w15:restartNumberingAfterBreak="0">
    <w:nsid w:val="67F86C4A"/>
    <w:multiLevelType w:val="hybridMultilevel"/>
    <w:tmpl w:val="4B24101C"/>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86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72" w15:restartNumberingAfterBreak="0">
    <w:nsid w:val="6815355A"/>
    <w:multiLevelType w:val="hybridMultilevel"/>
    <w:tmpl w:val="D3C027EE"/>
    <w:lvl w:ilvl="0" w:tplc="3760C606">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3" w15:restartNumberingAfterBreak="0">
    <w:nsid w:val="6833405B"/>
    <w:multiLevelType w:val="hybridMultilevel"/>
    <w:tmpl w:val="632CE7FA"/>
    <w:lvl w:ilvl="0" w:tplc="3760C606">
      <w:start w:val="1"/>
      <w:numFmt w:val="bullet"/>
      <w:lvlText w:val=""/>
      <w:lvlJc w:val="left"/>
      <w:pPr>
        <w:ind w:left="924" w:hanging="567"/>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274" w15:restartNumberingAfterBreak="0">
    <w:nsid w:val="68BD6ABE"/>
    <w:multiLevelType w:val="hybridMultilevel"/>
    <w:tmpl w:val="720E1D22"/>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75" w15:restartNumberingAfterBreak="0">
    <w:nsid w:val="68D9184F"/>
    <w:multiLevelType w:val="hybridMultilevel"/>
    <w:tmpl w:val="15F227EC"/>
    <w:lvl w:ilvl="0" w:tplc="4C445EAA">
      <w:numFmt w:val="bullet"/>
      <w:lvlText w:val="•"/>
      <w:lvlJc w:val="left"/>
      <w:pPr>
        <w:ind w:left="577" w:hanging="435"/>
      </w:pPr>
      <w:rPr>
        <w:rFonts w:ascii="Times New Roman" w:eastAsia="Times New Roman" w:hAnsi="Times New Roman" w:cs="Times New Roman"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276" w15:restartNumberingAfterBreak="0">
    <w:nsid w:val="6939094C"/>
    <w:multiLevelType w:val="hybridMultilevel"/>
    <w:tmpl w:val="C4BC128C"/>
    <w:lvl w:ilvl="0" w:tplc="FFFFFFFF">
      <w:start w:val="1"/>
      <w:numFmt w:val="bullet"/>
      <w:lvlText w:val=""/>
      <w:lvlJc w:val="left"/>
      <w:pPr>
        <w:ind w:left="643" w:hanging="360"/>
      </w:pPr>
      <w:rPr>
        <w:rFonts w:ascii="Symbol" w:hAnsi="Symbol" w:hint="default"/>
      </w:rPr>
    </w:lvl>
    <w:lvl w:ilvl="1" w:tplc="041B0001">
      <w:start w:val="1"/>
      <w:numFmt w:val="bullet"/>
      <w:lvlText w:val=""/>
      <w:lvlJc w:val="left"/>
      <w:pPr>
        <w:ind w:left="862" w:hanging="360"/>
      </w:pPr>
      <w:rPr>
        <w:rFonts w:ascii="Symbol" w:hAnsi="Symbol" w:hint="default"/>
      </w:rPr>
    </w:lvl>
    <w:lvl w:ilvl="2" w:tplc="FFFFFFFF" w:tentative="1">
      <w:start w:val="1"/>
      <w:numFmt w:val="bullet"/>
      <w:lvlText w:val=""/>
      <w:lvlJc w:val="left"/>
      <w:pPr>
        <w:ind w:left="2083" w:hanging="360"/>
      </w:pPr>
      <w:rPr>
        <w:rFonts w:ascii="Wingdings" w:hAnsi="Wingdings" w:hint="default"/>
      </w:rPr>
    </w:lvl>
    <w:lvl w:ilvl="3" w:tplc="FFFFFFFF" w:tentative="1">
      <w:start w:val="1"/>
      <w:numFmt w:val="bullet"/>
      <w:lvlText w:val=""/>
      <w:lvlJc w:val="left"/>
      <w:pPr>
        <w:ind w:left="2803" w:hanging="360"/>
      </w:pPr>
      <w:rPr>
        <w:rFonts w:ascii="Symbol" w:hAnsi="Symbol" w:hint="default"/>
      </w:rPr>
    </w:lvl>
    <w:lvl w:ilvl="4" w:tplc="FFFFFFFF" w:tentative="1">
      <w:start w:val="1"/>
      <w:numFmt w:val="bullet"/>
      <w:lvlText w:val="o"/>
      <w:lvlJc w:val="left"/>
      <w:pPr>
        <w:ind w:left="3523" w:hanging="360"/>
      </w:pPr>
      <w:rPr>
        <w:rFonts w:ascii="Courier New" w:hAnsi="Courier New" w:cs="Courier New" w:hint="default"/>
      </w:rPr>
    </w:lvl>
    <w:lvl w:ilvl="5" w:tplc="FFFFFFFF" w:tentative="1">
      <w:start w:val="1"/>
      <w:numFmt w:val="bullet"/>
      <w:lvlText w:val=""/>
      <w:lvlJc w:val="left"/>
      <w:pPr>
        <w:ind w:left="4243" w:hanging="360"/>
      </w:pPr>
      <w:rPr>
        <w:rFonts w:ascii="Wingdings" w:hAnsi="Wingdings" w:hint="default"/>
      </w:rPr>
    </w:lvl>
    <w:lvl w:ilvl="6" w:tplc="FFFFFFFF" w:tentative="1">
      <w:start w:val="1"/>
      <w:numFmt w:val="bullet"/>
      <w:lvlText w:val=""/>
      <w:lvlJc w:val="left"/>
      <w:pPr>
        <w:ind w:left="4963" w:hanging="360"/>
      </w:pPr>
      <w:rPr>
        <w:rFonts w:ascii="Symbol" w:hAnsi="Symbol" w:hint="default"/>
      </w:rPr>
    </w:lvl>
    <w:lvl w:ilvl="7" w:tplc="FFFFFFFF" w:tentative="1">
      <w:start w:val="1"/>
      <w:numFmt w:val="bullet"/>
      <w:lvlText w:val="o"/>
      <w:lvlJc w:val="left"/>
      <w:pPr>
        <w:ind w:left="5683" w:hanging="360"/>
      </w:pPr>
      <w:rPr>
        <w:rFonts w:ascii="Courier New" w:hAnsi="Courier New" w:cs="Courier New" w:hint="default"/>
      </w:rPr>
    </w:lvl>
    <w:lvl w:ilvl="8" w:tplc="FFFFFFFF" w:tentative="1">
      <w:start w:val="1"/>
      <w:numFmt w:val="bullet"/>
      <w:lvlText w:val=""/>
      <w:lvlJc w:val="left"/>
      <w:pPr>
        <w:ind w:left="6403" w:hanging="360"/>
      </w:pPr>
      <w:rPr>
        <w:rFonts w:ascii="Wingdings" w:hAnsi="Wingdings" w:hint="default"/>
      </w:rPr>
    </w:lvl>
  </w:abstractNum>
  <w:abstractNum w:abstractNumId="277" w15:restartNumberingAfterBreak="0">
    <w:nsid w:val="69594221"/>
    <w:multiLevelType w:val="hybridMultilevel"/>
    <w:tmpl w:val="6E3EB204"/>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86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78" w15:restartNumberingAfterBreak="0">
    <w:nsid w:val="697C78C4"/>
    <w:multiLevelType w:val="hybridMultilevel"/>
    <w:tmpl w:val="B17098D4"/>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79" w15:restartNumberingAfterBreak="0">
    <w:nsid w:val="69AB11F8"/>
    <w:multiLevelType w:val="hybridMultilevel"/>
    <w:tmpl w:val="EFAC4BB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0" w15:restartNumberingAfterBreak="0">
    <w:nsid w:val="6A8704CC"/>
    <w:multiLevelType w:val="hybridMultilevel"/>
    <w:tmpl w:val="8070F182"/>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158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81" w15:restartNumberingAfterBreak="0">
    <w:nsid w:val="6B793EF6"/>
    <w:multiLevelType w:val="hybridMultilevel"/>
    <w:tmpl w:val="57E41772"/>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82" w15:restartNumberingAfterBreak="0">
    <w:nsid w:val="6BC35C23"/>
    <w:multiLevelType w:val="hybridMultilevel"/>
    <w:tmpl w:val="977A952E"/>
    <w:lvl w:ilvl="0" w:tplc="1D48BF5A">
      <w:numFmt w:val="bullet"/>
      <w:lvlText w:val="•"/>
      <w:lvlJc w:val="left"/>
      <w:pPr>
        <w:ind w:left="577" w:hanging="435"/>
      </w:pPr>
      <w:rPr>
        <w:rFonts w:ascii="Times New Roman" w:eastAsia="Times New Roman" w:hAnsi="Times New Roman" w:cs="Times New Roman" w:hint="default"/>
        <w:color w:val="000000"/>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283" w15:restartNumberingAfterBreak="0">
    <w:nsid w:val="6C055149"/>
    <w:multiLevelType w:val="hybridMultilevel"/>
    <w:tmpl w:val="60FAF38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4" w15:restartNumberingAfterBreak="0">
    <w:nsid w:val="6C1370CB"/>
    <w:multiLevelType w:val="hybridMultilevel"/>
    <w:tmpl w:val="1B46ACF2"/>
    <w:lvl w:ilvl="0" w:tplc="D64CBF80">
      <w:numFmt w:val="bullet"/>
      <w:lvlText w:val="•"/>
      <w:lvlJc w:val="left"/>
      <w:pPr>
        <w:ind w:left="577" w:hanging="435"/>
      </w:pPr>
      <w:rPr>
        <w:rFonts w:ascii="Times New Roman" w:eastAsia="Times New Roman" w:hAnsi="Times New Roman" w:cs="Times New Roman"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285" w15:restartNumberingAfterBreak="0">
    <w:nsid w:val="6C73457E"/>
    <w:multiLevelType w:val="hybridMultilevel"/>
    <w:tmpl w:val="68BEA4B6"/>
    <w:lvl w:ilvl="0" w:tplc="073E3A92">
      <w:start w:val="1"/>
      <w:numFmt w:val="bullet"/>
      <w:lvlText w:val=""/>
      <w:lvlJc w:val="left"/>
      <w:pPr>
        <w:ind w:left="924" w:hanging="567"/>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286" w15:restartNumberingAfterBreak="0">
    <w:nsid w:val="6CA6629D"/>
    <w:multiLevelType w:val="hybridMultilevel"/>
    <w:tmpl w:val="CA0EF5FE"/>
    <w:lvl w:ilvl="0" w:tplc="80FCB896">
      <w:numFmt w:val="bullet"/>
      <w:lvlText w:val="•"/>
      <w:lvlJc w:val="left"/>
      <w:pPr>
        <w:ind w:left="567" w:hanging="425"/>
      </w:pPr>
      <w:rPr>
        <w:rFonts w:ascii="Times New Roman" w:eastAsia="Times New Roman" w:hAnsi="Times New Roman" w:cs="Times New Roman"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287" w15:restartNumberingAfterBreak="0">
    <w:nsid w:val="6CD91F6B"/>
    <w:multiLevelType w:val="hybridMultilevel"/>
    <w:tmpl w:val="1F30B800"/>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88" w15:restartNumberingAfterBreak="0">
    <w:nsid w:val="6DCA3C2C"/>
    <w:multiLevelType w:val="hybridMultilevel"/>
    <w:tmpl w:val="FE20948C"/>
    <w:lvl w:ilvl="0" w:tplc="FFFFFFFF">
      <w:start w:val="1"/>
      <w:numFmt w:val="bullet"/>
      <w:lvlText w:val=""/>
      <w:lvlJc w:val="left"/>
      <w:pPr>
        <w:ind w:left="1429" w:hanging="360"/>
      </w:pPr>
      <w:rPr>
        <w:rFonts w:ascii="Symbol" w:hAnsi="Symbol" w:hint="default"/>
      </w:rPr>
    </w:lvl>
    <w:lvl w:ilvl="1" w:tplc="041B0001">
      <w:start w:val="1"/>
      <w:numFmt w:val="bullet"/>
      <w:lvlText w:val=""/>
      <w:lvlJc w:val="left"/>
      <w:pPr>
        <w:ind w:left="862" w:hanging="360"/>
      </w:pPr>
      <w:rPr>
        <w:rFonts w:ascii="Symbol" w:hAnsi="Symbol"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89" w15:restartNumberingAfterBreak="0">
    <w:nsid w:val="6DD70D14"/>
    <w:multiLevelType w:val="hybridMultilevel"/>
    <w:tmpl w:val="B144185A"/>
    <w:lvl w:ilvl="0" w:tplc="073E3A92">
      <w:start w:val="1"/>
      <w:numFmt w:val="bullet"/>
      <w:lvlText w:val=""/>
      <w:lvlJc w:val="left"/>
      <w:pPr>
        <w:ind w:left="851" w:hanging="567"/>
      </w:pPr>
      <w:rPr>
        <w:rFonts w:ascii="Symbol" w:hAnsi="Symbol"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290" w15:restartNumberingAfterBreak="0">
    <w:nsid w:val="6E335925"/>
    <w:multiLevelType w:val="hybridMultilevel"/>
    <w:tmpl w:val="1CA0788E"/>
    <w:lvl w:ilvl="0" w:tplc="F24E4FFE">
      <w:numFmt w:val="bullet"/>
      <w:lvlText w:val="•"/>
      <w:lvlJc w:val="left"/>
      <w:pPr>
        <w:ind w:left="577" w:hanging="435"/>
      </w:pPr>
      <w:rPr>
        <w:rFonts w:ascii="Times New Roman" w:eastAsia="Times New Roman" w:hAnsi="Times New Roman" w:cs="Times New Roman"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291" w15:restartNumberingAfterBreak="0">
    <w:nsid w:val="6E6A37D1"/>
    <w:multiLevelType w:val="hybridMultilevel"/>
    <w:tmpl w:val="F500A936"/>
    <w:lvl w:ilvl="0" w:tplc="3760C606">
      <w:start w:val="1"/>
      <w:numFmt w:val="bullet"/>
      <w:lvlText w:val=""/>
      <w:lvlJc w:val="left"/>
      <w:pPr>
        <w:ind w:left="924" w:hanging="567"/>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292"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3" w15:restartNumberingAfterBreak="0">
    <w:nsid w:val="6EEC2907"/>
    <w:multiLevelType w:val="hybridMultilevel"/>
    <w:tmpl w:val="625CC00C"/>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94" w15:restartNumberingAfterBreak="0">
    <w:nsid w:val="6F1B1EC2"/>
    <w:multiLevelType w:val="hybridMultilevel"/>
    <w:tmpl w:val="55C0416A"/>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95" w15:restartNumberingAfterBreak="0">
    <w:nsid w:val="6FEF74BE"/>
    <w:multiLevelType w:val="hybridMultilevel"/>
    <w:tmpl w:val="DC0C7BBC"/>
    <w:lvl w:ilvl="0" w:tplc="041B0001">
      <w:start w:val="1"/>
      <w:numFmt w:val="bullet"/>
      <w:lvlText w:val=""/>
      <w:lvlJc w:val="left"/>
      <w:pPr>
        <w:ind w:left="862" w:hanging="360"/>
      </w:pPr>
      <w:rPr>
        <w:rFonts w:ascii="Symbol" w:hAnsi="Symbol" w:hint="default"/>
      </w:rPr>
    </w:lvl>
    <w:lvl w:ilvl="1" w:tplc="041B0001">
      <w:start w:val="1"/>
      <w:numFmt w:val="bullet"/>
      <w:lvlText w:val=""/>
      <w:lvlJc w:val="left"/>
      <w:pPr>
        <w:ind w:left="862" w:hanging="360"/>
      </w:pPr>
      <w:rPr>
        <w:rFonts w:ascii="Symbol" w:hAnsi="Symbol"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96" w15:restartNumberingAfterBreak="0">
    <w:nsid w:val="7016561F"/>
    <w:multiLevelType w:val="hybridMultilevel"/>
    <w:tmpl w:val="51C8DB0C"/>
    <w:lvl w:ilvl="0" w:tplc="073E3A92">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7" w15:restartNumberingAfterBreak="0">
    <w:nsid w:val="705376E4"/>
    <w:multiLevelType w:val="hybridMultilevel"/>
    <w:tmpl w:val="C0F4077E"/>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98" w15:restartNumberingAfterBreak="0">
    <w:nsid w:val="70703DE7"/>
    <w:multiLevelType w:val="hybridMultilevel"/>
    <w:tmpl w:val="1D26B5C0"/>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158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99" w15:restartNumberingAfterBreak="0">
    <w:nsid w:val="70722190"/>
    <w:multiLevelType w:val="hybridMultilevel"/>
    <w:tmpl w:val="6F1CE362"/>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00" w15:restartNumberingAfterBreak="0">
    <w:nsid w:val="70C03FED"/>
    <w:multiLevelType w:val="hybridMultilevel"/>
    <w:tmpl w:val="49CC8816"/>
    <w:lvl w:ilvl="0" w:tplc="3760C606">
      <w:start w:val="1"/>
      <w:numFmt w:val="bullet"/>
      <w:lvlText w:val=""/>
      <w:lvlJc w:val="left"/>
      <w:pPr>
        <w:ind w:left="924" w:hanging="567"/>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301" w15:restartNumberingAfterBreak="0">
    <w:nsid w:val="711C0DA8"/>
    <w:multiLevelType w:val="hybridMultilevel"/>
    <w:tmpl w:val="D5AA7E38"/>
    <w:lvl w:ilvl="0" w:tplc="4C4EC854">
      <w:numFmt w:val="bullet"/>
      <w:lvlText w:val="•"/>
      <w:lvlJc w:val="left"/>
      <w:pPr>
        <w:ind w:left="577" w:hanging="435"/>
      </w:pPr>
      <w:rPr>
        <w:rFonts w:ascii="Times New Roman" w:eastAsia="Times New Roman" w:hAnsi="Times New Roman" w:cs="Times New Roman" w:hint="default"/>
        <w:color w:val="auto"/>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302" w15:restartNumberingAfterBreak="0">
    <w:nsid w:val="72D9335F"/>
    <w:multiLevelType w:val="hybridMultilevel"/>
    <w:tmpl w:val="0D8C053E"/>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86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03" w15:restartNumberingAfterBreak="0">
    <w:nsid w:val="73415CB8"/>
    <w:multiLevelType w:val="hybridMultilevel"/>
    <w:tmpl w:val="AF3C02B0"/>
    <w:lvl w:ilvl="0" w:tplc="041B0001">
      <w:start w:val="1"/>
      <w:numFmt w:val="bullet"/>
      <w:lvlText w:val=""/>
      <w:lvlJc w:val="left"/>
      <w:pPr>
        <w:ind w:left="1429" w:hanging="360"/>
      </w:pPr>
      <w:rPr>
        <w:rFonts w:ascii="Symbol" w:hAnsi="Symbol" w:hint="default"/>
      </w:rPr>
    </w:lvl>
    <w:lvl w:ilvl="1" w:tplc="041B0003">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304" w15:restartNumberingAfterBreak="0">
    <w:nsid w:val="73876355"/>
    <w:multiLevelType w:val="hybridMultilevel"/>
    <w:tmpl w:val="ED546D1E"/>
    <w:lvl w:ilvl="0" w:tplc="073E3A92">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5" w15:restartNumberingAfterBreak="0">
    <w:nsid w:val="73C6398C"/>
    <w:multiLevelType w:val="hybridMultilevel"/>
    <w:tmpl w:val="2932B34E"/>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86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06" w15:restartNumberingAfterBreak="0">
    <w:nsid w:val="74164B6D"/>
    <w:multiLevelType w:val="hybridMultilevel"/>
    <w:tmpl w:val="CB980500"/>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07" w15:restartNumberingAfterBreak="0">
    <w:nsid w:val="74DB3B85"/>
    <w:multiLevelType w:val="hybridMultilevel"/>
    <w:tmpl w:val="2BF82368"/>
    <w:lvl w:ilvl="0" w:tplc="3760C606">
      <w:start w:val="1"/>
      <w:numFmt w:val="bullet"/>
      <w:lvlText w:val=""/>
      <w:lvlJc w:val="left"/>
      <w:pPr>
        <w:ind w:left="924" w:hanging="567"/>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308" w15:restartNumberingAfterBreak="0">
    <w:nsid w:val="75BB4FF4"/>
    <w:multiLevelType w:val="hybridMultilevel"/>
    <w:tmpl w:val="56F2F8EC"/>
    <w:lvl w:ilvl="0" w:tplc="FFFFFFFF">
      <w:start w:val="1"/>
      <w:numFmt w:val="bullet"/>
      <w:lvlText w:val=""/>
      <w:lvlJc w:val="left"/>
      <w:pPr>
        <w:ind w:left="720" w:hanging="360"/>
      </w:pPr>
      <w:rPr>
        <w:rFonts w:ascii="Symbol" w:hAnsi="Symbol" w:hint="default"/>
      </w:rPr>
    </w:lvl>
    <w:lvl w:ilvl="1" w:tplc="041B0001">
      <w:start w:val="1"/>
      <w:numFmt w:val="bullet"/>
      <w:lvlText w:val=""/>
      <w:lvlJc w:val="left"/>
      <w:pPr>
        <w:ind w:left="1582"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9" w15:restartNumberingAfterBreak="0">
    <w:nsid w:val="75F92FFB"/>
    <w:multiLevelType w:val="hybridMultilevel"/>
    <w:tmpl w:val="CF06C056"/>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10" w15:restartNumberingAfterBreak="0">
    <w:nsid w:val="76810839"/>
    <w:multiLevelType w:val="hybridMultilevel"/>
    <w:tmpl w:val="6C9C0152"/>
    <w:lvl w:ilvl="0" w:tplc="3760C606">
      <w:start w:val="1"/>
      <w:numFmt w:val="bullet"/>
      <w:lvlText w:val=""/>
      <w:lvlJc w:val="left"/>
      <w:pPr>
        <w:ind w:left="924" w:hanging="567"/>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311" w15:restartNumberingAfterBreak="0">
    <w:nsid w:val="76A158E7"/>
    <w:multiLevelType w:val="hybridMultilevel"/>
    <w:tmpl w:val="10608850"/>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86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12" w15:restartNumberingAfterBreak="0">
    <w:nsid w:val="77AA7E87"/>
    <w:multiLevelType w:val="hybridMultilevel"/>
    <w:tmpl w:val="4FC47A10"/>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86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13" w15:restartNumberingAfterBreak="0">
    <w:nsid w:val="77B77D8D"/>
    <w:multiLevelType w:val="hybridMultilevel"/>
    <w:tmpl w:val="C0BA4A06"/>
    <w:lvl w:ilvl="0" w:tplc="041B0001">
      <w:start w:val="1"/>
      <w:numFmt w:val="bullet"/>
      <w:lvlText w:val=""/>
      <w:lvlJc w:val="left"/>
      <w:pPr>
        <w:ind w:left="1582" w:hanging="360"/>
      </w:pPr>
      <w:rPr>
        <w:rFonts w:ascii="Symbol" w:hAnsi="Symbol" w:hint="default"/>
      </w:rPr>
    </w:lvl>
    <w:lvl w:ilvl="1" w:tplc="041B0003" w:tentative="1">
      <w:start w:val="1"/>
      <w:numFmt w:val="bullet"/>
      <w:lvlText w:val="o"/>
      <w:lvlJc w:val="left"/>
      <w:pPr>
        <w:ind w:left="2302" w:hanging="360"/>
      </w:pPr>
      <w:rPr>
        <w:rFonts w:ascii="Courier New" w:hAnsi="Courier New" w:cs="Courier New" w:hint="default"/>
      </w:rPr>
    </w:lvl>
    <w:lvl w:ilvl="2" w:tplc="041B0005" w:tentative="1">
      <w:start w:val="1"/>
      <w:numFmt w:val="bullet"/>
      <w:lvlText w:val=""/>
      <w:lvlJc w:val="left"/>
      <w:pPr>
        <w:ind w:left="3022" w:hanging="360"/>
      </w:pPr>
      <w:rPr>
        <w:rFonts w:ascii="Wingdings" w:hAnsi="Wingdings" w:hint="default"/>
      </w:rPr>
    </w:lvl>
    <w:lvl w:ilvl="3" w:tplc="041B0001" w:tentative="1">
      <w:start w:val="1"/>
      <w:numFmt w:val="bullet"/>
      <w:lvlText w:val=""/>
      <w:lvlJc w:val="left"/>
      <w:pPr>
        <w:ind w:left="3742" w:hanging="360"/>
      </w:pPr>
      <w:rPr>
        <w:rFonts w:ascii="Symbol" w:hAnsi="Symbol" w:hint="default"/>
      </w:rPr>
    </w:lvl>
    <w:lvl w:ilvl="4" w:tplc="041B0003" w:tentative="1">
      <w:start w:val="1"/>
      <w:numFmt w:val="bullet"/>
      <w:lvlText w:val="o"/>
      <w:lvlJc w:val="left"/>
      <w:pPr>
        <w:ind w:left="4462" w:hanging="360"/>
      </w:pPr>
      <w:rPr>
        <w:rFonts w:ascii="Courier New" w:hAnsi="Courier New" w:cs="Courier New" w:hint="default"/>
      </w:rPr>
    </w:lvl>
    <w:lvl w:ilvl="5" w:tplc="041B0005" w:tentative="1">
      <w:start w:val="1"/>
      <w:numFmt w:val="bullet"/>
      <w:lvlText w:val=""/>
      <w:lvlJc w:val="left"/>
      <w:pPr>
        <w:ind w:left="5182" w:hanging="360"/>
      </w:pPr>
      <w:rPr>
        <w:rFonts w:ascii="Wingdings" w:hAnsi="Wingdings" w:hint="default"/>
      </w:rPr>
    </w:lvl>
    <w:lvl w:ilvl="6" w:tplc="041B0001" w:tentative="1">
      <w:start w:val="1"/>
      <w:numFmt w:val="bullet"/>
      <w:lvlText w:val=""/>
      <w:lvlJc w:val="left"/>
      <w:pPr>
        <w:ind w:left="5902" w:hanging="360"/>
      </w:pPr>
      <w:rPr>
        <w:rFonts w:ascii="Symbol" w:hAnsi="Symbol" w:hint="default"/>
      </w:rPr>
    </w:lvl>
    <w:lvl w:ilvl="7" w:tplc="041B0003" w:tentative="1">
      <w:start w:val="1"/>
      <w:numFmt w:val="bullet"/>
      <w:lvlText w:val="o"/>
      <w:lvlJc w:val="left"/>
      <w:pPr>
        <w:ind w:left="6622" w:hanging="360"/>
      </w:pPr>
      <w:rPr>
        <w:rFonts w:ascii="Courier New" w:hAnsi="Courier New" w:cs="Courier New" w:hint="default"/>
      </w:rPr>
    </w:lvl>
    <w:lvl w:ilvl="8" w:tplc="041B0005" w:tentative="1">
      <w:start w:val="1"/>
      <w:numFmt w:val="bullet"/>
      <w:lvlText w:val=""/>
      <w:lvlJc w:val="left"/>
      <w:pPr>
        <w:ind w:left="7342" w:hanging="360"/>
      </w:pPr>
      <w:rPr>
        <w:rFonts w:ascii="Wingdings" w:hAnsi="Wingdings" w:hint="default"/>
      </w:rPr>
    </w:lvl>
  </w:abstractNum>
  <w:abstractNum w:abstractNumId="314" w15:restartNumberingAfterBreak="0">
    <w:nsid w:val="77C63176"/>
    <w:multiLevelType w:val="hybridMultilevel"/>
    <w:tmpl w:val="6264F928"/>
    <w:lvl w:ilvl="0" w:tplc="073E3A92">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5" w15:restartNumberingAfterBreak="0">
    <w:nsid w:val="783A2AD1"/>
    <w:multiLevelType w:val="hybridMultilevel"/>
    <w:tmpl w:val="AA503E9C"/>
    <w:lvl w:ilvl="0" w:tplc="3760C606">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6" w15:restartNumberingAfterBreak="0">
    <w:nsid w:val="78CA2A44"/>
    <w:multiLevelType w:val="hybridMultilevel"/>
    <w:tmpl w:val="3B208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78D4360F"/>
    <w:multiLevelType w:val="hybridMultilevel"/>
    <w:tmpl w:val="2FC4DA96"/>
    <w:lvl w:ilvl="0" w:tplc="041B0001">
      <w:start w:val="1"/>
      <w:numFmt w:val="bullet"/>
      <w:lvlText w:val=""/>
      <w:lvlJc w:val="left"/>
      <w:pPr>
        <w:ind w:left="1077" w:hanging="360"/>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318" w15:restartNumberingAfterBreak="0">
    <w:nsid w:val="79394798"/>
    <w:multiLevelType w:val="hybridMultilevel"/>
    <w:tmpl w:val="C77A29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9" w15:restartNumberingAfterBreak="0">
    <w:nsid w:val="794B7C8C"/>
    <w:multiLevelType w:val="hybridMultilevel"/>
    <w:tmpl w:val="10FCE910"/>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158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20" w15:restartNumberingAfterBreak="0">
    <w:nsid w:val="7A4E462D"/>
    <w:multiLevelType w:val="hybridMultilevel"/>
    <w:tmpl w:val="D00016E6"/>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21" w15:restartNumberingAfterBreak="0">
    <w:nsid w:val="7AC517C5"/>
    <w:multiLevelType w:val="hybridMultilevel"/>
    <w:tmpl w:val="3D7891B2"/>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22" w15:restartNumberingAfterBreak="0">
    <w:nsid w:val="7BE9799D"/>
    <w:multiLevelType w:val="hybridMultilevel"/>
    <w:tmpl w:val="ECD08C08"/>
    <w:lvl w:ilvl="0" w:tplc="8FD461E4">
      <w:numFmt w:val="bullet"/>
      <w:lvlText w:val="•"/>
      <w:lvlJc w:val="left"/>
      <w:pPr>
        <w:ind w:left="577" w:hanging="435"/>
      </w:pPr>
      <w:rPr>
        <w:rFonts w:ascii="Times New Roman" w:eastAsia="Times New Roman" w:hAnsi="Times New Roman" w:cs="Times New Roman"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323" w15:restartNumberingAfterBreak="0">
    <w:nsid w:val="7C15766F"/>
    <w:multiLevelType w:val="hybridMultilevel"/>
    <w:tmpl w:val="B25609DA"/>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24" w15:restartNumberingAfterBreak="0">
    <w:nsid w:val="7C854CE8"/>
    <w:multiLevelType w:val="hybridMultilevel"/>
    <w:tmpl w:val="7DD6048A"/>
    <w:lvl w:ilvl="0" w:tplc="879033B8">
      <w:numFmt w:val="bullet"/>
      <w:lvlText w:val="•"/>
      <w:lvlJc w:val="left"/>
      <w:pPr>
        <w:ind w:left="577" w:hanging="435"/>
      </w:pPr>
      <w:rPr>
        <w:rFonts w:ascii="Times New Roman" w:eastAsia="Times New Roman" w:hAnsi="Times New Roman" w:cs="Times New Roman"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325" w15:restartNumberingAfterBreak="0">
    <w:nsid w:val="7C8C5CC9"/>
    <w:multiLevelType w:val="hybridMultilevel"/>
    <w:tmpl w:val="A72E0814"/>
    <w:lvl w:ilvl="0" w:tplc="073E3A92">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6" w15:restartNumberingAfterBreak="0">
    <w:nsid w:val="7D0F7B5D"/>
    <w:multiLevelType w:val="hybridMultilevel"/>
    <w:tmpl w:val="D9D2EB6C"/>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27" w15:restartNumberingAfterBreak="0">
    <w:nsid w:val="7D1261CC"/>
    <w:multiLevelType w:val="hybridMultilevel"/>
    <w:tmpl w:val="14FA07E0"/>
    <w:lvl w:ilvl="0" w:tplc="073E3A92">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8" w15:restartNumberingAfterBreak="0">
    <w:nsid w:val="7D881E8D"/>
    <w:multiLevelType w:val="hybridMultilevel"/>
    <w:tmpl w:val="0E8C85E6"/>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158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29" w15:restartNumberingAfterBreak="0">
    <w:nsid w:val="7DF27DE2"/>
    <w:multiLevelType w:val="hybridMultilevel"/>
    <w:tmpl w:val="4094D60C"/>
    <w:lvl w:ilvl="0" w:tplc="3760C606">
      <w:start w:val="1"/>
      <w:numFmt w:val="bullet"/>
      <w:lvlText w:val=""/>
      <w:lvlJc w:val="left"/>
      <w:pPr>
        <w:ind w:left="567" w:hanging="567"/>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0" w15:restartNumberingAfterBreak="0">
    <w:nsid w:val="7E3F022E"/>
    <w:multiLevelType w:val="hybridMultilevel"/>
    <w:tmpl w:val="75AE18C0"/>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31" w15:restartNumberingAfterBreak="0">
    <w:nsid w:val="7E4D129D"/>
    <w:multiLevelType w:val="hybridMultilevel"/>
    <w:tmpl w:val="AE8A5086"/>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32" w15:restartNumberingAfterBreak="0">
    <w:nsid w:val="7E751137"/>
    <w:multiLevelType w:val="hybridMultilevel"/>
    <w:tmpl w:val="A70A9E2C"/>
    <w:lvl w:ilvl="0" w:tplc="4AA040AE">
      <w:numFmt w:val="bullet"/>
      <w:lvlText w:val="•"/>
      <w:lvlJc w:val="left"/>
      <w:pPr>
        <w:ind w:left="577" w:hanging="435"/>
      </w:pPr>
      <w:rPr>
        <w:rFonts w:ascii="Times New Roman" w:eastAsia="Times New Roman" w:hAnsi="Times New Roman" w:cs="Times New Roman"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333" w15:restartNumberingAfterBreak="0">
    <w:nsid w:val="7F3155CC"/>
    <w:multiLevelType w:val="hybridMultilevel"/>
    <w:tmpl w:val="AEAED82A"/>
    <w:lvl w:ilvl="0" w:tplc="EDD4A4DA">
      <w:numFmt w:val="bullet"/>
      <w:lvlText w:val="•"/>
      <w:lvlJc w:val="left"/>
      <w:pPr>
        <w:ind w:left="577" w:hanging="435"/>
      </w:pPr>
      <w:rPr>
        <w:rFonts w:ascii="Times New Roman" w:eastAsia="Times New Roman" w:hAnsi="Times New Roman" w:cs="Times New Roman"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334" w15:restartNumberingAfterBreak="0">
    <w:nsid w:val="7F623A06"/>
    <w:multiLevelType w:val="hybridMultilevel"/>
    <w:tmpl w:val="6F2C8DD8"/>
    <w:lvl w:ilvl="0" w:tplc="3760C606">
      <w:start w:val="1"/>
      <w:numFmt w:val="bullet"/>
      <w:lvlText w:val=""/>
      <w:lvlJc w:val="left"/>
      <w:pPr>
        <w:ind w:left="924" w:hanging="567"/>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335" w15:restartNumberingAfterBreak="0">
    <w:nsid w:val="7F8C7FD4"/>
    <w:multiLevelType w:val="hybridMultilevel"/>
    <w:tmpl w:val="55B6A08A"/>
    <w:lvl w:ilvl="0" w:tplc="FFFFFFFF">
      <w:start w:val="1"/>
      <w:numFmt w:val="bullet"/>
      <w:lvlText w:val=""/>
      <w:lvlJc w:val="left"/>
      <w:pPr>
        <w:ind w:left="862" w:hanging="360"/>
      </w:pPr>
      <w:rPr>
        <w:rFonts w:ascii="Symbol" w:hAnsi="Symbol" w:hint="default"/>
      </w:rPr>
    </w:lvl>
    <w:lvl w:ilvl="1" w:tplc="041B0001">
      <w:start w:val="1"/>
      <w:numFmt w:val="bullet"/>
      <w:lvlText w:val=""/>
      <w:lvlJc w:val="left"/>
      <w:pPr>
        <w:ind w:left="158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36" w15:restartNumberingAfterBreak="0">
    <w:nsid w:val="7FAC3496"/>
    <w:multiLevelType w:val="hybridMultilevel"/>
    <w:tmpl w:val="37480D5C"/>
    <w:lvl w:ilvl="0" w:tplc="041B0001">
      <w:start w:val="1"/>
      <w:numFmt w:val="bullet"/>
      <w:lvlText w:val=""/>
      <w:lvlJc w:val="left"/>
      <w:pPr>
        <w:ind w:left="862" w:hanging="360"/>
      </w:pPr>
      <w:rPr>
        <w:rFonts w:ascii="Symbol" w:hAnsi="Symbol" w:hint="default"/>
      </w:rPr>
    </w:lvl>
    <w:lvl w:ilvl="1" w:tplc="041B0003">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num w:numId="1">
    <w:abstractNumId w:val="2"/>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1"/>
  </w:num>
  <w:num w:numId="11">
    <w:abstractNumId w:val="26"/>
  </w:num>
  <w:num w:numId="12">
    <w:abstractNumId w:val="258"/>
  </w:num>
  <w:num w:numId="13">
    <w:abstractNumId w:val="316"/>
  </w:num>
  <w:num w:numId="14">
    <w:abstractNumId w:val="46"/>
  </w:num>
  <w:num w:numId="15">
    <w:abstractNumId w:val="128"/>
  </w:num>
  <w:num w:numId="16">
    <w:abstractNumId w:val="180"/>
  </w:num>
  <w:num w:numId="17">
    <w:abstractNumId w:val="0"/>
  </w:num>
  <w:num w:numId="18">
    <w:abstractNumId w:val="234"/>
  </w:num>
  <w:num w:numId="19">
    <w:abstractNumId w:val="182"/>
  </w:num>
  <w:num w:numId="20">
    <w:abstractNumId w:val="227"/>
  </w:num>
  <w:num w:numId="21">
    <w:abstractNumId w:val="133"/>
  </w:num>
  <w:num w:numId="22">
    <w:abstractNumId w:val="132"/>
  </w:num>
  <w:num w:numId="23">
    <w:abstractNumId w:val="292"/>
  </w:num>
  <w:num w:numId="24">
    <w:abstractNumId w:val="223"/>
  </w:num>
  <w:num w:numId="25">
    <w:abstractNumId w:val="205"/>
  </w:num>
  <w:num w:numId="26">
    <w:abstractNumId w:val="279"/>
  </w:num>
  <w:num w:numId="27">
    <w:abstractNumId w:val="317"/>
  </w:num>
  <w:num w:numId="28">
    <w:abstractNumId w:val="47"/>
  </w:num>
  <w:num w:numId="29">
    <w:abstractNumId w:val="251"/>
  </w:num>
  <w:num w:numId="30">
    <w:abstractNumId w:val="167"/>
  </w:num>
  <w:num w:numId="31">
    <w:abstractNumId w:val="129"/>
  </w:num>
  <w:num w:numId="32">
    <w:abstractNumId w:val="289"/>
  </w:num>
  <w:num w:numId="33">
    <w:abstractNumId w:val="226"/>
  </w:num>
  <w:num w:numId="34">
    <w:abstractNumId w:val="171"/>
  </w:num>
  <w:num w:numId="35">
    <w:abstractNumId w:val="266"/>
  </w:num>
  <w:num w:numId="36">
    <w:abstractNumId w:val="49"/>
  </w:num>
  <w:num w:numId="37">
    <w:abstractNumId w:val="146"/>
  </w:num>
  <w:num w:numId="38">
    <w:abstractNumId w:val="245"/>
  </w:num>
  <w:num w:numId="39">
    <w:abstractNumId w:val="14"/>
  </w:num>
  <w:num w:numId="40">
    <w:abstractNumId w:val="254"/>
  </w:num>
  <w:num w:numId="41">
    <w:abstractNumId w:val="98"/>
  </w:num>
  <w:num w:numId="42">
    <w:abstractNumId w:val="48"/>
  </w:num>
  <w:num w:numId="43">
    <w:abstractNumId w:val="95"/>
  </w:num>
  <w:num w:numId="44">
    <w:abstractNumId w:val="38"/>
  </w:num>
  <w:num w:numId="45">
    <w:abstractNumId w:val="63"/>
  </w:num>
  <w:num w:numId="46">
    <w:abstractNumId w:val="53"/>
  </w:num>
  <w:num w:numId="47">
    <w:abstractNumId w:val="76"/>
  </w:num>
  <w:num w:numId="48">
    <w:abstractNumId w:val="120"/>
  </w:num>
  <w:num w:numId="49">
    <w:abstractNumId w:val="314"/>
  </w:num>
  <w:num w:numId="50">
    <w:abstractNumId w:val="265"/>
  </w:num>
  <w:num w:numId="51">
    <w:abstractNumId w:val="262"/>
  </w:num>
  <w:num w:numId="52">
    <w:abstractNumId w:val="246"/>
  </w:num>
  <w:num w:numId="53">
    <w:abstractNumId w:val="58"/>
  </w:num>
  <w:num w:numId="54">
    <w:abstractNumId w:val="325"/>
  </w:num>
  <w:num w:numId="55">
    <w:abstractNumId w:val="13"/>
  </w:num>
  <w:num w:numId="56">
    <w:abstractNumId w:val="327"/>
  </w:num>
  <w:num w:numId="57">
    <w:abstractNumId w:val="304"/>
  </w:num>
  <w:num w:numId="58">
    <w:abstractNumId w:val="112"/>
  </w:num>
  <w:num w:numId="59">
    <w:abstractNumId w:val="150"/>
  </w:num>
  <w:num w:numId="60">
    <w:abstractNumId w:val="99"/>
  </w:num>
  <w:num w:numId="61">
    <w:abstractNumId w:val="42"/>
  </w:num>
  <w:num w:numId="62">
    <w:abstractNumId w:val="135"/>
  </w:num>
  <w:num w:numId="63">
    <w:abstractNumId w:val="163"/>
  </w:num>
  <w:num w:numId="64">
    <w:abstractNumId w:val="68"/>
  </w:num>
  <w:num w:numId="65">
    <w:abstractNumId w:val="25"/>
  </w:num>
  <w:num w:numId="66">
    <w:abstractNumId w:val="242"/>
  </w:num>
  <w:num w:numId="67">
    <w:abstractNumId w:val="285"/>
  </w:num>
  <w:num w:numId="68">
    <w:abstractNumId w:val="62"/>
  </w:num>
  <w:num w:numId="69">
    <w:abstractNumId w:val="121"/>
  </w:num>
  <w:num w:numId="70">
    <w:abstractNumId w:val="15"/>
  </w:num>
  <w:num w:numId="71">
    <w:abstractNumId w:val="195"/>
  </w:num>
  <w:num w:numId="72">
    <w:abstractNumId w:val="87"/>
  </w:num>
  <w:num w:numId="73">
    <w:abstractNumId w:val="84"/>
  </w:num>
  <w:num w:numId="74">
    <w:abstractNumId w:val="161"/>
  </w:num>
  <w:num w:numId="75">
    <w:abstractNumId w:val="152"/>
  </w:num>
  <w:num w:numId="76">
    <w:abstractNumId w:val="216"/>
  </w:num>
  <w:num w:numId="77">
    <w:abstractNumId w:val="255"/>
  </w:num>
  <w:num w:numId="78">
    <w:abstractNumId w:val="296"/>
  </w:num>
  <w:num w:numId="79">
    <w:abstractNumId w:val="134"/>
  </w:num>
  <w:num w:numId="80">
    <w:abstractNumId w:val="217"/>
  </w:num>
  <w:num w:numId="81">
    <w:abstractNumId w:val="118"/>
  </w:num>
  <w:num w:numId="82">
    <w:abstractNumId w:val="17"/>
  </w:num>
  <w:num w:numId="83">
    <w:abstractNumId w:val="272"/>
  </w:num>
  <w:num w:numId="84">
    <w:abstractNumId w:val="201"/>
  </w:num>
  <w:num w:numId="85">
    <w:abstractNumId w:val="196"/>
  </w:num>
  <w:num w:numId="86">
    <w:abstractNumId w:val="185"/>
  </w:num>
  <w:num w:numId="87">
    <w:abstractNumId w:val="75"/>
  </w:num>
  <w:num w:numId="88">
    <w:abstractNumId w:val="220"/>
  </w:num>
  <w:num w:numId="89">
    <w:abstractNumId w:val="315"/>
  </w:num>
  <w:num w:numId="90">
    <w:abstractNumId w:val="329"/>
  </w:num>
  <w:num w:numId="91">
    <w:abstractNumId w:val="110"/>
  </w:num>
  <w:num w:numId="92">
    <w:abstractNumId w:val="259"/>
  </w:num>
  <w:num w:numId="93">
    <w:abstractNumId w:val="72"/>
  </w:num>
  <w:num w:numId="94">
    <w:abstractNumId w:val="300"/>
  </w:num>
  <w:num w:numId="95">
    <w:abstractNumId w:val="103"/>
  </w:num>
  <w:num w:numId="96">
    <w:abstractNumId w:val="115"/>
  </w:num>
  <w:num w:numId="97">
    <w:abstractNumId w:val="183"/>
  </w:num>
  <w:num w:numId="98">
    <w:abstractNumId w:val="159"/>
  </w:num>
  <w:num w:numId="99">
    <w:abstractNumId w:val="334"/>
  </w:num>
  <w:num w:numId="100">
    <w:abstractNumId w:val="236"/>
  </w:num>
  <w:num w:numId="101">
    <w:abstractNumId w:val="114"/>
  </w:num>
  <w:num w:numId="102">
    <w:abstractNumId w:val="291"/>
  </w:num>
  <w:num w:numId="103">
    <w:abstractNumId w:val="168"/>
  </w:num>
  <w:num w:numId="104">
    <w:abstractNumId w:val="52"/>
  </w:num>
  <w:num w:numId="105">
    <w:abstractNumId w:val="310"/>
  </w:num>
  <w:num w:numId="106">
    <w:abstractNumId w:val="64"/>
  </w:num>
  <w:num w:numId="107">
    <w:abstractNumId w:val="80"/>
  </w:num>
  <w:num w:numId="108">
    <w:abstractNumId w:val="60"/>
  </w:num>
  <w:num w:numId="109">
    <w:abstractNumId w:val="257"/>
  </w:num>
  <w:num w:numId="110">
    <w:abstractNumId w:val="273"/>
  </w:num>
  <w:num w:numId="111">
    <w:abstractNumId w:val="307"/>
  </w:num>
  <w:num w:numId="112">
    <w:abstractNumId w:val="228"/>
  </w:num>
  <w:num w:numId="113">
    <w:abstractNumId w:val="23"/>
  </w:num>
  <w:num w:numId="114">
    <w:abstractNumId w:val="28"/>
  </w:num>
  <w:num w:numId="115">
    <w:abstractNumId w:val="247"/>
  </w:num>
  <w:num w:numId="116">
    <w:abstractNumId w:val="281"/>
  </w:num>
  <w:num w:numId="117">
    <w:abstractNumId w:val="151"/>
  </w:num>
  <w:num w:numId="118">
    <w:abstractNumId w:val="172"/>
  </w:num>
  <w:num w:numId="119">
    <w:abstractNumId w:val="83"/>
  </w:num>
  <w:num w:numId="120">
    <w:abstractNumId w:val="20"/>
  </w:num>
  <w:num w:numId="121">
    <w:abstractNumId w:val="125"/>
  </w:num>
  <w:num w:numId="122">
    <w:abstractNumId w:val="187"/>
  </w:num>
  <w:num w:numId="123">
    <w:abstractNumId w:val="301"/>
  </w:num>
  <w:num w:numId="124">
    <w:abstractNumId w:val="306"/>
  </w:num>
  <w:num w:numId="125">
    <w:abstractNumId w:val="332"/>
  </w:num>
  <w:num w:numId="126">
    <w:abstractNumId w:val="194"/>
  </w:num>
  <w:num w:numId="127">
    <w:abstractNumId w:val="269"/>
  </w:num>
  <w:num w:numId="128">
    <w:abstractNumId w:val="119"/>
  </w:num>
  <w:num w:numId="129">
    <w:abstractNumId w:val="41"/>
  </w:num>
  <w:num w:numId="130">
    <w:abstractNumId w:val="207"/>
  </w:num>
  <w:num w:numId="131">
    <w:abstractNumId w:val="162"/>
  </w:num>
  <w:num w:numId="132">
    <w:abstractNumId w:val="184"/>
  </w:num>
  <w:num w:numId="133">
    <w:abstractNumId w:val="333"/>
  </w:num>
  <w:num w:numId="134">
    <w:abstractNumId w:val="147"/>
  </w:num>
  <w:num w:numId="135">
    <w:abstractNumId w:val="240"/>
  </w:num>
  <w:num w:numId="136">
    <w:abstractNumId w:val="32"/>
  </w:num>
  <w:num w:numId="137">
    <w:abstractNumId w:val="149"/>
  </w:num>
  <w:num w:numId="138">
    <w:abstractNumId w:val="51"/>
  </w:num>
  <w:num w:numId="139">
    <w:abstractNumId w:val="268"/>
  </w:num>
  <w:num w:numId="140">
    <w:abstractNumId w:val="287"/>
  </w:num>
  <w:num w:numId="141">
    <w:abstractNumId w:val="11"/>
  </w:num>
  <w:num w:numId="142">
    <w:abstractNumId w:val="123"/>
  </w:num>
  <w:num w:numId="143">
    <w:abstractNumId w:val="164"/>
  </w:num>
  <w:num w:numId="144">
    <w:abstractNumId w:val="102"/>
  </w:num>
  <w:num w:numId="145">
    <w:abstractNumId w:val="237"/>
  </w:num>
  <w:num w:numId="146">
    <w:abstractNumId w:val="323"/>
  </w:num>
  <w:num w:numId="147">
    <w:abstractNumId w:val="73"/>
  </w:num>
  <w:num w:numId="148">
    <w:abstractNumId w:val="213"/>
  </w:num>
  <w:num w:numId="149">
    <w:abstractNumId w:val="22"/>
  </w:num>
  <w:num w:numId="150">
    <w:abstractNumId w:val="160"/>
  </w:num>
  <w:num w:numId="151">
    <w:abstractNumId w:val="282"/>
  </w:num>
  <w:num w:numId="152">
    <w:abstractNumId w:val="66"/>
  </w:num>
  <w:num w:numId="153">
    <w:abstractNumId w:val="93"/>
  </w:num>
  <w:num w:numId="154">
    <w:abstractNumId w:val="148"/>
  </w:num>
  <w:num w:numId="155">
    <w:abstractNumId w:val="229"/>
  </w:num>
  <w:num w:numId="156">
    <w:abstractNumId w:val="178"/>
  </w:num>
  <w:num w:numId="157">
    <w:abstractNumId w:val="191"/>
  </w:num>
  <w:num w:numId="158">
    <w:abstractNumId w:val="192"/>
  </w:num>
  <w:num w:numId="159">
    <w:abstractNumId w:val="34"/>
  </w:num>
  <w:num w:numId="160">
    <w:abstractNumId w:val="130"/>
  </w:num>
  <w:num w:numId="161">
    <w:abstractNumId w:val="275"/>
  </w:num>
  <w:num w:numId="162">
    <w:abstractNumId w:val="116"/>
  </w:num>
  <w:num w:numId="163">
    <w:abstractNumId w:val="188"/>
  </w:num>
  <w:num w:numId="164">
    <w:abstractNumId w:val="238"/>
  </w:num>
  <w:num w:numId="165">
    <w:abstractNumId w:val="290"/>
  </w:num>
  <w:num w:numId="166">
    <w:abstractNumId w:val="79"/>
  </w:num>
  <w:num w:numId="167">
    <w:abstractNumId w:val="30"/>
  </w:num>
  <w:num w:numId="168">
    <w:abstractNumId w:val="140"/>
  </w:num>
  <w:num w:numId="169">
    <w:abstractNumId w:val="155"/>
  </w:num>
  <w:num w:numId="170">
    <w:abstractNumId w:val="278"/>
  </w:num>
  <w:num w:numId="171">
    <w:abstractNumId w:val="104"/>
  </w:num>
  <w:num w:numId="172">
    <w:abstractNumId w:val="248"/>
  </w:num>
  <w:num w:numId="173">
    <w:abstractNumId w:val="322"/>
  </w:num>
  <w:num w:numId="174">
    <w:abstractNumId w:val="177"/>
  </w:num>
  <w:num w:numId="175">
    <w:abstractNumId w:val="33"/>
  </w:num>
  <w:num w:numId="176">
    <w:abstractNumId w:val="270"/>
  </w:num>
  <w:num w:numId="177">
    <w:abstractNumId w:val="37"/>
  </w:num>
  <w:num w:numId="178">
    <w:abstractNumId w:val="232"/>
  </w:num>
  <w:num w:numId="179">
    <w:abstractNumId w:val="142"/>
  </w:num>
  <w:num w:numId="180">
    <w:abstractNumId w:val="27"/>
  </w:num>
  <w:num w:numId="181">
    <w:abstractNumId w:val="295"/>
  </w:num>
  <w:num w:numId="182">
    <w:abstractNumId w:val="105"/>
  </w:num>
  <w:num w:numId="183">
    <w:abstractNumId w:val="208"/>
  </w:num>
  <w:num w:numId="184">
    <w:abstractNumId w:val="193"/>
  </w:num>
  <w:num w:numId="185">
    <w:abstractNumId w:val="218"/>
  </w:num>
  <w:num w:numId="186">
    <w:abstractNumId w:val="144"/>
  </w:num>
  <w:num w:numId="187">
    <w:abstractNumId w:val="117"/>
  </w:num>
  <w:num w:numId="188">
    <w:abstractNumId w:val="198"/>
  </w:num>
  <w:num w:numId="189">
    <w:abstractNumId w:val="210"/>
  </w:num>
  <w:num w:numId="190">
    <w:abstractNumId w:val="297"/>
  </w:num>
  <w:num w:numId="191">
    <w:abstractNumId w:val="69"/>
  </w:num>
  <w:num w:numId="192">
    <w:abstractNumId w:val="303"/>
  </w:num>
  <w:num w:numId="193">
    <w:abstractNumId w:val="288"/>
  </w:num>
  <w:num w:numId="194">
    <w:abstractNumId w:val="267"/>
  </w:num>
  <w:num w:numId="195">
    <w:abstractNumId w:val="222"/>
  </w:num>
  <w:num w:numId="196">
    <w:abstractNumId w:val="318"/>
  </w:num>
  <w:num w:numId="197">
    <w:abstractNumId w:val="96"/>
  </w:num>
  <w:num w:numId="198">
    <w:abstractNumId w:val="261"/>
  </w:num>
  <w:num w:numId="199">
    <w:abstractNumId w:val="85"/>
  </w:num>
  <w:num w:numId="200">
    <w:abstractNumId w:val="12"/>
  </w:num>
  <w:num w:numId="201">
    <w:abstractNumId w:val="284"/>
  </w:num>
  <w:num w:numId="202">
    <w:abstractNumId w:val="77"/>
  </w:num>
  <w:num w:numId="203">
    <w:abstractNumId w:val="200"/>
  </w:num>
  <w:num w:numId="204">
    <w:abstractNumId w:val="203"/>
  </w:num>
  <w:num w:numId="205">
    <w:abstractNumId w:val="241"/>
  </w:num>
  <w:num w:numId="206">
    <w:abstractNumId w:val="45"/>
  </w:num>
  <w:num w:numId="207">
    <w:abstractNumId w:val="174"/>
  </w:num>
  <w:num w:numId="208">
    <w:abstractNumId w:val="181"/>
  </w:num>
  <w:num w:numId="209">
    <w:abstractNumId w:val="107"/>
  </w:num>
  <w:num w:numId="210">
    <w:abstractNumId w:val="256"/>
  </w:num>
  <w:num w:numId="211">
    <w:abstractNumId w:val="179"/>
  </w:num>
  <w:num w:numId="212">
    <w:abstractNumId w:val="199"/>
  </w:num>
  <w:num w:numId="213">
    <w:abstractNumId w:val="324"/>
  </w:num>
  <w:num w:numId="214">
    <w:abstractNumId w:val="230"/>
  </w:num>
  <w:num w:numId="215">
    <w:abstractNumId w:val="286"/>
  </w:num>
  <w:num w:numId="216">
    <w:abstractNumId w:val="100"/>
  </w:num>
  <w:num w:numId="217">
    <w:abstractNumId w:val="143"/>
  </w:num>
  <w:num w:numId="218">
    <w:abstractNumId w:val="250"/>
  </w:num>
  <w:num w:numId="219">
    <w:abstractNumId w:val="78"/>
  </w:num>
  <w:num w:numId="220">
    <w:abstractNumId w:val="113"/>
  </w:num>
  <w:num w:numId="221">
    <w:abstractNumId w:val="156"/>
  </w:num>
  <w:num w:numId="222">
    <w:abstractNumId w:val="326"/>
  </w:num>
  <w:num w:numId="223">
    <w:abstractNumId w:val="190"/>
  </w:num>
  <w:num w:numId="224">
    <w:abstractNumId w:val="331"/>
  </w:num>
  <w:num w:numId="225">
    <w:abstractNumId w:val="74"/>
  </w:num>
  <w:num w:numId="226">
    <w:abstractNumId w:val="67"/>
  </w:num>
  <w:num w:numId="227">
    <w:abstractNumId w:val="219"/>
  </w:num>
  <w:num w:numId="228">
    <w:abstractNumId w:val="264"/>
  </w:num>
  <w:num w:numId="229">
    <w:abstractNumId w:val="233"/>
  </w:num>
  <w:num w:numId="230">
    <w:abstractNumId w:val="299"/>
  </w:num>
  <w:num w:numId="231">
    <w:abstractNumId w:val="313"/>
  </w:num>
  <w:num w:numId="232">
    <w:abstractNumId w:val="321"/>
  </w:num>
  <w:num w:numId="233">
    <w:abstractNumId w:val="209"/>
  </w:num>
  <w:num w:numId="234">
    <w:abstractNumId w:val="136"/>
  </w:num>
  <w:num w:numId="235">
    <w:abstractNumId w:val="122"/>
  </w:num>
  <w:num w:numId="236">
    <w:abstractNumId w:val="189"/>
  </w:num>
  <w:num w:numId="237">
    <w:abstractNumId w:val="157"/>
  </w:num>
  <w:num w:numId="238">
    <w:abstractNumId w:val="293"/>
  </w:num>
  <w:num w:numId="239">
    <w:abstractNumId w:val="197"/>
  </w:num>
  <w:num w:numId="240">
    <w:abstractNumId w:val="21"/>
  </w:num>
  <w:num w:numId="241">
    <w:abstractNumId w:val="335"/>
  </w:num>
  <w:num w:numId="242">
    <w:abstractNumId w:val="131"/>
  </w:num>
  <w:num w:numId="243">
    <w:abstractNumId w:val="139"/>
  </w:num>
  <w:num w:numId="244">
    <w:abstractNumId w:val="82"/>
  </w:num>
  <w:num w:numId="245">
    <w:abstractNumId w:val="94"/>
  </w:num>
  <w:num w:numId="246">
    <w:abstractNumId w:val="59"/>
  </w:num>
  <w:num w:numId="247">
    <w:abstractNumId w:val="176"/>
  </w:num>
  <w:num w:numId="248">
    <w:abstractNumId w:val="65"/>
  </w:num>
  <w:num w:numId="249">
    <w:abstractNumId w:val="24"/>
  </w:num>
  <w:num w:numId="250">
    <w:abstractNumId w:val="263"/>
  </w:num>
  <w:num w:numId="251">
    <w:abstractNumId w:val="70"/>
  </w:num>
  <w:num w:numId="252">
    <w:abstractNumId w:val="36"/>
  </w:num>
  <w:num w:numId="253">
    <w:abstractNumId w:val="252"/>
  </w:num>
  <w:num w:numId="254">
    <w:abstractNumId w:val="91"/>
  </w:num>
  <w:num w:numId="255">
    <w:abstractNumId w:val="106"/>
  </w:num>
  <w:num w:numId="256">
    <w:abstractNumId w:val="44"/>
  </w:num>
  <w:num w:numId="257">
    <w:abstractNumId w:val="239"/>
  </w:num>
  <w:num w:numId="258">
    <w:abstractNumId w:val="124"/>
  </w:num>
  <w:num w:numId="259">
    <w:abstractNumId w:val="280"/>
  </w:num>
  <w:num w:numId="260">
    <w:abstractNumId w:val="109"/>
  </w:num>
  <w:num w:numId="261">
    <w:abstractNumId w:val="298"/>
  </w:num>
  <w:num w:numId="262">
    <w:abstractNumId w:val="224"/>
  </w:num>
  <w:num w:numId="263">
    <w:abstractNumId w:val="221"/>
  </w:num>
  <w:num w:numId="264">
    <w:abstractNumId w:val="165"/>
  </w:num>
  <w:num w:numId="265">
    <w:abstractNumId w:val="111"/>
  </w:num>
  <w:num w:numId="266">
    <w:abstractNumId w:val="61"/>
  </w:num>
  <w:num w:numId="267">
    <w:abstractNumId w:val="328"/>
  </w:num>
  <w:num w:numId="268">
    <w:abstractNumId w:val="309"/>
  </w:num>
  <w:num w:numId="269">
    <w:abstractNumId w:val="249"/>
  </w:num>
  <w:num w:numId="270">
    <w:abstractNumId w:val="225"/>
  </w:num>
  <w:num w:numId="271">
    <w:abstractNumId w:val="81"/>
  </w:num>
  <w:num w:numId="272">
    <w:abstractNumId w:val="231"/>
  </w:num>
  <w:num w:numId="273">
    <w:abstractNumId w:val="43"/>
  </w:num>
  <w:num w:numId="274">
    <w:abstractNumId w:val="97"/>
  </w:num>
  <w:num w:numId="275">
    <w:abstractNumId w:val="166"/>
  </w:num>
  <w:num w:numId="276">
    <w:abstractNumId w:val="175"/>
  </w:num>
  <w:num w:numId="277">
    <w:abstractNumId w:val="154"/>
  </w:num>
  <w:num w:numId="278">
    <w:abstractNumId w:val="18"/>
  </w:num>
  <w:num w:numId="279">
    <w:abstractNumId w:val="319"/>
  </w:num>
  <w:num w:numId="280">
    <w:abstractNumId w:val="31"/>
  </w:num>
  <w:num w:numId="281">
    <w:abstractNumId w:val="186"/>
  </w:num>
  <w:num w:numId="282">
    <w:abstractNumId w:val="169"/>
  </w:num>
  <w:num w:numId="283">
    <w:abstractNumId w:val="215"/>
  </w:num>
  <w:num w:numId="284">
    <w:abstractNumId w:val="101"/>
  </w:num>
  <w:num w:numId="285">
    <w:abstractNumId w:val="173"/>
  </w:num>
  <w:num w:numId="286">
    <w:abstractNumId w:val="89"/>
  </w:num>
  <w:num w:numId="287">
    <w:abstractNumId w:val="204"/>
  </w:num>
  <w:num w:numId="288">
    <w:abstractNumId w:val="57"/>
  </w:num>
  <w:num w:numId="289">
    <w:abstractNumId w:val="202"/>
  </w:num>
  <w:num w:numId="290">
    <w:abstractNumId w:val="260"/>
  </w:num>
  <w:num w:numId="291">
    <w:abstractNumId w:val="243"/>
  </w:num>
  <w:num w:numId="292">
    <w:abstractNumId w:val="283"/>
  </w:num>
  <w:num w:numId="293">
    <w:abstractNumId w:val="308"/>
  </w:num>
  <w:num w:numId="294">
    <w:abstractNumId w:val="88"/>
  </w:num>
  <w:num w:numId="295">
    <w:abstractNumId w:val="145"/>
  </w:num>
  <w:num w:numId="296">
    <w:abstractNumId w:val="90"/>
  </w:num>
  <w:num w:numId="297">
    <w:abstractNumId w:val="153"/>
  </w:num>
  <w:num w:numId="298">
    <w:abstractNumId w:val="330"/>
  </w:num>
  <w:num w:numId="299">
    <w:abstractNumId w:val="302"/>
  </w:num>
  <w:num w:numId="300">
    <w:abstractNumId w:val="86"/>
  </w:num>
  <w:num w:numId="301">
    <w:abstractNumId w:val="40"/>
  </w:num>
  <w:num w:numId="302">
    <w:abstractNumId w:val="127"/>
  </w:num>
  <w:num w:numId="303">
    <w:abstractNumId w:val="276"/>
  </w:num>
  <w:num w:numId="304">
    <w:abstractNumId w:val="137"/>
  </w:num>
  <w:num w:numId="305">
    <w:abstractNumId w:val="92"/>
  </w:num>
  <w:num w:numId="306">
    <w:abstractNumId w:val="55"/>
  </w:num>
  <w:num w:numId="307">
    <w:abstractNumId w:val="305"/>
  </w:num>
  <w:num w:numId="308">
    <w:abstractNumId w:val="253"/>
  </w:num>
  <w:num w:numId="309">
    <w:abstractNumId w:val="214"/>
  </w:num>
  <w:num w:numId="310">
    <w:abstractNumId w:val="108"/>
  </w:num>
  <w:num w:numId="311">
    <w:abstractNumId w:val="158"/>
  </w:num>
  <w:num w:numId="312">
    <w:abstractNumId w:val="235"/>
  </w:num>
  <w:num w:numId="313">
    <w:abstractNumId w:val="244"/>
  </w:num>
  <w:num w:numId="314">
    <w:abstractNumId w:val="336"/>
  </w:num>
  <w:num w:numId="315">
    <w:abstractNumId w:val="277"/>
  </w:num>
  <w:num w:numId="316">
    <w:abstractNumId w:val="39"/>
  </w:num>
  <w:num w:numId="317">
    <w:abstractNumId w:val="50"/>
  </w:num>
  <w:num w:numId="318">
    <w:abstractNumId w:val="138"/>
  </w:num>
  <w:num w:numId="319">
    <w:abstractNumId w:val="212"/>
  </w:num>
  <w:num w:numId="320">
    <w:abstractNumId w:val="206"/>
  </w:num>
  <w:num w:numId="321">
    <w:abstractNumId w:val="170"/>
  </w:num>
  <w:num w:numId="322">
    <w:abstractNumId w:val="141"/>
  </w:num>
  <w:num w:numId="323">
    <w:abstractNumId w:val="54"/>
  </w:num>
  <w:num w:numId="324">
    <w:abstractNumId w:val="274"/>
  </w:num>
  <w:num w:numId="325">
    <w:abstractNumId w:val="311"/>
  </w:num>
  <w:num w:numId="326">
    <w:abstractNumId w:val="211"/>
  </w:num>
  <w:num w:numId="327">
    <w:abstractNumId w:val="271"/>
  </w:num>
  <w:num w:numId="328">
    <w:abstractNumId w:val="320"/>
  </w:num>
  <w:num w:numId="329">
    <w:abstractNumId w:val="35"/>
  </w:num>
  <w:num w:numId="330">
    <w:abstractNumId w:val="56"/>
  </w:num>
  <w:num w:numId="331">
    <w:abstractNumId w:val="19"/>
  </w:num>
  <w:num w:numId="332">
    <w:abstractNumId w:val="126"/>
  </w:num>
  <w:num w:numId="333">
    <w:abstractNumId w:val="71"/>
  </w:num>
  <w:num w:numId="334">
    <w:abstractNumId w:val="29"/>
  </w:num>
  <w:num w:numId="335">
    <w:abstractNumId w:val="16"/>
  </w:num>
  <w:num w:numId="336">
    <w:abstractNumId w:val="294"/>
  </w:num>
  <w:num w:numId="337">
    <w:abstractNumId w:val="312"/>
  </w:num>
  <w:numIdMacAtCleanup w:val="33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uthor">
    <w15:presenceInfo w15:providerId="None" w15:userId="Author"/>
  </w15:person>
  <w15:person w15:author="TCS">
    <w15:presenceInfo w15:providerId="None" w15:userId="T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activeWritingStyle w:appName="MSWord" w:lang="de-CH" w:vendorID="64" w:dllVersion="6" w:nlCheck="1" w:checkStyle="0"/>
  <w:activeWritingStyle w:appName="MSWord" w:lang="en-GB" w:vendorID="64" w:dllVersion="6" w:nlCheck="1" w:checkStyle="0"/>
  <w:activeWritingStyle w:appName="MSWord" w:lang="en-US" w:vendorID="64" w:dllVersion="6" w:nlCheck="1" w:checkStyle="0"/>
  <w:activeWritingStyle w:appName="MSWord" w:lang="pt-BR"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6" w:nlCheck="1" w:checkStyle="1"/>
  <w:activeWritingStyle w:appName="MSWord" w:lang="de-CH"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US" w:vendorID="64" w:dllVersion="4096" w:nlCheck="1" w:checkStyle="0"/>
  <w:activeWritingStyle w:appName="MSWord" w:lang="de-DE" w:vendorID="64" w:dllVersion="0" w:nlCheck="1" w:checkStyle="0"/>
  <w:activeWritingStyle w:appName="MSWord" w:lang="de-DE" w:vendorID="64" w:dllVersion="6" w:nlCheck="1" w:checkStyle="0"/>
  <w:activeWritingStyle w:appName="MSWord" w:lang="it-IT" w:vendorID="64" w:dllVersion="0" w:nlCheck="1" w:checkStyle="0"/>
  <w:activeWritingStyle w:appName="MSWord" w:lang="de-CH" w:vendorID="64" w:dllVersion="0" w:nlCheck="1" w:checkStyle="0"/>
  <w:activeWritingStyle w:appName="MSWord" w:lang="de-DE" w:vendorID="64" w:dllVersion="4096"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it-IT" w:vendorID="3" w:dllVersion="517" w:checkStyle="1"/>
  <w:activeWritingStyle w:appName="MSWord" w:lang="pt-BR" w:vendorID="1" w:dllVersion="513" w:checkStyle="1"/>
  <w:activeWritingStyle w:appName="MSWord" w:lang="nl-NL" w:vendorID="1" w:dllVersion="512" w:checkStyle="1"/>
  <w:activeWritingStyle w:appName="MSWord" w:lang="pl-PL" w:vendorID="12" w:dllVersion="512" w:checkStyle="1"/>
  <w:activeWritingStyle w:appName="MSWord" w:lang="pt-PT" w:vendorID="13" w:dllVersion="513" w:checkStyle="1"/>
  <w:activeWritingStyle w:appName="MSWord" w:lang="fi-FI" w:vendorID="666" w:dllVersion="513"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ldViewShowStyleArea" w:val="3"/>
    <w:docVar w:name="Registered" w:val="-1"/>
    <w:docVar w:name="Version" w:val="0"/>
  </w:docVars>
  <w:rsids>
    <w:rsidRoot w:val="009700E5"/>
    <w:rsid w:val="00137D5D"/>
    <w:rsid w:val="002460B6"/>
    <w:rsid w:val="0027288F"/>
    <w:rsid w:val="002A7B6E"/>
    <w:rsid w:val="002C033C"/>
    <w:rsid w:val="002D57B9"/>
    <w:rsid w:val="00325CC7"/>
    <w:rsid w:val="0054107A"/>
    <w:rsid w:val="0057032D"/>
    <w:rsid w:val="00723DEA"/>
    <w:rsid w:val="00831E5A"/>
    <w:rsid w:val="0086427B"/>
    <w:rsid w:val="008A5612"/>
    <w:rsid w:val="008E61B0"/>
    <w:rsid w:val="009700E5"/>
    <w:rsid w:val="009F6EFB"/>
    <w:rsid w:val="00AA10BF"/>
    <w:rsid w:val="00BA710B"/>
    <w:rsid w:val="00BD22ED"/>
    <w:rsid w:val="00CE7231"/>
    <w:rsid w:val="00D50B87"/>
    <w:rsid w:val="00D5251A"/>
    <w:rsid w:val="00D86220"/>
    <w:rsid w:val="00E005F3"/>
    <w:rsid w:val="00E22EFF"/>
    <w:rsid w:val="00E87507"/>
    <w:rsid w:val="00EA783E"/>
    <w:rsid w:val="00F43BCB"/>
    <w:rsid w:val="00FC6027"/>
    <w:rsid w:val="00FF4649"/>
  </w:rsids>
  <m:mathPr>
    <m:mathFont m:val="Cambria Math"/>
    <m:brkBin m:val="before"/>
    <m:brkBinSub m:val="--"/>
    <m:smallFrac m:val="0"/>
    <m:dispDef/>
    <m:lMargin m:val="0"/>
    <m:rMargin m:val="0"/>
    <m:defJc m:val="centerGroup"/>
    <m:wrapIndent m:val="1440"/>
    <m:intLim m:val="subSup"/>
    <m:naryLim m:val="undOvr"/>
  </m:mathPr>
  <w:themeFontLang w:val="sk-SK"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29B9E8A"/>
  <w15:chartTrackingRefBased/>
  <w15:docId w15:val="{CB663966-1FB2-45C4-BF82-B29243B3D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sz w:val="22"/>
      <w:lang w:eastAsia="ja-JP"/>
    </w:rPr>
  </w:style>
  <w:style w:type="paragraph" w:styleId="Heading1">
    <w:name w:val="heading 1"/>
    <w:basedOn w:val="Normal"/>
    <w:next w:val="Normal"/>
    <w:qFormat/>
    <w:pPr>
      <w:ind w:left="567" w:hanging="567"/>
      <w:outlineLvl w:val="0"/>
    </w:pPr>
    <w:rPr>
      <w:b/>
      <w:caps/>
    </w:rPr>
  </w:style>
  <w:style w:type="paragraph" w:styleId="Heading2">
    <w:name w:val="heading 2"/>
    <w:basedOn w:val="Heading1"/>
    <w:next w:val="Normal"/>
    <w:qFormat/>
    <w:pPr>
      <w:outlineLvl w:val="1"/>
    </w:pPr>
    <w:rPr>
      <w:caps w:val="0"/>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jc w:val="both"/>
      <w:outlineLvl w:val="3"/>
    </w:pPr>
    <w:rPr>
      <w:b/>
    </w:rPr>
  </w:style>
  <w:style w:type="paragraph" w:styleId="Heading5">
    <w:name w:val="heading 5"/>
    <w:basedOn w:val="Normal"/>
    <w:next w:val="Normal"/>
    <w:qFormat/>
    <w:pPr>
      <w:keepNext/>
      <w:jc w:val="both"/>
      <w:outlineLvl w:val="4"/>
    </w:p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rPr>
      <w:rFonts w:ascii="Arial" w:hAnsi="Arial"/>
      <w:sz w:val="16"/>
    </w:rPr>
  </w:style>
  <w:style w:type="character" w:styleId="PageNumber">
    <w:name w:val="page number"/>
    <w:rPr>
      <w:rFonts w:ascii="Arial" w:hAnsi="Arial"/>
      <w:noProof/>
      <w:sz w:val="16"/>
    </w:rPr>
  </w:style>
  <w:style w:type="paragraph" w:styleId="EndnoteText">
    <w:name w:val="endnote text"/>
    <w:basedOn w:val="Normal"/>
    <w:next w:val="Normal"/>
    <w:semiHidden/>
  </w:style>
  <w:style w:type="character" w:styleId="EndnoteReference">
    <w:name w:val="endnote reference"/>
    <w:semiHidden/>
    <w:rPr>
      <w:noProof/>
      <w:vertAlign w:val="superscript"/>
    </w:rPr>
  </w:style>
  <w:style w:type="character" w:styleId="CommentReference">
    <w:name w:val="annotation reference"/>
    <w:aliases w:val="-H18,Annotationmark,CommentReference"/>
    <w:uiPriority w:val="99"/>
    <w:qFormat/>
    <w:rPr>
      <w:noProof/>
      <w:sz w:val="16"/>
    </w:rPr>
  </w:style>
  <w:style w:type="paragraph" w:styleId="CommentText">
    <w:name w:val="annotation text"/>
    <w:basedOn w:val="Normal"/>
    <w:link w:val="CommentTextChar"/>
    <w:semiHidden/>
    <w:rPr>
      <w:sz w:val="20"/>
    </w:rPr>
  </w:style>
  <w:style w:type="paragraph" w:styleId="BodyText2">
    <w:name w:val="Body Text 2"/>
    <w:basedOn w:val="Normal"/>
    <w:pPr>
      <w:ind w:left="567" w:hanging="567"/>
    </w:pPr>
    <w:rPr>
      <w:b/>
    </w:rPr>
  </w:style>
  <w:style w:type="paragraph" w:styleId="BodyText">
    <w:name w:val="Body Text"/>
    <w:basedOn w:val="Normal"/>
    <w:rPr>
      <w:b/>
      <w:i/>
    </w:rPr>
  </w:style>
  <w:style w:type="paragraph" w:styleId="BodyText3">
    <w:name w:val="Body Text 3"/>
    <w:basedOn w:val="Normal"/>
    <w:pPr>
      <w:jc w:val="both"/>
    </w:pPr>
    <w:rPr>
      <w:b/>
      <w:i/>
    </w:rPr>
  </w:style>
  <w:style w:type="paragraph" w:styleId="BodyTextIndent2">
    <w:name w:val="Body Text Indent 2"/>
    <w:basedOn w:val="Normal"/>
    <w:pPr>
      <w:ind w:left="567" w:hanging="567"/>
      <w:jc w:val="both"/>
    </w:pPr>
    <w:rPr>
      <w:b/>
    </w:rPr>
  </w:style>
  <w:style w:type="paragraph" w:styleId="FootnoteText">
    <w:name w:val="footnote text"/>
    <w:basedOn w:val="Normal"/>
    <w:semiHidden/>
    <w:rPr>
      <w:sz w:val="20"/>
    </w:rPr>
  </w:style>
  <w:style w:type="character" w:styleId="FootnoteReference">
    <w:name w:val="footnote reference"/>
    <w:semiHidden/>
    <w:rPr>
      <w:noProof/>
      <w:vertAlign w:val="superscript"/>
    </w:rPr>
  </w:style>
  <w:style w:type="paragraph" w:styleId="BodyTextIndent3">
    <w:name w:val="Body Text Indent 3"/>
    <w:basedOn w:val="Normal"/>
    <w:pPr>
      <w:ind w:left="567" w:hanging="567"/>
    </w:pPr>
    <w:rPr>
      <w:i/>
      <w:color w:val="008000"/>
    </w:rPr>
  </w:style>
  <w:style w:type="paragraph" w:styleId="BlockText">
    <w:name w:val="Block Text"/>
    <w:basedOn w:val="Normal"/>
    <w:pPr>
      <w:tabs>
        <w:tab w:val="left" w:pos="2657"/>
      </w:tabs>
      <w:spacing w:before="120"/>
      <w:ind w:left="-37" w:right="-28"/>
    </w:pPr>
  </w:style>
  <w:style w:type="paragraph" w:styleId="BodyTextIndent">
    <w:name w:val="Body Text Indent"/>
    <w:basedOn w:val="Normal"/>
    <w:pPr>
      <w:ind w:left="567" w:hanging="567"/>
    </w:pPr>
    <w:rPr>
      <w:b/>
      <w:color w:val="808080"/>
    </w:rPr>
  </w:style>
  <w:style w:type="character" w:styleId="Hyperlink">
    <w:name w:val="Hyperlink"/>
    <w:rPr>
      <w:noProof/>
      <w:color w:val="0000FF"/>
      <w:u w:val="single"/>
    </w:rPr>
  </w:style>
  <w:style w:type="character" w:styleId="FollowedHyperlink">
    <w:name w:val="FollowedHyperlink"/>
    <w:rPr>
      <w:noProof/>
      <w:color w:val="800080"/>
      <w:u w:val="single"/>
    </w:rPr>
  </w:style>
  <w:style w:type="paragraph" w:styleId="DocumentMap">
    <w:name w:val="Document Map"/>
    <w:basedOn w:val="Normal"/>
    <w:semiHidden/>
    <w:pPr>
      <w:shd w:val="clear" w:color="auto" w:fill="000080"/>
    </w:pPr>
    <w:rPr>
      <w:rFonts w:ascii="Tahoma" w:hAnsi="Tahoma"/>
    </w:rPr>
  </w:style>
  <w:style w:type="paragraph" w:customStyle="1" w:styleId="Annex">
    <w:name w:val="Annex"/>
    <w:basedOn w:val="Normal"/>
    <w:next w:val="Normal"/>
    <w:pPr>
      <w:jc w:val="center"/>
    </w:pPr>
    <w:rPr>
      <w:b/>
    </w:rPr>
  </w:style>
  <w:style w:type="paragraph" w:customStyle="1" w:styleId="Description">
    <w:name w:val="Description"/>
    <w:basedOn w:val="Normal"/>
    <w:next w:val="Normal"/>
  </w:style>
  <w:style w:type="paragraph" w:customStyle="1" w:styleId="HangingIndent">
    <w:name w:val="HangingIndent"/>
    <w:basedOn w:val="Normal"/>
    <w:pPr>
      <w:ind w:left="567" w:hanging="567"/>
    </w:pPr>
  </w:style>
  <w:style w:type="paragraph" w:styleId="BalloonText">
    <w:name w:val="Balloon Text"/>
    <w:basedOn w:val="Normal"/>
    <w:semiHidden/>
    <w:rPr>
      <w:rFonts w:ascii="Tahoma" w:hAnsi="Tahoma" w:cs="Tahoma"/>
      <w:sz w:val="16"/>
      <w:szCs w:val="16"/>
    </w:rPr>
  </w:style>
  <w:style w:type="paragraph" w:customStyle="1" w:styleId="EMEAEnBodyText">
    <w:name w:val="EMEA En Body Text"/>
    <w:basedOn w:val="Normal"/>
    <w:pPr>
      <w:spacing w:before="120" w:after="120"/>
      <w:jc w:val="both"/>
    </w:pPr>
    <w:rPr>
      <w:lang w:eastAsia="en-US"/>
    </w:rPr>
  </w:style>
  <w:style w:type="paragraph" w:customStyle="1" w:styleId="TextTi12">
    <w:name w:val="Text:Ti12"/>
    <w:basedOn w:val="Normal"/>
    <w:link w:val="TextTi12Char"/>
    <w:pPr>
      <w:spacing w:after="170" w:line="280" w:lineRule="atLeast"/>
      <w:jc w:val="both"/>
    </w:pPr>
    <w:rPr>
      <w:sz w:val="24"/>
      <w:szCs w:val="24"/>
      <w:lang w:eastAsia="de-DE"/>
    </w:rPr>
  </w:style>
  <w:style w:type="paragraph" w:styleId="CommentSubject">
    <w:name w:val="annotation subject"/>
    <w:basedOn w:val="CommentText"/>
    <w:next w:val="CommentText"/>
    <w:semiHidden/>
    <w:rPr>
      <w:b/>
      <w:bCs/>
    </w:rPr>
  </w:style>
  <w:style w:type="paragraph" w:customStyle="1" w:styleId="Standard1">
    <w:name w:val="Standard1"/>
    <w:link w:val="Standard1Char"/>
    <w:qFormat/>
    <w:pPr>
      <w:autoSpaceDE w:val="0"/>
      <w:autoSpaceDN w:val="0"/>
      <w:adjustRightInd w:val="0"/>
    </w:pPr>
    <w:rPr>
      <w:rFonts w:ascii="Arial" w:hAnsi="Arial"/>
      <w:sz w:val="24"/>
      <w:szCs w:val="24"/>
      <w:lang w:val="fr-FR" w:eastAsia="fr-FR"/>
    </w:rPr>
  </w:style>
  <w:style w:type="character" w:customStyle="1" w:styleId="TextTi12Char">
    <w:name w:val="Text:Ti12 Char"/>
    <w:link w:val="TextTi12"/>
    <w:rPr>
      <w:noProof/>
      <w:sz w:val="24"/>
      <w:szCs w:val="24"/>
      <w:lang w:val="en-US" w:eastAsia="de-DE" w:bidi="ar-SA"/>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S8">
    <w:name w:val="SAS:8"/>
    <w:basedOn w:val="Normal"/>
    <w:link w:val="SAS8Char"/>
    <w:pPr>
      <w:spacing w:line="150" w:lineRule="exact"/>
    </w:pPr>
    <w:rPr>
      <w:rFonts w:ascii="Courier New" w:hAnsi="Courier New"/>
      <w:spacing w:val="-10"/>
      <w:sz w:val="16"/>
      <w:szCs w:val="16"/>
      <w:lang w:val="en-GB" w:eastAsia="de-DE"/>
    </w:rPr>
  </w:style>
  <w:style w:type="character" w:customStyle="1" w:styleId="SAS8Char">
    <w:name w:val="SAS:8 Char"/>
    <w:link w:val="SAS8"/>
    <w:rPr>
      <w:rFonts w:ascii="Courier New" w:hAnsi="Courier New"/>
      <w:noProof/>
      <w:spacing w:val="-10"/>
      <w:sz w:val="16"/>
      <w:szCs w:val="16"/>
      <w:lang w:val="en-GB" w:eastAsia="de-DE" w:bidi="ar-SA"/>
    </w:rPr>
  </w:style>
  <w:style w:type="paragraph" w:styleId="Caption">
    <w:name w:val="caption"/>
    <w:basedOn w:val="Normal"/>
    <w:next w:val="Normal"/>
    <w:qFormat/>
    <w:pPr>
      <w:spacing w:before="113" w:after="57" w:line="280" w:lineRule="atLeast"/>
      <w:ind w:left="1701" w:hanging="1701"/>
    </w:pPr>
    <w:rPr>
      <w:rFonts w:ascii="Arial" w:hAnsi="Arial"/>
      <w:b/>
      <w:bCs/>
      <w:sz w:val="24"/>
      <w:szCs w:val="24"/>
      <w:lang w:eastAsia="de-DE"/>
    </w:rPr>
  </w:style>
  <w:style w:type="paragraph" w:customStyle="1" w:styleId="HdTab1">
    <w:name w:val="Hd:Tab:1"/>
    <w:basedOn w:val="Caption"/>
    <w:next w:val="TextTi12"/>
    <w:link w:val="HdTab1Char"/>
    <w:pPr>
      <w:keepNext/>
      <w:outlineLvl w:val="4"/>
    </w:pPr>
    <w:rPr>
      <w:bCs w:val="0"/>
      <w:szCs w:val="20"/>
      <w:lang w:eastAsia="ja-JP"/>
    </w:rPr>
  </w:style>
  <w:style w:type="paragraph" w:customStyle="1" w:styleId="AnnexHeading">
    <w:name w:val="Annex Heading"/>
    <w:basedOn w:val="Normal"/>
    <w:next w:val="Normal"/>
    <w:pPr>
      <w:ind w:left="567" w:hanging="567"/>
    </w:pPr>
    <w:rPr>
      <w:b/>
    </w:rPr>
  </w:style>
  <w:style w:type="paragraph" w:styleId="Date">
    <w:name w:val="Date"/>
    <w:basedOn w:val="Normal"/>
    <w:next w:val="Normal"/>
    <w:rPr>
      <w:lang w:val="en-GB" w:eastAsia="en-US"/>
    </w:rPr>
  </w:style>
  <w:style w:type="character" w:styleId="Emphasis">
    <w:name w:val="Emphasis"/>
    <w:qFormat/>
    <w:rPr>
      <w:b/>
      <w:bCs/>
      <w:i w:val="0"/>
      <w:iCs w:val="0"/>
      <w:noProof/>
    </w:rPr>
  </w:style>
  <w:style w:type="character" w:customStyle="1" w:styleId="longtext">
    <w:name w:val="long_text"/>
    <w:rPr>
      <w:noProof/>
    </w:rPr>
  </w:style>
  <w:style w:type="paragraph" w:customStyle="1" w:styleId="HangingIndent0">
    <w:name w:val="Hanging Indent"/>
    <w:basedOn w:val="Normal"/>
    <w:pPr>
      <w:ind w:left="567" w:hanging="567"/>
    </w:pPr>
  </w:style>
  <w:style w:type="character" w:customStyle="1" w:styleId="hps">
    <w:name w:val="hps"/>
    <w:rPr>
      <w:noProof/>
    </w:rPr>
  </w:style>
  <w:style w:type="character" w:customStyle="1" w:styleId="hpsatn">
    <w:name w:val="hps atn"/>
    <w:rPr>
      <w:noProof/>
    </w:rPr>
  </w:style>
  <w:style w:type="paragraph" w:styleId="BodyTextFirstIndent">
    <w:name w:val="Body Text First Indent"/>
    <w:basedOn w:val="BodyText"/>
    <w:pPr>
      <w:spacing w:after="120"/>
      <w:ind w:firstLine="210"/>
    </w:pPr>
    <w:rPr>
      <w:b w:val="0"/>
      <w:i w:val="0"/>
    </w:rPr>
  </w:style>
  <w:style w:type="paragraph" w:styleId="BodyTextFirstIndent2">
    <w:name w:val="Body Text First Indent 2"/>
    <w:basedOn w:val="BodyTextIndent"/>
    <w:pPr>
      <w:spacing w:after="120"/>
      <w:ind w:left="360" w:firstLine="210"/>
    </w:pPr>
    <w:rPr>
      <w:b w:val="0"/>
      <w:color w:val="auto"/>
    </w:rPr>
  </w:style>
  <w:style w:type="paragraph" w:styleId="Closing">
    <w:name w:val="Closing"/>
    <w:basedOn w:val="Normal"/>
    <w:pPr>
      <w:ind w:left="4320"/>
    </w:pPr>
  </w:style>
  <w:style w:type="paragraph" w:styleId="E-mailSignature">
    <w:name w:val="E-mail Signature"/>
    <w:basedOn w:val="Normal"/>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sz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rPr>
  </w:style>
  <w:style w:type="paragraph" w:styleId="Index1">
    <w:name w:val="index 1"/>
    <w:basedOn w:val="Normal"/>
    <w:next w:val="Normal"/>
    <w:autoRedefine/>
    <w:semiHidden/>
    <w:pPr>
      <w:ind w:left="220" w:hanging="220"/>
    </w:pPr>
  </w:style>
  <w:style w:type="paragraph" w:styleId="Index2">
    <w:name w:val="index 2"/>
    <w:basedOn w:val="Normal"/>
    <w:next w:val="Normal"/>
    <w:autoRedefine/>
    <w:semiHidden/>
    <w:pPr>
      <w:ind w:left="440" w:hanging="220"/>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pPr>
      <w:numPr>
        <w:numId w:val="2"/>
      </w:numPr>
    </w:pPr>
  </w:style>
  <w:style w:type="paragraph" w:styleId="ListBullet2">
    <w:name w:val="List Bullet 2"/>
    <w:basedOn w:val="Normal"/>
    <w:pPr>
      <w:numPr>
        <w:numId w:val="3"/>
      </w:numPr>
    </w:pPr>
  </w:style>
  <w:style w:type="paragraph" w:styleId="ListBullet3">
    <w:name w:val="List Bullet 3"/>
    <w:basedOn w:val="Normal"/>
    <w:pPr>
      <w:numPr>
        <w:numId w:val="4"/>
      </w:numPr>
    </w:pPr>
  </w:style>
  <w:style w:type="paragraph" w:styleId="ListBullet4">
    <w:name w:val="List Bullet 4"/>
    <w:basedOn w:val="Normal"/>
    <w:pPr>
      <w:numPr>
        <w:numId w:val="5"/>
      </w:numPr>
    </w:pPr>
  </w:style>
  <w:style w:type="paragraph" w:styleId="ListBullet5">
    <w:name w:val="List Bullet 5"/>
    <w:basedOn w:val="Normal"/>
    <w:pPr>
      <w:numPr>
        <w:numId w:val="6"/>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7"/>
      </w:numPr>
    </w:pPr>
  </w:style>
  <w:style w:type="paragraph" w:styleId="ListNumber2">
    <w:name w:val="List Number 2"/>
    <w:basedOn w:val="Normal"/>
    <w:pPr>
      <w:numPr>
        <w:numId w:val="8"/>
      </w:numPr>
    </w:pPr>
  </w:style>
  <w:style w:type="paragraph" w:styleId="ListNumber3">
    <w:name w:val="List Number 3"/>
    <w:basedOn w:val="Normal"/>
    <w:pPr>
      <w:numPr>
        <w:numId w:val="9"/>
      </w:numPr>
    </w:pPr>
  </w:style>
  <w:style w:type="paragraph" w:styleId="ListNumber4">
    <w:name w:val="List Number 4"/>
    <w:basedOn w:val="Normal"/>
    <w:pPr>
      <w:numPr>
        <w:numId w:val="1"/>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ja-JP"/>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styleId="TOC1">
    <w:name w:val="toc 1"/>
    <w:basedOn w:val="Normal"/>
    <w:next w:val="Normal"/>
    <w:autoRedefine/>
    <w:semiHidden/>
  </w:style>
  <w:style w:type="paragraph" w:styleId="TOC2">
    <w:name w:val="toc 2"/>
    <w:basedOn w:val="Normal"/>
    <w:next w:val="Normal"/>
    <w:autoRedefine/>
    <w:semiHidden/>
    <w:pPr>
      <w:ind w:left="220"/>
    </w:p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customStyle="1" w:styleId="ColorfulList-Accent11">
    <w:name w:val="Colorful List - Accent 11"/>
    <w:basedOn w:val="Normal"/>
    <w:uiPriority w:val="34"/>
    <w:qFormat/>
    <w:pPr>
      <w:ind w:left="720"/>
    </w:pPr>
    <w:rPr>
      <w:rFonts w:ascii="Arial" w:eastAsia="Calibri" w:hAnsi="Arial" w:cs="Arial"/>
      <w:sz w:val="20"/>
      <w:lang w:eastAsia="zh-CN"/>
    </w:rPr>
  </w:style>
  <w:style w:type="paragraph" w:customStyle="1" w:styleId="ColorfulShading-Accent11">
    <w:name w:val="Colorful Shading - Accent 11"/>
    <w:hidden/>
    <w:uiPriority w:val="99"/>
    <w:semiHidden/>
    <w:rPr>
      <w:sz w:val="22"/>
      <w:lang w:val="en-US" w:eastAsia="ja-JP"/>
    </w:rPr>
  </w:style>
  <w:style w:type="character" w:customStyle="1" w:styleId="CommentTextChar">
    <w:name w:val="Comment Text Char"/>
    <w:link w:val="CommentText"/>
    <w:semiHidden/>
    <w:rPr>
      <w:lang w:val="en-US" w:eastAsia="ja-JP"/>
    </w:rPr>
  </w:style>
  <w:style w:type="paragraph" w:styleId="Revision">
    <w:name w:val="Revision"/>
    <w:hidden/>
    <w:uiPriority w:val="99"/>
    <w:semiHidden/>
    <w:rPr>
      <w:sz w:val="22"/>
      <w:lang w:val="en-US" w:eastAsia="ja-JP"/>
    </w:rPr>
  </w:style>
  <w:style w:type="paragraph" w:styleId="Bibliography">
    <w:name w:val="Bibliography"/>
    <w:basedOn w:val="Normal"/>
    <w:next w:val="Normal"/>
    <w:uiPriority w:val="37"/>
    <w:semiHidden/>
    <w:unhideWhenUsed/>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Pr>
      <w:b/>
      <w:bCs/>
      <w:i/>
      <w:iCs/>
      <w:noProof/>
      <w:color w:val="4F81BD"/>
      <w:sz w:val="22"/>
      <w:lang w:eastAsia="ja-JP"/>
    </w:rPr>
  </w:style>
  <w:style w:type="paragraph" w:styleId="ListParagraph">
    <w:name w:val="List Paragraph"/>
    <w:basedOn w:val="Normal"/>
    <w:uiPriority w:val="34"/>
    <w:qFormat/>
    <w:pPr>
      <w:ind w:left="720"/>
    </w:pPr>
  </w:style>
  <w:style w:type="paragraph" w:styleId="NoSpacing">
    <w:name w:val="No Spacing"/>
    <w:uiPriority w:val="1"/>
    <w:qFormat/>
    <w:rPr>
      <w:sz w:val="22"/>
      <w:lang w:val="en-US" w:eastAsia="ja-JP"/>
    </w:rPr>
  </w:style>
  <w:style w:type="character" w:customStyle="1" w:styleId="HdTab1Char">
    <w:name w:val="Hd:Tab:1 Char"/>
    <w:link w:val="HdTab1"/>
    <w:rPr>
      <w:rFonts w:ascii="Arial" w:hAnsi="Arial"/>
      <w:b/>
      <w:sz w:val="24"/>
      <w:lang w:eastAsia="ja-JP"/>
    </w:rPr>
  </w:style>
  <w:style w:type="paragraph" w:customStyle="1" w:styleId="TextTi9">
    <w:name w:val="Text:Ti9"/>
    <w:basedOn w:val="Normal"/>
    <w:pPr>
      <w:spacing w:after="200"/>
    </w:pPr>
    <w:rPr>
      <w:rFonts w:ascii="Calibri" w:eastAsia="PMingLiU" w:hAnsi="Calibri"/>
      <w:sz w:val="18"/>
      <w:szCs w:val="22"/>
      <w:lang w:eastAsia="zh-TW"/>
    </w:rPr>
  </w:style>
  <w:style w:type="paragraph" w:customStyle="1" w:styleId="1">
    <w:name w:val="1"/>
    <w:basedOn w:val="Normal"/>
    <w:next w:val="CommentText"/>
    <w:link w:val="KommentartextZchn"/>
    <w:uiPriority w:val="99"/>
    <w:rPr>
      <w:sz w:val="20"/>
    </w:rPr>
  </w:style>
  <w:style w:type="character" w:customStyle="1" w:styleId="KommentartextZchn">
    <w:name w:val="Kommentartext Zchn"/>
    <w:link w:val="1"/>
    <w:uiPriority w:val="99"/>
    <w:rPr>
      <w:lang w:eastAsia="ja-JP"/>
    </w:rPr>
  </w:style>
  <w:style w:type="paragraph" w:customStyle="1" w:styleId="BodytextAgency">
    <w:name w:val="Body text (Agency)"/>
    <w:basedOn w:val="Normal"/>
    <w:link w:val="BodytextAgencyChar"/>
    <w:qFormat/>
    <w:pPr>
      <w:spacing w:after="140" w:line="280" w:lineRule="atLeast"/>
    </w:pPr>
    <w:rPr>
      <w:rFonts w:ascii="Verdana" w:eastAsia="Verdana" w:hAnsi="Verdana"/>
      <w:sz w:val="18"/>
      <w:szCs w:val="18"/>
      <w:lang w:eastAsia="sk-SK" w:bidi="sk-SK"/>
    </w:rPr>
  </w:style>
  <w:style w:type="paragraph" w:customStyle="1" w:styleId="DraftingNotesAgency">
    <w:name w:val="Drafting Notes (Agency)"/>
    <w:basedOn w:val="Normal"/>
    <w:next w:val="BodytextAgency"/>
    <w:link w:val="DraftingNotesAgencyChar"/>
    <w:pPr>
      <w:spacing w:after="140" w:line="280" w:lineRule="atLeast"/>
    </w:pPr>
    <w:rPr>
      <w:rFonts w:ascii="Courier New" w:eastAsia="Verdana" w:hAnsi="Courier New"/>
      <w:i/>
      <w:color w:val="339966"/>
      <w:szCs w:val="18"/>
      <w:lang w:eastAsia="sk-SK" w:bidi="sk-SK"/>
    </w:rPr>
  </w:style>
  <w:style w:type="paragraph" w:customStyle="1" w:styleId="No-numheading3Agency">
    <w:name w:val="No-num heading 3 (Agency)"/>
    <w:basedOn w:val="Normal"/>
    <w:next w:val="BodytextAgency"/>
    <w:link w:val="No-numheading3AgencyChar"/>
    <w:pPr>
      <w:keepNext/>
      <w:spacing w:before="280" w:after="220"/>
      <w:outlineLvl w:val="2"/>
    </w:pPr>
    <w:rPr>
      <w:rFonts w:ascii="Verdana" w:eastAsia="Verdana" w:hAnsi="Verdana"/>
      <w:b/>
      <w:bCs/>
      <w:kern w:val="32"/>
      <w:szCs w:val="22"/>
      <w:lang w:eastAsia="sk-SK" w:bidi="sk-SK"/>
    </w:rPr>
  </w:style>
  <w:style w:type="character" w:customStyle="1" w:styleId="DraftingNotesAgencyChar">
    <w:name w:val="Drafting Notes (Agency) Char"/>
    <w:link w:val="DraftingNotesAgency"/>
    <w:rPr>
      <w:rFonts w:ascii="Courier New" w:eastAsia="Verdana" w:hAnsi="Courier New"/>
      <w:i/>
      <w:color w:val="339966"/>
      <w:sz w:val="22"/>
      <w:szCs w:val="18"/>
      <w:lang w:eastAsia="sk-SK" w:bidi="sk-SK"/>
    </w:rPr>
  </w:style>
  <w:style w:type="character" w:customStyle="1" w:styleId="BodytextAgencyChar">
    <w:name w:val="Body text (Agency) Char"/>
    <w:link w:val="BodytextAgency"/>
    <w:rPr>
      <w:rFonts w:ascii="Verdana" w:eastAsia="Verdana" w:hAnsi="Verdana"/>
      <w:sz w:val="18"/>
      <w:szCs w:val="18"/>
      <w:lang w:eastAsia="sk-SK" w:bidi="sk-SK"/>
    </w:rPr>
  </w:style>
  <w:style w:type="character" w:customStyle="1" w:styleId="No-numheading3AgencyChar">
    <w:name w:val="No-num heading 3 (Agency) Char"/>
    <w:link w:val="No-numheading3Agency"/>
    <w:rPr>
      <w:rFonts w:ascii="Verdana" w:eastAsia="Verdana" w:hAnsi="Verdana"/>
      <w:b/>
      <w:bCs/>
      <w:kern w:val="32"/>
      <w:sz w:val="22"/>
      <w:szCs w:val="22"/>
      <w:lang w:eastAsia="sk-SK" w:bidi="sk-SK"/>
    </w:rPr>
  </w:style>
  <w:style w:type="paragraph" w:customStyle="1" w:styleId="Standard">
    <w:name w:val="Standard"/>
    <w:qFormat/>
    <w:rPr>
      <w:sz w:val="22"/>
      <w:lang w:val="en-US" w:eastAsia="ja-JP"/>
    </w:rPr>
  </w:style>
  <w:style w:type="paragraph" w:customStyle="1" w:styleId="Paragraph">
    <w:name w:val="Paragraph"/>
    <w:basedOn w:val="Standard1"/>
    <w:link w:val="ParagraphChar"/>
    <w:qFormat/>
    <w:pPr>
      <w:autoSpaceDE/>
      <w:autoSpaceDN/>
      <w:adjustRightInd/>
      <w:spacing w:after="170" w:line="280" w:lineRule="exact"/>
    </w:pPr>
    <w:rPr>
      <w:lang w:val="en-US" w:eastAsia="zh-CN"/>
    </w:rPr>
  </w:style>
  <w:style w:type="character" w:customStyle="1" w:styleId="ParagraphChar">
    <w:name w:val="Paragraph Char"/>
    <w:link w:val="Paragraph"/>
    <w:rPr>
      <w:rFonts w:ascii="Arial" w:eastAsia="Times New Roman" w:hAnsi="Arial"/>
      <w:sz w:val="24"/>
      <w:szCs w:val="24"/>
      <w:lang w:val="en-US" w:eastAsia="zh-CN"/>
    </w:rPr>
  </w:style>
  <w:style w:type="paragraph" w:customStyle="1" w:styleId="TableCell10Left">
    <w:name w:val="Table Cell 10 Left"/>
    <w:basedOn w:val="Normal"/>
    <w:link w:val="TableCell10LeftChar"/>
    <w:pPr>
      <w:keepNext/>
      <w:keepLines/>
      <w:spacing w:before="50" w:after="50" w:line="240" w:lineRule="exact"/>
    </w:pPr>
    <w:rPr>
      <w:rFonts w:ascii="Arial" w:hAnsi="Arial"/>
      <w:sz w:val="20"/>
      <w:szCs w:val="24"/>
      <w:lang w:eastAsia="zh-CN"/>
    </w:rPr>
  </w:style>
  <w:style w:type="paragraph" w:customStyle="1" w:styleId="TableCell10Center">
    <w:name w:val="Table Cell 10 Center"/>
    <w:basedOn w:val="TableCell10Left"/>
    <w:link w:val="TableCell10CenterChar"/>
    <w:pPr>
      <w:jc w:val="center"/>
    </w:pPr>
  </w:style>
  <w:style w:type="character" w:customStyle="1" w:styleId="TableCell10LeftChar">
    <w:name w:val="Table Cell 10 Left Char"/>
    <w:link w:val="TableCell10Left"/>
    <w:rPr>
      <w:rFonts w:ascii="Arial" w:eastAsia="Times New Roman" w:hAnsi="Arial"/>
      <w:szCs w:val="24"/>
      <w:lang w:val="en-US" w:eastAsia="zh-CN"/>
    </w:rPr>
  </w:style>
  <w:style w:type="character" w:customStyle="1" w:styleId="TableCell10CenterChar">
    <w:name w:val="Table Cell 10 Center Char"/>
    <w:link w:val="TableCell10Center"/>
    <w:rPr>
      <w:rFonts w:ascii="Arial" w:eastAsia="Times New Roman" w:hAnsi="Arial"/>
      <w:szCs w:val="24"/>
      <w:lang w:val="en-US" w:eastAsia="zh-CN"/>
    </w:rPr>
  </w:style>
  <w:style w:type="paragraph" w:customStyle="1" w:styleId="ParagraphList">
    <w:name w:val="Paragraph List"/>
    <w:basedOn w:val="Normal"/>
    <w:next w:val="Normal"/>
    <w:link w:val="ParagraphListChar"/>
    <w:pPr>
      <w:keepNext/>
      <w:spacing w:after="100" w:line="300" w:lineRule="atLeast"/>
    </w:pPr>
    <w:rPr>
      <w:rFonts w:ascii="Arial" w:hAnsi="Arial"/>
      <w:szCs w:val="24"/>
      <w:lang w:eastAsia="zh-CN"/>
    </w:rPr>
  </w:style>
  <w:style w:type="character" w:customStyle="1" w:styleId="ParagraphListChar">
    <w:name w:val="Paragraph List Char"/>
    <w:link w:val="ParagraphList"/>
    <w:rPr>
      <w:rFonts w:ascii="Arial" w:eastAsia="Times New Roman" w:hAnsi="Arial"/>
      <w:sz w:val="22"/>
      <w:szCs w:val="24"/>
      <w:lang w:val="en-US" w:eastAsia="zh-CN"/>
    </w:rPr>
  </w:style>
  <w:style w:type="character" w:customStyle="1" w:styleId="UnresolvedMention1">
    <w:name w:val="Unresolved Mention1"/>
    <w:uiPriority w:val="99"/>
    <w:semiHidden/>
    <w:unhideWhenUsed/>
    <w:rPr>
      <w:noProof/>
      <w:color w:val="605E5C"/>
      <w:shd w:val="clear" w:color="auto" w:fill="E1DFDD"/>
    </w:rPr>
  </w:style>
  <w:style w:type="character" w:customStyle="1" w:styleId="cf01">
    <w:name w:val="cf01"/>
    <w:rPr>
      <w:rFonts w:ascii="Segoe UI" w:hAnsi="Segoe UI" w:cs="Segoe UI" w:hint="default"/>
      <w:sz w:val="18"/>
      <w:szCs w:val="18"/>
    </w:rPr>
  </w:style>
  <w:style w:type="character" w:customStyle="1" w:styleId="Standard1Char">
    <w:name w:val="Standard1 Char"/>
    <w:basedOn w:val="DefaultParagraphFont"/>
    <w:link w:val="Standard1"/>
    <w:rPr>
      <w:rFonts w:ascii="Arial" w:hAnsi="Arial"/>
      <w:sz w:val="24"/>
      <w:szCs w:val="24"/>
      <w:lang w:val="fr-FR" w:eastAsia="fr-FR"/>
    </w:rPr>
  </w:style>
  <w:style w:type="character" w:customStyle="1" w:styleId="UnresolvedMention2">
    <w:name w:val="Unresolved Mention2"/>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82546">
      <w:bodyDiv w:val="1"/>
      <w:marLeft w:val="0"/>
      <w:marRight w:val="0"/>
      <w:marTop w:val="0"/>
      <w:marBottom w:val="0"/>
      <w:divBdr>
        <w:top w:val="none" w:sz="0" w:space="0" w:color="auto"/>
        <w:left w:val="none" w:sz="0" w:space="0" w:color="auto"/>
        <w:bottom w:val="none" w:sz="0" w:space="0" w:color="auto"/>
        <w:right w:val="none" w:sz="0" w:space="0" w:color="auto"/>
      </w:divBdr>
    </w:div>
    <w:div w:id="153493901">
      <w:bodyDiv w:val="1"/>
      <w:marLeft w:val="0"/>
      <w:marRight w:val="0"/>
      <w:marTop w:val="0"/>
      <w:marBottom w:val="0"/>
      <w:divBdr>
        <w:top w:val="none" w:sz="0" w:space="0" w:color="auto"/>
        <w:left w:val="none" w:sz="0" w:space="0" w:color="auto"/>
        <w:bottom w:val="none" w:sz="0" w:space="0" w:color="auto"/>
        <w:right w:val="none" w:sz="0" w:space="0" w:color="auto"/>
      </w:divBdr>
    </w:div>
    <w:div w:id="221136650">
      <w:bodyDiv w:val="1"/>
      <w:marLeft w:val="0"/>
      <w:marRight w:val="0"/>
      <w:marTop w:val="0"/>
      <w:marBottom w:val="0"/>
      <w:divBdr>
        <w:top w:val="none" w:sz="0" w:space="0" w:color="auto"/>
        <w:left w:val="none" w:sz="0" w:space="0" w:color="auto"/>
        <w:bottom w:val="none" w:sz="0" w:space="0" w:color="auto"/>
        <w:right w:val="none" w:sz="0" w:space="0" w:color="auto"/>
      </w:divBdr>
      <w:divsChild>
        <w:div w:id="352194421">
          <w:marLeft w:val="0"/>
          <w:marRight w:val="0"/>
          <w:marTop w:val="0"/>
          <w:marBottom w:val="0"/>
          <w:divBdr>
            <w:top w:val="none" w:sz="0" w:space="0" w:color="auto"/>
            <w:left w:val="none" w:sz="0" w:space="0" w:color="auto"/>
            <w:bottom w:val="none" w:sz="0" w:space="0" w:color="auto"/>
            <w:right w:val="none" w:sz="0" w:space="0" w:color="auto"/>
          </w:divBdr>
          <w:divsChild>
            <w:div w:id="1109202219">
              <w:marLeft w:val="0"/>
              <w:marRight w:val="0"/>
              <w:marTop w:val="0"/>
              <w:marBottom w:val="0"/>
              <w:divBdr>
                <w:top w:val="none" w:sz="0" w:space="0" w:color="auto"/>
                <w:left w:val="none" w:sz="0" w:space="0" w:color="auto"/>
                <w:bottom w:val="none" w:sz="0" w:space="0" w:color="auto"/>
                <w:right w:val="none" w:sz="0" w:space="0" w:color="auto"/>
              </w:divBdr>
              <w:divsChild>
                <w:div w:id="955721168">
                  <w:marLeft w:val="0"/>
                  <w:marRight w:val="0"/>
                  <w:marTop w:val="0"/>
                  <w:marBottom w:val="0"/>
                  <w:divBdr>
                    <w:top w:val="none" w:sz="0" w:space="0" w:color="auto"/>
                    <w:left w:val="none" w:sz="0" w:space="0" w:color="auto"/>
                    <w:bottom w:val="none" w:sz="0" w:space="0" w:color="auto"/>
                    <w:right w:val="none" w:sz="0" w:space="0" w:color="auto"/>
                  </w:divBdr>
                  <w:divsChild>
                    <w:div w:id="1100563973">
                      <w:marLeft w:val="0"/>
                      <w:marRight w:val="0"/>
                      <w:marTop w:val="0"/>
                      <w:marBottom w:val="0"/>
                      <w:divBdr>
                        <w:top w:val="none" w:sz="0" w:space="0" w:color="auto"/>
                        <w:left w:val="none" w:sz="0" w:space="0" w:color="auto"/>
                        <w:bottom w:val="none" w:sz="0" w:space="0" w:color="auto"/>
                        <w:right w:val="none" w:sz="0" w:space="0" w:color="auto"/>
                      </w:divBdr>
                      <w:divsChild>
                        <w:div w:id="2143306521">
                          <w:marLeft w:val="0"/>
                          <w:marRight w:val="0"/>
                          <w:marTop w:val="0"/>
                          <w:marBottom w:val="0"/>
                          <w:divBdr>
                            <w:top w:val="none" w:sz="0" w:space="0" w:color="auto"/>
                            <w:left w:val="none" w:sz="0" w:space="0" w:color="auto"/>
                            <w:bottom w:val="none" w:sz="0" w:space="0" w:color="auto"/>
                            <w:right w:val="none" w:sz="0" w:space="0" w:color="auto"/>
                          </w:divBdr>
                          <w:divsChild>
                            <w:div w:id="451679900">
                              <w:marLeft w:val="0"/>
                              <w:marRight w:val="0"/>
                              <w:marTop w:val="0"/>
                              <w:marBottom w:val="0"/>
                              <w:divBdr>
                                <w:top w:val="none" w:sz="0" w:space="0" w:color="auto"/>
                                <w:left w:val="none" w:sz="0" w:space="0" w:color="auto"/>
                                <w:bottom w:val="none" w:sz="0" w:space="0" w:color="auto"/>
                                <w:right w:val="none" w:sz="0" w:space="0" w:color="auto"/>
                              </w:divBdr>
                              <w:divsChild>
                                <w:div w:id="19393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8337200">
      <w:bodyDiv w:val="1"/>
      <w:marLeft w:val="0"/>
      <w:marRight w:val="0"/>
      <w:marTop w:val="0"/>
      <w:marBottom w:val="0"/>
      <w:divBdr>
        <w:top w:val="none" w:sz="0" w:space="0" w:color="auto"/>
        <w:left w:val="none" w:sz="0" w:space="0" w:color="auto"/>
        <w:bottom w:val="none" w:sz="0" w:space="0" w:color="auto"/>
        <w:right w:val="none" w:sz="0" w:space="0" w:color="auto"/>
      </w:divBdr>
    </w:div>
    <w:div w:id="466777993">
      <w:bodyDiv w:val="1"/>
      <w:marLeft w:val="0"/>
      <w:marRight w:val="0"/>
      <w:marTop w:val="0"/>
      <w:marBottom w:val="0"/>
      <w:divBdr>
        <w:top w:val="none" w:sz="0" w:space="0" w:color="auto"/>
        <w:left w:val="none" w:sz="0" w:space="0" w:color="auto"/>
        <w:bottom w:val="none" w:sz="0" w:space="0" w:color="auto"/>
        <w:right w:val="none" w:sz="0" w:space="0" w:color="auto"/>
      </w:divBdr>
    </w:div>
    <w:div w:id="546795849">
      <w:bodyDiv w:val="1"/>
      <w:marLeft w:val="0"/>
      <w:marRight w:val="0"/>
      <w:marTop w:val="0"/>
      <w:marBottom w:val="0"/>
      <w:divBdr>
        <w:top w:val="none" w:sz="0" w:space="0" w:color="auto"/>
        <w:left w:val="none" w:sz="0" w:space="0" w:color="auto"/>
        <w:bottom w:val="none" w:sz="0" w:space="0" w:color="auto"/>
        <w:right w:val="none" w:sz="0" w:space="0" w:color="auto"/>
      </w:divBdr>
      <w:divsChild>
        <w:div w:id="468205570">
          <w:marLeft w:val="0"/>
          <w:marRight w:val="0"/>
          <w:marTop w:val="0"/>
          <w:marBottom w:val="0"/>
          <w:divBdr>
            <w:top w:val="none" w:sz="0" w:space="0" w:color="auto"/>
            <w:left w:val="none" w:sz="0" w:space="0" w:color="auto"/>
            <w:bottom w:val="none" w:sz="0" w:space="0" w:color="auto"/>
            <w:right w:val="none" w:sz="0" w:space="0" w:color="auto"/>
          </w:divBdr>
          <w:divsChild>
            <w:div w:id="406927188">
              <w:marLeft w:val="0"/>
              <w:marRight w:val="0"/>
              <w:marTop w:val="0"/>
              <w:marBottom w:val="0"/>
              <w:divBdr>
                <w:top w:val="none" w:sz="0" w:space="0" w:color="auto"/>
                <w:left w:val="none" w:sz="0" w:space="0" w:color="auto"/>
                <w:bottom w:val="none" w:sz="0" w:space="0" w:color="auto"/>
                <w:right w:val="none" w:sz="0" w:space="0" w:color="auto"/>
              </w:divBdr>
              <w:divsChild>
                <w:div w:id="128862434">
                  <w:marLeft w:val="0"/>
                  <w:marRight w:val="0"/>
                  <w:marTop w:val="0"/>
                  <w:marBottom w:val="0"/>
                  <w:divBdr>
                    <w:top w:val="none" w:sz="0" w:space="0" w:color="auto"/>
                    <w:left w:val="none" w:sz="0" w:space="0" w:color="auto"/>
                    <w:bottom w:val="none" w:sz="0" w:space="0" w:color="auto"/>
                    <w:right w:val="none" w:sz="0" w:space="0" w:color="auto"/>
                  </w:divBdr>
                  <w:divsChild>
                    <w:div w:id="99297306">
                      <w:marLeft w:val="0"/>
                      <w:marRight w:val="0"/>
                      <w:marTop w:val="0"/>
                      <w:marBottom w:val="0"/>
                      <w:divBdr>
                        <w:top w:val="none" w:sz="0" w:space="0" w:color="auto"/>
                        <w:left w:val="none" w:sz="0" w:space="0" w:color="auto"/>
                        <w:bottom w:val="none" w:sz="0" w:space="0" w:color="auto"/>
                        <w:right w:val="none" w:sz="0" w:space="0" w:color="auto"/>
                      </w:divBdr>
                      <w:divsChild>
                        <w:div w:id="1757746211">
                          <w:marLeft w:val="0"/>
                          <w:marRight w:val="0"/>
                          <w:marTop w:val="0"/>
                          <w:marBottom w:val="0"/>
                          <w:divBdr>
                            <w:top w:val="none" w:sz="0" w:space="0" w:color="auto"/>
                            <w:left w:val="none" w:sz="0" w:space="0" w:color="auto"/>
                            <w:bottom w:val="none" w:sz="0" w:space="0" w:color="auto"/>
                            <w:right w:val="none" w:sz="0" w:space="0" w:color="auto"/>
                          </w:divBdr>
                          <w:divsChild>
                            <w:div w:id="236285712">
                              <w:marLeft w:val="0"/>
                              <w:marRight w:val="0"/>
                              <w:marTop w:val="0"/>
                              <w:marBottom w:val="0"/>
                              <w:divBdr>
                                <w:top w:val="none" w:sz="0" w:space="0" w:color="auto"/>
                                <w:left w:val="none" w:sz="0" w:space="0" w:color="auto"/>
                                <w:bottom w:val="none" w:sz="0" w:space="0" w:color="auto"/>
                                <w:right w:val="none" w:sz="0" w:space="0" w:color="auto"/>
                              </w:divBdr>
                              <w:divsChild>
                                <w:div w:id="142434815">
                                  <w:marLeft w:val="0"/>
                                  <w:marRight w:val="0"/>
                                  <w:marTop w:val="0"/>
                                  <w:marBottom w:val="0"/>
                                  <w:divBdr>
                                    <w:top w:val="none" w:sz="0" w:space="0" w:color="auto"/>
                                    <w:left w:val="none" w:sz="0" w:space="0" w:color="auto"/>
                                    <w:bottom w:val="none" w:sz="0" w:space="0" w:color="auto"/>
                                    <w:right w:val="none" w:sz="0" w:space="0" w:color="auto"/>
                                  </w:divBdr>
                                  <w:divsChild>
                                    <w:div w:id="41656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217874">
      <w:bodyDiv w:val="1"/>
      <w:marLeft w:val="0"/>
      <w:marRight w:val="0"/>
      <w:marTop w:val="0"/>
      <w:marBottom w:val="0"/>
      <w:divBdr>
        <w:top w:val="none" w:sz="0" w:space="0" w:color="auto"/>
        <w:left w:val="none" w:sz="0" w:space="0" w:color="auto"/>
        <w:bottom w:val="none" w:sz="0" w:space="0" w:color="auto"/>
        <w:right w:val="none" w:sz="0" w:space="0" w:color="auto"/>
      </w:divBdr>
    </w:div>
    <w:div w:id="838159477">
      <w:bodyDiv w:val="1"/>
      <w:marLeft w:val="0"/>
      <w:marRight w:val="0"/>
      <w:marTop w:val="0"/>
      <w:marBottom w:val="0"/>
      <w:divBdr>
        <w:top w:val="none" w:sz="0" w:space="0" w:color="auto"/>
        <w:left w:val="none" w:sz="0" w:space="0" w:color="auto"/>
        <w:bottom w:val="none" w:sz="0" w:space="0" w:color="auto"/>
        <w:right w:val="none" w:sz="0" w:space="0" w:color="auto"/>
      </w:divBdr>
    </w:div>
    <w:div w:id="1009285796">
      <w:bodyDiv w:val="1"/>
      <w:marLeft w:val="0"/>
      <w:marRight w:val="0"/>
      <w:marTop w:val="0"/>
      <w:marBottom w:val="0"/>
      <w:divBdr>
        <w:top w:val="none" w:sz="0" w:space="0" w:color="auto"/>
        <w:left w:val="none" w:sz="0" w:space="0" w:color="auto"/>
        <w:bottom w:val="none" w:sz="0" w:space="0" w:color="auto"/>
        <w:right w:val="none" w:sz="0" w:space="0" w:color="auto"/>
      </w:divBdr>
      <w:divsChild>
        <w:div w:id="550726735">
          <w:marLeft w:val="0"/>
          <w:marRight w:val="0"/>
          <w:marTop w:val="0"/>
          <w:marBottom w:val="0"/>
          <w:divBdr>
            <w:top w:val="none" w:sz="0" w:space="0" w:color="auto"/>
            <w:left w:val="none" w:sz="0" w:space="0" w:color="auto"/>
            <w:bottom w:val="none" w:sz="0" w:space="0" w:color="auto"/>
            <w:right w:val="none" w:sz="0" w:space="0" w:color="auto"/>
          </w:divBdr>
          <w:divsChild>
            <w:div w:id="1662537964">
              <w:marLeft w:val="0"/>
              <w:marRight w:val="0"/>
              <w:marTop w:val="0"/>
              <w:marBottom w:val="0"/>
              <w:divBdr>
                <w:top w:val="none" w:sz="0" w:space="0" w:color="auto"/>
                <w:left w:val="none" w:sz="0" w:space="0" w:color="auto"/>
                <w:bottom w:val="none" w:sz="0" w:space="0" w:color="auto"/>
                <w:right w:val="none" w:sz="0" w:space="0" w:color="auto"/>
              </w:divBdr>
              <w:divsChild>
                <w:div w:id="1356232958">
                  <w:marLeft w:val="0"/>
                  <w:marRight w:val="0"/>
                  <w:marTop w:val="0"/>
                  <w:marBottom w:val="0"/>
                  <w:divBdr>
                    <w:top w:val="none" w:sz="0" w:space="0" w:color="auto"/>
                    <w:left w:val="none" w:sz="0" w:space="0" w:color="auto"/>
                    <w:bottom w:val="none" w:sz="0" w:space="0" w:color="auto"/>
                    <w:right w:val="none" w:sz="0" w:space="0" w:color="auto"/>
                  </w:divBdr>
                  <w:divsChild>
                    <w:div w:id="2115707088">
                      <w:marLeft w:val="0"/>
                      <w:marRight w:val="0"/>
                      <w:marTop w:val="0"/>
                      <w:marBottom w:val="0"/>
                      <w:divBdr>
                        <w:top w:val="none" w:sz="0" w:space="0" w:color="auto"/>
                        <w:left w:val="none" w:sz="0" w:space="0" w:color="auto"/>
                        <w:bottom w:val="none" w:sz="0" w:space="0" w:color="auto"/>
                        <w:right w:val="none" w:sz="0" w:space="0" w:color="auto"/>
                      </w:divBdr>
                      <w:divsChild>
                        <w:div w:id="369689143">
                          <w:marLeft w:val="0"/>
                          <w:marRight w:val="0"/>
                          <w:marTop w:val="0"/>
                          <w:marBottom w:val="0"/>
                          <w:divBdr>
                            <w:top w:val="none" w:sz="0" w:space="0" w:color="auto"/>
                            <w:left w:val="none" w:sz="0" w:space="0" w:color="auto"/>
                            <w:bottom w:val="none" w:sz="0" w:space="0" w:color="auto"/>
                            <w:right w:val="none" w:sz="0" w:space="0" w:color="auto"/>
                          </w:divBdr>
                          <w:divsChild>
                            <w:div w:id="1729844290">
                              <w:marLeft w:val="0"/>
                              <w:marRight w:val="0"/>
                              <w:marTop w:val="0"/>
                              <w:marBottom w:val="0"/>
                              <w:divBdr>
                                <w:top w:val="none" w:sz="0" w:space="0" w:color="auto"/>
                                <w:left w:val="none" w:sz="0" w:space="0" w:color="auto"/>
                                <w:bottom w:val="none" w:sz="0" w:space="0" w:color="auto"/>
                                <w:right w:val="none" w:sz="0" w:space="0" w:color="auto"/>
                              </w:divBdr>
                              <w:divsChild>
                                <w:div w:id="1941715891">
                                  <w:marLeft w:val="0"/>
                                  <w:marRight w:val="0"/>
                                  <w:marTop w:val="0"/>
                                  <w:marBottom w:val="0"/>
                                  <w:divBdr>
                                    <w:top w:val="none" w:sz="0" w:space="0" w:color="auto"/>
                                    <w:left w:val="none" w:sz="0" w:space="0" w:color="auto"/>
                                    <w:bottom w:val="none" w:sz="0" w:space="0" w:color="auto"/>
                                    <w:right w:val="none" w:sz="0" w:space="0" w:color="auto"/>
                                  </w:divBdr>
                                  <w:divsChild>
                                    <w:div w:id="1106929144">
                                      <w:marLeft w:val="0"/>
                                      <w:marRight w:val="0"/>
                                      <w:marTop w:val="0"/>
                                      <w:marBottom w:val="0"/>
                                      <w:divBdr>
                                        <w:top w:val="none" w:sz="0" w:space="0" w:color="auto"/>
                                        <w:left w:val="none" w:sz="0" w:space="0" w:color="auto"/>
                                        <w:bottom w:val="none" w:sz="0" w:space="0" w:color="auto"/>
                                        <w:right w:val="none" w:sz="0" w:space="0" w:color="auto"/>
                                      </w:divBdr>
                                      <w:divsChild>
                                        <w:div w:id="250823519">
                                          <w:marLeft w:val="0"/>
                                          <w:marRight w:val="0"/>
                                          <w:marTop w:val="0"/>
                                          <w:marBottom w:val="0"/>
                                          <w:divBdr>
                                            <w:top w:val="none" w:sz="0" w:space="0" w:color="auto"/>
                                            <w:left w:val="none" w:sz="0" w:space="0" w:color="auto"/>
                                            <w:bottom w:val="none" w:sz="0" w:space="0" w:color="auto"/>
                                            <w:right w:val="none" w:sz="0" w:space="0" w:color="auto"/>
                                          </w:divBdr>
                                          <w:divsChild>
                                            <w:div w:id="77413524">
                                              <w:marLeft w:val="0"/>
                                              <w:marRight w:val="0"/>
                                              <w:marTop w:val="0"/>
                                              <w:marBottom w:val="0"/>
                                              <w:divBdr>
                                                <w:top w:val="single" w:sz="6" w:space="0" w:color="F5F5F5"/>
                                                <w:left w:val="single" w:sz="6" w:space="0" w:color="F5F5F5"/>
                                                <w:bottom w:val="single" w:sz="6" w:space="0" w:color="F5F5F5"/>
                                                <w:right w:val="single" w:sz="6" w:space="0" w:color="F5F5F5"/>
                                              </w:divBdr>
                                              <w:divsChild>
                                                <w:div w:id="1358120555">
                                                  <w:marLeft w:val="0"/>
                                                  <w:marRight w:val="0"/>
                                                  <w:marTop w:val="0"/>
                                                  <w:marBottom w:val="0"/>
                                                  <w:divBdr>
                                                    <w:top w:val="none" w:sz="0" w:space="0" w:color="auto"/>
                                                    <w:left w:val="none" w:sz="0" w:space="0" w:color="auto"/>
                                                    <w:bottom w:val="none" w:sz="0" w:space="0" w:color="auto"/>
                                                    <w:right w:val="none" w:sz="0" w:space="0" w:color="auto"/>
                                                  </w:divBdr>
                                                  <w:divsChild>
                                                    <w:div w:id="187079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5706536">
      <w:bodyDiv w:val="1"/>
      <w:marLeft w:val="0"/>
      <w:marRight w:val="0"/>
      <w:marTop w:val="0"/>
      <w:marBottom w:val="0"/>
      <w:divBdr>
        <w:top w:val="none" w:sz="0" w:space="0" w:color="auto"/>
        <w:left w:val="none" w:sz="0" w:space="0" w:color="auto"/>
        <w:bottom w:val="none" w:sz="0" w:space="0" w:color="auto"/>
        <w:right w:val="none" w:sz="0" w:space="0" w:color="auto"/>
      </w:divBdr>
      <w:divsChild>
        <w:div w:id="918632951">
          <w:marLeft w:val="0"/>
          <w:marRight w:val="0"/>
          <w:marTop w:val="0"/>
          <w:marBottom w:val="0"/>
          <w:divBdr>
            <w:top w:val="none" w:sz="0" w:space="0" w:color="auto"/>
            <w:left w:val="none" w:sz="0" w:space="0" w:color="auto"/>
            <w:bottom w:val="none" w:sz="0" w:space="0" w:color="auto"/>
            <w:right w:val="none" w:sz="0" w:space="0" w:color="auto"/>
          </w:divBdr>
          <w:divsChild>
            <w:div w:id="2067411723">
              <w:marLeft w:val="0"/>
              <w:marRight w:val="0"/>
              <w:marTop w:val="0"/>
              <w:marBottom w:val="0"/>
              <w:divBdr>
                <w:top w:val="none" w:sz="0" w:space="0" w:color="auto"/>
                <w:left w:val="none" w:sz="0" w:space="0" w:color="auto"/>
                <w:bottom w:val="none" w:sz="0" w:space="0" w:color="auto"/>
                <w:right w:val="none" w:sz="0" w:space="0" w:color="auto"/>
              </w:divBdr>
              <w:divsChild>
                <w:div w:id="156924619">
                  <w:marLeft w:val="0"/>
                  <w:marRight w:val="0"/>
                  <w:marTop w:val="0"/>
                  <w:marBottom w:val="0"/>
                  <w:divBdr>
                    <w:top w:val="none" w:sz="0" w:space="0" w:color="auto"/>
                    <w:left w:val="none" w:sz="0" w:space="0" w:color="auto"/>
                    <w:bottom w:val="none" w:sz="0" w:space="0" w:color="auto"/>
                    <w:right w:val="none" w:sz="0" w:space="0" w:color="auto"/>
                  </w:divBdr>
                  <w:divsChild>
                    <w:div w:id="1107241123">
                      <w:marLeft w:val="0"/>
                      <w:marRight w:val="0"/>
                      <w:marTop w:val="0"/>
                      <w:marBottom w:val="0"/>
                      <w:divBdr>
                        <w:top w:val="none" w:sz="0" w:space="0" w:color="auto"/>
                        <w:left w:val="none" w:sz="0" w:space="0" w:color="auto"/>
                        <w:bottom w:val="none" w:sz="0" w:space="0" w:color="auto"/>
                        <w:right w:val="none" w:sz="0" w:space="0" w:color="auto"/>
                      </w:divBdr>
                      <w:divsChild>
                        <w:div w:id="993484878">
                          <w:marLeft w:val="0"/>
                          <w:marRight w:val="0"/>
                          <w:marTop w:val="0"/>
                          <w:marBottom w:val="0"/>
                          <w:divBdr>
                            <w:top w:val="none" w:sz="0" w:space="0" w:color="auto"/>
                            <w:left w:val="none" w:sz="0" w:space="0" w:color="auto"/>
                            <w:bottom w:val="none" w:sz="0" w:space="0" w:color="auto"/>
                            <w:right w:val="none" w:sz="0" w:space="0" w:color="auto"/>
                          </w:divBdr>
                          <w:divsChild>
                            <w:div w:id="1186554468">
                              <w:marLeft w:val="0"/>
                              <w:marRight w:val="0"/>
                              <w:marTop w:val="0"/>
                              <w:marBottom w:val="0"/>
                              <w:divBdr>
                                <w:top w:val="none" w:sz="0" w:space="0" w:color="auto"/>
                                <w:left w:val="none" w:sz="0" w:space="0" w:color="auto"/>
                                <w:bottom w:val="none" w:sz="0" w:space="0" w:color="auto"/>
                                <w:right w:val="none" w:sz="0" w:space="0" w:color="auto"/>
                              </w:divBdr>
                              <w:divsChild>
                                <w:div w:id="685711731">
                                  <w:marLeft w:val="0"/>
                                  <w:marRight w:val="0"/>
                                  <w:marTop w:val="0"/>
                                  <w:marBottom w:val="0"/>
                                  <w:divBdr>
                                    <w:top w:val="single" w:sz="6" w:space="0" w:color="F5F5F5"/>
                                    <w:left w:val="single" w:sz="6" w:space="0" w:color="F5F5F5"/>
                                    <w:bottom w:val="single" w:sz="6" w:space="0" w:color="F5F5F5"/>
                                    <w:right w:val="single" w:sz="6" w:space="0" w:color="F5F5F5"/>
                                  </w:divBdr>
                                  <w:divsChild>
                                    <w:div w:id="396709661">
                                      <w:marLeft w:val="0"/>
                                      <w:marRight w:val="0"/>
                                      <w:marTop w:val="0"/>
                                      <w:marBottom w:val="0"/>
                                      <w:divBdr>
                                        <w:top w:val="none" w:sz="0" w:space="0" w:color="auto"/>
                                        <w:left w:val="none" w:sz="0" w:space="0" w:color="auto"/>
                                        <w:bottom w:val="none" w:sz="0" w:space="0" w:color="auto"/>
                                        <w:right w:val="none" w:sz="0" w:space="0" w:color="auto"/>
                                      </w:divBdr>
                                      <w:divsChild>
                                        <w:div w:id="156999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5677796">
      <w:bodyDiv w:val="1"/>
      <w:marLeft w:val="0"/>
      <w:marRight w:val="0"/>
      <w:marTop w:val="0"/>
      <w:marBottom w:val="0"/>
      <w:divBdr>
        <w:top w:val="none" w:sz="0" w:space="0" w:color="auto"/>
        <w:left w:val="none" w:sz="0" w:space="0" w:color="auto"/>
        <w:bottom w:val="none" w:sz="0" w:space="0" w:color="auto"/>
        <w:right w:val="none" w:sz="0" w:space="0" w:color="auto"/>
      </w:divBdr>
    </w:div>
    <w:div w:id="1324046959">
      <w:bodyDiv w:val="1"/>
      <w:marLeft w:val="0"/>
      <w:marRight w:val="0"/>
      <w:marTop w:val="0"/>
      <w:marBottom w:val="0"/>
      <w:divBdr>
        <w:top w:val="none" w:sz="0" w:space="0" w:color="auto"/>
        <w:left w:val="none" w:sz="0" w:space="0" w:color="auto"/>
        <w:bottom w:val="none" w:sz="0" w:space="0" w:color="auto"/>
        <w:right w:val="none" w:sz="0" w:space="0" w:color="auto"/>
      </w:divBdr>
      <w:divsChild>
        <w:div w:id="1142845443">
          <w:marLeft w:val="0"/>
          <w:marRight w:val="0"/>
          <w:marTop w:val="0"/>
          <w:marBottom w:val="0"/>
          <w:divBdr>
            <w:top w:val="none" w:sz="0" w:space="0" w:color="auto"/>
            <w:left w:val="none" w:sz="0" w:space="0" w:color="auto"/>
            <w:bottom w:val="none" w:sz="0" w:space="0" w:color="auto"/>
            <w:right w:val="none" w:sz="0" w:space="0" w:color="auto"/>
          </w:divBdr>
          <w:divsChild>
            <w:div w:id="493381424">
              <w:marLeft w:val="0"/>
              <w:marRight w:val="0"/>
              <w:marTop w:val="0"/>
              <w:marBottom w:val="0"/>
              <w:divBdr>
                <w:top w:val="none" w:sz="0" w:space="0" w:color="auto"/>
                <w:left w:val="none" w:sz="0" w:space="0" w:color="auto"/>
                <w:bottom w:val="none" w:sz="0" w:space="0" w:color="auto"/>
                <w:right w:val="none" w:sz="0" w:space="0" w:color="auto"/>
              </w:divBdr>
              <w:divsChild>
                <w:div w:id="250042685">
                  <w:marLeft w:val="0"/>
                  <w:marRight w:val="0"/>
                  <w:marTop w:val="0"/>
                  <w:marBottom w:val="0"/>
                  <w:divBdr>
                    <w:top w:val="none" w:sz="0" w:space="0" w:color="auto"/>
                    <w:left w:val="none" w:sz="0" w:space="0" w:color="auto"/>
                    <w:bottom w:val="none" w:sz="0" w:space="0" w:color="auto"/>
                    <w:right w:val="none" w:sz="0" w:space="0" w:color="auto"/>
                  </w:divBdr>
                  <w:divsChild>
                    <w:div w:id="2028753776">
                      <w:marLeft w:val="0"/>
                      <w:marRight w:val="0"/>
                      <w:marTop w:val="0"/>
                      <w:marBottom w:val="0"/>
                      <w:divBdr>
                        <w:top w:val="none" w:sz="0" w:space="0" w:color="auto"/>
                        <w:left w:val="none" w:sz="0" w:space="0" w:color="auto"/>
                        <w:bottom w:val="none" w:sz="0" w:space="0" w:color="auto"/>
                        <w:right w:val="none" w:sz="0" w:space="0" w:color="auto"/>
                      </w:divBdr>
                      <w:divsChild>
                        <w:div w:id="2083485888">
                          <w:marLeft w:val="0"/>
                          <w:marRight w:val="0"/>
                          <w:marTop w:val="0"/>
                          <w:marBottom w:val="0"/>
                          <w:divBdr>
                            <w:top w:val="none" w:sz="0" w:space="0" w:color="auto"/>
                            <w:left w:val="none" w:sz="0" w:space="0" w:color="auto"/>
                            <w:bottom w:val="none" w:sz="0" w:space="0" w:color="auto"/>
                            <w:right w:val="none" w:sz="0" w:space="0" w:color="auto"/>
                          </w:divBdr>
                          <w:divsChild>
                            <w:div w:id="2075468395">
                              <w:marLeft w:val="0"/>
                              <w:marRight w:val="0"/>
                              <w:marTop w:val="0"/>
                              <w:marBottom w:val="0"/>
                              <w:divBdr>
                                <w:top w:val="none" w:sz="0" w:space="0" w:color="auto"/>
                                <w:left w:val="none" w:sz="0" w:space="0" w:color="auto"/>
                                <w:bottom w:val="none" w:sz="0" w:space="0" w:color="auto"/>
                                <w:right w:val="none" w:sz="0" w:space="0" w:color="auto"/>
                              </w:divBdr>
                              <w:divsChild>
                                <w:div w:id="561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7659810">
      <w:bodyDiv w:val="1"/>
      <w:marLeft w:val="0"/>
      <w:marRight w:val="0"/>
      <w:marTop w:val="0"/>
      <w:marBottom w:val="0"/>
      <w:divBdr>
        <w:top w:val="none" w:sz="0" w:space="0" w:color="auto"/>
        <w:left w:val="none" w:sz="0" w:space="0" w:color="auto"/>
        <w:bottom w:val="none" w:sz="0" w:space="0" w:color="auto"/>
        <w:right w:val="none" w:sz="0" w:space="0" w:color="auto"/>
      </w:divBdr>
    </w:div>
    <w:div w:id="1359700276">
      <w:bodyDiv w:val="1"/>
      <w:marLeft w:val="0"/>
      <w:marRight w:val="0"/>
      <w:marTop w:val="0"/>
      <w:marBottom w:val="0"/>
      <w:divBdr>
        <w:top w:val="none" w:sz="0" w:space="0" w:color="auto"/>
        <w:left w:val="none" w:sz="0" w:space="0" w:color="auto"/>
        <w:bottom w:val="none" w:sz="0" w:space="0" w:color="auto"/>
        <w:right w:val="none" w:sz="0" w:space="0" w:color="auto"/>
      </w:divBdr>
    </w:div>
    <w:div w:id="1391154322">
      <w:bodyDiv w:val="1"/>
      <w:marLeft w:val="0"/>
      <w:marRight w:val="0"/>
      <w:marTop w:val="0"/>
      <w:marBottom w:val="0"/>
      <w:divBdr>
        <w:top w:val="none" w:sz="0" w:space="0" w:color="auto"/>
        <w:left w:val="none" w:sz="0" w:space="0" w:color="auto"/>
        <w:bottom w:val="none" w:sz="0" w:space="0" w:color="auto"/>
        <w:right w:val="none" w:sz="0" w:space="0" w:color="auto"/>
      </w:divBdr>
    </w:div>
    <w:div w:id="1396657847">
      <w:bodyDiv w:val="1"/>
      <w:marLeft w:val="0"/>
      <w:marRight w:val="0"/>
      <w:marTop w:val="0"/>
      <w:marBottom w:val="0"/>
      <w:divBdr>
        <w:top w:val="none" w:sz="0" w:space="0" w:color="auto"/>
        <w:left w:val="none" w:sz="0" w:space="0" w:color="auto"/>
        <w:bottom w:val="none" w:sz="0" w:space="0" w:color="auto"/>
        <w:right w:val="none" w:sz="0" w:space="0" w:color="auto"/>
      </w:divBdr>
    </w:div>
    <w:div w:id="1426220290">
      <w:bodyDiv w:val="1"/>
      <w:marLeft w:val="0"/>
      <w:marRight w:val="0"/>
      <w:marTop w:val="0"/>
      <w:marBottom w:val="0"/>
      <w:divBdr>
        <w:top w:val="none" w:sz="0" w:space="0" w:color="auto"/>
        <w:left w:val="none" w:sz="0" w:space="0" w:color="auto"/>
        <w:bottom w:val="none" w:sz="0" w:space="0" w:color="auto"/>
        <w:right w:val="none" w:sz="0" w:space="0" w:color="auto"/>
      </w:divBdr>
    </w:div>
    <w:div w:id="1455176266">
      <w:bodyDiv w:val="1"/>
      <w:marLeft w:val="0"/>
      <w:marRight w:val="0"/>
      <w:marTop w:val="0"/>
      <w:marBottom w:val="0"/>
      <w:divBdr>
        <w:top w:val="none" w:sz="0" w:space="0" w:color="auto"/>
        <w:left w:val="none" w:sz="0" w:space="0" w:color="auto"/>
        <w:bottom w:val="none" w:sz="0" w:space="0" w:color="auto"/>
        <w:right w:val="none" w:sz="0" w:space="0" w:color="auto"/>
      </w:divBdr>
    </w:div>
    <w:div w:id="1516766954">
      <w:bodyDiv w:val="1"/>
      <w:marLeft w:val="0"/>
      <w:marRight w:val="0"/>
      <w:marTop w:val="0"/>
      <w:marBottom w:val="0"/>
      <w:divBdr>
        <w:top w:val="none" w:sz="0" w:space="0" w:color="auto"/>
        <w:left w:val="none" w:sz="0" w:space="0" w:color="auto"/>
        <w:bottom w:val="none" w:sz="0" w:space="0" w:color="auto"/>
        <w:right w:val="none" w:sz="0" w:space="0" w:color="auto"/>
      </w:divBdr>
    </w:div>
    <w:div w:id="1671250599">
      <w:bodyDiv w:val="1"/>
      <w:marLeft w:val="0"/>
      <w:marRight w:val="0"/>
      <w:marTop w:val="0"/>
      <w:marBottom w:val="0"/>
      <w:divBdr>
        <w:top w:val="none" w:sz="0" w:space="0" w:color="auto"/>
        <w:left w:val="none" w:sz="0" w:space="0" w:color="auto"/>
        <w:bottom w:val="none" w:sz="0" w:space="0" w:color="auto"/>
        <w:right w:val="none" w:sz="0" w:space="0" w:color="auto"/>
      </w:divBdr>
      <w:divsChild>
        <w:div w:id="1855144000">
          <w:marLeft w:val="0"/>
          <w:marRight w:val="0"/>
          <w:marTop w:val="0"/>
          <w:marBottom w:val="0"/>
          <w:divBdr>
            <w:top w:val="none" w:sz="0" w:space="0" w:color="auto"/>
            <w:left w:val="none" w:sz="0" w:space="0" w:color="auto"/>
            <w:bottom w:val="none" w:sz="0" w:space="0" w:color="auto"/>
            <w:right w:val="none" w:sz="0" w:space="0" w:color="auto"/>
          </w:divBdr>
          <w:divsChild>
            <w:div w:id="435178964">
              <w:marLeft w:val="0"/>
              <w:marRight w:val="0"/>
              <w:marTop w:val="0"/>
              <w:marBottom w:val="0"/>
              <w:divBdr>
                <w:top w:val="none" w:sz="0" w:space="0" w:color="auto"/>
                <w:left w:val="none" w:sz="0" w:space="0" w:color="auto"/>
                <w:bottom w:val="none" w:sz="0" w:space="0" w:color="auto"/>
                <w:right w:val="none" w:sz="0" w:space="0" w:color="auto"/>
              </w:divBdr>
              <w:divsChild>
                <w:div w:id="356005385">
                  <w:marLeft w:val="0"/>
                  <w:marRight w:val="0"/>
                  <w:marTop w:val="0"/>
                  <w:marBottom w:val="0"/>
                  <w:divBdr>
                    <w:top w:val="none" w:sz="0" w:space="0" w:color="auto"/>
                    <w:left w:val="none" w:sz="0" w:space="0" w:color="auto"/>
                    <w:bottom w:val="none" w:sz="0" w:space="0" w:color="auto"/>
                    <w:right w:val="none" w:sz="0" w:space="0" w:color="auto"/>
                  </w:divBdr>
                  <w:divsChild>
                    <w:div w:id="129326007">
                      <w:marLeft w:val="0"/>
                      <w:marRight w:val="0"/>
                      <w:marTop w:val="0"/>
                      <w:marBottom w:val="0"/>
                      <w:divBdr>
                        <w:top w:val="none" w:sz="0" w:space="0" w:color="auto"/>
                        <w:left w:val="none" w:sz="0" w:space="0" w:color="auto"/>
                        <w:bottom w:val="none" w:sz="0" w:space="0" w:color="auto"/>
                        <w:right w:val="none" w:sz="0" w:space="0" w:color="auto"/>
                      </w:divBdr>
                      <w:divsChild>
                        <w:div w:id="1468089552">
                          <w:marLeft w:val="0"/>
                          <w:marRight w:val="0"/>
                          <w:marTop w:val="0"/>
                          <w:marBottom w:val="0"/>
                          <w:divBdr>
                            <w:top w:val="none" w:sz="0" w:space="0" w:color="auto"/>
                            <w:left w:val="none" w:sz="0" w:space="0" w:color="auto"/>
                            <w:bottom w:val="none" w:sz="0" w:space="0" w:color="auto"/>
                            <w:right w:val="none" w:sz="0" w:space="0" w:color="auto"/>
                          </w:divBdr>
                          <w:divsChild>
                            <w:div w:id="172230882">
                              <w:marLeft w:val="0"/>
                              <w:marRight w:val="0"/>
                              <w:marTop w:val="0"/>
                              <w:marBottom w:val="0"/>
                              <w:divBdr>
                                <w:top w:val="none" w:sz="0" w:space="0" w:color="auto"/>
                                <w:left w:val="none" w:sz="0" w:space="0" w:color="auto"/>
                                <w:bottom w:val="none" w:sz="0" w:space="0" w:color="auto"/>
                                <w:right w:val="none" w:sz="0" w:space="0" w:color="auto"/>
                              </w:divBdr>
                              <w:divsChild>
                                <w:div w:id="89354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158591">
      <w:bodyDiv w:val="1"/>
      <w:marLeft w:val="0"/>
      <w:marRight w:val="0"/>
      <w:marTop w:val="0"/>
      <w:marBottom w:val="0"/>
      <w:divBdr>
        <w:top w:val="none" w:sz="0" w:space="0" w:color="auto"/>
        <w:left w:val="none" w:sz="0" w:space="0" w:color="auto"/>
        <w:bottom w:val="none" w:sz="0" w:space="0" w:color="auto"/>
        <w:right w:val="none" w:sz="0" w:space="0" w:color="auto"/>
      </w:divBdr>
    </w:div>
    <w:div w:id="1809975442">
      <w:bodyDiv w:val="1"/>
      <w:marLeft w:val="0"/>
      <w:marRight w:val="0"/>
      <w:marTop w:val="0"/>
      <w:marBottom w:val="0"/>
      <w:divBdr>
        <w:top w:val="none" w:sz="0" w:space="0" w:color="auto"/>
        <w:left w:val="none" w:sz="0" w:space="0" w:color="auto"/>
        <w:bottom w:val="none" w:sz="0" w:space="0" w:color="auto"/>
        <w:right w:val="none" w:sz="0" w:space="0" w:color="auto"/>
      </w:divBdr>
    </w:div>
    <w:div w:id="198523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 TargetMode="External"/><Relationship Id="rId18" Type="http://schemas.openxmlformats.org/officeDocument/2006/relationships/hyperlink" Target="https://www.ema.europa.eu" TargetMode="External"/><Relationship Id="rId26" Type="http://schemas.openxmlformats.org/officeDocument/2006/relationships/image" Target="media/image8.jpeg"/><Relationship Id="rId39" Type="http://schemas.openxmlformats.org/officeDocument/2006/relationships/image" Target="media/image19.jpeg"/><Relationship Id="rId21" Type="http://schemas.openxmlformats.org/officeDocument/2006/relationships/image" Target="media/image3.jpeg"/><Relationship Id="rId34" Type="http://schemas.openxmlformats.org/officeDocument/2006/relationships/image" Target="media/image14.png"/><Relationship Id="rId42" Type="http://schemas.openxmlformats.org/officeDocument/2006/relationships/image" Target="media/image22.jpeg"/><Relationship Id="rId47" Type="http://schemas.openxmlformats.org/officeDocument/2006/relationships/fontTable" Target="fontTable.xml"/><Relationship Id="rId50"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ema.europa.eu/documents/template-form/qrd-appendix-v-adverse-drug-reaction-reporting-details_en.docx" TargetMode="External"/><Relationship Id="rId29" Type="http://schemas.openxmlformats.org/officeDocument/2006/relationships/hyperlink" Target="https://www.ema.europa.eu/documents/template-form/qrd-appendix-v-adverse-drug-reaction-reporting-details_en.docx" TargetMode="External"/><Relationship Id="rId11" Type="http://schemas.openxmlformats.org/officeDocument/2006/relationships/hyperlink" Target="https://www.ema.europa.eu" TargetMode="External"/><Relationship Id="rId24" Type="http://schemas.openxmlformats.org/officeDocument/2006/relationships/image" Target="media/image6.jpeg"/><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footer" Target="footer1.xml"/><Relationship Id="rId53" Type="http://schemas.openxmlformats.org/officeDocument/2006/relationships/customXml" Target="../customXml/item6.xml"/><Relationship Id="rId5" Type="http://schemas.openxmlformats.org/officeDocument/2006/relationships/settings" Target="settings.xml"/><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1.jpeg"/><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hyperlink" Target="https://www.ema.europa.eu/en/medicines/human/epar/roactemra" TargetMode="External"/><Relationship Id="rId14" Type="http://schemas.openxmlformats.org/officeDocument/2006/relationships/hyperlink" Target="https://www.ema.europa.eu/documents/template-form/qrd-appendix-v-adverse-drug-reaction-reporting-details_en.docx"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yperlink" Target="https://www.ema.europa.eu" TargetMode="External"/><Relationship Id="rId35" Type="http://schemas.openxmlformats.org/officeDocument/2006/relationships/image" Target="media/image15.png"/><Relationship Id="rId43" Type="http://schemas.openxmlformats.org/officeDocument/2006/relationships/image" Target="media/image23.jpeg"/><Relationship Id="rId48" Type="http://schemas.microsoft.com/office/2011/relationships/people" Target="people.xml"/><Relationship Id="rId8" Type="http://schemas.openxmlformats.org/officeDocument/2006/relationships/endnotes" Target="endnotes.xml"/><Relationship Id="rId51" Type="http://schemas.openxmlformats.org/officeDocument/2006/relationships/customXml" Target="../customXml/item4.xml"/><Relationship Id="rId3" Type="http://schemas.openxmlformats.org/officeDocument/2006/relationships/numbering" Target="numbering.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hyperlink" Target="https://www.ema.europa.eu/documents/template-form/qrd-appendix-v-adverse-drug-reaction-reporting-details_en.docx" TargetMode="External"/><Relationship Id="rId25" Type="http://schemas.openxmlformats.org/officeDocument/2006/relationships/image" Target="media/image7.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footer" Target="footer2.xml"/><Relationship Id="rId20" Type="http://schemas.openxmlformats.org/officeDocument/2006/relationships/image" Target="media/image2.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ema.europa.eu" TargetMode="Externa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image" Target="media/image16.jpeg"/><Relationship Id="rId4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EMADOC-1700519818-3047627</_dlc_DocId>
    <_dlc_DocIdUrl xmlns="a034c160-bfb7-45f5-8632-2eb7e0508071">
      <Url>https://euema.sharepoint.com/sites/CRM/_layouts/15/DocIdRedir.aspx?ID=EMADOC-1700519818-3047627</Url>
      <Description>EMADOC-1700519818-3047627</Description>
    </_dlc_DocIdUrl>
  </documentManagement>
</p:properties>
</file>

<file path=customXml/itemProps1.xml><?xml version="1.0" encoding="utf-8"?>
<ds:datastoreItem xmlns:ds="http://schemas.openxmlformats.org/officeDocument/2006/customXml" ds:itemID="{167A7D35-733A-42CA-AB68-F695A2960D1D}">
  <ds:schemaRefs>
    <ds:schemaRef ds:uri="http://schemas.microsoft.com/office/2006/metadata/longProperties"/>
  </ds:schemaRefs>
</ds:datastoreItem>
</file>

<file path=customXml/itemProps2.xml><?xml version="1.0" encoding="utf-8"?>
<ds:datastoreItem xmlns:ds="http://schemas.openxmlformats.org/officeDocument/2006/customXml" ds:itemID="{F57E9B99-3829-4E28-A00B-470BB46B629D}">
  <ds:schemaRefs>
    <ds:schemaRef ds:uri="http://schemas.openxmlformats.org/officeDocument/2006/bibliography"/>
  </ds:schemaRefs>
</ds:datastoreItem>
</file>

<file path=customXml/itemProps3.xml><?xml version="1.0" encoding="utf-8"?>
<ds:datastoreItem xmlns:ds="http://schemas.openxmlformats.org/officeDocument/2006/customXml" ds:itemID="{8B39A2BA-F8E3-4CC3-89B6-63F6BC2E2080}"/>
</file>

<file path=customXml/itemProps4.xml><?xml version="1.0" encoding="utf-8"?>
<ds:datastoreItem xmlns:ds="http://schemas.openxmlformats.org/officeDocument/2006/customXml" ds:itemID="{310A2D03-C358-4F0F-8CC2-E92838526170}"/>
</file>

<file path=customXml/itemProps5.xml><?xml version="1.0" encoding="utf-8"?>
<ds:datastoreItem xmlns:ds="http://schemas.openxmlformats.org/officeDocument/2006/customXml" ds:itemID="{FDA88773-A50A-45C5-B9F8-6C591B257337}"/>
</file>

<file path=customXml/itemProps6.xml><?xml version="1.0" encoding="utf-8"?>
<ds:datastoreItem xmlns:ds="http://schemas.openxmlformats.org/officeDocument/2006/customXml" ds:itemID="{2320C820-4B67-4EC0-AD8F-B67DB8777628}"/>
</file>

<file path=docProps/app.xml><?xml version="1.0" encoding="utf-8"?>
<Properties xmlns="http://schemas.openxmlformats.org/officeDocument/2006/extended-properties" xmlns:vt="http://schemas.openxmlformats.org/officeDocument/2006/docPropsVTypes">
  <Template>SPC_10H</Template>
  <TotalTime>183</TotalTime>
  <Pages>178</Pages>
  <Words>60607</Words>
  <Characters>371513</Characters>
  <Application>Microsoft Office Word</Application>
  <DocSecurity>0</DocSecurity>
  <Lines>3095</Lines>
  <Paragraphs>862</Paragraphs>
  <ScaleCrop>false</ScaleCrop>
  <HeadingPairs>
    <vt:vector size="8" baseType="variant">
      <vt:variant>
        <vt:lpstr>Title</vt:lpstr>
      </vt:variant>
      <vt:variant>
        <vt:i4>1</vt:i4>
      </vt:variant>
      <vt:variant>
        <vt:lpstr>Название</vt:lpstr>
      </vt:variant>
      <vt:variant>
        <vt:i4>1</vt:i4>
      </vt:variant>
      <vt:variant>
        <vt:lpstr>Název</vt:lpstr>
      </vt:variant>
      <vt:variant>
        <vt:i4>1</vt:i4>
      </vt:variant>
      <vt:variant>
        <vt:lpstr>Názov</vt:lpstr>
      </vt:variant>
      <vt:variant>
        <vt:i4>1</vt:i4>
      </vt:variant>
    </vt:vector>
  </HeadingPairs>
  <TitlesOfParts>
    <vt:vector size="4" baseType="lpstr">
      <vt:lpstr>RoActemra: EPAR – Product information - tracked changes</vt:lpstr>
      <vt:lpstr>RoActemra, INN-tocilizumab</vt:lpstr>
      <vt:lpstr>RoActemra, INN-tocilizumab</vt:lpstr>
      <vt:lpstr>RoActemra, INN-tocilizumab</vt:lpstr>
    </vt:vector>
  </TitlesOfParts>
  <Manager/>
  <Company>EMEA</Company>
  <LinksUpToDate>false</LinksUpToDate>
  <CharactersWithSpaces>431258</CharactersWithSpaces>
  <SharedDoc>false</SharedDoc>
  <HLinks>
    <vt:vector size="72" baseType="variant">
      <vt:variant>
        <vt:i4>3801208</vt:i4>
      </vt:variant>
      <vt:variant>
        <vt:i4>33</vt:i4>
      </vt:variant>
      <vt:variant>
        <vt:i4>0</vt:i4>
      </vt:variant>
      <vt:variant>
        <vt:i4>5</vt:i4>
      </vt:variant>
      <vt:variant>
        <vt:lpwstr>https://www.ema.europa.eu/</vt:lpwstr>
      </vt:variant>
      <vt:variant>
        <vt:lpwstr/>
      </vt:variant>
      <vt:variant>
        <vt:i4>2490456</vt:i4>
      </vt:variant>
      <vt:variant>
        <vt:i4>30</vt:i4>
      </vt:variant>
      <vt:variant>
        <vt:i4>0</vt:i4>
      </vt:variant>
      <vt:variant>
        <vt:i4>5</vt:i4>
      </vt:variant>
      <vt:variant>
        <vt:lpwstr>https://www.ema.europa.eu/documents/template-form/appendix-v-adverse-drug-reaction-reporting-details_en.doc</vt:lpwstr>
      </vt:variant>
      <vt:variant>
        <vt:lpwstr/>
      </vt:variant>
      <vt:variant>
        <vt:i4>3801208</vt:i4>
      </vt:variant>
      <vt:variant>
        <vt:i4>27</vt:i4>
      </vt:variant>
      <vt:variant>
        <vt:i4>0</vt:i4>
      </vt:variant>
      <vt:variant>
        <vt:i4>5</vt:i4>
      </vt:variant>
      <vt:variant>
        <vt:lpwstr>https://www.ema.europa.eu/</vt:lpwstr>
      </vt:variant>
      <vt:variant>
        <vt:lpwstr/>
      </vt:variant>
      <vt:variant>
        <vt:i4>2490456</vt:i4>
      </vt:variant>
      <vt:variant>
        <vt:i4>24</vt:i4>
      </vt:variant>
      <vt:variant>
        <vt:i4>0</vt:i4>
      </vt:variant>
      <vt:variant>
        <vt:i4>5</vt:i4>
      </vt:variant>
      <vt:variant>
        <vt:lpwstr>https://www.ema.europa.eu/documents/template-form/appendix-v-adverse-drug-reaction-reporting-details_en.doc</vt:lpwstr>
      </vt:variant>
      <vt:variant>
        <vt:lpwstr/>
      </vt:variant>
      <vt:variant>
        <vt:i4>3801208</vt:i4>
      </vt:variant>
      <vt:variant>
        <vt:i4>21</vt:i4>
      </vt:variant>
      <vt:variant>
        <vt:i4>0</vt:i4>
      </vt:variant>
      <vt:variant>
        <vt:i4>5</vt:i4>
      </vt:variant>
      <vt:variant>
        <vt:lpwstr>https://www.ema.europa.eu/</vt:lpwstr>
      </vt:variant>
      <vt:variant>
        <vt:lpwstr/>
      </vt:variant>
      <vt:variant>
        <vt:i4>2490456</vt:i4>
      </vt:variant>
      <vt:variant>
        <vt:i4>18</vt:i4>
      </vt:variant>
      <vt:variant>
        <vt:i4>0</vt:i4>
      </vt:variant>
      <vt:variant>
        <vt:i4>5</vt:i4>
      </vt:variant>
      <vt:variant>
        <vt:lpwstr>https://www.ema.europa.eu/documents/template-form/appendix-v-adverse-drug-reaction-reporting-details_en.doc</vt:lpwstr>
      </vt:variant>
      <vt:variant>
        <vt:lpwstr/>
      </vt:variant>
      <vt:variant>
        <vt:i4>3801208</vt:i4>
      </vt:variant>
      <vt:variant>
        <vt:i4>15</vt:i4>
      </vt:variant>
      <vt:variant>
        <vt:i4>0</vt:i4>
      </vt:variant>
      <vt:variant>
        <vt:i4>5</vt:i4>
      </vt:variant>
      <vt:variant>
        <vt:lpwstr>https://www.ema.europa.eu/</vt:lpwstr>
      </vt:variant>
      <vt:variant>
        <vt:lpwstr/>
      </vt:variant>
      <vt:variant>
        <vt:i4>2490456</vt:i4>
      </vt:variant>
      <vt:variant>
        <vt:i4>12</vt:i4>
      </vt:variant>
      <vt:variant>
        <vt:i4>0</vt:i4>
      </vt:variant>
      <vt:variant>
        <vt:i4>5</vt:i4>
      </vt:variant>
      <vt:variant>
        <vt:lpwstr>https://www.ema.europa.eu/documents/template-form/appendix-v-adverse-drug-reaction-reporting-details_en.doc</vt:lpwstr>
      </vt:variant>
      <vt:variant>
        <vt:lpwstr/>
      </vt:variant>
      <vt:variant>
        <vt:i4>3801208</vt:i4>
      </vt:variant>
      <vt:variant>
        <vt:i4>9</vt:i4>
      </vt:variant>
      <vt:variant>
        <vt:i4>0</vt:i4>
      </vt:variant>
      <vt:variant>
        <vt:i4>5</vt:i4>
      </vt:variant>
      <vt:variant>
        <vt:lpwstr>https://www.ema.europa.eu/</vt:lpwstr>
      </vt:variant>
      <vt:variant>
        <vt:lpwstr/>
      </vt:variant>
      <vt:variant>
        <vt:i4>2490456</vt:i4>
      </vt:variant>
      <vt:variant>
        <vt:i4>6</vt:i4>
      </vt:variant>
      <vt:variant>
        <vt:i4>0</vt:i4>
      </vt:variant>
      <vt:variant>
        <vt:i4>5</vt:i4>
      </vt:variant>
      <vt:variant>
        <vt:lpwstr>https://www.ema.europa.eu/documents/template-form/appendix-v-adverse-drug-reaction-reporting-details_en.doc</vt:lpwstr>
      </vt:variant>
      <vt:variant>
        <vt:lpwstr/>
      </vt:variant>
      <vt:variant>
        <vt:i4>3801208</vt:i4>
      </vt:variant>
      <vt:variant>
        <vt:i4>3</vt:i4>
      </vt:variant>
      <vt:variant>
        <vt:i4>0</vt:i4>
      </vt:variant>
      <vt:variant>
        <vt:i4>5</vt:i4>
      </vt:variant>
      <vt:variant>
        <vt:lpwstr>https://www.ema.europa.eu/</vt:lpwstr>
      </vt:variant>
      <vt:variant>
        <vt:lpwstr/>
      </vt:variant>
      <vt:variant>
        <vt:i4>2490456</vt:i4>
      </vt:variant>
      <vt:variant>
        <vt:i4>0</vt:i4>
      </vt:variant>
      <vt:variant>
        <vt:i4>0</vt:i4>
      </vt:variant>
      <vt:variant>
        <vt:i4>5</vt:i4>
      </vt:variant>
      <vt:variant>
        <vt:lpwstr>https://www.ema.europa.eu/documents/template-form/appendix-v-adverse-drug-reaction-reporting-details_en.doc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RoActemra: EPAR – Product information - tracked changes</dc:title>
  <dc:subject>EPAR</dc:subject>
  <dc:creator>CHMP</dc:creator>
  <cp:keywords>RoActemra: EPAR – Product information - tracked changes</cp:keywords>
  <dc:description>Version 10.1 04/2016_x000d_
Downloaded 110516 (sk)</dc:description>
  <cp:lastModifiedBy>TCS</cp:lastModifiedBy>
  <cp:revision>10</cp:revision>
  <dcterms:created xsi:type="dcterms:W3CDTF">2026-03-05T09:12:00Z</dcterms:created>
  <dcterms:modified xsi:type="dcterms:W3CDTF">2026-03-20T11:08:00Z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GrammarlyDocumentId">
    <vt:lpwstr>426e7933-2026-48b3-8e86-abbf231e7db0</vt:lpwstr>
  </property>
  <property fmtid="{D5CDD505-2E9C-101B-9397-08002B2CF9AE}" pid="4" name="MSIP_Label_f518a0c7-1391-45c6-9e0a-6bdaf85a2658_Enabled">
    <vt:lpwstr>true</vt:lpwstr>
  </property>
  <property fmtid="{D5CDD505-2E9C-101B-9397-08002B2CF9AE}" pid="5" name="MSIP_Label_f518a0c7-1391-45c6-9e0a-6bdaf85a2658_SetDate">
    <vt:lpwstr>2026-03-05T09:12:01Z</vt:lpwstr>
  </property>
  <property fmtid="{D5CDD505-2E9C-101B-9397-08002B2CF9AE}" pid="6" name="MSIP_Label_f518a0c7-1391-45c6-9e0a-6bdaf85a2658_Method">
    <vt:lpwstr>Standard</vt:lpwstr>
  </property>
  <property fmtid="{D5CDD505-2E9C-101B-9397-08002B2CF9AE}" pid="7" name="MSIP_Label_f518a0c7-1391-45c6-9e0a-6bdaf85a2658_Name">
    <vt:lpwstr>Verejné</vt:lpwstr>
  </property>
  <property fmtid="{D5CDD505-2E9C-101B-9397-08002B2CF9AE}" pid="8" name="MSIP_Label_f518a0c7-1391-45c6-9e0a-6bdaf85a2658_SiteId">
    <vt:lpwstr>c8a98646-fbf9-4abb-9e27-c9d7d9584285</vt:lpwstr>
  </property>
  <property fmtid="{D5CDD505-2E9C-101B-9397-08002B2CF9AE}" pid="9" name="MSIP_Label_f518a0c7-1391-45c6-9e0a-6bdaf85a2658_ActionId">
    <vt:lpwstr>d6111cbe-757f-4a5c-9d81-b370f9de3a17</vt:lpwstr>
  </property>
  <property fmtid="{D5CDD505-2E9C-101B-9397-08002B2CF9AE}" pid="10" name="MSIP_Label_f518a0c7-1391-45c6-9e0a-6bdaf85a2658_ContentBits">
    <vt:lpwstr>0</vt:lpwstr>
  </property>
  <property fmtid="{D5CDD505-2E9C-101B-9397-08002B2CF9AE}" pid="11" name="MSIP_Label_f518a0c7-1391-45c6-9e0a-6bdaf85a2658_Tag">
    <vt:lpwstr>10, 3, 0, 1</vt:lpwstr>
  </property>
  <property fmtid="{D5CDD505-2E9C-101B-9397-08002B2CF9AE}" pid="12" name="ContentTypeId">
    <vt:lpwstr>0x0101000DA6AD19014FF648A49316945EE786F90200176DED4FF78CD74995F64A0F46B59E48</vt:lpwstr>
  </property>
  <property fmtid="{D5CDD505-2E9C-101B-9397-08002B2CF9AE}" pid="13" name="_dlc_DocIdItemGuid">
    <vt:lpwstr>85380b59-b17a-409f-bbc1-5c4c9ea28159</vt:lpwstr>
  </property>
</Properties>
</file>