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5E81" w14:textId="77777777" w:rsidR="00870248" w:rsidRDefault="00870248" w:rsidP="007A3A03">
      <w:pPr>
        <w:tabs>
          <w:tab w:val="clear" w:pos="567"/>
        </w:tabs>
        <w:rPr>
          <w:noProof w:val="0"/>
        </w:rPr>
      </w:pPr>
    </w:p>
    <w:p w14:paraId="1DE93743" w14:textId="77777777" w:rsidR="00883FD1" w:rsidRDefault="00883FD1" w:rsidP="007A3A03">
      <w:pPr>
        <w:tabs>
          <w:tab w:val="clear" w:pos="567"/>
        </w:tabs>
        <w:rPr>
          <w:noProof w:val="0"/>
        </w:rPr>
      </w:pPr>
    </w:p>
    <w:p w14:paraId="075BE2C5" w14:textId="77777777" w:rsidR="00883FD1" w:rsidRDefault="00883FD1" w:rsidP="007A3A03">
      <w:pPr>
        <w:tabs>
          <w:tab w:val="clear" w:pos="567"/>
        </w:tabs>
        <w:rPr>
          <w:noProof w:val="0"/>
        </w:rPr>
      </w:pPr>
    </w:p>
    <w:p w14:paraId="7AF0469C" w14:textId="77777777" w:rsidR="00883FD1" w:rsidRDefault="00883FD1" w:rsidP="007A3A03">
      <w:pPr>
        <w:tabs>
          <w:tab w:val="clear" w:pos="567"/>
        </w:tabs>
        <w:rPr>
          <w:noProof w:val="0"/>
        </w:rPr>
      </w:pPr>
    </w:p>
    <w:p w14:paraId="0205B89C" w14:textId="77777777" w:rsidR="00883FD1" w:rsidRDefault="00883FD1" w:rsidP="007A3A03">
      <w:pPr>
        <w:tabs>
          <w:tab w:val="clear" w:pos="567"/>
        </w:tabs>
        <w:rPr>
          <w:noProof w:val="0"/>
        </w:rPr>
      </w:pPr>
    </w:p>
    <w:p w14:paraId="67FFD08C" w14:textId="77777777" w:rsidR="00883FD1" w:rsidRDefault="00883FD1" w:rsidP="007A3A03">
      <w:pPr>
        <w:tabs>
          <w:tab w:val="clear" w:pos="567"/>
        </w:tabs>
        <w:rPr>
          <w:noProof w:val="0"/>
        </w:rPr>
      </w:pPr>
    </w:p>
    <w:p w14:paraId="34BDA5E0" w14:textId="77777777" w:rsidR="00883FD1" w:rsidRDefault="00883FD1" w:rsidP="007A3A03">
      <w:pPr>
        <w:tabs>
          <w:tab w:val="clear" w:pos="567"/>
        </w:tabs>
        <w:rPr>
          <w:noProof w:val="0"/>
        </w:rPr>
      </w:pPr>
    </w:p>
    <w:p w14:paraId="643B2AC8" w14:textId="77777777" w:rsidR="00883FD1" w:rsidRDefault="00883FD1" w:rsidP="007A3A03">
      <w:pPr>
        <w:tabs>
          <w:tab w:val="clear" w:pos="567"/>
        </w:tabs>
        <w:rPr>
          <w:noProof w:val="0"/>
        </w:rPr>
      </w:pPr>
    </w:p>
    <w:p w14:paraId="0E8358F4" w14:textId="77777777" w:rsidR="00883FD1" w:rsidRDefault="00883FD1" w:rsidP="007A3A03">
      <w:pPr>
        <w:tabs>
          <w:tab w:val="clear" w:pos="567"/>
        </w:tabs>
        <w:rPr>
          <w:noProof w:val="0"/>
        </w:rPr>
      </w:pPr>
    </w:p>
    <w:p w14:paraId="534C23DE" w14:textId="77777777" w:rsidR="00883FD1" w:rsidRDefault="00883FD1" w:rsidP="007A3A03">
      <w:pPr>
        <w:tabs>
          <w:tab w:val="clear" w:pos="567"/>
        </w:tabs>
        <w:rPr>
          <w:noProof w:val="0"/>
        </w:rPr>
      </w:pPr>
    </w:p>
    <w:p w14:paraId="0FA7AEEB" w14:textId="77777777" w:rsidR="00883FD1" w:rsidRDefault="00883FD1" w:rsidP="007A3A03">
      <w:pPr>
        <w:tabs>
          <w:tab w:val="clear" w:pos="567"/>
        </w:tabs>
        <w:rPr>
          <w:noProof w:val="0"/>
        </w:rPr>
      </w:pPr>
    </w:p>
    <w:p w14:paraId="01018FEA" w14:textId="77777777" w:rsidR="00883FD1" w:rsidRDefault="00883FD1" w:rsidP="007A3A03">
      <w:pPr>
        <w:tabs>
          <w:tab w:val="clear" w:pos="567"/>
        </w:tabs>
        <w:rPr>
          <w:noProof w:val="0"/>
        </w:rPr>
      </w:pPr>
    </w:p>
    <w:p w14:paraId="318C622F" w14:textId="77777777" w:rsidR="00883FD1" w:rsidRDefault="00883FD1" w:rsidP="007A3A03">
      <w:pPr>
        <w:tabs>
          <w:tab w:val="clear" w:pos="567"/>
        </w:tabs>
        <w:rPr>
          <w:noProof w:val="0"/>
        </w:rPr>
      </w:pPr>
    </w:p>
    <w:p w14:paraId="0A864A48" w14:textId="77777777" w:rsidR="00883FD1" w:rsidRDefault="00883FD1" w:rsidP="007A3A03">
      <w:pPr>
        <w:tabs>
          <w:tab w:val="clear" w:pos="567"/>
        </w:tabs>
        <w:rPr>
          <w:noProof w:val="0"/>
        </w:rPr>
      </w:pPr>
    </w:p>
    <w:p w14:paraId="0B81B038" w14:textId="77777777" w:rsidR="00883FD1" w:rsidRDefault="00883FD1" w:rsidP="007A3A03">
      <w:pPr>
        <w:tabs>
          <w:tab w:val="clear" w:pos="567"/>
        </w:tabs>
        <w:rPr>
          <w:noProof w:val="0"/>
        </w:rPr>
      </w:pPr>
    </w:p>
    <w:p w14:paraId="2C058953" w14:textId="77777777" w:rsidR="00883FD1" w:rsidRDefault="00883FD1" w:rsidP="007A3A03">
      <w:pPr>
        <w:tabs>
          <w:tab w:val="clear" w:pos="567"/>
        </w:tabs>
        <w:rPr>
          <w:noProof w:val="0"/>
        </w:rPr>
      </w:pPr>
    </w:p>
    <w:p w14:paraId="0DCDA4F4" w14:textId="77777777" w:rsidR="00883FD1" w:rsidRDefault="00883FD1" w:rsidP="007A3A03">
      <w:pPr>
        <w:tabs>
          <w:tab w:val="clear" w:pos="567"/>
        </w:tabs>
        <w:rPr>
          <w:noProof w:val="0"/>
        </w:rPr>
      </w:pPr>
    </w:p>
    <w:p w14:paraId="52C0AFBD" w14:textId="77777777" w:rsidR="00883FD1" w:rsidRDefault="00883FD1" w:rsidP="007A3A03">
      <w:pPr>
        <w:tabs>
          <w:tab w:val="clear" w:pos="567"/>
        </w:tabs>
        <w:rPr>
          <w:noProof w:val="0"/>
        </w:rPr>
      </w:pPr>
    </w:p>
    <w:p w14:paraId="63300B1E" w14:textId="77777777" w:rsidR="00883FD1" w:rsidRPr="00121123" w:rsidRDefault="00883FD1" w:rsidP="007A3A03">
      <w:pPr>
        <w:tabs>
          <w:tab w:val="clear" w:pos="567"/>
        </w:tabs>
        <w:rPr>
          <w:noProof w:val="0"/>
        </w:rPr>
      </w:pPr>
    </w:p>
    <w:p w14:paraId="38A047D1" w14:textId="77777777" w:rsidR="00870248" w:rsidRPr="00121123" w:rsidRDefault="00870248" w:rsidP="007A3A03">
      <w:pPr>
        <w:tabs>
          <w:tab w:val="clear" w:pos="567"/>
        </w:tabs>
        <w:rPr>
          <w:noProof w:val="0"/>
        </w:rPr>
      </w:pPr>
    </w:p>
    <w:p w14:paraId="77EFE54E" w14:textId="77777777" w:rsidR="00870248" w:rsidRPr="00121123" w:rsidRDefault="00870248" w:rsidP="007A3A03">
      <w:pPr>
        <w:tabs>
          <w:tab w:val="clear" w:pos="567"/>
        </w:tabs>
        <w:rPr>
          <w:noProof w:val="0"/>
        </w:rPr>
      </w:pPr>
    </w:p>
    <w:p w14:paraId="493CCD02" w14:textId="77777777" w:rsidR="00870248" w:rsidRPr="00121123" w:rsidRDefault="00870248" w:rsidP="007A3A03">
      <w:pPr>
        <w:pStyle w:val="Heading1"/>
        <w:jc w:val="center"/>
        <w:rPr>
          <w:noProof w:val="0"/>
          <w:lang w:val="sk-SK"/>
        </w:rPr>
      </w:pPr>
    </w:p>
    <w:p w14:paraId="3C91A051" w14:textId="77777777" w:rsidR="00870248" w:rsidRPr="00121123" w:rsidRDefault="00870248" w:rsidP="007A3A03">
      <w:pPr>
        <w:pStyle w:val="Heading1"/>
        <w:jc w:val="center"/>
        <w:rPr>
          <w:noProof w:val="0"/>
          <w:lang w:val="sk-SK"/>
        </w:rPr>
      </w:pPr>
      <w:r w:rsidRPr="00121123">
        <w:rPr>
          <w:noProof w:val="0"/>
          <w:lang w:val="sk-SK"/>
        </w:rPr>
        <w:t>PRÍLOHA I</w:t>
      </w:r>
    </w:p>
    <w:p w14:paraId="39C00E0E" w14:textId="77777777" w:rsidR="00870248" w:rsidRPr="00121123" w:rsidRDefault="00870248" w:rsidP="007A3A03">
      <w:pPr>
        <w:tabs>
          <w:tab w:val="clear" w:pos="567"/>
        </w:tabs>
        <w:jc w:val="center"/>
        <w:rPr>
          <w:noProof w:val="0"/>
        </w:rPr>
      </w:pPr>
    </w:p>
    <w:p w14:paraId="17E805A2" w14:textId="77777777" w:rsidR="00870248" w:rsidRPr="00121123" w:rsidRDefault="00870248" w:rsidP="007A3A03">
      <w:pPr>
        <w:pStyle w:val="TitleA"/>
        <w:rPr>
          <w:rFonts w:cs="Times New Roman"/>
          <w:noProof w:val="0"/>
        </w:rPr>
      </w:pPr>
      <w:r w:rsidRPr="00121123">
        <w:rPr>
          <w:rFonts w:cs="Times New Roman"/>
          <w:noProof w:val="0"/>
        </w:rPr>
        <w:t>SÚHRN CHARAKTERISTICKÝCH VLASTNOSTÍ LIEKU</w:t>
      </w:r>
    </w:p>
    <w:p w14:paraId="3B2CC376" w14:textId="77777777" w:rsidR="00870248" w:rsidRPr="00121123" w:rsidRDefault="00870248" w:rsidP="007A3A03">
      <w:pPr>
        <w:tabs>
          <w:tab w:val="clear" w:pos="567"/>
        </w:tabs>
        <w:rPr>
          <w:noProof w:val="0"/>
        </w:rPr>
      </w:pPr>
    </w:p>
    <w:p w14:paraId="3F5354C4" w14:textId="77777777" w:rsidR="00870248" w:rsidRPr="00121123" w:rsidRDefault="00870248" w:rsidP="007A3A03">
      <w:pPr>
        <w:rPr>
          <w:noProof w:val="0"/>
        </w:rPr>
      </w:pPr>
    </w:p>
    <w:p w14:paraId="7AE7C74E" w14:textId="77777777" w:rsidR="00870248" w:rsidRPr="00121123" w:rsidRDefault="00870248" w:rsidP="00121123">
      <w:pPr>
        <w:rPr>
          <w:b/>
          <w:noProof w:val="0"/>
        </w:rPr>
      </w:pPr>
      <w:r w:rsidRPr="00121123">
        <w:rPr>
          <w:noProof w:val="0"/>
        </w:rPr>
        <w:br w:type="page"/>
      </w:r>
      <w:r w:rsidRPr="00121123">
        <w:rPr>
          <w:b/>
          <w:noProof w:val="0"/>
        </w:rPr>
        <w:lastRenderedPageBreak/>
        <w:t>1.</w:t>
      </w:r>
      <w:r w:rsidRPr="00121123">
        <w:rPr>
          <w:b/>
          <w:noProof w:val="0"/>
        </w:rPr>
        <w:tab/>
        <w:t>NÁZOV LIEKU</w:t>
      </w:r>
    </w:p>
    <w:p w14:paraId="28D5EEF4" w14:textId="77777777" w:rsidR="00870248" w:rsidRPr="00121123" w:rsidRDefault="00870248" w:rsidP="007A3A03">
      <w:pPr>
        <w:keepLines w:val="0"/>
        <w:rPr>
          <w:noProof w:val="0"/>
        </w:rPr>
      </w:pPr>
    </w:p>
    <w:p w14:paraId="323CC49C" w14:textId="77777777" w:rsidR="00870248" w:rsidRPr="00121123" w:rsidRDefault="00964F97" w:rsidP="007A3A03">
      <w:pPr>
        <w:keepLines w:val="0"/>
        <w:tabs>
          <w:tab w:val="left" w:pos="3600"/>
        </w:tabs>
        <w:rPr>
          <w:noProof w:val="0"/>
        </w:rPr>
      </w:pPr>
      <w:r>
        <w:rPr>
          <w:noProof w:val="0"/>
        </w:rPr>
        <w:t>Tigecycline Accord</w:t>
      </w:r>
      <w:r w:rsidR="00870248" w:rsidRPr="00121123">
        <w:rPr>
          <w:noProof w:val="0"/>
        </w:rPr>
        <w:t xml:space="preserve"> 50 mg prášok na infúzny roztok</w:t>
      </w:r>
    </w:p>
    <w:p w14:paraId="604F5077" w14:textId="77777777" w:rsidR="00870248" w:rsidRPr="00121123" w:rsidRDefault="00870248" w:rsidP="007A3A03">
      <w:pPr>
        <w:keepLines w:val="0"/>
        <w:tabs>
          <w:tab w:val="left" w:pos="3600"/>
        </w:tabs>
        <w:rPr>
          <w:noProof w:val="0"/>
        </w:rPr>
      </w:pPr>
    </w:p>
    <w:p w14:paraId="5DCEBD1F" w14:textId="77777777" w:rsidR="00870248" w:rsidRPr="00121123" w:rsidRDefault="00870248" w:rsidP="007A3A03">
      <w:pPr>
        <w:keepLines w:val="0"/>
        <w:rPr>
          <w:noProof w:val="0"/>
        </w:rPr>
      </w:pPr>
    </w:p>
    <w:p w14:paraId="5F3A2A92" w14:textId="77777777" w:rsidR="00870248" w:rsidRPr="00121123" w:rsidRDefault="00870248" w:rsidP="007A3A03">
      <w:pPr>
        <w:rPr>
          <w:b/>
          <w:noProof w:val="0"/>
        </w:rPr>
      </w:pPr>
      <w:r w:rsidRPr="00121123">
        <w:rPr>
          <w:b/>
          <w:noProof w:val="0"/>
        </w:rPr>
        <w:t>2.</w:t>
      </w:r>
      <w:r w:rsidRPr="00121123">
        <w:rPr>
          <w:b/>
          <w:noProof w:val="0"/>
        </w:rPr>
        <w:tab/>
        <w:t>KVALITATÍVNE A KVANTITATÍVNE ZLOŽENIE</w:t>
      </w:r>
    </w:p>
    <w:p w14:paraId="55801AD9" w14:textId="77777777" w:rsidR="00870248" w:rsidRPr="00121123" w:rsidRDefault="00870248" w:rsidP="007A3A03">
      <w:pPr>
        <w:keepLines w:val="0"/>
        <w:rPr>
          <w:noProof w:val="0"/>
        </w:rPr>
      </w:pPr>
    </w:p>
    <w:p w14:paraId="2E92E1AE" w14:textId="77777777" w:rsidR="00870248" w:rsidRPr="00121123" w:rsidRDefault="00870248" w:rsidP="007A3A03">
      <w:pPr>
        <w:keepLines w:val="0"/>
        <w:tabs>
          <w:tab w:val="clear" w:pos="567"/>
        </w:tabs>
        <w:rPr>
          <w:noProof w:val="0"/>
        </w:rPr>
      </w:pPr>
      <w:r w:rsidRPr="00121123">
        <w:rPr>
          <w:noProof w:val="0"/>
        </w:rPr>
        <w:t xml:space="preserve">Každá injekčná liekovka </w:t>
      </w:r>
      <w:r w:rsidR="00964F97">
        <w:rPr>
          <w:noProof w:val="0"/>
        </w:rPr>
        <w:t>lieku Tigecycline Accord</w:t>
      </w:r>
      <w:r w:rsidRPr="00121123">
        <w:rPr>
          <w:noProof w:val="0"/>
        </w:rPr>
        <w:t xml:space="preserve"> s objemom 5 ml obsahuje 50 mg tigecyklínu. Po </w:t>
      </w:r>
      <w:r w:rsidR="007F23BC" w:rsidRPr="00121123">
        <w:rPr>
          <w:noProof w:val="0"/>
        </w:rPr>
        <w:t>príprave sa v </w:t>
      </w:r>
      <w:r w:rsidR="00DC7B11" w:rsidRPr="00121123">
        <w:rPr>
          <w:noProof w:val="0"/>
        </w:rPr>
        <w:t xml:space="preserve">1 ml </w:t>
      </w:r>
      <w:r w:rsidR="007F23BC" w:rsidRPr="00121123">
        <w:rPr>
          <w:noProof w:val="0"/>
        </w:rPr>
        <w:t>nachádza</w:t>
      </w:r>
      <w:r w:rsidR="00D3455C" w:rsidRPr="00121123">
        <w:rPr>
          <w:noProof w:val="0"/>
        </w:rPr>
        <w:t xml:space="preserve"> 1</w:t>
      </w:r>
      <w:r w:rsidRPr="00121123">
        <w:rPr>
          <w:noProof w:val="0"/>
        </w:rPr>
        <w:t>0 mg tigecyklínu.</w:t>
      </w:r>
    </w:p>
    <w:p w14:paraId="53E8AACC" w14:textId="77777777" w:rsidR="00870248" w:rsidRPr="00121123" w:rsidRDefault="00870248" w:rsidP="007A3A03">
      <w:pPr>
        <w:keepLines w:val="0"/>
        <w:rPr>
          <w:noProof w:val="0"/>
        </w:rPr>
      </w:pPr>
    </w:p>
    <w:p w14:paraId="1FED451B" w14:textId="77777777" w:rsidR="00870248" w:rsidRPr="00121123" w:rsidRDefault="00870248" w:rsidP="007A3A03">
      <w:pPr>
        <w:keepLines w:val="0"/>
        <w:rPr>
          <w:noProof w:val="0"/>
        </w:rPr>
      </w:pPr>
      <w:r w:rsidRPr="00121123">
        <w:rPr>
          <w:noProof w:val="0"/>
        </w:rPr>
        <w:t>Úplný zoznam pomocných látok, pozri časť 6.1.</w:t>
      </w:r>
    </w:p>
    <w:p w14:paraId="6C80CCFC" w14:textId="77777777" w:rsidR="00870248" w:rsidRPr="00121123" w:rsidRDefault="00870248" w:rsidP="007A3A03">
      <w:pPr>
        <w:keepLines w:val="0"/>
        <w:rPr>
          <w:noProof w:val="0"/>
        </w:rPr>
      </w:pPr>
    </w:p>
    <w:p w14:paraId="2444D7E2" w14:textId="77777777" w:rsidR="00870248" w:rsidRPr="00121123" w:rsidRDefault="00870248" w:rsidP="007A3A03">
      <w:pPr>
        <w:keepLines w:val="0"/>
        <w:rPr>
          <w:noProof w:val="0"/>
        </w:rPr>
      </w:pPr>
    </w:p>
    <w:p w14:paraId="001AC828" w14:textId="77777777" w:rsidR="00870248" w:rsidRPr="00121123" w:rsidRDefault="00870248" w:rsidP="007A3A03">
      <w:pPr>
        <w:rPr>
          <w:b/>
          <w:noProof w:val="0"/>
        </w:rPr>
      </w:pPr>
      <w:r w:rsidRPr="00121123">
        <w:rPr>
          <w:b/>
          <w:noProof w:val="0"/>
        </w:rPr>
        <w:t>3.</w:t>
      </w:r>
      <w:r w:rsidRPr="00121123">
        <w:rPr>
          <w:b/>
          <w:noProof w:val="0"/>
        </w:rPr>
        <w:tab/>
        <w:t>LIEKOVÁ FORMA</w:t>
      </w:r>
    </w:p>
    <w:p w14:paraId="1E7D4BD9" w14:textId="77777777" w:rsidR="00870248" w:rsidRPr="00121123" w:rsidRDefault="00870248" w:rsidP="007A3A03">
      <w:pPr>
        <w:keepLines w:val="0"/>
        <w:tabs>
          <w:tab w:val="clear" w:pos="567"/>
        </w:tabs>
        <w:rPr>
          <w:noProof w:val="0"/>
        </w:rPr>
      </w:pPr>
    </w:p>
    <w:p w14:paraId="47D388D8" w14:textId="77777777" w:rsidR="00870248" w:rsidRPr="00121123" w:rsidRDefault="00870248" w:rsidP="007A3A03">
      <w:pPr>
        <w:keepLines w:val="0"/>
        <w:tabs>
          <w:tab w:val="clear" w:pos="567"/>
        </w:tabs>
        <w:rPr>
          <w:noProof w:val="0"/>
        </w:rPr>
      </w:pPr>
      <w:r w:rsidRPr="00121123">
        <w:rPr>
          <w:noProof w:val="0"/>
        </w:rPr>
        <w:t>Prášok na infúzny roztok</w:t>
      </w:r>
      <w:r w:rsidR="00DC7B11" w:rsidRPr="00121123">
        <w:rPr>
          <w:noProof w:val="0"/>
        </w:rPr>
        <w:t xml:space="preserve"> (prášok na infúziu)</w:t>
      </w:r>
      <w:r w:rsidRPr="00121123">
        <w:rPr>
          <w:noProof w:val="0"/>
        </w:rPr>
        <w:t>.</w:t>
      </w:r>
    </w:p>
    <w:p w14:paraId="1935937F" w14:textId="77777777" w:rsidR="00870248" w:rsidRPr="00121123" w:rsidRDefault="00870248" w:rsidP="007A3A03">
      <w:pPr>
        <w:keepLines w:val="0"/>
        <w:tabs>
          <w:tab w:val="clear" w:pos="567"/>
        </w:tabs>
        <w:rPr>
          <w:noProof w:val="0"/>
        </w:rPr>
      </w:pPr>
    </w:p>
    <w:p w14:paraId="37683E7D" w14:textId="77777777" w:rsidR="00870248" w:rsidRPr="00121123" w:rsidRDefault="00A06C95" w:rsidP="007A3A03">
      <w:pPr>
        <w:keepLines w:val="0"/>
        <w:tabs>
          <w:tab w:val="clear" w:pos="567"/>
        </w:tabs>
        <w:rPr>
          <w:noProof w:val="0"/>
        </w:rPr>
      </w:pPr>
      <w:r w:rsidRPr="00121123">
        <w:rPr>
          <w:noProof w:val="0"/>
        </w:rPr>
        <w:t>O</w:t>
      </w:r>
      <w:r w:rsidR="00870248" w:rsidRPr="00121123">
        <w:rPr>
          <w:noProof w:val="0"/>
        </w:rPr>
        <w:t>ranžový koláč alebo prášok.</w:t>
      </w:r>
    </w:p>
    <w:p w14:paraId="35320299" w14:textId="77777777" w:rsidR="00870248" w:rsidRPr="00121123" w:rsidRDefault="00870248" w:rsidP="007A3A03">
      <w:pPr>
        <w:keepLines w:val="0"/>
        <w:tabs>
          <w:tab w:val="clear" w:pos="567"/>
        </w:tabs>
        <w:rPr>
          <w:noProof w:val="0"/>
        </w:rPr>
      </w:pPr>
    </w:p>
    <w:p w14:paraId="5A9A8278" w14:textId="77777777" w:rsidR="00870248" w:rsidRPr="00121123" w:rsidRDefault="00870248" w:rsidP="007A3A03">
      <w:pPr>
        <w:keepLines w:val="0"/>
        <w:tabs>
          <w:tab w:val="clear" w:pos="567"/>
        </w:tabs>
        <w:rPr>
          <w:noProof w:val="0"/>
        </w:rPr>
      </w:pPr>
    </w:p>
    <w:p w14:paraId="748C1C18" w14:textId="77777777" w:rsidR="00870248" w:rsidRPr="00121123" w:rsidRDefault="00870248" w:rsidP="007A3A03">
      <w:pPr>
        <w:rPr>
          <w:b/>
          <w:noProof w:val="0"/>
        </w:rPr>
      </w:pPr>
      <w:r w:rsidRPr="00121123">
        <w:rPr>
          <w:b/>
          <w:noProof w:val="0"/>
        </w:rPr>
        <w:t>4.</w:t>
      </w:r>
      <w:r w:rsidRPr="00121123">
        <w:rPr>
          <w:b/>
          <w:noProof w:val="0"/>
        </w:rPr>
        <w:tab/>
        <w:t>KLINICKÉ ÚDAJE</w:t>
      </w:r>
    </w:p>
    <w:p w14:paraId="3E1EB124" w14:textId="77777777" w:rsidR="00870248" w:rsidRPr="00121123" w:rsidRDefault="00870248" w:rsidP="007A3A03">
      <w:pPr>
        <w:keepLines w:val="0"/>
        <w:rPr>
          <w:noProof w:val="0"/>
        </w:rPr>
      </w:pPr>
    </w:p>
    <w:p w14:paraId="3A7E85A0" w14:textId="77777777" w:rsidR="00870248" w:rsidRPr="00121123" w:rsidRDefault="00870248" w:rsidP="007A3A03">
      <w:pPr>
        <w:rPr>
          <w:b/>
          <w:noProof w:val="0"/>
        </w:rPr>
      </w:pPr>
      <w:r w:rsidRPr="00121123">
        <w:rPr>
          <w:b/>
          <w:noProof w:val="0"/>
        </w:rPr>
        <w:t>4.1</w:t>
      </w:r>
      <w:r w:rsidRPr="00121123">
        <w:rPr>
          <w:b/>
          <w:noProof w:val="0"/>
        </w:rPr>
        <w:tab/>
        <w:t>Terapeutické indikácie</w:t>
      </w:r>
    </w:p>
    <w:p w14:paraId="22D912E9" w14:textId="77777777" w:rsidR="00870248" w:rsidRPr="00121123" w:rsidRDefault="00870248" w:rsidP="007A3A03">
      <w:pPr>
        <w:keepLines w:val="0"/>
        <w:tabs>
          <w:tab w:val="clear" w:pos="567"/>
        </w:tabs>
        <w:rPr>
          <w:noProof w:val="0"/>
        </w:rPr>
      </w:pPr>
    </w:p>
    <w:p w14:paraId="7CB72891" w14:textId="77777777" w:rsidR="00870248" w:rsidRPr="00121123" w:rsidRDefault="00964F97" w:rsidP="007A3A03">
      <w:pPr>
        <w:keepLines w:val="0"/>
        <w:tabs>
          <w:tab w:val="clear" w:pos="567"/>
          <w:tab w:val="left" w:pos="4678"/>
        </w:tabs>
        <w:rPr>
          <w:noProof w:val="0"/>
        </w:rPr>
      </w:pPr>
      <w:r>
        <w:rPr>
          <w:noProof w:val="0"/>
        </w:rPr>
        <w:t>Tigecycline Accord</w:t>
      </w:r>
      <w:r w:rsidR="00870248" w:rsidRPr="00121123">
        <w:rPr>
          <w:noProof w:val="0"/>
        </w:rPr>
        <w:t xml:space="preserve"> je indikovaný </w:t>
      </w:r>
      <w:r w:rsidR="00DC7B11" w:rsidRPr="00121123">
        <w:rPr>
          <w:noProof w:val="0"/>
        </w:rPr>
        <w:t xml:space="preserve">u dospelých </w:t>
      </w:r>
      <w:r w:rsidR="002D68A1" w:rsidRPr="00121123">
        <w:rPr>
          <w:noProof w:val="0"/>
        </w:rPr>
        <w:t>a</w:t>
      </w:r>
      <w:r w:rsidR="00C50767" w:rsidRPr="00121123">
        <w:rPr>
          <w:noProof w:val="0"/>
        </w:rPr>
        <w:t xml:space="preserve"> u </w:t>
      </w:r>
      <w:r w:rsidR="002D68A1" w:rsidRPr="00121123">
        <w:rPr>
          <w:noProof w:val="0"/>
        </w:rPr>
        <w:t xml:space="preserve">detí vo veku od osem rokov </w:t>
      </w:r>
      <w:r w:rsidR="00870248" w:rsidRPr="00121123">
        <w:rPr>
          <w:noProof w:val="0"/>
        </w:rPr>
        <w:t xml:space="preserve">na liečbu nasledujúcich infekcií (pozri časti 4.4 a 5.1): </w:t>
      </w:r>
    </w:p>
    <w:p w14:paraId="199C3E29" w14:textId="77777777" w:rsidR="00870248" w:rsidRPr="00121123" w:rsidRDefault="00870248" w:rsidP="007A3A03">
      <w:pPr>
        <w:keepLines w:val="0"/>
        <w:tabs>
          <w:tab w:val="clear" w:pos="567"/>
        </w:tabs>
        <w:rPr>
          <w:noProof w:val="0"/>
        </w:rPr>
      </w:pPr>
    </w:p>
    <w:p w14:paraId="1A096B8F" w14:textId="77777777" w:rsidR="00870248" w:rsidRPr="00121123" w:rsidRDefault="00870248" w:rsidP="007A3A03">
      <w:pPr>
        <w:keepLines w:val="0"/>
        <w:numPr>
          <w:ilvl w:val="0"/>
          <w:numId w:val="30"/>
        </w:numPr>
        <w:rPr>
          <w:noProof w:val="0"/>
        </w:rPr>
      </w:pPr>
      <w:r w:rsidRPr="00121123">
        <w:rPr>
          <w:noProof w:val="0"/>
        </w:rPr>
        <w:t>Komplikované infekcie kože a mäkkých tkanív</w:t>
      </w:r>
      <w:r w:rsidR="00CF4AAA" w:rsidRPr="00121123">
        <w:rPr>
          <w:noProof w:val="0"/>
        </w:rPr>
        <w:t xml:space="preserve"> </w:t>
      </w:r>
      <w:r w:rsidR="002D68A1" w:rsidRPr="00121123">
        <w:rPr>
          <w:noProof w:val="0"/>
        </w:rPr>
        <w:t>(</w:t>
      </w:r>
      <w:r w:rsidR="00263697" w:rsidRPr="00121123">
        <w:rPr>
          <w:noProof w:val="0"/>
        </w:rPr>
        <w:t xml:space="preserve">ďalej ako </w:t>
      </w:r>
      <w:r w:rsidR="002D68A1" w:rsidRPr="00121123">
        <w:rPr>
          <w:noProof w:val="0"/>
        </w:rPr>
        <w:t xml:space="preserve">cSSTI) </w:t>
      </w:r>
      <w:r w:rsidR="00CF4AAA" w:rsidRPr="00121123">
        <w:rPr>
          <w:noProof w:val="0"/>
        </w:rPr>
        <w:t>okrem infekcií diabetickej nohy</w:t>
      </w:r>
      <w:r w:rsidR="00610D16" w:rsidRPr="00121123">
        <w:rPr>
          <w:noProof w:val="0"/>
        </w:rPr>
        <w:t xml:space="preserve"> (pozri časť 4.4)</w:t>
      </w:r>
      <w:r w:rsidR="00A06C95" w:rsidRPr="00121123">
        <w:rPr>
          <w:noProof w:val="0"/>
        </w:rPr>
        <w:t>.</w:t>
      </w:r>
    </w:p>
    <w:p w14:paraId="76701D6B" w14:textId="77777777" w:rsidR="00870248" w:rsidRPr="00121123" w:rsidRDefault="00870248" w:rsidP="007A3A03">
      <w:pPr>
        <w:keepLines w:val="0"/>
        <w:numPr>
          <w:ilvl w:val="0"/>
          <w:numId w:val="30"/>
        </w:numPr>
        <w:rPr>
          <w:noProof w:val="0"/>
        </w:rPr>
      </w:pPr>
      <w:r w:rsidRPr="00121123">
        <w:rPr>
          <w:noProof w:val="0"/>
        </w:rPr>
        <w:t>Komplikované intraabdominálne infekcie</w:t>
      </w:r>
      <w:r w:rsidR="002D68A1" w:rsidRPr="00121123">
        <w:rPr>
          <w:noProof w:val="0"/>
        </w:rPr>
        <w:t xml:space="preserve"> (</w:t>
      </w:r>
      <w:r w:rsidR="00263697" w:rsidRPr="00121123">
        <w:rPr>
          <w:noProof w:val="0"/>
        </w:rPr>
        <w:t xml:space="preserve">ďalej ako </w:t>
      </w:r>
      <w:r w:rsidR="002D68A1" w:rsidRPr="00121123">
        <w:rPr>
          <w:noProof w:val="0"/>
        </w:rPr>
        <w:t>cIAI)</w:t>
      </w:r>
      <w:r w:rsidR="00A06C95" w:rsidRPr="00121123">
        <w:rPr>
          <w:noProof w:val="0"/>
        </w:rPr>
        <w:t>.</w:t>
      </w:r>
    </w:p>
    <w:p w14:paraId="46259538" w14:textId="77777777" w:rsidR="00870248" w:rsidRPr="00121123" w:rsidRDefault="00870248" w:rsidP="007A3A03">
      <w:pPr>
        <w:pStyle w:val="Header"/>
        <w:keepLines w:val="0"/>
        <w:tabs>
          <w:tab w:val="clear" w:pos="4320"/>
          <w:tab w:val="clear" w:pos="8640"/>
        </w:tabs>
        <w:rPr>
          <w:noProof w:val="0"/>
        </w:rPr>
      </w:pPr>
    </w:p>
    <w:p w14:paraId="2ADA6F38" w14:textId="77777777" w:rsidR="00D3455C" w:rsidRPr="00121123" w:rsidRDefault="00964F97" w:rsidP="007A3A03">
      <w:pPr>
        <w:keepLines w:val="0"/>
        <w:tabs>
          <w:tab w:val="clear" w:pos="567"/>
        </w:tabs>
        <w:rPr>
          <w:noProof w:val="0"/>
        </w:rPr>
      </w:pPr>
      <w:r>
        <w:rPr>
          <w:noProof w:val="0"/>
        </w:rPr>
        <w:t>Tigecycline Accord</w:t>
      </w:r>
      <w:r w:rsidR="00D3455C" w:rsidRPr="00121123">
        <w:rPr>
          <w:noProof w:val="0"/>
        </w:rPr>
        <w:t xml:space="preserve"> sa má použ</w:t>
      </w:r>
      <w:r w:rsidR="00CD4DF7" w:rsidRPr="00121123">
        <w:rPr>
          <w:noProof w:val="0"/>
        </w:rPr>
        <w:t>ívať</w:t>
      </w:r>
      <w:r w:rsidR="00D3455C" w:rsidRPr="00121123">
        <w:rPr>
          <w:noProof w:val="0"/>
        </w:rPr>
        <w:t xml:space="preserve"> iba v situáciách, k</w:t>
      </w:r>
      <w:r w:rsidR="007F23BC" w:rsidRPr="00121123">
        <w:rPr>
          <w:noProof w:val="0"/>
        </w:rPr>
        <w:t>eď</w:t>
      </w:r>
      <w:r w:rsidR="00D3455C" w:rsidRPr="00121123">
        <w:rPr>
          <w:noProof w:val="0"/>
        </w:rPr>
        <w:t xml:space="preserve"> iné </w:t>
      </w:r>
      <w:r w:rsidR="002D68A1" w:rsidRPr="00121123">
        <w:rPr>
          <w:noProof w:val="0"/>
        </w:rPr>
        <w:t>alternatívne antibiotiká</w:t>
      </w:r>
      <w:r w:rsidR="00CD4DF7" w:rsidRPr="00121123">
        <w:rPr>
          <w:noProof w:val="0"/>
        </w:rPr>
        <w:t xml:space="preserve"> </w:t>
      </w:r>
      <w:r w:rsidR="00D3455C" w:rsidRPr="00121123">
        <w:rPr>
          <w:noProof w:val="0"/>
        </w:rPr>
        <w:t>nie sú vhodné</w:t>
      </w:r>
      <w:r w:rsidR="00DC7B11" w:rsidRPr="00121123">
        <w:rPr>
          <w:noProof w:val="0"/>
        </w:rPr>
        <w:t xml:space="preserve"> (pozri časti 4.4</w:t>
      </w:r>
      <w:r w:rsidR="002D68A1" w:rsidRPr="00121123">
        <w:rPr>
          <w:noProof w:val="0"/>
        </w:rPr>
        <w:t>,</w:t>
      </w:r>
      <w:r w:rsidR="00DC7B11" w:rsidRPr="00121123">
        <w:rPr>
          <w:noProof w:val="0"/>
        </w:rPr>
        <w:t> 4.8</w:t>
      </w:r>
      <w:r w:rsidR="002D68A1" w:rsidRPr="00121123">
        <w:rPr>
          <w:noProof w:val="0"/>
        </w:rPr>
        <w:t xml:space="preserve"> a 5.1</w:t>
      </w:r>
      <w:r w:rsidR="00DC7B11" w:rsidRPr="00121123">
        <w:rPr>
          <w:noProof w:val="0"/>
        </w:rPr>
        <w:t>)</w:t>
      </w:r>
      <w:r w:rsidR="00D3455C" w:rsidRPr="00121123">
        <w:rPr>
          <w:noProof w:val="0"/>
        </w:rPr>
        <w:t>.</w:t>
      </w:r>
    </w:p>
    <w:p w14:paraId="18E98413" w14:textId="77777777" w:rsidR="00D3455C" w:rsidRPr="00121123" w:rsidRDefault="00D3455C" w:rsidP="007A3A03">
      <w:pPr>
        <w:keepLines w:val="0"/>
        <w:tabs>
          <w:tab w:val="clear" w:pos="567"/>
        </w:tabs>
        <w:rPr>
          <w:noProof w:val="0"/>
        </w:rPr>
      </w:pPr>
    </w:p>
    <w:p w14:paraId="517C8061" w14:textId="77777777" w:rsidR="009009B2" w:rsidRPr="00121123" w:rsidRDefault="009009B2" w:rsidP="007A3A03">
      <w:pPr>
        <w:keepLines w:val="0"/>
        <w:tabs>
          <w:tab w:val="clear" w:pos="567"/>
        </w:tabs>
        <w:rPr>
          <w:noProof w:val="0"/>
        </w:rPr>
      </w:pPr>
      <w:r w:rsidRPr="00121123">
        <w:rPr>
          <w:noProof w:val="0"/>
        </w:rPr>
        <w:t>Treba brať do úvahy oficiálne smernice o správnom používaní antibakteriálnych liekov.</w:t>
      </w:r>
    </w:p>
    <w:p w14:paraId="3055DAE9" w14:textId="77777777" w:rsidR="009009B2" w:rsidRPr="00121123" w:rsidRDefault="009009B2" w:rsidP="007A3A03">
      <w:pPr>
        <w:rPr>
          <w:noProof w:val="0"/>
        </w:rPr>
      </w:pPr>
    </w:p>
    <w:p w14:paraId="68BBF608" w14:textId="77777777" w:rsidR="00870248" w:rsidRPr="00121123" w:rsidRDefault="00870248" w:rsidP="007A3A03">
      <w:pPr>
        <w:rPr>
          <w:b/>
          <w:noProof w:val="0"/>
        </w:rPr>
      </w:pPr>
      <w:r w:rsidRPr="00121123">
        <w:rPr>
          <w:b/>
          <w:noProof w:val="0"/>
        </w:rPr>
        <w:t>4.2</w:t>
      </w:r>
      <w:r w:rsidRPr="00121123">
        <w:rPr>
          <w:b/>
          <w:noProof w:val="0"/>
        </w:rPr>
        <w:tab/>
        <w:t>Dávkovanie a spôsob podávania</w:t>
      </w:r>
    </w:p>
    <w:p w14:paraId="0DDA8580" w14:textId="77777777" w:rsidR="00870248" w:rsidRPr="00121123" w:rsidRDefault="00870248" w:rsidP="007A3A03">
      <w:pPr>
        <w:keepLines w:val="0"/>
        <w:rPr>
          <w:noProof w:val="0"/>
        </w:rPr>
      </w:pPr>
    </w:p>
    <w:p w14:paraId="134024E4" w14:textId="77777777" w:rsidR="00870248" w:rsidRPr="00121123" w:rsidRDefault="00870248" w:rsidP="007A3A03">
      <w:pPr>
        <w:keepLines w:val="0"/>
        <w:tabs>
          <w:tab w:val="clear" w:pos="567"/>
        </w:tabs>
        <w:rPr>
          <w:bCs/>
          <w:noProof w:val="0"/>
          <w:u w:val="single"/>
        </w:rPr>
      </w:pPr>
      <w:r w:rsidRPr="00121123">
        <w:rPr>
          <w:bCs/>
          <w:noProof w:val="0"/>
          <w:u w:val="single"/>
        </w:rPr>
        <w:t>Dávkovanie</w:t>
      </w:r>
    </w:p>
    <w:p w14:paraId="1ED40ACF" w14:textId="77777777" w:rsidR="00A06C95" w:rsidRPr="00121123" w:rsidRDefault="00A06C95" w:rsidP="007A3A03">
      <w:pPr>
        <w:keepLines w:val="0"/>
        <w:tabs>
          <w:tab w:val="clear" w:pos="567"/>
        </w:tabs>
        <w:rPr>
          <w:bCs/>
          <w:noProof w:val="0"/>
          <w:u w:val="single"/>
        </w:rPr>
      </w:pPr>
    </w:p>
    <w:p w14:paraId="47AF61B8" w14:textId="77777777" w:rsidR="00A06C95" w:rsidRPr="00121123" w:rsidRDefault="00A06C95" w:rsidP="007A3A03">
      <w:pPr>
        <w:keepLines w:val="0"/>
        <w:tabs>
          <w:tab w:val="clear" w:pos="567"/>
        </w:tabs>
        <w:rPr>
          <w:bCs/>
          <w:i/>
          <w:noProof w:val="0"/>
          <w:u w:val="single"/>
        </w:rPr>
      </w:pPr>
      <w:r w:rsidRPr="00121123">
        <w:rPr>
          <w:bCs/>
          <w:i/>
          <w:noProof w:val="0"/>
          <w:u w:val="single"/>
        </w:rPr>
        <w:t>Dospelí</w:t>
      </w:r>
    </w:p>
    <w:p w14:paraId="2E44A45D" w14:textId="7ACE9A90" w:rsidR="00870248" w:rsidRPr="00121123" w:rsidRDefault="00870248" w:rsidP="007A3A03">
      <w:pPr>
        <w:keepLines w:val="0"/>
        <w:tabs>
          <w:tab w:val="clear" w:pos="567"/>
        </w:tabs>
        <w:rPr>
          <w:noProof w:val="0"/>
        </w:rPr>
      </w:pPr>
      <w:r w:rsidRPr="00121123">
        <w:rPr>
          <w:noProof w:val="0"/>
        </w:rPr>
        <w:t>Odporúčaná dávka je začiatočná dávka 100 mg, po ktorej nasledujú dávky 50 mg každých 12 hodín po dobu 5 až 14 dní.</w:t>
      </w:r>
    </w:p>
    <w:p w14:paraId="072805A0" w14:textId="77777777" w:rsidR="00A06C95" w:rsidRPr="00121123" w:rsidRDefault="00A06C95" w:rsidP="007A3A03">
      <w:pPr>
        <w:keepLines w:val="0"/>
        <w:tabs>
          <w:tab w:val="clear" w:pos="567"/>
        </w:tabs>
        <w:rPr>
          <w:noProof w:val="0"/>
        </w:rPr>
      </w:pPr>
    </w:p>
    <w:p w14:paraId="256C845F" w14:textId="77777777" w:rsidR="00A06C95" w:rsidRPr="00121123" w:rsidRDefault="005D1C3C" w:rsidP="007A3A03">
      <w:pPr>
        <w:keepLines w:val="0"/>
        <w:tabs>
          <w:tab w:val="clear" w:pos="567"/>
        </w:tabs>
        <w:rPr>
          <w:i/>
          <w:noProof w:val="0"/>
        </w:rPr>
      </w:pPr>
      <w:r w:rsidRPr="00121123">
        <w:rPr>
          <w:i/>
          <w:noProof w:val="0"/>
        </w:rPr>
        <w:t>Deti a dospievajúci (</w:t>
      </w:r>
      <w:r w:rsidR="00A06C95" w:rsidRPr="00121123">
        <w:rPr>
          <w:i/>
          <w:noProof w:val="0"/>
        </w:rPr>
        <w:t xml:space="preserve">vo veku </w:t>
      </w:r>
      <w:r w:rsidRPr="00121123">
        <w:rPr>
          <w:i/>
          <w:noProof w:val="0"/>
        </w:rPr>
        <w:t>8 až 17 ro</w:t>
      </w:r>
      <w:r w:rsidR="00A06C95" w:rsidRPr="00121123">
        <w:rPr>
          <w:i/>
          <w:noProof w:val="0"/>
        </w:rPr>
        <w:t>kov</w:t>
      </w:r>
      <w:r w:rsidRPr="00121123">
        <w:rPr>
          <w:i/>
          <w:noProof w:val="0"/>
        </w:rPr>
        <w:t>)</w:t>
      </w:r>
    </w:p>
    <w:p w14:paraId="738F7F5E" w14:textId="77777777" w:rsidR="00A06C95" w:rsidRPr="00121123" w:rsidRDefault="00A06C95" w:rsidP="007A3A03">
      <w:pPr>
        <w:keepLines w:val="0"/>
        <w:tabs>
          <w:tab w:val="clear" w:pos="567"/>
        </w:tabs>
        <w:rPr>
          <w:noProof w:val="0"/>
        </w:rPr>
      </w:pPr>
    </w:p>
    <w:p w14:paraId="63162438" w14:textId="77777777" w:rsidR="00301202" w:rsidRPr="00121123" w:rsidRDefault="00A06C95" w:rsidP="00F601C5">
      <w:pPr>
        <w:keepLines w:val="0"/>
        <w:tabs>
          <w:tab w:val="clear" w:pos="567"/>
        </w:tabs>
        <w:rPr>
          <w:noProof w:val="0"/>
        </w:rPr>
      </w:pPr>
      <w:r w:rsidRPr="00121123">
        <w:rPr>
          <w:noProof w:val="0"/>
        </w:rPr>
        <w:t>Deti vo veku 8 až &lt;12 rokov: 1,2 mg/kg tigecyklínu každý</w:t>
      </w:r>
      <w:r w:rsidR="00E413C2" w:rsidRPr="00121123">
        <w:rPr>
          <w:noProof w:val="0"/>
        </w:rPr>
        <w:t>ch</w:t>
      </w:r>
      <w:r w:rsidRPr="00121123">
        <w:rPr>
          <w:noProof w:val="0"/>
        </w:rPr>
        <w:t xml:space="preserve"> 12 hodín, intravenózne, až do maximálnej dávky 50 mg každých 12 hodín počas 5 až 14 dní.</w:t>
      </w:r>
    </w:p>
    <w:p w14:paraId="637867E9" w14:textId="77777777" w:rsidR="00301202" w:rsidRPr="00121123" w:rsidRDefault="00301202" w:rsidP="00C64C16">
      <w:pPr>
        <w:keepLines w:val="0"/>
        <w:tabs>
          <w:tab w:val="clear" w:pos="567"/>
        </w:tabs>
        <w:ind w:left="567"/>
        <w:rPr>
          <w:noProof w:val="0"/>
        </w:rPr>
      </w:pPr>
    </w:p>
    <w:p w14:paraId="1D37413E" w14:textId="77777777" w:rsidR="00301202" w:rsidRPr="00121123" w:rsidRDefault="00E413C2" w:rsidP="00F601C5">
      <w:pPr>
        <w:keepLines w:val="0"/>
        <w:tabs>
          <w:tab w:val="clear" w:pos="567"/>
        </w:tabs>
        <w:rPr>
          <w:noProof w:val="0"/>
        </w:rPr>
      </w:pPr>
      <w:r w:rsidRPr="00121123">
        <w:rPr>
          <w:noProof w:val="0"/>
        </w:rPr>
        <w:t>Dospievajúci vo veku 12 až &lt;18 rokov: 50 mg tigecyklínu každých 12 hodín počas 5 až 14 dní.</w:t>
      </w:r>
    </w:p>
    <w:p w14:paraId="6BCEBB11" w14:textId="77777777" w:rsidR="00E413C2" w:rsidRDefault="00E413C2" w:rsidP="00E413C2">
      <w:pPr>
        <w:keepLines w:val="0"/>
        <w:tabs>
          <w:tab w:val="clear" w:pos="567"/>
        </w:tabs>
        <w:rPr>
          <w:noProof w:val="0"/>
        </w:rPr>
      </w:pPr>
    </w:p>
    <w:p w14:paraId="74EB6951" w14:textId="77777777" w:rsidR="00D00214" w:rsidRPr="00522436" w:rsidRDefault="00D00214" w:rsidP="00D00214">
      <w:pPr>
        <w:keepLines w:val="0"/>
        <w:tabs>
          <w:tab w:val="clear" w:pos="567"/>
        </w:tabs>
        <w:rPr>
          <w:noProof w:val="0"/>
          <w:color w:val="000000"/>
        </w:rPr>
      </w:pPr>
      <w:r w:rsidRPr="00522436">
        <w:rPr>
          <w:noProof w:val="0"/>
          <w:color w:val="000000"/>
        </w:rPr>
        <w:t>Trvanie liečby sa má riadiť závažnosťou infekcie, miestom výskytu infekcie a klinickou odpoveďou pacienta.</w:t>
      </w:r>
    </w:p>
    <w:p w14:paraId="0634493B" w14:textId="77777777" w:rsidR="00D00214" w:rsidRPr="00121123" w:rsidRDefault="00D00214" w:rsidP="00E413C2">
      <w:pPr>
        <w:keepLines w:val="0"/>
        <w:tabs>
          <w:tab w:val="clear" w:pos="567"/>
        </w:tabs>
        <w:rPr>
          <w:noProof w:val="0"/>
        </w:rPr>
      </w:pPr>
    </w:p>
    <w:p w14:paraId="1EEA1934" w14:textId="77777777" w:rsidR="00E413C2" w:rsidRPr="00121123" w:rsidRDefault="005D1C3C" w:rsidP="00121123">
      <w:pPr>
        <w:keepNext/>
        <w:tabs>
          <w:tab w:val="clear" w:pos="567"/>
        </w:tabs>
        <w:rPr>
          <w:i/>
          <w:noProof w:val="0"/>
        </w:rPr>
      </w:pPr>
      <w:r w:rsidRPr="00121123">
        <w:rPr>
          <w:i/>
          <w:noProof w:val="0"/>
        </w:rPr>
        <w:t>Starší pacienti</w:t>
      </w:r>
    </w:p>
    <w:p w14:paraId="15D59F48" w14:textId="77777777" w:rsidR="00E413C2" w:rsidRPr="00121123" w:rsidRDefault="00E413C2" w:rsidP="00E413C2">
      <w:pPr>
        <w:keepLines w:val="0"/>
        <w:tabs>
          <w:tab w:val="clear" w:pos="567"/>
        </w:tabs>
        <w:rPr>
          <w:noProof w:val="0"/>
        </w:rPr>
      </w:pPr>
      <w:r w:rsidRPr="00121123">
        <w:rPr>
          <w:noProof w:val="0"/>
        </w:rPr>
        <w:t>Nie je potrebná úprava dávky u starších pacientov (pozri časť 5.2).</w:t>
      </w:r>
    </w:p>
    <w:p w14:paraId="3F4C5A42" w14:textId="77777777" w:rsidR="00870248" w:rsidRPr="00121123" w:rsidRDefault="00870248" w:rsidP="007A3A03">
      <w:pPr>
        <w:keepLines w:val="0"/>
        <w:tabs>
          <w:tab w:val="clear" w:pos="567"/>
        </w:tabs>
        <w:rPr>
          <w:noProof w:val="0"/>
        </w:rPr>
      </w:pPr>
    </w:p>
    <w:p w14:paraId="6F2F6C4B" w14:textId="77777777" w:rsidR="00870248" w:rsidRPr="00121123" w:rsidRDefault="00E413C2" w:rsidP="007A3A03">
      <w:pPr>
        <w:rPr>
          <w:i/>
          <w:noProof w:val="0"/>
        </w:rPr>
      </w:pPr>
      <w:r w:rsidRPr="00121123">
        <w:rPr>
          <w:i/>
          <w:noProof w:val="0"/>
        </w:rPr>
        <w:lastRenderedPageBreak/>
        <w:t>Po</w:t>
      </w:r>
      <w:r w:rsidR="00874E12" w:rsidRPr="00121123">
        <w:rPr>
          <w:i/>
          <w:noProof w:val="0"/>
        </w:rPr>
        <w:t xml:space="preserve">rucha funkcie </w:t>
      </w:r>
      <w:r w:rsidRPr="00121123">
        <w:rPr>
          <w:i/>
          <w:noProof w:val="0"/>
        </w:rPr>
        <w:t>pečene</w:t>
      </w:r>
    </w:p>
    <w:p w14:paraId="095A5CAE" w14:textId="77777777" w:rsidR="00870248" w:rsidRPr="00121123" w:rsidRDefault="00870248" w:rsidP="007A3A03">
      <w:pPr>
        <w:keepLines w:val="0"/>
        <w:rPr>
          <w:noProof w:val="0"/>
        </w:rPr>
      </w:pPr>
      <w:r w:rsidRPr="00121123">
        <w:rPr>
          <w:noProof w:val="0"/>
        </w:rPr>
        <w:t>U pacientov s miern</w:t>
      </w:r>
      <w:r w:rsidR="00874E12" w:rsidRPr="00121123">
        <w:rPr>
          <w:noProof w:val="0"/>
        </w:rPr>
        <w:t>ou</w:t>
      </w:r>
      <w:r w:rsidRPr="00121123">
        <w:rPr>
          <w:noProof w:val="0"/>
        </w:rPr>
        <w:t xml:space="preserve"> až stredn</w:t>
      </w:r>
      <w:r w:rsidR="00241C14" w:rsidRPr="00121123">
        <w:rPr>
          <w:noProof w:val="0"/>
        </w:rPr>
        <w:t>e ťažk</w:t>
      </w:r>
      <w:r w:rsidR="00874E12" w:rsidRPr="00121123">
        <w:rPr>
          <w:noProof w:val="0"/>
        </w:rPr>
        <w:t>ou poruchou</w:t>
      </w:r>
      <w:r w:rsidR="00FD68CC" w:rsidRPr="00121123">
        <w:rPr>
          <w:noProof w:val="0"/>
        </w:rPr>
        <w:t xml:space="preserve"> funkcie pečene</w:t>
      </w:r>
      <w:r w:rsidRPr="00121123">
        <w:rPr>
          <w:noProof w:val="0"/>
        </w:rPr>
        <w:t xml:space="preserve"> (</w:t>
      </w:r>
      <w:r w:rsidR="00CD4DF7" w:rsidRPr="00121123">
        <w:rPr>
          <w:noProof w:val="0"/>
        </w:rPr>
        <w:t>stupeň A</w:t>
      </w:r>
      <w:r w:rsidR="007F23BC" w:rsidRPr="00121123">
        <w:rPr>
          <w:noProof w:val="0"/>
        </w:rPr>
        <w:t xml:space="preserve"> a stupeň B </w:t>
      </w:r>
      <w:r w:rsidR="00916125" w:rsidRPr="00121123">
        <w:rPr>
          <w:noProof w:val="0"/>
        </w:rPr>
        <w:t>skóre podľa</w:t>
      </w:r>
      <w:r w:rsidR="00CD4DF7" w:rsidRPr="00121123">
        <w:rPr>
          <w:noProof w:val="0"/>
        </w:rPr>
        <w:t xml:space="preserve"> </w:t>
      </w:r>
      <w:r w:rsidRPr="00121123">
        <w:rPr>
          <w:noProof w:val="0"/>
        </w:rPr>
        <w:t>Child</w:t>
      </w:r>
      <w:r w:rsidR="00916125" w:rsidRPr="00121123">
        <w:rPr>
          <w:noProof w:val="0"/>
        </w:rPr>
        <w:t xml:space="preserve">a a </w:t>
      </w:r>
      <w:r w:rsidRPr="00121123">
        <w:rPr>
          <w:noProof w:val="0"/>
        </w:rPr>
        <w:t>Pugh</w:t>
      </w:r>
      <w:r w:rsidR="00916125" w:rsidRPr="00121123">
        <w:rPr>
          <w:noProof w:val="0"/>
        </w:rPr>
        <w:t>a</w:t>
      </w:r>
      <w:r w:rsidRPr="00121123">
        <w:rPr>
          <w:noProof w:val="0"/>
        </w:rPr>
        <w:t>) nie je potrebná úprava dávky.</w:t>
      </w:r>
    </w:p>
    <w:p w14:paraId="6AA2342F" w14:textId="77777777" w:rsidR="00870248" w:rsidRPr="00121123" w:rsidRDefault="00870248" w:rsidP="007A3A03">
      <w:pPr>
        <w:keepLines w:val="0"/>
        <w:rPr>
          <w:noProof w:val="0"/>
        </w:rPr>
      </w:pPr>
    </w:p>
    <w:p w14:paraId="6BB8D905" w14:textId="77777777" w:rsidR="00870248" w:rsidRPr="00121123" w:rsidRDefault="00870248" w:rsidP="007A3A03">
      <w:pPr>
        <w:keepLines w:val="0"/>
        <w:tabs>
          <w:tab w:val="clear" w:pos="567"/>
        </w:tabs>
        <w:rPr>
          <w:noProof w:val="0"/>
        </w:rPr>
      </w:pPr>
      <w:r w:rsidRPr="00121123">
        <w:rPr>
          <w:noProof w:val="0"/>
        </w:rPr>
        <w:t xml:space="preserve">U pacientov </w:t>
      </w:r>
      <w:r w:rsidR="002D68A1" w:rsidRPr="00121123">
        <w:rPr>
          <w:noProof w:val="0"/>
        </w:rPr>
        <w:t xml:space="preserve">(vrátane pediatrických pacientov) </w:t>
      </w:r>
      <w:r w:rsidRPr="00121123">
        <w:rPr>
          <w:noProof w:val="0"/>
        </w:rPr>
        <w:t>so závažn</w:t>
      </w:r>
      <w:r w:rsidR="00874E12" w:rsidRPr="00121123">
        <w:rPr>
          <w:noProof w:val="0"/>
        </w:rPr>
        <w:t>ou poruchou</w:t>
      </w:r>
      <w:r w:rsidR="00C60BF5" w:rsidRPr="00121123">
        <w:rPr>
          <w:noProof w:val="0"/>
        </w:rPr>
        <w:t xml:space="preserve"> funkcie pečene</w:t>
      </w:r>
      <w:r w:rsidRPr="00121123">
        <w:rPr>
          <w:noProof w:val="0"/>
        </w:rPr>
        <w:t xml:space="preserve"> (</w:t>
      </w:r>
      <w:r w:rsidR="00CD4DF7" w:rsidRPr="00121123">
        <w:rPr>
          <w:noProof w:val="0"/>
        </w:rPr>
        <w:t xml:space="preserve">stupeň C </w:t>
      </w:r>
      <w:r w:rsidR="00153386" w:rsidRPr="00121123">
        <w:rPr>
          <w:noProof w:val="0"/>
        </w:rPr>
        <w:t xml:space="preserve">skóre </w:t>
      </w:r>
      <w:r w:rsidR="00CD4DF7" w:rsidRPr="00121123">
        <w:rPr>
          <w:noProof w:val="0"/>
        </w:rPr>
        <w:t xml:space="preserve">podľa </w:t>
      </w:r>
      <w:r w:rsidRPr="00121123">
        <w:rPr>
          <w:noProof w:val="0"/>
        </w:rPr>
        <w:t>Child</w:t>
      </w:r>
      <w:r w:rsidR="00153386" w:rsidRPr="00121123">
        <w:rPr>
          <w:noProof w:val="0"/>
        </w:rPr>
        <w:t>a a Pugha</w:t>
      </w:r>
      <w:r w:rsidRPr="00121123">
        <w:rPr>
          <w:noProof w:val="0"/>
        </w:rPr>
        <w:t xml:space="preserve">) sa má dávka </w:t>
      </w:r>
      <w:r w:rsidR="00E413C2" w:rsidRPr="00121123">
        <w:rPr>
          <w:noProof w:val="0"/>
        </w:rPr>
        <w:t xml:space="preserve">tigecyklínu </w:t>
      </w:r>
      <w:r w:rsidRPr="00121123">
        <w:rPr>
          <w:noProof w:val="0"/>
        </w:rPr>
        <w:t xml:space="preserve">znížiť </w:t>
      </w:r>
      <w:r w:rsidR="00C50767" w:rsidRPr="00121123">
        <w:rPr>
          <w:noProof w:val="0"/>
        </w:rPr>
        <w:t>o 50 </w:t>
      </w:r>
      <w:r w:rsidR="002D68A1" w:rsidRPr="00121123">
        <w:rPr>
          <w:noProof w:val="0"/>
        </w:rPr>
        <w:t xml:space="preserve">%. Dávka pre dospelých sa má znížiť </w:t>
      </w:r>
      <w:r w:rsidRPr="00121123">
        <w:rPr>
          <w:noProof w:val="0"/>
        </w:rPr>
        <w:t>na 25 mg každých 12 hodín po podaní začiatočnej dávky 100 mg. Pacienti so závažn</w:t>
      </w:r>
      <w:r w:rsidR="00874E12" w:rsidRPr="00121123">
        <w:rPr>
          <w:noProof w:val="0"/>
        </w:rPr>
        <w:t>ou poruchou</w:t>
      </w:r>
      <w:r w:rsidR="00C60BF5" w:rsidRPr="00121123">
        <w:rPr>
          <w:noProof w:val="0"/>
        </w:rPr>
        <w:t xml:space="preserve"> funkcie pečene</w:t>
      </w:r>
      <w:r w:rsidRPr="00121123">
        <w:rPr>
          <w:noProof w:val="0"/>
        </w:rPr>
        <w:t xml:space="preserve"> (</w:t>
      </w:r>
      <w:r w:rsidR="00CD4DF7" w:rsidRPr="00121123">
        <w:rPr>
          <w:noProof w:val="0"/>
        </w:rPr>
        <w:t xml:space="preserve">stupeň C </w:t>
      </w:r>
      <w:r w:rsidR="00153386" w:rsidRPr="00121123">
        <w:rPr>
          <w:noProof w:val="0"/>
        </w:rPr>
        <w:t xml:space="preserve">skóre podľa Childa a Pugha) </w:t>
      </w:r>
      <w:r w:rsidRPr="00121123">
        <w:rPr>
          <w:noProof w:val="0"/>
        </w:rPr>
        <w:t>sa m</w:t>
      </w:r>
      <w:r w:rsidR="00C60BF5" w:rsidRPr="00121123">
        <w:rPr>
          <w:noProof w:val="0"/>
        </w:rPr>
        <w:t>ajú</w:t>
      </w:r>
      <w:r w:rsidRPr="00121123">
        <w:rPr>
          <w:noProof w:val="0"/>
        </w:rPr>
        <w:t xml:space="preserve"> liečiť opatrne a ich odpoveď na liečbu sa m</w:t>
      </w:r>
      <w:r w:rsidR="00C60BF5" w:rsidRPr="00121123">
        <w:rPr>
          <w:noProof w:val="0"/>
        </w:rPr>
        <w:t>á</w:t>
      </w:r>
      <w:r w:rsidRPr="00121123">
        <w:rPr>
          <w:noProof w:val="0"/>
        </w:rPr>
        <w:t xml:space="preserve"> sledovať (pozri časti 4.4 a 5.2).</w:t>
      </w:r>
    </w:p>
    <w:p w14:paraId="2D6A8EE0" w14:textId="77777777" w:rsidR="00870248" w:rsidRPr="00121123" w:rsidRDefault="00870248" w:rsidP="007A3A03">
      <w:pPr>
        <w:keepLines w:val="0"/>
        <w:tabs>
          <w:tab w:val="clear" w:pos="567"/>
        </w:tabs>
        <w:rPr>
          <w:i/>
          <w:iCs/>
          <w:noProof w:val="0"/>
        </w:rPr>
      </w:pPr>
    </w:p>
    <w:p w14:paraId="6BF7FD2A" w14:textId="77777777" w:rsidR="00301202" w:rsidRPr="00121123" w:rsidRDefault="00E413C2" w:rsidP="007A3A03">
      <w:pPr>
        <w:keepNext/>
        <w:keepLines w:val="0"/>
        <w:tabs>
          <w:tab w:val="clear" w:pos="567"/>
        </w:tabs>
        <w:rPr>
          <w:i/>
          <w:iCs/>
          <w:noProof w:val="0"/>
        </w:rPr>
      </w:pPr>
      <w:r w:rsidRPr="00121123">
        <w:rPr>
          <w:i/>
          <w:iCs/>
          <w:noProof w:val="0"/>
        </w:rPr>
        <w:t>Po</w:t>
      </w:r>
      <w:r w:rsidR="00D306A9" w:rsidRPr="00121123">
        <w:rPr>
          <w:i/>
          <w:iCs/>
          <w:noProof w:val="0"/>
        </w:rPr>
        <w:t xml:space="preserve">rucha funkcie </w:t>
      </w:r>
      <w:r w:rsidRPr="00121123">
        <w:rPr>
          <w:i/>
          <w:iCs/>
          <w:noProof w:val="0"/>
        </w:rPr>
        <w:t>obličiek</w:t>
      </w:r>
    </w:p>
    <w:p w14:paraId="23B833A3" w14:textId="77777777" w:rsidR="00870248" w:rsidRPr="00121123" w:rsidRDefault="00870248" w:rsidP="007A3A03">
      <w:pPr>
        <w:keepNext/>
        <w:keepLines w:val="0"/>
        <w:tabs>
          <w:tab w:val="clear" w:pos="567"/>
        </w:tabs>
        <w:rPr>
          <w:noProof w:val="0"/>
        </w:rPr>
      </w:pPr>
      <w:r w:rsidRPr="00121123">
        <w:rPr>
          <w:noProof w:val="0"/>
        </w:rPr>
        <w:t>U pacientov s po</w:t>
      </w:r>
      <w:r w:rsidR="00874E12" w:rsidRPr="00121123">
        <w:rPr>
          <w:noProof w:val="0"/>
        </w:rPr>
        <w:t>ruchou</w:t>
      </w:r>
      <w:r w:rsidRPr="00121123">
        <w:rPr>
          <w:noProof w:val="0"/>
        </w:rPr>
        <w:t xml:space="preserve"> funkcie obličiek alebo u pacientov podstupujúcich hemodialýzu nie je potrebná úprava dávky (pozri časť 5.2).</w:t>
      </w:r>
    </w:p>
    <w:p w14:paraId="6CA1C5F6" w14:textId="77777777" w:rsidR="00870248" w:rsidRPr="00121123" w:rsidRDefault="00870248" w:rsidP="007A3A03">
      <w:pPr>
        <w:keepLines w:val="0"/>
        <w:tabs>
          <w:tab w:val="clear" w:pos="567"/>
        </w:tabs>
        <w:rPr>
          <w:i/>
          <w:iCs/>
          <w:noProof w:val="0"/>
        </w:rPr>
      </w:pPr>
    </w:p>
    <w:p w14:paraId="15344EBA" w14:textId="77777777" w:rsidR="00870248" w:rsidRPr="00121123" w:rsidRDefault="00160BBF" w:rsidP="007A3A03">
      <w:pPr>
        <w:keepLines w:val="0"/>
        <w:tabs>
          <w:tab w:val="clear" w:pos="567"/>
        </w:tabs>
        <w:rPr>
          <w:i/>
          <w:iCs/>
          <w:noProof w:val="0"/>
        </w:rPr>
      </w:pPr>
      <w:r w:rsidRPr="00121123">
        <w:rPr>
          <w:i/>
          <w:iCs/>
          <w:noProof w:val="0"/>
        </w:rPr>
        <w:t>Pediatrická populácia</w:t>
      </w:r>
      <w:r w:rsidR="00870248" w:rsidRPr="00121123">
        <w:rPr>
          <w:i/>
          <w:iCs/>
          <w:noProof w:val="0"/>
        </w:rPr>
        <w:t xml:space="preserve"> </w:t>
      </w:r>
    </w:p>
    <w:p w14:paraId="12BCFFD4" w14:textId="77777777" w:rsidR="00870248" w:rsidRPr="00121123" w:rsidRDefault="00F91F02" w:rsidP="007A3A03">
      <w:pPr>
        <w:keepLines w:val="0"/>
        <w:tabs>
          <w:tab w:val="clear" w:pos="567"/>
        </w:tabs>
        <w:rPr>
          <w:noProof w:val="0"/>
        </w:rPr>
      </w:pPr>
      <w:r w:rsidRPr="00121123">
        <w:rPr>
          <w:noProof w:val="0"/>
        </w:rPr>
        <w:t xml:space="preserve">Bezpečnosť a účinnosť </w:t>
      </w:r>
      <w:r w:rsidR="00964F97">
        <w:rPr>
          <w:noProof w:val="0"/>
        </w:rPr>
        <w:t>lieku Tigecycline Accord</w:t>
      </w:r>
      <w:r w:rsidR="002D68A1" w:rsidRPr="00121123">
        <w:rPr>
          <w:noProof w:val="0"/>
        </w:rPr>
        <w:t xml:space="preserve"> u detí mladších ako 8 rokov</w:t>
      </w:r>
      <w:r w:rsidR="007C198A" w:rsidRPr="00121123">
        <w:rPr>
          <w:noProof w:val="0"/>
        </w:rPr>
        <w:t xml:space="preserve"> neboli vyhodnotené. Nie sú k dispozícii žiadne údaje. </w:t>
      </w:r>
      <w:r w:rsidR="00964F97">
        <w:rPr>
          <w:noProof w:val="0"/>
        </w:rPr>
        <w:t>Tigecycline Accord</w:t>
      </w:r>
      <w:r w:rsidR="007C198A" w:rsidRPr="00121123">
        <w:rPr>
          <w:noProof w:val="0"/>
        </w:rPr>
        <w:t xml:space="preserve"> </w:t>
      </w:r>
      <w:r w:rsidR="00954EEF" w:rsidRPr="00121123">
        <w:rPr>
          <w:noProof w:val="0"/>
        </w:rPr>
        <w:t xml:space="preserve">by sa </w:t>
      </w:r>
      <w:r w:rsidR="007C198A" w:rsidRPr="00121123">
        <w:rPr>
          <w:noProof w:val="0"/>
        </w:rPr>
        <w:t>nemal podávať deťom mladším ako 8 rokov</w:t>
      </w:r>
      <w:r w:rsidR="002D68A1" w:rsidRPr="00121123">
        <w:rPr>
          <w:noProof w:val="0"/>
        </w:rPr>
        <w:t xml:space="preserve"> z dôvodu zmeny zafarbenia zubov (pozri </w:t>
      </w:r>
      <w:r w:rsidR="007C198A" w:rsidRPr="00121123">
        <w:rPr>
          <w:noProof w:val="0"/>
        </w:rPr>
        <w:t xml:space="preserve">časti </w:t>
      </w:r>
      <w:r w:rsidR="002D68A1" w:rsidRPr="00121123">
        <w:rPr>
          <w:noProof w:val="0"/>
        </w:rPr>
        <w:t>4.4 a 5.1).</w:t>
      </w:r>
    </w:p>
    <w:p w14:paraId="77AF1BB7" w14:textId="77777777" w:rsidR="00870248" w:rsidRPr="00121123" w:rsidRDefault="00870248" w:rsidP="007A3A03">
      <w:pPr>
        <w:keepLines w:val="0"/>
        <w:tabs>
          <w:tab w:val="clear" w:pos="567"/>
        </w:tabs>
        <w:rPr>
          <w:noProof w:val="0"/>
        </w:rPr>
      </w:pPr>
    </w:p>
    <w:p w14:paraId="13C7220F" w14:textId="77777777" w:rsidR="001D4C6F" w:rsidRPr="00121123" w:rsidRDefault="00870248" w:rsidP="007A3A03">
      <w:pPr>
        <w:keepLines w:val="0"/>
        <w:tabs>
          <w:tab w:val="clear" w:pos="567"/>
        </w:tabs>
        <w:ind w:left="567" w:hanging="567"/>
        <w:rPr>
          <w:bCs/>
          <w:noProof w:val="0"/>
          <w:u w:val="single"/>
        </w:rPr>
      </w:pPr>
      <w:r w:rsidRPr="00121123">
        <w:rPr>
          <w:bCs/>
          <w:noProof w:val="0"/>
          <w:u w:val="single"/>
        </w:rPr>
        <w:t>Spôsob pod</w:t>
      </w:r>
      <w:r w:rsidR="0087146E" w:rsidRPr="00121123">
        <w:rPr>
          <w:bCs/>
          <w:noProof w:val="0"/>
          <w:u w:val="single"/>
        </w:rPr>
        <w:t>áv</w:t>
      </w:r>
      <w:r w:rsidRPr="00121123">
        <w:rPr>
          <w:bCs/>
          <w:noProof w:val="0"/>
          <w:u w:val="single"/>
        </w:rPr>
        <w:t>ania</w:t>
      </w:r>
      <w:r w:rsidR="001D53F1" w:rsidRPr="00121123">
        <w:rPr>
          <w:bCs/>
          <w:noProof w:val="0"/>
          <w:u w:val="single"/>
        </w:rPr>
        <w:t>:</w:t>
      </w:r>
    </w:p>
    <w:p w14:paraId="5972668D" w14:textId="77777777" w:rsidR="00347E7D" w:rsidRPr="00121123" w:rsidRDefault="00347E7D" w:rsidP="007A3A03">
      <w:pPr>
        <w:keepLines w:val="0"/>
        <w:tabs>
          <w:tab w:val="clear" w:pos="567"/>
        </w:tabs>
        <w:ind w:left="567" w:hanging="567"/>
        <w:rPr>
          <w:bCs/>
          <w:noProof w:val="0"/>
          <w:u w:val="single"/>
        </w:rPr>
      </w:pPr>
    </w:p>
    <w:p w14:paraId="14D5058B" w14:textId="77777777" w:rsidR="00870248" w:rsidRPr="00121123" w:rsidRDefault="00E413C2" w:rsidP="007A3A03">
      <w:pPr>
        <w:keepLines w:val="0"/>
        <w:tabs>
          <w:tab w:val="clear" w:pos="567"/>
        </w:tabs>
        <w:rPr>
          <w:noProof w:val="0"/>
        </w:rPr>
      </w:pPr>
      <w:r w:rsidRPr="00121123">
        <w:rPr>
          <w:noProof w:val="0"/>
        </w:rPr>
        <w:t xml:space="preserve">Tigecyklín </w:t>
      </w:r>
      <w:r w:rsidR="00870248" w:rsidRPr="00121123">
        <w:rPr>
          <w:noProof w:val="0"/>
        </w:rPr>
        <w:t>sa podáva len intravenóznou infúziou počas 30 až 60 minút (pozri čas</w:t>
      </w:r>
      <w:r w:rsidR="002D68A1" w:rsidRPr="00121123">
        <w:rPr>
          <w:noProof w:val="0"/>
        </w:rPr>
        <w:t>ti 4.4 a</w:t>
      </w:r>
      <w:r w:rsidR="00870248" w:rsidRPr="00121123">
        <w:rPr>
          <w:noProof w:val="0"/>
        </w:rPr>
        <w:t xml:space="preserve"> 6.6).</w:t>
      </w:r>
      <w:r w:rsidR="003C662C" w:rsidRPr="00121123">
        <w:rPr>
          <w:noProof w:val="0"/>
        </w:rPr>
        <w:t xml:space="preserve"> </w:t>
      </w:r>
      <w:r w:rsidR="000B5016" w:rsidRPr="00121123">
        <w:rPr>
          <w:noProof w:val="0"/>
        </w:rPr>
        <w:t xml:space="preserve">Pediatrickým pacientom by sa mal tigecyklín podávať prednostne v 60 minút trvajúcej infúzii </w:t>
      </w:r>
      <w:r w:rsidR="003C662C" w:rsidRPr="00121123">
        <w:rPr>
          <w:noProof w:val="0"/>
        </w:rPr>
        <w:t>(pozri časť 4.4).</w:t>
      </w:r>
    </w:p>
    <w:p w14:paraId="4B426290" w14:textId="77777777" w:rsidR="00DC7B11" w:rsidRPr="00121123" w:rsidRDefault="00DC7B11" w:rsidP="007A3A03">
      <w:pPr>
        <w:keepLines w:val="0"/>
        <w:tabs>
          <w:tab w:val="clear" w:pos="567"/>
        </w:tabs>
        <w:ind w:left="567" w:hanging="567"/>
        <w:rPr>
          <w:noProof w:val="0"/>
        </w:rPr>
      </w:pPr>
    </w:p>
    <w:p w14:paraId="4CCC0993" w14:textId="77777777" w:rsidR="00DC7B11" w:rsidRPr="00121123" w:rsidRDefault="00DC7B11" w:rsidP="007A3A03">
      <w:pPr>
        <w:keepLines w:val="0"/>
        <w:tabs>
          <w:tab w:val="clear" w:pos="567"/>
        </w:tabs>
        <w:ind w:left="567" w:hanging="567"/>
        <w:rPr>
          <w:noProof w:val="0"/>
        </w:rPr>
      </w:pPr>
      <w:r w:rsidRPr="00121123">
        <w:rPr>
          <w:noProof w:val="0"/>
        </w:rPr>
        <w:t xml:space="preserve">Pokyny na </w:t>
      </w:r>
      <w:r w:rsidR="005B7025" w:rsidRPr="00121123">
        <w:rPr>
          <w:noProof w:val="0"/>
        </w:rPr>
        <w:t>rekonštitúciu</w:t>
      </w:r>
      <w:r w:rsidRPr="00121123">
        <w:rPr>
          <w:noProof w:val="0"/>
        </w:rPr>
        <w:t xml:space="preserve"> a riedenie li</w:t>
      </w:r>
      <w:r w:rsidR="00CD4DF7" w:rsidRPr="00121123">
        <w:rPr>
          <w:noProof w:val="0"/>
        </w:rPr>
        <w:t>eku</w:t>
      </w:r>
      <w:r w:rsidRPr="00121123">
        <w:rPr>
          <w:noProof w:val="0"/>
        </w:rPr>
        <w:t xml:space="preserve"> pred podaním, pozri časť 6.6. </w:t>
      </w:r>
    </w:p>
    <w:p w14:paraId="4A982F62" w14:textId="77777777" w:rsidR="00870248" w:rsidRPr="00121123" w:rsidRDefault="00870248" w:rsidP="007A3A03">
      <w:pPr>
        <w:keepLines w:val="0"/>
        <w:tabs>
          <w:tab w:val="clear" w:pos="567"/>
        </w:tabs>
        <w:rPr>
          <w:noProof w:val="0"/>
        </w:rPr>
      </w:pPr>
    </w:p>
    <w:p w14:paraId="4B5E9A6B" w14:textId="77777777" w:rsidR="00870248" w:rsidRPr="00121123" w:rsidRDefault="00870248" w:rsidP="007A3A03">
      <w:pPr>
        <w:rPr>
          <w:b/>
          <w:noProof w:val="0"/>
        </w:rPr>
      </w:pPr>
      <w:r w:rsidRPr="00121123">
        <w:rPr>
          <w:b/>
          <w:noProof w:val="0"/>
        </w:rPr>
        <w:t>4.3</w:t>
      </w:r>
      <w:r w:rsidRPr="00121123">
        <w:rPr>
          <w:b/>
          <w:noProof w:val="0"/>
        </w:rPr>
        <w:tab/>
        <w:t>Kontraindikácie</w:t>
      </w:r>
    </w:p>
    <w:p w14:paraId="0756D038" w14:textId="77777777" w:rsidR="00870248" w:rsidRPr="00121123" w:rsidRDefault="00870248" w:rsidP="007A3A03">
      <w:pPr>
        <w:keepLines w:val="0"/>
        <w:tabs>
          <w:tab w:val="clear" w:pos="567"/>
        </w:tabs>
        <w:rPr>
          <w:noProof w:val="0"/>
        </w:rPr>
      </w:pPr>
    </w:p>
    <w:p w14:paraId="287EA38D" w14:textId="77777777" w:rsidR="00870248" w:rsidRPr="00121123" w:rsidRDefault="00870248" w:rsidP="007A3A03">
      <w:pPr>
        <w:keepLines w:val="0"/>
        <w:tabs>
          <w:tab w:val="clear" w:pos="567"/>
        </w:tabs>
        <w:rPr>
          <w:noProof w:val="0"/>
        </w:rPr>
      </w:pPr>
      <w:r w:rsidRPr="00121123">
        <w:rPr>
          <w:noProof w:val="0"/>
        </w:rPr>
        <w:t xml:space="preserve">Precitlivenosť na liečivo alebo na </w:t>
      </w:r>
      <w:r w:rsidR="001D53F1" w:rsidRPr="00121123">
        <w:rPr>
          <w:noProof w:val="0"/>
        </w:rPr>
        <w:t xml:space="preserve">ktorúkoľvek </w:t>
      </w:r>
      <w:r w:rsidRPr="00121123">
        <w:rPr>
          <w:noProof w:val="0"/>
        </w:rPr>
        <w:t>z pomocných látok</w:t>
      </w:r>
      <w:r w:rsidR="00E8797B" w:rsidRPr="00121123">
        <w:rPr>
          <w:noProof w:val="0"/>
        </w:rPr>
        <w:t xml:space="preserve"> uvedených v časti 6.1.</w:t>
      </w:r>
      <w:r w:rsidR="00790864" w:rsidRPr="00121123">
        <w:rPr>
          <w:noProof w:val="0"/>
        </w:rPr>
        <w:t xml:space="preserve"> </w:t>
      </w:r>
      <w:r w:rsidRPr="00121123">
        <w:rPr>
          <w:noProof w:val="0"/>
        </w:rPr>
        <w:t>Pacienti precitlivení na antibiotiká triedy tetracyklínu môžu byť precitlivení na tigecyklín.</w:t>
      </w:r>
    </w:p>
    <w:p w14:paraId="1D551C56" w14:textId="77777777" w:rsidR="00870248" w:rsidRPr="00121123" w:rsidRDefault="00870248" w:rsidP="007A3A03">
      <w:pPr>
        <w:keepLines w:val="0"/>
        <w:tabs>
          <w:tab w:val="clear" w:pos="567"/>
        </w:tabs>
        <w:rPr>
          <w:noProof w:val="0"/>
        </w:rPr>
      </w:pPr>
    </w:p>
    <w:p w14:paraId="652CC6FD" w14:textId="77777777" w:rsidR="00870248" w:rsidRPr="00121123" w:rsidRDefault="00870248" w:rsidP="007A3A03">
      <w:pPr>
        <w:rPr>
          <w:b/>
          <w:noProof w:val="0"/>
        </w:rPr>
      </w:pPr>
      <w:bookmarkStart w:id="0" w:name="_4_4_Special_warnings"/>
      <w:bookmarkEnd w:id="0"/>
      <w:r w:rsidRPr="00121123">
        <w:rPr>
          <w:b/>
          <w:noProof w:val="0"/>
        </w:rPr>
        <w:t>4.4</w:t>
      </w:r>
      <w:r w:rsidRPr="00121123">
        <w:rPr>
          <w:b/>
          <w:noProof w:val="0"/>
        </w:rPr>
        <w:tab/>
        <w:t>Osobitné upozornenia a opatrenia pri používaní</w:t>
      </w:r>
    </w:p>
    <w:p w14:paraId="01DAB726" w14:textId="77777777" w:rsidR="00870248" w:rsidRPr="00121123" w:rsidRDefault="00870248" w:rsidP="007A3A03">
      <w:pPr>
        <w:keepLines w:val="0"/>
        <w:rPr>
          <w:noProof w:val="0"/>
        </w:rPr>
      </w:pPr>
    </w:p>
    <w:p w14:paraId="3EB0DB1C" w14:textId="0F3FE7AA" w:rsidR="00DC7B11" w:rsidRPr="00121123" w:rsidRDefault="00DC7B11" w:rsidP="007A3A03">
      <w:pPr>
        <w:keepLines w:val="0"/>
        <w:rPr>
          <w:noProof w:val="0"/>
        </w:rPr>
      </w:pPr>
      <w:r w:rsidRPr="00121123">
        <w:rPr>
          <w:noProof w:val="0"/>
        </w:rPr>
        <w:t xml:space="preserve">V klinických </w:t>
      </w:r>
      <w:r w:rsidR="00473E2B" w:rsidRPr="00121123">
        <w:rPr>
          <w:noProof w:val="0"/>
        </w:rPr>
        <w:t xml:space="preserve">skúšaniach </w:t>
      </w:r>
      <w:r w:rsidRPr="00121123">
        <w:rPr>
          <w:noProof w:val="0"/>
        </w:rPr>
        <w:t>s komplikovanými infekciami kože a mäkkých tkanív</w:t>
      </w:r>
      <w:r w:rsidR="002E0DEC" w:rsidRPr="00121123">
        <w:rPr>
          <w:noProof w:val="0"/>
        </w:rPr>
        <w:t xml:space="preserve"> (cSSTI)</w:t>
      </w:r>
      <w:r w:rsidRPr="00121123">
        <w:rPr>
          <w:noProof w:val="0"/>
        </w:rPr>
        <w:t>, komplikovanými intraabdominálnymi infekciami</w:t>
      </w:r>
      <w:r w:rsidR="002E0DEC" w:rsidRPr="00121123">
        <w:rPr>
          <w:noProof w:val="0"/>
        </w:rPr>
        <w:t xml:space="preserve"> (cIAI)</w:t>
      </w:r>
      <w:r w:rsidRPr="00121123">
        <w:rPr>
          <w:noProof w:val="0"/>
        </w:rPr>
        <w:t>, infekciami diabetickej nohy, nozokomiáln</w:t>
      </w:r>
      <w:r w:rsidR="00146FAB" w:rsidRPr="00121123">
        <w:rPr>
          <w:noProof w:val="0"/>
        </w:rPr>
        <w:t xml:space="preserve">ou pneumóniou </w:t>
      </w:r>
      <w:r w:rsidRPr="00121123">
        <w:rPr>
          <w:noProof w:val="0"/>
        </w:rPr>
        <w:t>a </w:t>
      </w:r>
      <w:r w:rsidR="00B37124">
        <w:rPr>
          <w:noProof w:val="0"/>
          <w:color w:val="000000"/>
        </w:rPr>
        <w:t>v klinických skúšaniach</w:t>
      </w:r>
      <w:r w:rsidR="00B37124" w:rsidRPr="00522436">
        <w:rPr>
          <w:noProof w:val="0"/>
          <w:color w:val="000000"/>
        </w:rPr>
        <w:t xml:space="preserve"> </w:t>
      </w:r>
      <w:r w:rsidRPr="00121123">
        <w:rPr>
          <w:noProof w:val="0"/>
        </w:rPr>
        <w:t xml:space="preserve">s rezistentnými patogénmi sa </w:t>
      </w:r>
      <w:r w:rsidR="007F23BC" w:rsidRPr="00121123">
        <w:rPr>
          <w:noProof w:val="0"/>
        </w:rPr>
        <w:t xml:space="preserve">u pacientov liečených </w:t>
      </w:r>
      <w:r w:rsidR="00E413C2" w:rsidRPr="00121123">
        <w:rPr>
          <w:noProof w:val="0"/>
        </w:rPr>
        <w:t xml:space="preserve">tigecyklínom </w:t>
      </w:r>
      <w:r w:rsidR="007F23BC" w:rsidRPr="00121123">
        <w:rPr>
          <w:noProof w:val="0"/>
        </w:rPr>
        <w:t xml:space="preserve">v porovnaní s komparátorom </w:t>
      </w:r>
      <w:r w:rsidRPr="00121123">
        <w:rPr>
          <w:noProof w:val="0"/>
        </w:rPr>
        <w:t xml:space="preserve">pozorovala číselne vyššia miera mortality. Príčiny týchto zistení zostávajú neznáme, ale nie je možné vylúčiť slabšiu účinnosť a bezpečnosť </w:t>
      </w:r>
      <w:r w:rsidR="007F23BC" w:rsidRPr="00121123">
        <w:rPr>
          <w:noProof w:val="0"/>
        </w:rPr>
        <w:t xml:space="preserve">v porovnaní s komparátormi použitými v </w:t>
      </w:r>
      <w:r w:rsidR="00B37124">
        <w:rPr>
          <w:noProof w:val="0"/>
          <w:color w:val="000000"/>
        </w:rPr>
        <w:t>klinickom skúšaní</w:t>
      </w:r>
      <w:r w:rsidRPr="00121123">
        <w:rPr>
          <w:noProof w:val="0"/>
        </w:rPr>
        <w:t>.</w:t>
      </w:r>
    </w:p>
    <w:p w14:paraId="21D2A4C2" w14:textId="77777777" w:rsidR="00DC69EF" w:rsidRPr="00121123" w:rsidRDefault="00DC69EF" w:rsidP="007A3A03">
      <w:pPr>
        <w:keepLines w:val="0"/>
        <w:rPr>
          <w:noProof w:val="0"/>
        </w:rPr>
      </w:pPr>
    </w:p>
    <w:p w14:paraId="290759F4" w14:textId="77777777" w:rsidR="00FA1519" w:rsidRPr="00121123" w:rsidRDefault="00FA1519" w:rsidP="007A3A03">
      <w:pPr>
        <w:keepLines w:val="0"/>
        <w:rPr>
          <w:noProof w:val="0"/>
          <w:u w:val="single"/>
        </w:rPr>
      </w:pPr>
      <w:r w:rsidRPr="00121123">
        <w:rPr>
          <w:noProof w:val="0"/>
          <w:u w:val="single"/>
        </w:rPr>
        <w:t>Superinfekcia</w:t>
      </w:r>
    </w:p>
    <w:p w14:paraId="1A12B751" w14:textId="77777777" w:rsidR="00FA1519" w:rsidRPr="00121123" w:rsidRDefault="00FA1519" w:rsidP="007A3A03">
      <w:pPr>
        <w:keepLines w:val="0"/>
        <w:rPr>
          <w:noProof w:val="0"/>
        </w:rPr>
      </w:pPr>
    </w:p>
    <w:p w14:paraId="5B0F5173" w14:textId="77777777" w:rsidR="00DC69EF" w:rsidRPr="00121123" w:rsidRDefault="00DC69EF" w:rsidP="007A3A03">
      <w:pPr>
        <w:rPr>
          <w:noProof w:val="0"/>
        </w:rPr>
      </w:pPr>
      <w:r w:rsidRPr="00121123">
        <w:rPr>
          <w:noProof w:val="0"/>
        </w:rPr>
        <w:t xml:space="preserve">V klinických </w:t>
      </w:r>
      <w:r w:rsidR="000B0FEA" w:rsidRPr="00121123">
        <w:rPr>
          <w:noProof w:val="0"/>
        </w:rPr>
        <w:t>skúšaniach</w:t>
      </w:r>
      <w:r w:rsidRPr="00121123">
        <w:rPr>
          <w:noProof w:val="0"/>
        </w:rPr>
        <w:t xml:space="preserve"> u pacientov s komplikovanými intraabdominálnymi infekciami (cIAI) boli poruchy hojenia operačnej rany spájané so superinfekciou. Pacienti s rozvíjajúcim sa zhoršeným hojením by mali byť sledovaní pre detekciu superinfekcie (pozri časť 4.8).</w:t>
      </w:r>
    </w:p>
    <w:p w14:paraId="75B49D5D" w14:textId="77777777" w:rsidR="00DC69EF" w:rsidRPr="00121123" w:rsidRDefault="00DC69EF" w:rsidP="007A3A03">
      <w:pPr>
        <w:keepLines w:val="0"/>
        <w:rPr>
          <w:noProof w:val="0"/>
        </w:rPr>
      </w:pPr>
    </w:p>
    <w:p w14:paraId="2D05EAE7" w14:textId="77777777" w:rsidR="00753CED" w:rsidRPr="00121123" w:rsidRDefault="00DC7B11" w:rsidP="007A3A03">
      <w:pPr>
        <w:keepLines w:val="0"/>
        <w:rPr>
          <w:noProof w:val="0"/>
        </w:rPr>
      </w:pPr>
      <w:r w:rsidRPr="00121123">
        <w:rPr>
          <w:noProof w:val="0"/>
        </w:rPr>
        <w:t>Pacienti, u ktorých sa vyvinul</w:t>
      </w:r>
      <w:r w:rsidR="007F23BC" w:rsidRPr="00121123">
        <w:rPr>
          <w:noProof w:val="0"/>
        </w:rPr>
        <w:t>i</w:t>
      </w:r>
      <w:r w:rsidRPr="00121123">
        <w:rPr>
          <w:noProof w:val="0"/>
        </w:rPr>
        <w:t xml:space="preserve"> superinfekci</w:t>
      </w:r>
      <w:r w:rsidR="007F23BC" w:rsidRPr="00121123">
        <w:rPr>
          <w:noProof w:val="0"/>
        </w:rPr>
        <w:t>e</w:t>
      </w:r>
      <w:r w:rsidRPr="00121123">
        <w:rPr>
          <w:noProof w:val="0"/>
        </w:rPr>
        <w:t>, najmä nozokomiálna pneumónia, sa zdajú byť spojení so slabšími výsledkami. Pacient</w:t>
      </w:r>
      <w:r w:rsidR="007F23BC" w:rsidRPr="00121123">
        <w:rPr>
          <w:noProof w:val="0"/>
        </w:rPr>
        <w:t xml:space="preserve">ov je potrebné </w:t>
      </w:r>
      <w:r w:rsidRPr="00121123">
        <w:rPr>
          <w:noProof w:val="0"/>
        </w:rPr>
        <w:t>pozorne sledovať pre rozvoj superinfekcie. Ak sa</w:t>
      </w:r>
      <w:r w:rsidR="007F23BC" w:rsidRPr="00121123">
        <w:rPr>
          <w:noProof w:val="0"/>
        </w:rPr>
        <w:t xml:space="preserve"> po začatí liečby </w:t>
      </w:r>
      <w:r w:rsidR="00E413C2" w:rsidRPr="00121123">
        <w:rPr>
          <w:noProof w:val="0"/>
        </w:rPr>
        <w:t xml:space="preserve">tigecyklínom </w:t>
      </w:r>
      <w:r w:rsidRPr="00121123">
        <w:rPr>
          <w:noProof w:val="0"/>
        </w:rPr>
        <w:t xml:space="preserve">identifikuje iné ohnisko infekcie ako cSSTI </w:t>
      </w:r>
      <w:r w:rsidR="00022605" w:rsidRPr="00121123">
        <w:rPr>
          <w:noProof w:val="0"/>
        </w:rPr>
        <w:t xml:space="preserve">(complicated skin and soft tissue infection, cSSTI) </w:t>
      </w:r>
      <w:r w:rsidRPr="00121123">
        <w:rPr>
          <w:noProof w:val="0"/>
        </w:rPr>
        <w:t>alebo cIAI</w:t>
      </w:r>
      <w:r w:rsidR="00022605" w:rsidRPr="00121123">
        <w:rPr>
          <w:noProof w:val="0"/>
        </w:rPr>
        <w:t xml:space="preserve"> (complicated intra-abdominal infection, cIAI)</w:t>
      </w:r>
      <w:r w:rsidR="00753CED" w:rsidRPr="00121123">
        <w:rPr>
          <w:noProof w:val="0"/>
        </w:rPr>
        <w:t xml:space="preserve">, </w:t>
      </w:r>
      <w:r w:rsidR="007F23BC" w:rsidRPr="00121123">
        <w:rPr>
          <w:noProof w:val="0"/>
        </w:rPr>
        <w:t xml:space="preserve">je potrebné zvážiť začatie </w:t>
      </w:r>
      <w:r w:rsidR="00753CED" w:rsidRPr="00121123">
        <w:rPr>
          <w:noProof w:val="0"/>
        </w:rPr>
        <w:t xml:space="preserve">alternatívnej antibakteriálnej </w:t>
      </w:r>
      <w:r w:rsidR="006D1121" w:rsidRPr="00121123">
        <w:rPr>
          <w:noProof w:val="0"/>
        </w:rPr>
        <w:t>terapie</w:t>
      </w:r>
      <w:r w:rsidR="00753CED" w:rsidRPr="00121123">
        <w:rPr>
          <w:noProof w:val="0"/>
        </w:rPr>
        <w:t>, ktorá preukázala účinnosť v liečbe prítomnej infekcie</w:t>
      </w:r>
      <w:r w:rsidR="009009B2" w:rsidRPr="00121123">
        <w:rPr>
          <w:noProof w:val="0"/>
        </w:rPr>
        <w:t xml:space="preserve"> (infekcií)</w:t>
      </w:r>
      <w:r w:rsidR="00753CED" w:rsidRPr="00121123">
        <w:rPr>
          <w:noProof w:val="0"/>
        </w:rPr>
        <w:t xml:space="preserve"> špecifického typu.</w:t>
      </w:r>
    </w:p>
    <w:p w14:paraId="57116BF8" w14:textId="77777777" w:rsidR="00753CED" w:rsidRPr="00121123" w:rsidRDefault="00753CED" w:rsidP="007A3A03">
      <w:pPr>
        <w:keepLines w:val="0"/>
        <w:rPr>
          <w:noProof w:val="0"/>
        </w:rPr>
      </w:pPr>
    </w:p>
    <w:p w14:paraId="5267F0F2" w14:textId="77777777" w:rsidR="006260CA" w:rsidRPr="00121123" w:rsidRDefault="006260CA" w:rsidP="007A3A03">
      <w:pPr>
        <w:rPr>
          <w:noProof w:val="0"/>
          <w:u w:val="single"/>
        </w:rPr>
      </w:pPr>
      <w:r w:rsidRPr="00121123">
        <w:rPr>
          <w:noProof w:val="0"/>
          <w:u w:val="single"/>
        </w:rPr>
        <w:t>Anafylaxia</w:t>
      </w:r>
    </w:p>
    <w:p w14:paraId="7893444F" w14:textId="77777777" w:rsidR="006260CA" w:rsidRPr="00121123" w:rsidRDefault="006260CA" w:rsidP="007A3A03">
      <w:pPr>
        <w:rPr>
          <w:noProof w:val="0"/>
        </w:rPr>
      </w:pPr>
    </w:p>
    <w:p w14:paraId="44B08715" w14:textId="77777777" w:rsidR="00870248" w:rsidRPr="00121123" w:rsidRDefault="00870248" w:rsidP="007A3A03">
      <w:pPr>
        <w:rPr>
          <w:noProof w:val="0"/>
        </w:rPr>
      </w:pPr>
      <w:r w:rsidRPr="00121123">
        <w:rPr>
          <w:noProof w:val="0"/>
        </w:rPr>
        <w:lastRenderedPageBreak/>
        <w:t>Anafylaxia/anafylakt</w:t>
      </w:r>
      <w:r w:rsidR="00C60BF5" w:rsidRPr="00121123">
        <w:rPr>
          <w:noProof w:val="0"/>
        </w:rPr>
        <w:t>oidné</w:t>
      </w:r>
      <w:r w:rsidRPr="00121123">
        <w:rPr>
          <w:noProof w:val="0"/>
        </w:rPr>
        <w:t xml:space="preserve"> reakcie, potenciálne život ohrozujúce, boli hlásené u tigecyklínu (pozri časti 4.3 a 4.8).  </w:t>
      </w:r>
    </w:p>
    <w:p w14:paraId="433AF830" w14:textId="77777777" w:rsidR="00870248" w:rsidRPr="00121123" w:rsidRDefault="00870248" w:rsidP="007A3A03">
      <w:pPr>
        <w:keepLines w:val="0"/>
        <w:rPr>
          <w:noProof w:val="0"/>
        </w:rPr>
      </w:pPr>
    </w:p>
    <w:p w14:paraId="48500ED2" w14:textId="77777777" w:rsidR="006260CA" w:rsidRPr="00121123" w:rsidRDefault="006260CA" w:rsidP="007A3A03">
      <w:pPr>
        <w:keepLines w:val="0"/>
        <w:rPr>
          <w:noProof w:val="0"/>
          <w:u w:val="single"/>
        </w:rPr>
      </w:pPr>
      <w:r w:rsidRPr="00121123">
        <w:rPr>
          <w:noProof w:val="0"/>
          <w:u w:val="single"/>
        </w:rPr>
        <w:t>Zlyhávanie pečene</w:t>
      </w:r>
    </w:p>
    <w:p w14:paraId="42556FC5" w14:textId="77777777" w:rsidR="006260CA" w:rsidRPr="00121123" w:rsidRDefault="006260CA" w:rsidP="007A3A03">
      <w:pPr>
        <w:keepLines w:val="0"/>
        <w:rPr>
          <w:noProof w:val="0"/>
        </w:rPr>
      </w:pPr>
    </w:p>
    <w:p w14:paraId="62ADBE78" w14:textId="77777777" w:rsidR="00A470A7" w:rsidRPr="00121123" w:rsidRDefault="00A470A7" w:rsidP="007A3A03">
      <w:pPr>
        <w:keepLines w:val="0"/>
        <w:rPr>
          <w:noProof w:val="0"/>
        </w:rPr>
      </w:pPr>
      <w:r w:rsidRPr="00121123">
        <w:rPr>
          <w:noProof w:val="0"/>
        </w:rPr>
        <w:t xml:space="preserve">U pacientov liečených tigecyklínom boli hlásené prípady </w:t>
      </w:r>
      <w:r w:rsidR="00983092" w:rsidRPr="00121123">
        <w:rPr>
          <w:noProof w:val="0"/>
        </w:rPr>
        <w:t xml:space="preserve">poškodenia </w:t>
      </w:r>
      <w:r w:rsidRPr="00121123">
        <w:rPr>
          <w:noProof w:val="0"/>
        </w:rPr>
        <w:t xml:space="preserve">pečene </w:t>
      </w:r>
      <w:r w:rsidR="00983092" w:rsidRPr="00121123">
        <w:rPr>
          <w:noProof w:val="0"/>
        </w:rPr>
        <w:t>s prevažne cholestatickým obrazom</w:t>
      </w:r>
      <w:r w:rsidRPr="00121123">
        <w:rPr>
          <w:noProof w:val="0"/>
        </w:rPr>
        <w:t xml:space="preserve"> vrátane</w:t>
      </w:r>
      <w:r w:rsidR="00983092" w:rsidRPr="00121123">
        <w:rPr>
          <w:noProof w:val="0"/>
        </w:rPr>
        <w:t xml:space="preserve"> niekoľkých prípadov zlyh</w:t>
      </w:r>
      <w:r w:rsidR="007F23BC" w:rsidRPr="00121123">
        <w:rPr>
          <w:noProof w:val="0"/>
        </w:rPr>
        <w:t>áv</w:t>
      </w:r>
      <w:r w:rsidR="00983092" w:rsidRPr="00121123">
        <w:rPr>
          <w:noProof w:val="0"/>
        </w:rPr>
        <w:t>ania pečene s</w:t>
      </w:r>
      <w:r w:rsidRPr="00121123">
        <w:rPr>
          <w:noProof w:val="0"/>
        </w:rPr>
        <w:t xml:space="preserve"> fatálny</w:t>
      </w:r>
      <w:r w:rsidR="00983092" w:rsidRPr="00121123">
        <w:rPr>
          <w:noProof w:val="0"/>
        </w:rPr>
        <w:t>m</w:t>
      </w:r>
      <w:r w:rsidRPr="00121123">
        <w:rPr>
          <w:noProof w:val="0"/>
        </w:rPr>
        <w:t xml:space="preserve"> </w:t>
      </w:r>
      <w:r w:rsidR="00380071" w:rsidRPr="00121123">
        <w:rPr>
          <w:noProof w:val="0"/>
        </w:rPr>
        <w:t>dôsledkom</w:t>
      </w:r>
      <w:r w:rsidRPr="00121123">
        <w:rPr>
          <w:noProof w:val="0"/>
        </w:rPr>
        <w:t xml:space="preserve">. </w:t>
      </w:r>
      <w:r w:rsidR="00983092" w:rsidRPr="00121123">
        <w:rPr>
          <w:noProof w:val="0"/>
        </w:rPr>
        <w:t>Napriek tomu, že sa zlyh</w:t>
      </w:r>
      <w:r w:rsidR="007F23BC" w:rsidRPr="00121123">
        <w:rPr>
          <w:noProof w:val="0"/>
        </w:rPr>
        <w:t>áv</w:t>
      </w:r>
      <w:r w:rsidR="00983092" w:rsidRPr="00121123">
        <w:rPr>
          <w:noProof w:val="0"/>
        </w:rPr>
        <w:t xml:space="preserve">anie pečene môže objaviť u pacientov liečených tigecyklínom </w:t>
      </w:r>
      <w:r w:rsidR="00380071" w:rsidRPr="00121123">
        <w:rPr>
          <w:noProof w:val="0"/>
        </w:rPr>
        <w:t>kvôli</w:t>
      </w:r>
      <w:r w:rsidR="00983092" w:rsidRPr="00121123">
        <w:rPr>
          <w:noProof w:val="0"/>
        </w:rPr>
        <w:t xml:space="preserve"> základné</w:t>
      </w:r>
      <w:r w:rsidR="00380071" w:rsidRPr="00121123">
        <w:rPr>
          <w:noProof w:val="0"/>
        </w:rPr>
        <w:t>mu</w:t>
      </w:r>
      <w:r w:rsidR="00983092" w:rsidRPr="00121123">
        <w:rPr>
          <w:noProof w:val="0"/>
        </w:rPr>
        <w:t xml:space="preserve"> ochoreni</w:t>
      </w:r>
      <w:r w:rsidR="00380071" w:rsidRPr="00121123">
        <w:rPr>
          <w:noProof w:val="0"/>
        </w:rPr>
        <w:t>u</w:t>
      </w:r>
      <w:r w:rsidR="00983092" w:rsidRPr="00121123">
        <w:rPr>
          <w:noProof w:val="0"/>
        </w:rPr>
        <w:t xml:space="preserve"> alebo</w:t>
      </w:r>
      <w:r w:rsidR="00DD67AA" w:rsidRPr="00121123">
        <w:rPr>
          <w:noProof w:val="0"/>
        </w:rPr>
        <w:t xml:space="preserve"> </w:t>
      </w:r>
      <w:r w:rsidR="007F23BC" w:rsidRPr="00121123">
        <w:rPr>
          <w:noProof w:val="0"/>
        </w:rPr>
        <w:t>súbežne používaným liekom</w:t>
      </w:r>
      <w:r w:rsidR="00DD67AA" w:rsidRPr="00121123">
        <w:rPr>
          <w:noProof w:val="0"/>
        </w:rPr>
        <w:t xml:space="preserve">, </w:t>
      </w:r>
      <w:r w:rsidR="00380071" w:rsidRPr="00121123">
        <w:rPr>
          <w:noProof w:val="0"/>
        </w:rPr>
        <w:t xml:space="preserve">je potrebné zvážiť podiel </w:t>
      </w:r>
      <w:r w:rsidR="00DD67AA" w:rsidRPr="00121123">
        <w:rPr>
          <w:noProof w:val="0"/>
        </w:rPr>
        <w:t>tigecyklínu</w:t>
      </w:r>
      <w:r w:rsidR="00380071" w:rsidRPr="00121123">
        <w:rPr>
          <w:noProof w:val="0"/>
        </w:rPr>
        <w:t xml:space="preserve"> (pozri časť 4.8)</w:t>
      </w:r>
      <w:r w:rsidRPr="00121123">
        <w:rPr>
          <w:noProof w:val="0"/>
        </w:rPr>
        <w:t>.</w:t>
      </w:r>
    </w:p>
    <w:p w14:paraId="3E70DCA2" w14:textId="77777777" w:rsidR="00A470A7" w:rsidRPr="00121123" w:rsidRDefault="00A470A7" w:rsidP="007A3A03">
      <w:pPr>
        <w:keepLines w:val="0"/>
        <w:rPr>
          <w:noProof w:val="0"/>
        </w:rPr>
      </w:pPr>
    </w:p>
    <w:p w14:paraId="0ACD00EE" w14:textId="77777777" w:rsidR="006260CA" w:rsidRPr="00121123" w:rsidRDefault="006260CA" w:rsidP="007A3A03">
      <w:pPr>
        <w:keepLines w:val="0"/>
        <w:rPr>
          <w:noProof w:val="0"/>
          <w:u w:val="single"/>
        </w:rPr>
      </w:pPr>
      <w:r w:rsidRPr="00121123">
        <w:rPr>
          <w:noProof w:val="0"/>
          <w:u w:val="single"/>
        </w:rPr>
        <w:t>Antibiotiká triedy tetracyklínu</w:t>
      </w:r>
    </w:p>
    <w:p w14:paraId="75A96846" w14:textId="77777777" w:rsidR="006260CA" w:rsidRPr="00121123" w:rsidRDefault="006260CA" w:rsidP="007A3A03">
      <w:pPr>
        <w:keepLines w:val="0"/>
        <w:rPr>
          <w:noProof w:val="0"/>
        </w:rPr>
      </w:pPr>
    </w:p>
    <w:p w14:paraId="7F124002" w14:textId="77777777" w:rsidR="00870248" w:rsidRPr="00121123" w:rsidRDefault="00870248" w:rsidP="007A3A03">
      <w:pPr>
        <w:keepLines w:val="0"/>
        <w:rPr>
          <w:noProof w:val="0"/>
        </w:rPr>
      </w:pPr>
      <w:r w:rsidRPr="00121123">
        <w:rPr>
          <w:noProof w:val="0"/>
        </w:rPr>
        <w:t xml:space="preserve">Trieda antibiotík glycylcyklínu sa štruktúrne podobá antibiotikám triedy tetracyklínu. Tigecyklín môže mať nežiaduce reakcie podobné antibiotikám triedy tetracyklínu. Tieto </w:t>
      </w:r>
      <w:r w:rsidR="00C60BF5" w:rsidRPr="00121123">
        <w:rPr>
          <w:noProof w:val="0"/>
        </w:rPr>
        <w:t xml:space="preserve">reakcie </w:t>
      </w:r>
      <w:r w:rsidRPr="00121123">
        <w:rPr>
          <w:noProof w:val="0"/>
        </w:rPr>
        <w:t>môžu zahŕňať fotosenzitivitu, pseudotumor mozgu, pankreatitídu a antianabolický účinok, ktorý viedol k</w:t>
      </w:r>
      <w:r w:rsidR="007F23BC" w:rsidRPr="00121123">
        <w:rPr>
          <w:noProof w:val="0"/>
        </w:rPr>
        <w:t> </w:t>
      </w:r>
      <w:r w:rsidRPr="00121123">
        <w:rPr>
          <w:noProof w:val="0"/>
        </w:rPr>
        <w:t>zvýšen</w:t>
      </w:r>
      <w:r w:rsidR="007F23BC" w:rsidRPr="00121123">
        <w:rPr>
          <w:noProof w:val="0"/>
        </w:rPr>
        <w:t xml:space="preserve">iu </w:t>
      </w:r>
      <w:r w:rsidR="00693CAB" w:rsidRPr="00121123">
        <w:rPr>
          <w:noProof w:val="0"/>
        </w:rPr>
        <w:t xml:space="preserve">dusíka </w:t>
      </w:r>
      <w:r w:rsidR="007F23BC" w:rsidRPr="00121123">
        <w:rPr>
          <w:noProof w:val="0"/>
        </w:rPr>
        <w:t>močoviny</w:t>
      </w:r>
      <w:r w:rsidR="00693CAB" w:rsidRPr="00121123">
        <w:rPr>
          <w:noProof w:val="0"/>
        </w:rPr>
        <w:t xml:space="preserve"> v </w:t>
      </w:r>
      <w:r w:rsidR="006D1121" w:rsidRPr="00121123">
        <w:rPr>
          <w:noProof w:val="0"/>
        </w:rPr>
        <w:t xml:space="preserve">krvi </w:t>
      </w:r>
      <w:r w:rsidR="00693CAB" w:rsidRPr="00121123">
        <w:rPr>
          <w:noProof w:val="0"/>
        </w:rPr>
        <w:t>(BUN)</w:t>
      </w:r>
      <w:r w:rsidRPr="00121123">
        <w:rPr>
          <w:noProof w:val="0"/>
        </w:rPr>
        <w:t xml:space="preserve">, azotémii, acidóze a hyperfosfatémii (pozri časť 4.8). </w:t>
      </w:r>
    </w:p>
    <w:p w14:paraId="7A2E9338" w14:textId="77777777" w:rsidR="00870248" w:rsidRPr="00121123" w:rsidRDefault="00870248" w:rsidP="007A3A03">
      <w:pPr>
        <w:keepLines w:val="0"/>
        <w:rPr>
          <w:noProof w:val="0"/>
        </w:rPr>
      </w:pPr>
    </w:p>
    <w:p w14:paraId="67D2CD58" w14:textId="77777777" w:rsidR="006260CA" w:rsidRPr="00121123" w:rsidRDefault="006260CA" w:rsidP="007A3A03">
      <w:pPr>
        <w:keepLines w:val="0"/>
        <w:rPr>
          <w:noProof w:val="0"/>
          <w:u w:val="single"/>
        </w:rPr>
      </w:pPr>
      <w:r w:rsidRPr="00121123">
        <w:rPr>
          <w:noProof w:val="0"/>
          <w:u w:val="single"/>
        </w:rPr>
        <w:t>Pankreatitída</w:t>
      </w:r>
    </w:p>
    <w:p w14:paraId="1D1C8881" w14:textId="77777777" w:rsidR="006260CA" w:rsidRPr="00121123" w:rsidRDefault="006260CA" w:rsidP="007A3A03">
      <w:pPr>
        <w:keepLines w:val="0"/>
        <w:rPr>
          <w:noProof w:val="0"/>
        </w:rPr>
      </w:pPr>
    </w:p>
    <w:p w14:paraId="6AAD870A" w14:textId="77777777" w:rsidR="00870248" w:rsidRDefault="00870248" w:rsidP="007A3A03">
      <w:pPr>
        <w:keepLines w:val="0"/>
        <w:tabs>
          <w:tab w:val="clear" w:pos="567"/>
          <w:tab w:val="left" w:pos="7830"/>
        </w:tabs>
        <w:rPr>
          <w:noProof w:val="0"/>
        </w:rPr>
      </w:pPr>
      <w:r w:rsidRPr="00121123">
        <w:rPr>
          <w:noProof w:val="0"/>
        </w:rPr>
        <w:t xml:space="preserve">Akútna pankreatitída, ktorá môže byť </w:t>
      </w:r>
      <w:r w:rsidR="00C60BF5" w:rsidRPr="00121123">
        <w:rPr>
          <w:noProof w:val="0"/>
        </w:rPr>
        <w:t>zá</w:t>
      </w:r>
      <w:r w:rsidRPr="00121123">
        <w:rPr>
          <w:noProof w:val="0"/>
        </w:rPr>
        <w:t>v</w:t>
      </w:r>
      <w:r w:rsidR="00C60BF5" w:rsidRPr="00121123">
        <w:rPr>
          <w:noProof w:val="0"/>
        </w:rPr>
        <w:t>a</w:t>
      </w:r>
      <w:r w:rsidRPr="00121123">
        <w:rPr>
          <w:noProof w:val="0"/>
        </w:rPr>
        <w:t>žn</w:t>
      </w:r>
      <w:r w:rsidR="00C60BF5" w:rsidRPr="00121123">
        <w:rPr>
          <w:noProof w:val="0"/>
        </w:rPr>
        <w:t>á</w:t>
      </w:r>
      <w:r w:rsidRPr="00121123">
        <w:rPr>
          <w:noProof w:val="0"/>
        </w:rPr>
        <w:t>, sa vyskytla (frekvencia: menej časté) v súvislosti s</w:t>
      </w:r>
      <w:r w:rsidR="0048029D" w:rsidRPr="00121123">
        <w:rPr>
          <w:noProof w:val="0"/>
        </w:rPr>
        <w:t> </w:t>
      </w:r>
      <w:r w:rsidRPr="00121123">
        <w:rPr>
          <w:noProof w:val="0"/>
        </w:rPr>
        <w:t>liečbou tigecyklínom (pozri časť 4.8). Diagnóza akútn</w:t>
      </w:r>
      <w:r w:rsidR="0048029D" w:rsidRPr="00121123">
        <w:rPr>
          <w:noProof w:val="0"/>
        </w:rPr>
        <w:t>ej</w:t>
      </w:r>
      <w:r w:rsidRPr="00121123">
        <w:rPr>
          <w:noProof w:val="0"/>
        </w:rPr>
        <w:t xml:space="preserve"> pankreatitíd</w:t>
      </w:r>
      <w:r w:rsidR="0048029D" w:rsidRPr="00121123">
        <w:rPr>
          <w:noProof w:val="0"/>
        </w:rPr>
        <w:t xml:space="preserve">y sa </w:t>
      </w:r>
      <w:r w:rsidRPr="00121123">
        <w:rPr>
          <w:noProof w:val="0"/>
        </w:rPr>
        <w:t>m</w:t>
      </w:r>
      <w:r w:rsidR="00C60BF5" w:rsidRPr="00121123">
        <w:rPr>
          <w:noProof w:val="0"/>
        </w:rPr>
        <w:t>á</w:t>
      </w:r>
      <w:r w:rsidRPr="00121123">
        <w:rPr>
          <w:noProof w:val="0"/>
        </w:rPr>
        <w:t xml:space="preserve"> bra</w:t>
      </w:r>
      <w:r w:rsidR="0048029D" w:rsidRPr="00121123">
        <w:rPr>
          <w:noProof w:val="0"/>
        </w:rPr>
        <w:t>ť</w:t>
      </w:r>
      <w:r w:rsidRPr="00121123">
        <w:rPr>
          <w:noProof w:val="0"/>
        </w:rPr>
        <w:t xml:space="preserve"> do úvahy u pacientov užívajúcich tigecyklín, u ktorých sa rozvinuli klinické </w:t>
      </w:r>
      <w:r w:rsidR="000B0FEA" w:rsidRPr="00121123">
        <w:rPr>
          <w:noProof w:val="0"/>
        </w:rPr>
        <w:t>príznaky</w:t>
      </w:r>
      <w:r w:rsidRPr="00121123">
        <w:rPr>
          <w:noProof w:val="0"/>
        </w:rPr>
        <w:t xml:space="preserve">, </w:t>
      </w:r>
      <w:r w:rsidR="00D306A9" w:rsidRPr="00121123">
        <w:rPr>
          <w:noProof w:val="0"/>
        </w:rPr>
        <w:t>prejavy</w:t>
      </w:r>
      <w:r w:rsidRPr="00121123">
        <w:rPr>
          <w:noProof w:val="0"/>
        </w:rPr>
        <w:t xml:space="preserve"> alebo laboratórne abnormality pripomínajúce akútnu pankreatitídu. Väčšina hlásených prípadov sa rozvinula po minimálne jednom týždni liečby. Boli hlásené prípady u pacientov bez známych rizikových faktorov pankreatitídy. Pacienti sa zvyčajne zotavia po vysadení tigecyklínu. </w:t>
      </w:r>
      <w:r w:rsidR="006D1121" w:rsidRPr="00121123">
        <w:rPr>
          <w:noProof w:val="0"/>
        </w:rPr>
        <w:t>V </w:t>
      </w:r>
      <w:r w:rsidRPr="00121123">
        <w:rPr>
          <w:noProof w:val="0"/>
        </w:rPr>
        <w:t>prípadoch podozrenia</w:t>
      </w:r>
      <w:r w:rsidR="00C60BF5" w:rsidRPr="00121123">
        <w:rPr>
          <w:noProof w:val="0"/>
        </w:rPr>
        <w:t xml:space="preserve"> na rozvoj</w:t>
      </w:r>
      <w:r w:rsidRPr="00121123">
        <w:rPr>
          <w:noProof w:val="0"/>
        </w:rPr>
        <w:t xml:space="preserve"> pankreatitíd</w:t>
      </w:r>
      <w:r w:rsidR="00C60BF5" w:rsidRPr="00121123">
        <w:rPr>
          <w:noProof w:val="0"/>
        </w:rPr>
        <w:t>y</w:t>
      </w:r>
      <w:r w:rsidR="006D1121" w:rsidRPr="00121123">
        <w:rPr>
          <w:noProof w:val="0"/>
        </w:rPr>
        <w:t xml:space="preserve"> sa má zvážiť ukončenie liečby tigecyklínom</w:t>
      </w:r>
      <w:r w:rsidRPr="00121123">
        <w:rPr>
          <w:noProof w:val="0"/>
        </w:rPr>
        <w:t xml:space="preserve">.    </w:t>
      </w:r>
    </w:p>
    <w:p w14:paraId="1E228418" w14:textId="77777777" w:rsidR="00E00EEB" w:rsidRDefault="00E00EEB" w:rsidP="00E00EEB">
      <w:pPr>
        <w:keepNext/>
        <w:keepLines w:val="0"/>
        <w:rPr>
          <w:iCs/>
          <w:noProof w:val="0"/>
          <w:u w:val="single"/>
        </w:rPr>
      </w:pPr>
    </w:p>
    <w:p w14:paraId="2D32510E" w14:textId="77777777" w:rsidR="00E00EEB" w:rsidRPr="00903E7F" w:rsidRDefault="00E00EEB" w:rsidP="00E00EEB">
      <w:pPr>
        <w:keepNext/>
        <w:keepLines w:val="0"/>
        <w:rPr>
          <w:iCs/>
          <w:noProof w:val="0"/>
          <w:u w:val="single"/>
        </w:rPr>
      </w:pPr>
      <w:r w:rsidRPr="00903E7F">
        <w:rPr>
          <w:iCs/>
          <w:noProof w:val="0"/>
          <w:u w:val="single"/>
        </w:rPr>
        <w:t>Koagulopatia</w:t>
      </w:r>
    </w:p>
    <w:p w14:paraId="7E5C52BC" w14:textId="77777777" w:rsidR="00E00EEB" w:rsidRPr="00903E7F" w:rsidRDefault="00E00EEB" w:rsidP="00E00EEB">
      <w:pPr>
        <w:keepNext/>
        <w:keepLines w:val="0"/>
        <w:rPr>
          <w:iCs/>
          <w:noProof w:val="0"/>
          <w:u w:val="single"/>
        </w:rPr>
      </w:pPr>
    </w:p>
    <w:p w14:paraId="36DEEF88" w14:textId="77777777" w:rsidR="00E00EEB" w:rsidRPr="0081661F" w:rsidRDefault="00E00EEB" w:rsidP="008E6AE3">
      <w:pPr>
        <w:keepLines w:val="0"/>
        <w:rPr>
          <w:iCs/>
          <w:noProof w:val="0"/>
        </w:rPr>
      </w:pPr>
      <w:r w:rsidRPr="00903E7F">
        <w:rPr>
          <w:iCs/>
          <w:noProof w:val="0"/>
        </w:rPr>
        <w:t>Tigecyklín môže pred</w:t>
      </w:r>
      <w:r>
        <w:rPr>
          <w:iCs/>
          <w:noProof w:val="0"/>
        </w:rPr>
        <w:t>ĺ</w:t>
      </w:r>
      <w:r w:rsidRPr="00903E7F">
        <w:rPr>
          <w:iCs/>
          <w:noProof w:val="0"/>
        </w:rPr>
        <w:t>ž</w:t>
      </w:r>
      <w:r>
        <w:rPr>
          <w:iCs/>
          <w:noProof w:val="0"/>
        </w:rPr>
        <w:t>i</w:t>
      </w:r>
      <w:r w:rsidRPr="00903E7F">
        <w:rPr>
          <w:iCs/>
          <w:noProof w:val="0"/>
        </w:rPr>
        <w:t>ť protrombínový čas (PT) a aktivova</w:t>
      </w:r>
      <w:r>
        <w:rPr>
          <w:iCs/>
          <w:noProof w:val="0"/>
        </w:rPr>
        <w:t>ný</w:t>
      </w:r>
      <w:r w:rsidRPr="00903E7F">
        <w:rPr>
          <w:iCs/>
          <w:noProof w:val="0"/>
        </w:rPr>
        <w:t xml:space="preserve"> parciálny tromboplastínový čas (aPTT). Okrem toho sa pri používaní tigecyklínu hlásila hypofibrinogenémia. Preto sa pred začiatkom liečby tigecyklínom a pravidelne počas liečby majú sledovať </w:t>
      </w:r>
      <w:r>
        <w:rPr>
          <w:iCs/>
          <w:noProof w:val="0"/>
        </w:rPr>
        <w:t>koagulačné parametre</w:t>
      </w:r>
      <w:r w:rsidRPr="00F92FAC">
        <w:rPr>
          <w:iCs/>
          <w:noProof w:val="0"/>
        </w:rPr>
        <w:t xml:space="preserve"> </w:t>
      </w:r>
      <w:r>
        <w:rPr>
          <w:iCs/>
          <w:noProof w:val="0"/>
        </w:rPr>
        <w:t>krvi</w:t>
      </w:r>
      <w:r w:rsidRPr="00903E7F">
        <w:rPr>
          <w:iCs/>
          <w:noProof w:val="0"/>
        </w:rPr>
        <w:t>, ako</w:t>
      </w:r>
      <w:r>
        <w:rPr>
          <w:iCs/>
          <w:noProof w:val="0"/>
        </w:rPr>
        <w:t xml:space="preserve"> napr.</w:t>
      </w:r>
      <w:r w:rsidRPr="00903E7F">
        <w:rPr>
          <w:iCs/>
          <w:noProof w:val="0"/>
        </w:rPr>
        <w:t xml:space="preserve"> PT alebo iný vhodný antikoagulačný test, vrátane fibrinogénu</w:t>
      </w:r>
      <w:r w:rsidRPr="00607BBF">
        <w:rPr>
          <w:iCs/>
          <w:noProof w:val="0"/>
        </w:rPr>
        <w:t xml:space="preserve"> </w:t>
      </w:r>
      <w:r>
        <w:rPr>
          <w:iCs/>
          <w:noProof w:val="0"/>
        </w:rPr>
        <w:t>v </w:t>
      </w:r>
      <w:r w:rsidRPr="00903E7F">
        <w:rPr>
          <w:iCs/>
          <w:noProof w:val="0"/>
        </w:rPr>
        <w:t>krv</w:t>
      </w:r>
      <w:r>
        <w:rPr>
          <w:iCs/>
          <w:noProof w:val="0"/>
        </w:rPr>
        <w:t>i</w:t>
      </w:r>
      <w:r w:rsidRPr="00903E7F">
        <w:rPr>
          <w:iCs/>
          <w:noProof w:val="0"/>
        </w:rPr>
        <w:t>. Osobitná starostlivosť sa odporúča u </w:t>
      </w:r>
      <w:r>
        <w:rPr>
          <w:iCs/>
          <w:noProof w:val="0"/>
        </w:rPr>
        <w:t>zá</w:t>
      </w:r>
      <w:r w:rsidRPr="00903E7F">
        <w:rPr>
          <w:iCs/>
          <w:noProof w:val="0"/>
        </w:rPr>
        <w:t>v</w:t>
      </w:r>
      <w:r>
        <w:rPr>
          <w:iCs/>
          <w:noProof w:val="0"/>
        </w:rPr>
        <w:t>a</w:t>
      </w:r>
      <w:r w:rsidRPr="00903E7F">
        <w:rPr>
          <w:iCs/>
          <w:noProof w:val="0"/>
        </w:rPr>
        <w:t>žne chorých pacientov a u pacientov, ktorí</w:t>
      </w:r>
      <w:r>
        <w:rPr>
          <w:iCs/>
          <w:noProof w:val="0"/>
        </w:rPr>
        <w:t xml:space="preserve"> tiež </w:t>
      </w:r>
      <w:r w:rsidRPr="00903E7F">
        <w:rPr>
          <w:iCs/>
          <w:noProof w:val="0"/>
        </w:rPr>
        <w:t>užívajú antikoagulanciá (pozri časť 4.5).</w:t>
      </w:r>
    </w:p>
    <w:p w14:paraId="21980A5A" w14:textId="77777777" w:rsidR="006260CA" w:rsidRPr="00121123" w:rsidRDefault="006260CA" w:rsidP="007A3A03">
      <w:pPr>
        <w:keepLines w:val="0"/>
        <w:tabs>
          <w:tab w:val="clear" w:pos="567"/>
          <w:tab w:val="left" w:pos="7830"/>
        </w:tabs>
        <w:rPr>
          <w:noProof w:val="0"/>
        </w:rPr>
      </w:pPr>
    </w:p>
    <w:p w14:paraId="60D1DF48" w14:textId="77777777" w:rsidR="006260CA" w:rsidRPr="00121123" w:rsidRDefault="006260CA" w:rsidP="007A3A03">
      <w:pPr>
        <w:keepLines w:val="0"/>
        <w:tabs>
          <w:tab w:val="clear" w:pos="567"/>
          <w:tab w:val="left" w:pos="7830"/>
        </w:tabs>
        <w:rPr>
          <w:noProof w:val="0"/>
          <w:u w:val="single"/>
        </w:rPr>
      </w:pPr>
      <w:r w:rsidRPr="00121123">
        <w:rPr>
          <w:noProof w:val="0"/>
          <w:u w:val="single"/>
        </w:rPr>
        <w:t>Základné ochorenia</w:t>
      </w:r>
    </w:p>
    <w:p w14:paraId="6E6FBD06" w14:textId="77777777" w:rsidR="00870248" w:rsidRPr="00121123" w:rsidRDefault="00870248" w:rsidP="007A3A03">
      <w:pPr>
        <w:keepLines w:val="0"/>
        <w:tabs>
          <w:tab w:val="clear" w:pos="567"/>
          <w:tab w:val="left" w:pos="7830"/>
        </w:tabs>
        <w:rPr>
          <w:noProof w:val="0"/>
        </w:rPr>
      </w:pPr>
    </w:p>
    <w:p w14:paraId="4FB37049" w14:textId="77777777" w:rsidR="00870248" w:rsidRPr="00121123" w:rsidRDefault="00870248" w:rsidP="007A3A03">
      <w:pPr>
        <w:keepLines w:val="0"/>
        <w:tabs>
          <w:tab w:val="clear" w:pos="567"/>
          <w:tab w:val="left" w:pos="7830"/>
        </w:tabs>
        <w:rPr>
          <w:noProof w:val="0"/>
        </w:rPr>
      </w:pPr>
      <w:r w:rsidRPr="00121123">
        <w:rPr>
          <w:noProof w:val="0"/>
        </w:rPr>
        <w:t>Skúsenosti s použitím tigecyklínu na liečbu infekcií u pacientov so závažnými základnými ochoreniami sú obmedzené.</w:t>
      </w:r>
    </w:p>
    <w:p w14:paraId="31E789F2" w14:textId="77777777" w:rsidR="00870248" w:rsidRPr="00121123" w:rsidRDefault="00870248" w:rsidP="007A3A03">
      <w:pPr>
        <w:keepLines w:val="0"/>
        <w:rPr>
          <w:noProof w:val="0"/>
        </w:rPr>
      </w:pPr>
    </w:p>
    <w:p w14:paraId="1AA3D232" w14:textId="2C0BAA66" w:rsidR="00870248" w:rsidRPr="00121123" w:rsidRDefault="00870248" w:rsidP="007A3A03">
      <w:pPr>
        <w:keepLines w:val="0"/>
        <w:rPr>
          <w:noProof w:val="0"/>
        </w:rPr>
      </w:pPr>
      <w:r w:rsidRPr="00121123">
        <w:rPr>
          <w:noProof w:val="0"/>
        </w:rPr>
        <w:t xml:space="preserve">V klinických </w:t>
      </w:r>
      <w:r w:rsidR="00874E12" w:rsidRPr="00121123">
        <w:rPr>
          <w:noProof w:val="0"/>
        </w:rPr>
        <w:t>skúšaniach</w:t>
      </w:r>
      <w:r w:rsidRPr="00121123">
        <w:rPr>
          <w:noProof w:val="0"/>
        </w:rPr>
        <w:t xml:space="preserve"> </w:t>
      </w:r>
      <w:r w:rsidR="0048029D" w:rsidRPr="00121123">
        <w:rPr>
          <w:noProof w:val="0"/>
        </w:rPr>
        <w:t>s</w:t>
      </w:r>
      <w:r w:rsidRPr="00121123">
        <w:rPr>
          <w:noProof w:val="0"/>
        </w:rPr>
        <w:t xml:space="preserve"> </w:t>
      </w:r>
      <w:r w:rsidR="00E413C2" w:rsidRPr="00121123">
        <w:rPr>
          <w:noProof w:val="0"/>
        </w:rPr>
        <w:t>cSSTI</w:t>
      </w:r>
      <w:r w:rsidRPr="00121123">
        <w:rPr>
          <w:noProof w:val="0"/>
        </w:rPr>
        <w:t xml:space="preserve"> bola najčastejším typom infekcie u pacientov liečených tigecyklínom celulitída (5</w:t>
      </w:r>
      <w:r w:rsidR="00BA05D1" w:rsidRPr="00121123">
        <w:rPr>
          <w:noProof w:val="0"/>
        </w:rPr>
        <w:t>8,6</w:t>
      </w:r>
      <w:r w:rsidRPr="00121123">
        <w:rPr>
          <w:noProof w:val="0"/>
        </w:rPr>
        <w:t xml:space="preserve"> %) nasledovaná veľkými abscesmi (2</w:t>
      </w:r>
      <w:r w:rsidR="00BA05D1" w:rsidRPr="00121123">
        <w:rPr>
          <w:noProof w:val="0"/>
        </w:rPr>
        <w:t>4</w:t>
      </w:r>
      <w:r w:rsidRPr="00121123">
        <w:rPr>
          <w:noProof w:val="0"/>
        </w:rPr>
        <w:t>,</w:t>
      </w:r>
      <w:r w:rsidR="00BA05D1" w:rsidRPr="00121123">
        <w:rPr>
          <w:noProof w:val="0"/>
        </w:rPr>
        <w:t>9</w:t>
      </w:r>
      <w:r w:rsidR="00F805EC" w:rsidRPr="00121123">
        <w:rPr>
          <w:noProof w:val="0"/>
        </w:rPr>
        <w:t> </w:t>
      </w:r>
      <w:r w:rsidRPr="00121123">
        <w:rPr>
          <w:noProof w:val="0"/>
        </w:rPr>
        <w:t xml:space="preserve">%). Pacienti so závažným základným ochorením, ako sú imunokompromitovaní pacienti, pacienti s infekciami dekubitov alebo pacienti, ktorí mali infekcie vyžadujúce si dlhšiu ako 14-dňovú liečbu (napríklad nekrotizujúca fasciitída) neboli do </w:t>
      </w:r>
      <w:r w:rsidR="00B37124">
        <w:rPr>
          <w:noProof w:val="0"/>
          <w:color w:val="000000"/>
        </w:rPr>
        <w:t>klinického skúšania</w:t>
      </w:r>
      <w:r w:rsidRPr="00121123">
        <w:rPr>
          <w:noProof w:val="0"/>
        </w:rPr>
        <w:t xml:space="preserve"> zahrnutí. </w:t>
      </w:r>
      <w:r w:rsidR="009F69D8">
        <w:rPr>
          <w:noProof w:val="0"/>
          <w:color w:val="000000"/>
        </w:rPr>
        <w:t>Klinického skúšania</w:t>
      </w:r>
      <w:r w:rsidRPr="00121123">
        <w:rPr>
          <w:noProof w:val="0"/>
        </w:rPr>
        <w:t xml:space="preserve"> sa zúčastnil limitovaný počet pacientov s pridruženými faktormi, ako sú diabetes (2</w:t>
      </w:r>
      <w:r w:rsidR="00BA05D1" w:rsidRPr="00121123">
        <w:rPr>
          <w:noProof w:val="0"/>
        </w:rPr>
        <w:t>5,8</w:t>
      </w:r>
      <w:r w:rsidRPr="00121123">
        <w:rPr>
          <w:noProof w:val="0"/>
        </w:rPr>
        <w:t xml:space="preserve"> %), ochorenie periférnych ciev (</w:t>
      </w:r>
      <w:r w:rsidR="00BA05D1" w:rsidRPr="00121123">
        <w:rPr>
          <w:noProof w:val="0"/>
        </w:rPr>
        <w:t>10,4</w:t>
      </w:r>
      <w:r w:rsidRPr="00121123">
        <w:rPr>
          <w:noProof w:val="0"/>
        </w:rPr>
        <w:t xml:space="preserve"> %), intravenózne </w:t>
      </w:r>
      <w:r w:rsidR="00301202" w:rsidRPr="00121123">
        <w:rPr>
          <w:noProof w:val="0"/>
        </w:rPr>
        <w:t>zne</w:t>
      </w:r>
      <w:r w:rsidRPr="00121123">
        <w:rPr>
          <w:noProof w:val="0"/>
        </w:rPr>
        <w:t xml:space="preserve">užívanie </w:t>
      </w:r>
      <w:r w:rsidR="00E413C2" w:rsidRPr="00121123">
        <w:rPr>
          <w:noProof w:val="0"/>
        </w:rPr>
        <w:t xml:space="preserve">látok </w:t>
      </w:r>
      <w:r w:rsidRPr="00121123">
        <w:rPr>
          <w:noProof w:val="0"/>
        </w:rPr>
        <w:t>(</w:t>
      </w:r>
      <w:r w:rsidR="00BA05D1" w:rsidRPr="00121123">
        <w:rPr>
          <w:noProof w:val="0"/>
        </w:rPr>
        <w:t>4,0</w:t>
      </w:r>
      <w:r w:rsidRPr="00121123">
        <w:rPr>
          <w:noProof w:val="0"/>
        </w:rPr>
        <w:t xml:space="preserve"> %) a HIV pozitívna infekcia (1</w:t>
      </w:r>
      <w:r w:rsidR="00BA05D1" w:rsidRPr="00121123">
        <w:rPr>
          <w:noProof w:val="0"/>
        </w:rPr>
        <w:t>,2</w:t>
      </w:r>
      <w:r w:rsidRPr="00121123">
        <w:rPr>
          <w:noProof w:val="0"/>
        </w:rPr>
        <w:t xml:space="preserve"> %). Limitované skúsenosti sú k dispozícii taktiež v liečbe pacientov so súčasne sa vyskytujúcou bakter</w:t>
      </w:r>
      <w:r w:rsidR="00F805EC" w:rsidRPr="00121123">
        <w:rPr>
          <w:noProof w:val="0"/>
        </w:rPr>
        <w:t>i</w:t>
      </w:r>
      <w:r w:rsidRPr="00121123">
        <w:rPr>
          <w:noProof w:val="0"/>
        </w:rPr>
        <w:t>émiou (3</w:t>
      </w:r>
      <w:r w:rsidR="00BA05D1" w:rsidRPr="00121123">
        <w:rPr>
          <w:noProof w:val="0"/>
        </w:rPr>
        <w:t>,4</w:t>
      </w:r>
      <w:r w:rsidRPr="00121123">
        <w:rPr>
          <w:noProof w:val="0"/>
        </w:rPr>
        <w:t xml:space="preserve"> %). Preto sa pri liečbe týchto pacientov odporúča postupovať opatrne. </w:t>
      </w:r>
      <w:r w:rsidR="00CF4AAA" w:rsidRPr="00121123">
        <w:rPr>
          <w:noProof w:val="0"/>
        </w:rPr>
        <w:t>Výsledky veľk</w:t>
      </w:r>
      <w:r w:rsidR="009F69D8" w:rsidRPr="009F69D8">
        <w:rPr>
          <w:noProof w:val="0"/>
          <w:color w:val="000000"/>
        </w:rPr>
        <w:t xml:space="preserve"> </w:t>
      </w:r>
      <w:r w:rsidR="009F69D8" w:rsidRPr="00522436">
        <w:rPr>
          <w:noProof w:val="0"/>
          <w:color w:val="000000"/>
        </w:rPr>
        <w:t>k</w:t>
      </w:r>
      <w:r w:rsidR="009F69D8">
        <w:rPr>
          <w:noProof w:val="0"/>
          <w:color w:val="000000"/>
        </w:rPr>
        <w:t>ého klinického skúšania</w:t>
      </w:r>
      <w:r w:rsidR="00CF4AAA" w:rsidRPr="00121123">
        <w:rPr>
          <w:noProof w:val="0"/>
        </w:rPr>
        <w:t xml:space="preserve"> u pacientov s infekciou diabetickej nohy poukázali na to, že tigecyklín bol menej účinný než </w:t>
      </w:r>
      <w:r w:rsidR="00453C53" w:rsidRPr="00121123">
        <w:rPr>
          <w:noProof w:val="0"/>
        </w:rPr>
        <w:t>komparátor</w:t>
      </w:r>
      <w:r w:rsidR="0048029D" w:rsidRPr="00121123">
        <w:rPr>
          <w:noProof w:val="0"/>
        </w:rPr>
        <w:t>,</w:t>
      </w:r>
      <w:r w:rsidR="00CF4AAA" w:rsidRPr="00121123">
        <w:rPr>
          <w:noProof w:val="0"/>
        </w:rPr>
        <w:t xml:space="preserve"> preto sa tigecyklín neodporúča používať u týchto pacientov (pozri časť 4.1).</w:t>
      </w:r>
    </w:p>
    <w:p w14:paraId="19C3945E" w14:textId="77777777" w:rsidR="00753CED" w:rsidRPr="00121123" w:rsidRDefault="00753CED" w:rsidP="007A3A03">
      <w:pPr>
        <w:keepLines w:val="0"/>
        <w:rPr>
          <w:noProof w:val="0"/>
        </w:rPr>
      </w:pPr>
    </w:p>
    <w:p w14:paraId="7F1FA992" w14:textId="77777777" w:rsidR="00870248" w:rsidRPr="00121123" w:rsidRDefault="00870248" w:rsidP="007A3A03">
      <w:pPr>
        <w:keepLines w:val="0"/>
        <w:tabs>
          <w:tab w:val="clear" w:pos="567"/>
          <w:tab w:val="left" w:pos="7830"/>
        </w:tabs>
        <w:rPr>
          <w:noProof w:val="0"/>
        </w:rPr>
      </w:pPr>
      <w:r w:rsidRPr="00121123">
        <w:rPr>
          <w:noProof w:val="0"/>
        </w:rPr>
        <w:t xml:space="preserve">V klinických </w:t>
      </w:r>
      <w:r w:rsidR="00920E07" w:rsidRPr="00121123">
        <w:rPr>
          <w:noProof w:val="0"/>
        </w:rPr>
        <w:t>skúšaniach</w:t>
      </w:r>
      <w:r w:rsidRPr="00121123">
        <w:rPr>
          <w:noProof w:val="0"/>
        </w:rPr>
        <w:t xml:space="preserve"> </w:t>
      </w:r>
      <w:r w:rsidR="00753CED" w:rsidRPr="00121123">
        <w:rPr>
          <w:noProof w:val="0"/>
        </w:rPr>
        <w:t>s</w:t>
      </w:r>
      <w:r w:rsidRPr="00121123">
        <w:rPr>
          <w:noProof w:val="0"/>
        </w:rPr>
        <w:t> </w:t>
      </w:r>
      <w:r w:rsidR="00E413C2" w:rsidRPr="00121123">
        <w:rPr>
          <w:noProof w:val="0"/>
        </w:rPr>
        <w:t>cIAI</w:t>
      </w:r>
      <w:r w:rsidRPr="00121123">
        <w:rPr>
          <w:noProof w:val="0"/>
        </w:rPr>
        <w:t xml:space="preserve"> bola u pacientov liečených tigecyklínom najčastejším typom infekcií komplikovaná apendicitída (5</w:t>
      </w:r>
      <w:r w:rsidR="0064126A" w:rsidRPr="00121123">
        <w:rPr>
          <w:noProof w:val="0"/>
        </w:rPr>
        <w:t>0,3</w:t>
      </w:r>
      <w:r w:rsidRPr="00121123">
        <w:rPr>
          <w:noProof w:val="0"/>
        </w:rPr>
        <w:t xml:space="preserve"> %) nasledovaná inými, menej často hlásenými diagnózami, ako sú komplikovaná cholecystitída (</w:t>
      </w:r>
      <w:r w:rsidR="0064126A" w:rsidRPr="00121123">
        <w:rPr>
          <w:noProof w:val="0"/>
        </w:rPr>
        <w:t>9,6</w:t>
      </w:r>
      <w:r w:rsidRPr="00121123">
        <w:rPr>
          <w:noProof w:val="0"/>
        </w:rPr>
        <w:t xml:space="preserve"> %), </w:t>
      </w:r>
      <w:r w:rsidR="0064126A" w:rsidRPr="00121123">
        <w:rPr>
          <w:noProof w:val="0"/>
        </w:rPr>
        <w:t xml:space="preserve">perforácia čreva (9,6 %), </w:t>
      </w:r>
      <w:r w:rsidRPr="00121123">
        <w:rPr>
          <w:noProof w:val="0"/>
        </w:rPr>
        <w:t>intraabdominálny absces (</w:t>
      </w:r>
      <w:r w:rsidR="0064126A" w:rsidRPr="00121123">
        <w:rPr>
          <w:noProof w:val="0"/>
        </w:rPr>
        <w:t>8,7</w:t>
      </w:r>
      <w:r w:rsidRPr="00121123">
        <w:rPr>
          <w:noProof w:val="0"/>
        </w:rPr>
        <w:t xml:space="preserve"> %), perforáci</w:t>
      </w:r>
      <w:r w:rsidR="00545FE5" w:rsidRPr="00121123">
        <w:rPr>
          <w:noProof w:val="0"/>
        </w:rPr>
        <w:t>a</w:t>
      </w:r>
      <w:r w:rsidRPr="00121123">
        <w:rPr>
          <w:noProof w:val="0"/>
        </w:rPr>
        <w:t xml:space="preserve"> žalúdočných alebo duodenálnych vredov (</w:t>
      </w:r>
      <w:r w:rsidR="009F5EB9" w:rsidRPr="00121123">
        <w:rPr>
          <w:noProof w:val="0"/>
        </w:rPr>
        <w:t>8,3</w:t>
      </w:r>
      <w:r w:rsidRPr="00121123">
        <w:rPr>
          <w:noProof w:val="0"/>
        </w:rPr>
        <w:t xml:space="preserve"> %)</w:t>
      </w:r>
      <w:r w:rsidR="009F5EB9" w:rsidRPr="00121123">
        <w:rPr>
          <w:noProof w:val="0"/>
        </w:rPr>
        <w:t>, peritonitída (6,2</w:t>
      </w:r>
      <w:r w:rsidR="0004692F" w:rsidRPr="00121123">
        <w:rPr>
          <w:noProof w:val="0"/>
        </w:rPr>
        <w:t xml:space="preserve"> </w:t>
      </w:r>
      <w:r w:rsidR="009F5EB9" w:rsidRPr="00121123">
        <w:rPr>
          <w:noProof w:val="0"/>
        </w:rPr>
        <w:t xml:space="preserve">%) a komplikovaná </w:t>
      </w:r>
      <w:r w:rsidR="007B5F02" w:rsidRPr="00121123">
        <w:rPr>
          <w:noProof w:val="0"/>
        </w:rPr>
        <w:lastRenderedPageBreak/>
        <w:t>diventrikulitída (6,0</w:t>
      </w:r>
      <w:r w:rsidR="0004692F" w:rsidRPr="00121123">
        <w:rPr>
          <w:noProof w:val="0"/>
        </w:rPr>
        <w:t xml:space="preserve"> </w:t>
      </w:r>
      <w:r w:rsidR="007B5F02" w:rsidRPr="00121123">
        <w:rPr>
          <w:noProof w:val="0"/>
        </w:rPr>
        <w:t>%). Z týchto pacientov malo 77,8 % chirurgicky zjavnú peritonitídu. Bol zahrnutý limitovaný počet pacientov so závažným základným ochorením, ako sú imunokompromitovaní</w:t>
      </w:r>
      <w:r w:rsidRPr="00121123">
        <w:rPr>
          <w:noProof w:val="0"/>
        </w:rPr>
        <w:t xml:space="preserve"> pacienti, pacienti s APACHE II skóre &gt; 15 (</w:t>
      </w:r>
      <w:r w:rsidR="00286E75" w:rsidRPr="00121123">
        <w:rPr>
          <w:noProof w:val="0"/>
        </w:rPr>
        <w:t>3,3</w:t>
      </w:r>
      <w:r w:rsidRPr="00121123">
        <w:rPr>
          <w:noProof w:val="0"/>
        </w:rPr>
        <w:t xml:space="preserve"> %) alebo s chirurgicky zjavnými mnohonásobnými intraabdominálnymi abscesmi (1</w:t>
      </w:r>
      <w:r w:rsidR="00286E75" w:rsidRPr="00121123">
        <w:rPr>
          <w:noProof w:val="0"/>
        </w:rPr>
        <w:t>1,4</w:t>
      </w:r>
      <w:r w:rsidRPr="00121123">
        <w:rPr>
          <w:noProof w:val="0"/>
        </w:rPr>
        <w:t xml:space="preserve"> %). Limitované skúsenosti sú k dispozícii taktiež v liečbe pacientov so súčasne sa vyskytujúcou bakter</w:t>
      </w:r>
      <w:r w:rsidR="00753CED" w:rsidRPr="00121123">
        <w:rPr>
          <w:noProof w:val="0"/>
        </w:rPr>
        <w:t>i</w:t>
      </w:r>
      <w:r w:rsidRPr="00121123">
        <w:rPr>
          <w:noProof w:val="0"/>
        </w:rPr>
        <w:t>émiou (</w:t>
      </w:r>
      <w:r w:rsidR="00286E75" w:rsidRPr="00121123">
        <w:rPr>
          <w:noProof w:val="0"/>
        </w:rPr>
        <w:t>5,</w:t>
      </w:r>
      <w:r w:rsidRPr="00121123">
        <w:rPr>
          <w:noProof w:val="0"/>
        </w:rPr>
        <w:t>6 %). Preto sa pri liečbe týchto pacientov odporúča postupovať opatrne.</w:t>
      </w:r>
    </w:p>
    <w:p w14:paraId="7CB9348E" w14:textId="77777777" w:rsidR="00870248" w:rsidRPr="00121123" w:rsidRDefault="00870248" w:rsidP="007A3A03">
      <w:pPr>
        <w:keepLines w:val="0"/>
        <w:tabs>
          <w:tab w:val="clear" w:pos="567"/>
          <w:tab w:val="left" w:pos="7830"/>
        </w:tabs>
        <w:rPr>
          <w:noProof w:val="0"/>
        </w:rPr>
      </w:pPr>
      <w:r w:rsidRPr="00121123">
        <w:rPr>
          <w:noProof w:val="0"/>
        </w:rPr>
        <w:t xml:space="preserve">Je potrebné zvážiť použitie kombinovanej antibakteriálnej liečby </w:t>
      </w:r>
      <w:r w:rsidR="00753CED" w:rsidRPr="00121123">
        <w:rPr>
          <w:noProof w:val="0"/>
        </w:rPr>
        <w:t>vždy</w:t>
      </w:r>
      <w:r w:rsidRPr="00121123">
        <w:rPr>
          <w:noProof w:val="0"/>
        </w:rPr>
        <w:t xml:space="preserve">, ak sa tigecyklín podáva </w:t>
      </w:r>
      <w:r w:rsidR="0048029D" w:rsidRPr="00121123">
        <w:rPr>
          <w:noProof w:val="0"/>
        </w:rPr>
        <w:t>ťažko</w:t>
      </w:r>
      <w:r w:rsidRPr="00121123">
        <w:rPr>
          <w:noProof w:val="0"/>
        </w:rPr>
        <w:t xml:space="preserve"> chorým pacientom s cIAI,</w:t>
      </w:r>
      <w:r w:rsidR="00316D18" w:rsidRPr="00121123">
        <w:rPr>
          <w:noProof w:val="0"/>
        </w:rPr>
        <w:t xml:space="preserve"> ktorí majú </w:t>
      </w:r>
      <w:r w:rsidRPr="00121123">
        <w:rPr>
          <w:noProof w:val="0"/>
        </w:rPr>
        <w:t>sekundárn</w:t>
      </w:r>
      <w:r w:rsidR="00316D18" w:rsidRPr="00121123">
        <w:rPr>
          <w:noProof w:val="0"/>
        </w:rPr>
        <w:t>e</w:t>
      </w:r>
      <w:r w:rsidRPr="00121123">
        <w:rPr>
          <w:noProof w:val="0"/>
        </w:rPr>
        <w:t xml:space="preserve"> klinicky zjavn</w:t>
      </w:r>
      <w:r w:rsidR="00316D18" w:rsidRPr="00121123">
        <w:rPr>
          <w:noProof w:val="0"/>
        </w:rPr>
        <w:t>ú</w:t>
      </w:r>
      <w:r w:rsidRPr="00121123">
        <w:rPr>
          <w:noProof w:val="0"/>
        </w:rPr>
        <w:t xml:space="preserve"> </w:t>
      </w:r>
      <w:r w:rsidR="00316D18" w:rsidRPr="00121123">
        <w:rPr>
          <w:noProof w:val="0"/>
        </w:rPr>
        <w:t xml:space="preserve">intestinálnu </w:t>
      </w:r>
      <w:r w:rsidRPr="00121123">
        <w:rPr>
          <w:noProof w:val="0"/>
        </w:rPr>
        <w:t>perforáci</w:t>
      </w:r>
      <w:r w:rsidR="00316D18" w:rsidRPr="00121123">
        <w:rPr>
          <w:noProof w:val="0"/>
        </w:rPr>
        <w:t>u</w:t>
      </w:r>
      <w:r w:rsidRPr="00121123">
        <w:rPr>
          <w:noProof w:val="0"/>
        </w:rPr>
        <w:t xml:space="preserve"> alebo pacientom so začínajúcou sepsou alebo septickým šokom (pozri časť 4.8).</w:t>
      </w:r>
      <w:r w:rsidRPr="00121123">
        <w:rPr>
          <w:b/>
          <w:bCs/>
          <w:noProof w:val="0"/>
        </w:rPr>
        <w:t xml:space="preserve"> </w:t>
      </w:r>
    </w:p>
    <w:p w14:paraId="682228CA" w14:textId="77777777" w:rsidR="00870248" w:rsidRPr="00121123" w:rsidRDefault="00870248" w:rsidP="007A3A03">
      <w:pPr>
        <w:keepLines w:val="0"/>
        <w:tabs>
          <w:tab w:val="clear" w:pos="567"/>
          <w:tab w:val="left" w:pos="7830"/>
        </w:tabs>
        <w:rPr>
          <w:noProof w:val="0"/>
        </w:rPr>
      </w:pPr>
    </w:p>
    <w:p w14:paraId="0183BB4F" w14:textId="77777777" w:rsidR="00870248" w:rsidRPr="00121123" w:rsidRDefault="00870248" w:rsidP="007A3A03">
      <w:pPr>
        <w:keepLines w:val="0"/>
        <w:tabs>
          <w:tab w:val="clear" w:pos="567"/>
          <w:tab w:val="left" w:pos="7830"/>
        </w:tabs>
        <w:rPr>
          <w:noProof w:val="0"/>
        </w:rPr>
      </w:pPr>
      <w:r w:rsidRPr="00121123">
        <w:rPr>
          <w:noProof w:val="0"/>
        </w:rPr>
        <w:t xml:space="preserve">Vplyv cholestázy na farmakokinetiku tigecyklínu </w:t>
      </w:r>
      <w:r w:rsidR="00753CED" w:rsidRPr="00121123">
        <w:rPr>
          <w:noProof w:val="0"/>
        </w:rPr>
        <w:t xml:space="preserve">sa </w:t>
      </w:r>
      <w:r w:rsidRPr="00121123">
        <w:rPr>
          <w:noProof w:val="0"/>
        </w:rPr>
        <w:t xml:space="preserve">náležite </w:t>
      </w:r>
      <w:r w:rsidR="00753CED" w:rsidRPr="00121123">
        <w:rPr>
          <w:noProof w:val="0"/>
        </w:rPr>
        <w:t>ne</w:t>
      </w:r>
      <w:r w:rsidRPr="00121123">
        <w:rPr>
          <w:noProof w:val="0"/>
        </w:rPr>
        <w:t>stanov</w:t>
      </w:r>
      <w:r w:rsidR="00753CED" w:rsidRPr="00121123">
        <w:rPr>
          <w:noProof w:val="0"/>
        </w:rPr>
        <w:t>il</w:t>
      </w:r>
      <w:r w:rsidRPr="00121123">
        <w:rPr>
          <w:noProof w:val="0"/>
        </w:rPr>
        <w:t xml:space="preserve">. Biliárna exkrécia predstavuje približne 50 % celkovej exkrécie tigecyklínu. Preto </w:t>
      </w:r>
      <w:r w:rsidR="00453C53" w:rsidRPr="00121123">
        <w:rPr>
          <w:noProof w:val="0"/>
        </w:rPr>
        <w:t xml:space="preserve">je potrebné </w:t>
      </w:r>
      <w:r w:rsidRPr="00121123">
        <w:rPr>
          <w:noProof w:val="0"/>
        </w:rPr>
        <w:t>pacient</w:t>
      </w:r>
      <w:r w:rsidR="00453C53" w:rsidRPr="00121123">
        <w:rPr>
          <w:noProof w:val="0"/>
        </w:rPr>
        <w:t>ov</w:t>
      </w:r>
      <w:r w:rsidRPr="00121123">
        <w:rPr>
          <w:noProof w:val="0"/>
        </w:rPr>
        <w:t xml:space="preserve"> s cholestázou dôkladne monitorova</w:t>
      </w:r>
      <w:r w:rsidR="00753CED" w:rsidRPr="00121123">
        <w:rPr>
          <w:noProof w:val="0"/>
        </w:rPr>
        <w:t>ť</w:t>
      </w:r>
      <w:r w:rsidRPr="00121123">
        <w:rPr>
          <w:noProof w:val="0"/>
        </w:rPr>
        <w:t>.</w:t>
      </w:r>
    </w:p>
    <w:p w14:paraId="35B564B8" w14:textId="77777777" w:rsidR="00870248" w:rsidRPr="00121123" w:rsidRDefault="00870248" w:rsidP="007A3A03">
      <w:pPr>
        <w:keepLines w:val="0"/>
        <w:tabs>
          <w:tab w:val="clear" w:pos="567"/>
          <w:tab w:val="left" w:pos="7830"/>
        </w:tabs>
        <w:rPr>
          <w:noProof w:val="0"/>
        </w:rPr>
      </w:pPr>
    </w:p>
    <w:p w14:paraId="0AE5C855" w14:textId="77777777" w:rsidR="00870248" w:rsidRPr="00121123" w:rsidRDefault="00870248" w:rsidP="007A3A03">
      <w:pPr>
        <w:keepLines w:val="0"/>
        <w:rPr>
          <w:noProof w:val="0"/>
        </w:rPr>
      </w:pPr>
      <w:r w:rsidRPr="00121123">
        <w:rPr>
          <w:noProof w:val="0"/>
        </w:rPr>
        <w:t>Pseudomembranózna kolitída bola hlásená u takmer všetkých antibakteriálnych látok a jej závažnosť môže siahať od miernej až po život ohrozujúcu. Preto je dôležité zvážiť túto diagnózu u pacientov, u ktorých sa počas alebo po podaní akejkoľvek antibakteriálnej látky objaví hnačka (pozri časť 4.8).</w:t>
      </w:r>
    </w:p>
    <w:p w14:paraId="2C430985" w14:textId="77777777" w:rsidR="00870248" w:rsidRPr="00121123" w:rsidRDefault="00870248" w:rsidP="007A3A03">
      <w:pPr>
        <w:keepLines w:val="0"/>
        <w:rPr>
          <w:noProof w:val="0"/>
        </w:rPr>
      </w:pPr>
    </w:p>
    <w:p w14:paraId="22D10657" w14:textId="77777777" w:rsidR="00870248" w:rsidRPr="00121123" w:rsidRDefault="00870248" w:rsidP="007A3A03">
      <w:pPr>
        <w:keepLines w:val="0"/>
        <w:rPr>
          <w:noProof w:val="0"/>
        </w:rPr>
      </w:pPr>
      <w:r w:rsidRPr="00121123">
        <w:rPr>
          <w:noProof w:val="0"/>
        </w:rPr>
        <w:t>Použitie tigecyklínu môže viesť k premnoženiu necitlivých organizmov vrátane húb. Pacient</w:t>
      </w:r>
      <w:r w:rsidR="00453C53" w:rsidRPr="00121123">
        <w:rPr>
          <w:noProof w:val="0"/>
        </w:rPr>
        <w:t xml:space="preserve">ov je potrebné </w:t>
      </w:r>
      <w:r w:rsidRPr="00121123">
        <w:rPr>
          <w:noProof w:val="0"/>
        </w:rPr>
        <w:t>počas liečby starostlivo sledova</w:t>
      </w:r>
      <w:r w:rsidR="00753CED" w:rsidRPr="00121123">
        <w:rPr>
          <w:noProof w:val="0"/>
        </w:rPr>
        <w:t>ť</w:t>
      </w:r>
      <w:r w:rsidRPr="00121123">
        <w:rPr>
          <w:noProof w:val="0"/>
        </w:rPr>
        <w:t xml:space="preserve"> (pozri časť 4.8).</w:t>
      </w:r>
    </w:p>
    <w:p w14:paraId="47ECF4F9" w14:textId="77777777" w:rsidR="00870248" w:rsidRPr="00121123" w:rsidRDefault="00870248" w:rsidP="007A3A03">
      <w:pPr>
        <w:keepLines w:val="0"/>
        <w:rPr>
          <w:noProof w:val="0"/>
        </w:rPr>
      </w:pPr>
    </w:p>
    <w:p w14:paraId="687EC53A" w14:textId="77777777" w:rsidR="00870248" w:rsidRPr="00121123" w:rsidRDefault="00870248" w:rsidP="007A3A03">
      <w:pPr>
        <w:keepLines w:val="0"/>
        <w:rPr>
          <w:noProof w:val="0"/>
        </w:rPr>
      </w:pPr>
      <w:r w:rsidRPr="00121123">
        <w:rPr>
          <w:noProof w:val="0"/>
        </w:rPr>
        <w:t xml:space="preserve">Výsledky štúdií na potkanoch liečených tigecyklínom </w:t>
      </w:r>
      <w:r w:rsidR="00C73A23" w:rsidRPr="00121123">
        <w:rPr>
          <w:noProof w:val="0"/>
        </w:rPr>
        <w:t>preu</w:t>
      </w:r>
      <w:r w:rsidRPr="00121123">
        <w:rPr>
          <w:noProof w:val="0"/>
        </w:rPr>
        <w:t>kázali zmenu farby kostí. Tigecyklín môže súvisieť so stálou zmenou farby zubov u ľudí, ak sa použije v období vývoja zubov (pozri časť 4.8).</w:t>
      </w:r>
    </w:p>
    <w:p w14:paraId="62613AEE" w14:textId="77777777" w:rsidR="00870248" w:rsidRPr="00121123" w:rsidRDefault="00870248" w:rsidP="007A3A03">
      <w:pPr>
        <w:keepLines w:val="0"/>
        <w:rPr>
          <w:noProof w:val="0"/>
        </w:rPr>
      </w:pPr>
    </w:p>
    <w:p w14:paraId="471E95C6" w14:textId="77777777" w:rsidR="00753CED" w:rsidRPr="00121123" w:rsidRDefault="00160BBF" w:rsidP="007A3A03">
      <w:pPr>
        <w:keepLines w:val="0"/>
        <w:rPr>
          <w:noProof w:val="0"/>
          <w:u w:val="single"/>
        </w:rPr>
      </w:pPr>
      <w:r w:rsidRPr="00121123">
        <w:rPr>
          <w:noProof w:val="0"/>
          <w:u w:val="single"/>
        </w:rPr>
        <w:t>Pediatrická populácia</w:t>
      </w:r>
    </w:p>
    <w:p w14:paraId="7B64BA8C" w14:textId="77777777" w:rsidR="007A3A03" w:rsidRPr="00121123" w:rsidRDefault="007A3A03" w:rsidP="007A3A03">
      <w:pPr>
        <w:keepLines w:val="0"/>
        <w:rPr>
          <w:noProof w:val="0"/>
          <w:u w:val="single"/>
        </w:rPr>
      </w:pPr>
    </w:p>
    <w:p w14:paraId="62558318" w14:textId="77777777" w:rsidR="003C662C" w:rsidRPr="00121123" w:rsidRDefault="003C662C" w:rsidP="007A3A03">
      <w:pPr>
        <w:keepLines w:val="0"/>
        <w:rPr>
          <w:noProof w:val="0"/>
        </w:rPr>
      </w:pPr>
      <w:r w:rsidRPr="00121123">
        <w:rPr>
          <w:noProof w:val="0"/>
        </w:rPr>
        <w:t>Klinick</w:t>
      </w:r>
      <w:r w:rsidR="000B5016" w:rsidRPr="00121123">
        <w:rPr>
          <w:noProof w:val="0"/>
        </w:rPr>
        <w:t xml:space="preserve">é </w:t>
      </w:r>
      <w:r w:rsidRPr="00121123">
        <w:rPr>
          <w:noProof w:val="0"/>
        </w:rPr>
        <w:t>skúsenos</w:t>
      </w:r>
      <w:r w:rsidR="000B5016" w:rsidRPr="00121123">
        <w:rPr>
          <w:noProof w:val="0"/>
        </w:rPr>
        <w:t>ti</w:t>
      </w:r>
      <w:r w:rsidRPr="00121123">
        <w:rPr>
          <w:noProof w:val="0"/>
        </w:rPr>
        <w:t xml:space="preserve"> pri používaní tigecyklínu </w:t>
      </w:r>
      <w:r w:rsidR="000B5016" w:rsidRPr="00121123">
        <w:rPr>
          <w:noProof w:val="0"/>
        </w:rPr>
        <w:t>v</w:t>
      </w:r>
      <w:r w:rsidRPr="00121123">
        <w:rPr>
          <w:noProof w:val="0"/>
        </w:rPr>
        <w:t xml:space="preserve"> liečb</w:t>
      </w:r>
      <w:r w:rsidR="000B5016" w:rsidRPr="00121123">
        <w:rPr>
          <w:noProof w:val="0"/>
        </w:rPr>
        <w:t xml:space="preserve">e </w:t>
      </w:r>
      <w:r w:rsidRPr="00121123">
        <w:rPr>
          <w:noProof w:val="0"/>
        </w:rPr>
        <w:t xml:space="preserve">infekcií pediatrických pacientov vo veku 8 rokov a starších </w:t>
      </w:r>
      <w:r w:rsidR="000B5016" w:rsidRPr="00121123">
        <w:rPr>
          <w:noProof w:val="0"/>
        </w:rPr>
        <w:t xml:space="preserve">sú </w:t>
      </w:r>
      <w:r w:rsidRPr="00121123">
        <w:rPr>
          <w:noProof w:val="0"/>
        </w:rPr>
        <w:t>veľmi obmedzen</w:t>
      </w:r>
      <w:r w:rsidR="000B5016" w:rsidRPr="00121123">
        <w:rPr>
          <w:noProof w:val="0"/>
        </w:rPr>
        <w:t>é</w:t>
      </w:r>
      <w:r w:rsidRPr="00121123">
        <w:rPr>
          <w:noProof w:val="0"/>
        </w:rPr>
        <w:t xml:space="preserve"> (pozri časti 4.8 a 5.1). V dôsledku toho sa má použi</w:t>
      </w:r>
      <w:r w:rsidR="000B5016" w:rsidRPr="00121123">
        <w:rPr>
          <w:noProof w:val="0"/>
        </w:rPr>
        <w:t>ť</w:t>
      </w:r>
      <w:r w:rsidRPr="00121123">
        <w:rPr>
          <w:noProof w:val="0"/>
        </w:rPr>
        <w:t xml:space="preserve"> u detí </w:t>
      </w:r>
      <w:r w:rsidR="000B5016" w:rsidRPr="00121123">
        <w:rPr>
          <w:noProof w:val="0"/>
        </w:rPr>
        <w:t xml:space="preserve">len v tých klinických situáciách, kedy nie je dostupná </w:t>
      </w:r>
      <w:r w:rsidRPr="00121123">
        <w:rPr>
          <w:noProof w:val="0"/>
        </w:rPr>
        <w:t>žiadna alternatívna antibakteriálna liečba.</w:t>
      </w:r>
    </w:p>
    <w:p w14:paraId="059321D7" w14:textId="77777777" w:rsidR="003C662C" w:rsidRPr="00121123" w:rsidRDefault="003C662C" w:rsidP="007A3A03">
      <w:pPr>
        <w:keepLines w:val="0"/>
        <w:rPr>
          <w:noProof w:val="0"/>
        </w:rPr>
      </w:pPr>
    </w:p>
    <w:p w14:paraId="7885DAB7" w14:textId="77777777" w:rsidR="003C662C" w:rsidRPr="00121123" w:rsidRDefault="003C662C" w:rsidP="007A3A03">
      <w:pPr>
        <w:keepLines w:val="0"/>
        <w:rPr>
          <w:noProof w:val="0"/>
        </w:rPr>
      </w:pPr>
      <w:r w:rsidRPr="00121123">
        <w:rPr>
          <w:noProof w:val="0"/>
        </w:rPr>
        <w:t xml:space="preserve">Veľmi častými nežiaducimi reakciami </w:t>
      </w:r>
      <w:r w:rsidR="00EE4FB6" w:rsidRPr="00121123">
        <w:rPr>
          <w:noProof w:val="0"/>
        </w:rPr>
        <w:t>u detí a dospievajúcich je nauzea a</w:t>
      </w:r>
      <w:r w:rsidR="000B5016" w:rsidRPr="00121123">
        <w:rPr>
          <w:noProof w:val="0"/>
        </w:rPr>
        <w:t> </w:t>
      </w:r>
      <w:r w:rsidR="00D96843" w:rsidRPr="00121123">
        <w:rPr>
          <w:noProof w:val="0"/>
        </w:rPr>
        <w:t>vracanie</w:t>
      </w:r>
      <w:r w:rsidR="000B5016" w:rsidRPr="00121123">
        <w:rPr>
          <w:noProof w:val="0"/>
        </w:rPr>
        <w:t xml:space="preserve"> </w:t>
      </w:r>
      <w:r w:rsidRPr="00121123">
        <w:rPr>
          <w:noProof w:val="0"/>
        </w:rPr>
        <w:t xml:space="preserve">(pozri časť 4.8). Pozornosť sa má venovať možnej dehydratácii. </w:t>
      </w:r>
      <w:r w:rsidR="000B5016" w:rsidRPr="00121123">
        <w:rPr>
          <w:noProof w:val="0"/>
        </w:rPr>
        <w:t>Pediatrickým pacientom by sa mal tigecyklín podávať prednostne v 60 minút trvajúcej infúzii</w:t>
      </w:r>
      <w:r w:rsidRPr="00121123">
        <w:rPr>
          <w:noProof w:val="0"/>
        </w:rPr>
        <w:t>.</w:t>
      </w:r>
    </w:p>
    <w:p w14:paraId="4224A5BA" w14:textId="77777777" w:rsidR="003C662C" w:rsidRPr="00121123" w:rsidRDefault="003C662C" w:rsidP="007A3A03">
      <w:pPr>
        <w:keepLines w:val="0"/>
        <w:rPr>
          <w:noProof w:val="0"/>
        </w:rPr>
      </w:pPr>
    </w:p>
    <w:p w14:paraId="12F6A52B" w14:textId="77777777" w:rsidR="003C662C" w:rsidRPr="00121123" w:rsidRDefault="000B5016" w:rsidP="007A3A03">
      <w:pPr>
        <w:keepLines w:val="0"/>
        <w:rPr>
          <w:noProof w:val="0"/>
        </w:rPr>
      </w:pPr>
      <w:r w:rsidRPr="00121123">
        <w:rPr>
          <w:noProof w:val="0"/>
        </w:rPr>
        <w:t xml:space="preserve">Podobne ako u dospelých, aj u detí </w:t>
      </w:r>
      <w:r w:rsidR="00263697" w:rsidRPr="00121123">
        <w:rPr>
          <w:noProof w:val="0"/>
        </w:rPr>
        <w:t>sa často hlási</w:t>
      </w:r>
      <w:r w:rsidRPr="00121123">
        <w:rPr>
          <w:noProof w:val="0"/>
        </w:rPr>
        <w:t xml:space="preserve"> bolesť brucha. </w:t>
      </w:r>
      <w:r w:rsidR="003C662C" w:rsidRPr="00121123">
        <w:rPr>
          <w:noProof w:val="0"/>
        </w:rPr>
        <w:t>Bolesť brucha môže poukazovať na pankreatitídu. Ak sa objaví pankreatitída, liečba tigecyklínom sa má vysadiť.</w:t>
      </w:r>
    </w:p>
    <w:p w14:paraId="1B2B18DF" w14:textId="77777777" w:rsidR="003C662C" w:rsidRPr="00121123" w:rsidRDefault="003C662C" w:rsidP="007A3A03">
      <w:pPr>
        <w:keepLines w:val="0"/>
        <w:rPr>
          <w:noProof w:val="0"/>
        </w:rPr>
      </w:pPr>
    </w:p>
    <w:p w14:paraId="5F65E9F8" w14:textId="77777777" w:rsidR="003C662C" w:rsidRPr="00121123" w:rsidRDefault="003C662C" w:rsidP="007A3A03">
      <w:pPr>
        <w:keepLines w:val="0"/>
        <w:rPr>
          <w:noProof w:val="0"/>
        </w:rPr>
      </w:pPr>
      <w:r w:rsidRPr="00121123">
        <w:rPr>
          <w:noProof w:val="0"/>
        </w:rPr>
        <w:t xml:space="preserve">Pred začiatkom liečby tigecyklínom a pravidelne počas liečby sa majú </w:t>
      </w:r>
      <w:r w:rsidR="00263697" w:rsidRPr="00121123">
        <w:rPr>
          <w:noProof w:val="0"/>
        </w:rPr>
        <w:t>monitorovať pečeňové testy, hemokoagulačné parametre, hematologické parametre, amyláza a lipáza</w:t>
      </w:r>
      <w:r w:rsidR="00F002B3" w:rsidRPr="00121123">
        <w:rPr>
          <w:noProof w:val="0"/>
        </w:rPr>
        <w:t>.</w:t>
      </w:r>
    </w:p>
    <w:p w14:paraId="63CDA975" w14:textId="77777777" w:rsidR="003C662C" w:rsidRPr="00121123" w:rsidRDefault="003C662C" w:rsidP="007A3A03">
      <w:pPr>
        <w:keepLines w:val="0"/>
        <w:rPr>
          <w:noProof w:val="0"/>
        </w:rPr>
      </w:pPr>
    </w:p>
    <w:p w14:paraId="63EAC997" w14:textId="29041807" w:rsidR="00870248" w:rsidRDefault="00964F97" w:rsidP="007A3A03">
      <w:pPr>
        <w:keepLines w:val="0"/>
        <w:rPr>
          <w:noProof w:val="0"/>
        </w:rPr>
      </w:pPr>
      <w:bookmarkStart w:id="1" w:name="_Hlk77769061"/>
      <w:r>
        <w:rPr>
          <w:noProof w:val="0"/>
        </w:rPr>
        <w:t>Tigecycline Accord</w:t>
      </w:r>
      <w:r w:rsidR="00870248" w:rsidRPr="00121123">
        <w:rPr>
          <w:noProof w:val="0"/>
        </w:rPr>
        <w:t xml:space="preserve"> </w:t>
      </w:r>
      <w:bookmarkEnd w:id="1"/>
      <w:r w:rsidR="00870248" w:rsidRPr="00121123">
        <w:rPr>
          <w:noProof w:val="0"/>
        </w:rPr>
        <w:t>sa ne</w:t>
      </w:r>
      <w:r w:rsidR="00C73A23" w:rsidRPr="00121123">
        <w:rPr>
          <w:noProof w:val="0"/>
        </w:rPr>
        <w:t>má</w:t>
      </w:r>
      <w:r w:rsidR="00870248" w:rsidRPr="00121123">
        <w:rPr>
          <w:noProof w:val="0"/>
        </w:rPr>
        <w:t xml:space="preserve"> používať u detí vo veku menej ako 8 rokov</w:t>
      </w:r>
      <w:r w:rsidR="00F002B3" w:rsidRPr="00121123">
        <w:rPr>
          <w:noProof w:val="0"/>
        </w:rPr>
        <w:t xml:space="preserve"> z dôvodu nedostat</w:t>
      </w:r>
      <w:r w:rsidR="00263697" w:rsidRPr="00121123">
        <w:rPr>
          <w:noProof w:val="0"/>
        </w:rPr>
        <w:t xml:space="preserve">ku </w:t>
      </w:r>
      <w:r w:rsidR="00F002B3" w:rsidRPr="00121123">
        <w:rPr>
          <w:noProof w:val="0"/>
        </w:rPr>
        <w:t xml:space="preserve">údajov </w:t>
      </w:r>
      <w:r w:rsidR="00263697" w:rsidRPr="00121123">
        <w:rPr>
          <w:noProof w:val="0"/>
        </w:rPr>
        <w:t>o</w:t>
      </w:r>
      <w:r w:rsidR="00D96843" w:rsidRPr="00121123">
        <w:rPr>
          <w:noProof w:val="0"/>
        </w:rPr>
        <w:t xml:space="preserve"> </w:t>
      </w:r>
      <w:r w:rsidR="00F002B3" w:rsidRPr="00121123">
        <w:rPr>
          <w:noProof w:val="0"/>
        </w:rPr>
        <w:t xml:space="preserve">bezpečnosti </w:t>
      </w:r>
      <w:r w:rsidR="00C50767" w:rsidRPr="00121123">
        <w:rPr>
          <w:noProof w:val="0"/>
        </w:rPr>
        <w:t>a účinnosti v tejto vekovej skup</w:t>
      </w:r>
      <w:r w:rsidR="00F002B3" w:rsidRPr="00121123">
        <w:rPr>
          <w:noProof w:val="0"/>
        </w:rPr>
        <w:t xml:space="preserve">ine a </w:t>
      </w:r>
      <w:r w:rsidR="00870248" w:rsidRPr="00121123">
        <w:rPr>
          <w:noProof w:val="0"/>
        </w:rPr>
        <w:t xml:space="preserve">pretože </w:t>
      </w:r>
      <w:r w:rsidR="00F002B3" w:rsidRPr="00121123">
        <w:rPr>
          <w:noProof w:val="0"/>
        </w:rPr>
        <w:t xml:space="preserve">tigecyklín </w:t>
      </w:r>
      <w:r w:rsidR="00870248" w:rsidRPr="00121123">
        <w:rPr>
          <w:noProof w:val="0"/>
        </w:rPr>
        <w:t xml:space="preserve">môže </w:t>
      </w:r>
      <w:r w:rsidR="00C50767" w:rsidRPr="00121123">
        <w:rPr>
          <w:noProof w:val="0"/>
        </w:rPr>
        <w:t>byť spojený s </w:t>
      </w:r>
      <w:r w:rsidR="00F002B3" w:rsidRPr="00121123">
        <w:rPr>
          <w:noProof w:val="0"/>
        </w:rPr>
        <w:t>trvalou</w:t>
      </w:r>
      <w:r w:rsidR="00870248" w:rsidRPr="00121123">
        <w:rPr>
          <w:noProof w:val="0"/>
        </w:rPr>
        <w:t xml:space="preserve"> </w:t>
      </w:r>
      <w:r w:rsidR="00160BBF" w:rsidRPr="00121123">
        <w:rPr>
          <w:noProof w:val="0"/>
        </w:rPr>
        <w:t>zmen</w:t>
      </w:r>
      <w:r w:rsidR="00263697" w:rsidRPr="00121123">
        <w:rPr>
          <w:noProof w:val="0"/>
        </w:rPr>
        <w:t>ou</w:t>
      </w:r>
      <w:r w:rsidR="00916125" w:rsidRPr="00121123">
        <w:rPr>
          <w:noProof w:val="0"/>
        </w:rPr>
        <w:t xml:space="preserve"> </w:t>
      </w:r>
      <w:r w:rsidR="00870248" w:rsidRPr="00121123">
        <w:rPr>
          <w:noProof w:val="0"/>
        </w:rPr>
        <w:t>farby zubov (pozri čas</w:t>
      </w:r>
      <w:r w:rsidR="00D00214">
        <w:rPr>
          <w:noProof w:val="0"/>
        </w:rPr>
        <w:t>ť</w:t>
      </w:r>
      <w:r w:rsidR="00870248" w:rsidRPr="00121123">
        <w:rPr>
          <w:noProof w:val="0"/>
        </w:rPr>
        <w:t xml:space="preserve">  4.8).</w:t>
      </w:r>
    </w:p>
    <w:p w14:paraId="414488C3" w14:textId="77777777" w:rsidR="009A4555" w:rsidRDefault="009A4555" w:rsidP="007A3A03">
      <w:pPr>
        <w:keepLines w:val="0"/>
        <w:rPr>
          <w:noProof w:val="0"/>
        </w:rPr>
      </w:pPr>
    </w:p>
    <w:p w14:paraId="7D3F71AF" w14:textId="77777777" w:rsidR="009A4555" w:rsidRPr="00DF6976" w:rsidRDefault="009A4555" w:rsidP="009A4555">
      <w:pPr>
        <w:pStyle w:val="Default"/>
        <w:widowControl w:val="0"/>
        <w:rPr>
          <w:sz w:val="22"/>
          <w:szCs w:val="22"/>
          <w:lang w:val="sk-SK"/>
        </w:rPr>
      </w:pPr>
      <w:r w:rsidRPr="009A4555">
        <w:rPr>
          <w:b/>
          <w:bCs/>
          <w:sz w:val="22"/>
          <w:szCs w:val="22"/>
          <w:lang w:val="sk-SK"/>
        </w:rPr>
        <w:t>Tigecycline Accord</w:t>
      </w:r>
      <w:r w:rsidRPr="00DF6976">
        <w:rPr>
          <w:b/>
          <w:bCs/>
          <w:sz w:val="22"/>
          <w:szCs w:val="22"/>
          <w:lang w:val="sk-SK"/>
        </w:rPr>
        <w:t xml:space="preserve"> obsahuje sodík</w:t>
      </w:r>
    </w:p>
    <w:p w14:paraId="05F94668" w14:textId="77777777" w:rsidR="009A4555" w:rsidRPr="00DF6976" w:rsidRDefault="009A4555" w:rsidP="009A4555">
      <w:pPr>
        <w:keepLines w:val="0"/>
        <w:widowControl w:val="0"/>
        <w:tabs>
          <w:tab w:val="clear" w:pos="567"/>
        </w:tabs>
        <w:ind w:right="-29"/>
        <w:rPr>
          <w:noProof w:val="0"/>
          <w:color w:val="000000"/>
        </w:rPr>
      </w:pPr>
      <w:r w:rsidRPr="00DF6976">
        <w:rPr>
          <w:noProof w:val="0"/>
          <w:color w:val="000000"/>
        </w:rPr>
        <w:t>T</w:t>
      </w:r>
      <w:r>
        <w:rPr>
          <w:noProof w:val="0"/>
          <w:color w:val="000000"/>
        </w:rPr>
        <w:t>ento liek</w:t>
      </w:r>
      <w:r w:rsidRPr="00DF6976">
        <w:rPr>
          <w:noProof w:val="0"/>
          <w:color w:val="000000"/>
        </w:rPr>
        <w:t xml:space="preserve"> obsahuje menej ako 1 mmol sodíka (23 mg) v</w:t>
      </w:r>
      <w:r>
        <w:rPr>
          <w:noProof w:val="0"/>
          <w:color w:val="000000"/>
        </w:rPr>
        <w:t> injekčnej liekovke</w:t>
      </w:r>
      <w:r w:rsidRPr="00DF6976">
        <w:rPr>
          <w:noProof w:val="0"/>
          <w:color w:val="000000"/>
        </w:rPr>
        <w:t>, t.j. v podstate zanedbateľné množstvo sodíka.</w:t>
      </w:r>
    </w:p>
    <w:p w14:paraId="470EB2C3" w14:textId="77777777" w:rsidR="009A4555" w:rsidRPr="00121123" w:rsidRDefault="009A4555" w:rsidP="007A3A03">
      <w:pPr>
        <w:keepLines w:val="0"/>
        <w:rPr>
          <w:noProof w:val="0"/>
        </w:rPr>
      </w:pPr>
    </w:p>
    <w:p w14:paraId="19ECB869" w14:textId="77777777" w:rsidR="00870248" w:rsidRPr="00121123" w:rsidRDefault="00870248" w:rsidP="007A3A03">
      <w:pPr>
        <w:keepLines w:val="0"/>
        <w:rPr>
          <w:noProof w:val="0"/>
        </w:rPr>
      </w:pPr>
    </w:p>
    <w:p w14:paraId="296B5842" w14:textId="77777777" w:rsidR="00870248" w:rsidRPr="00121123" w:rsidRDefault="00870248" w:rsidP="007A3A03">
      <w:pPr>
        <w:rPr>
          <w:b/>
          <w:bCs/>
          <w:noProof w:val="0"/>
        </w:rPr>
      </w:pPr>
      <w:r w:rsidRPr="00121123">
        <w:rPr>
          <w:b/>
          <w:noProof w:val="0"/>
        </w:rPr>
        <w:t>4.5</w:t>
      </w:r>
      <w:r w:rsidRPr="00121123">
        <w:rPr>
          <w:b/>
          <w:noProof w:val="0"/>
        </w:rPr>
        <w:tab/>
        <w:t>Liekové a iné interakcie</w:t>
      </w:r>
    </w:p>
    <w:p w14:paraId="162593BA" w14:textId="77777777" w:rsidR="00870248" w:rsidRPr="00121123" w:rsidRDefault="00870248" w:rsidP="007A3A03">
      <w:pPr>
        <w:keepLines w:val="0"/>
        <w:tabs>
          <w:tab w:val="clear" w:pos="567"/>
        </w:tabs>
        <w:rPr>
          <w:noProof w:val="0"/>
        </w:rPr>
      </w:pPr>
    </w:p>
    <w:p w14:paraId="3AA0FF71" w14:textId="77777777" w:rsidR="00870248" w:rsidRPr="00121123" w:rsidRDefault="00870248" w:rsidP="007A3A03">
      <w:pPr>
        <w:keepLines w:val="0"/>
        <w:tabs>
          <w:tab w:val="clear" w:pos="567"/>
        </w:tabs>
        <w:rPr>
          <w:noProof w:val="0"/>
        </w:rPr>
      </w:pPr>
      <w:r w:rsidRPr="00121123">
        <w:rPr>
          <w:noProof w:val="0"/>
        </w:rPr>
        <w:t>Interakčné štúdie sa uskutočnili len u dospelých.</w:t>
      </w:r>
    </w:p>
    <w:p w14:paraId="4D7466B8" w14:textId="77777777" w:rsidR="00870248" w:rsidRPr="00121123" w:rsidRDefault="00870248" w:rsidP="007A3A03">
      <w:pPr>
        <w:keepLines w:val="0"/>
        <w:tabs>
          <w:tab w:val="clear" w:pos="567"/>
        </w:tabs>
        <w:rPr>
          <w:noProof w:val="0"/>
        </w:rPr>
      </w:pPr>
    </w:p>
    <w:p w14:paraId="0595846D" w14:textId="77777777" w:rsidR="00870248" w:rsidRPr="00121123" w:rsidRDefault="00870248" w:rsidP="007A3A03">
      <w:pPr>
        <w:keepLines w:val="0"/>
        <w:tabs>
          <w:tab w:val="clear" w:pos="567"/>
        </w:tabs>
        <w:rPr>
          <w:noProof w:val="0"/>
        </w:rPr>
      </w:pPr>
      <w:r w:rsidRPr="00121123">
        <w:rPr>
          <w:noProof w:val="0"/>
        </w:rPr>
        <w:t xml:space="preserve">Súbežné podávanie tigecyklínu a warfarínu (25 mg jednorazová dávka) zdravým </w:t>
      </w:r>
      <w:r w:rsidR="0048029D" w:rsidRPr="00121123">
        <w:rPr>
          <w:noProof w:val="0"/>
        </w:rPr>
        <w:t>osobám</w:t>
      </w:r>
      <w:r w:rsidRPr="00121123">
        <w:rPr>
          <w:noProof w:val="0"/>
        </w:rPr>
        <w:t xml:space="preserve"> viedlo k poklesu klírensu R-warfarínu a S-warfarínu o 40 % a 23 % a k nárastu AUC o 68 % a 29 %. Mechanizmus týchto interakcií nie je ešte objasnený. Dostupné údaje nenasvedčujú, že tieto interakcie môžu viesť k významným zmenám INR. Keďže tigecyklín môže predlžovať protrombínový čas (PT) </w:t>
      </w:r>
      <w:r w:rsidRPr="00121123">
        <w:rPr>
          <w:noProof w:val="0"/>
        </w:rPr>
        <w:lastRenderedPageBreak/>
        <w:t>a aktivovaný parciálny tromboplastínový čas (aPTT), m</w:t>
      </w:r>
      <w:r w:rsidR="00C73A23" w:rsidRPr="00121123">
        <w:rPr>
          <w:noProof w:val="0"/>
        </w:rPr>
        <w:t>ajú</w:t>
      </w:r>
      <w:r w:rsidRPr="00121123">
        <w:rPr>
          <w:noProof w:val="0"/>
        </w:rPr>
        <w:t xml:space="preserve"> sa v prípade súbežného podania tigecyklínu a antikoagula</w:t>
      </w:r>
      <w:r w:rsidR="00453C53" w:rsidRPr="00121123">
        <w:rPr>
          <w:noProof w:val="0"/>
        </w:rPr>
        <w:t>ncií</w:t>
      </w:r>
      <w:r w:rsidR="00402271" w:rsidRPr="00121123">
        <w:rPr>
          <w:noProof w:val="0"/>
        </w:rPr>
        <w:t xml:space="preserve"> </w:t>
      </w:r>
      <w:r w:rsidRPr="00121123">
        <w:rPr>
          <w:noProof w:val="0"/>
        </w:rPr>
        <w:t>dôkladne sledovať zodpovedajúce koagulačné testy (pozri časť 4.4). Warfarín neovplyvňoval farmakokinetický profil tigecyklínu.</w:t>
      </w:r>
    </w:p>
    <w:p w14:paraId="54060C6F" w14:textId="77777777" w:rsidR="00870248" w:rsidRPr="00121123" w:rsidRDefault="00870248" w:rsidP="007A3A03">
      <w:pPr>
        <w:keepLines w:val="0"/>
        <w:tabs>
          <w:tab w:val="clear" w:pos="567"/>
        </w:tabs>
        <w:rPr>
          <w:noProof w:val="0"/>
        </w:rPr>
      </w:pPr>
    </w:p>
    <w:p w14:paraId="0717D911" w14:textId="77777777" w:rsidR="00870248" w:rsidRPr="00121123" w:rsidRDefault="00870248" w:rsidP="007A3A03">
      <w:pPr>
        <w:keepLines w:val="0"/>
        <w:tabs>
          <w:tab w:val="clear" w:pos="567"/>
        </w:tabs>
        <w:rPr>
          <w:noProof w:val="0"/>
        </w:rPr>
      </w:pPr>
      <w:r w:rsidRPr="00121123">
        <w:rPr>
          <w:noProof w:val="0"/>
        </w:rPr>
        <w:t xml:space="preserve">Tigecyklín sa </w:t>
      </w:r>
      <w:r w:rsidR="00453C53" w:rsidRPr="00121123">
        <w:rPr>
          <w:noProof w:val="0"/>
        </w:rPr>
        <w:t xml:space="preserve">nemetabolizuje </w:t>
      </w:r>
      <w:r w:rsidR="00146FAB" w:rsidRPr="00121123">
        <w:rPr>
          <w:noProof w:val="0"/>
        </w:rPr>
        <w:t xml:space="preserve">vo </w:t>
      </w:r>
      <w:r w:rsidRPr="00121123">
        <w:rPr>
          <w:noProof w:val="0"/>
        </w:rPr>
        <w:t>veľkej mier</w:t>
      </w:r>
      <w:r w:rsidR="00146FAB" w:rsidRPr="00121123">
        <w:rPr>
          <w:noProof w:val="0"/>
        </w:rPr>
        <w:t>e</w:t>
      </w:r>
      <w:r w:rsidRPr="00121123">
        <w:rPr>
          <w:noProof w:val="0"/>
        </w:rPr>
        <w:t xml:space="preserve">. Preto sa nepredpokladá vplyv liečiv inhibujúcich alebo indukujúcich aktivitu izoforiem CYP450 na klírens tigecyklínu. V podmienkach </w:t>
      </w:r>
      <w:r w:rsidRPr="00121123">
        <w:rPr>
          <w:i/>
          <w:iCs/>
          <w:noProof w:val="0"/>
        </w:rPr>
        <w:t>in vitro</w:t>
      </w:r>
      <w:r w:rsidRPr="00121123">
        <w:rPr>
          <w:noProof w:val="0"/>
        </w:rPr>
        <w:t xml:space="preserve"> nie je tigecyklín kompetitívnym a ani ireverzibilným inhibítorom enzýmov CYP450 (pozri časť 5.2). </w:t>
      </w:r>
    </w:p>
    <w:p w14:paraId="38EF1361" w14:textId="77777777" w:rsidR="00870248" w:rsidRPr="00121123" w:rsidRDefault="00870248" w:rsidP="007A3A03">
      <w:pPr>
        <w:keepLines w:val="0"/>
        <w:tabs>
          <w:tab w:val="clear" w:pos="567"/>
        </w:tabs>
        <w:rPr>
          <w:noProof w:val="0"/>
        </w:rPr>
      </w:pPr>
    </w:p>
    <w:p w14:paraId="46C73E8A" w14:textId="77777777" w:rsidR="00870248" w:rsidRPr="00121123" w:rsidRDefault="00870248" w:rsidP="007A3A03">
      <w:pPr>
        <w:keepLines w:val="0"/>
        <w:tabs>
          <w:tab w:val="clear" w:pos="567"/>
        </w:tabs>
        <w:rPr>
          <w:noProof w:val="0"/>
        </w:rPr>
      </w:pPr>
      <w:r w:rsidRPr="00121123">
        <w:rPr>
          <w:noProof w:val="0"/>
        </w:rPr>
        <w:t xml:space="preserve">Pri podaní zdravým dospelým </w:t>
      </w:r>
      <w:r w:rsidR="00402271" w:rsidRPr="00121123">
        <w:rPr>
          <w:noProof w:val="0"/>
        </w:rPr>
        <w:t>osobám</w:t>
      </w:r>
      <w:r w:rsidRPr="00121123">
        <w:rPr>
          <w:noProof w:val="0"/>
        </w:rPr>
        <w:t xml:space="preserve"> v odporúčaných dávkach neovplyvňoval tigecyklín rýchlosť alebo mieru absorpcie alebo klírens digoxínu (0,5 mg nasledovaných 0,25 mg denne). Digoxín neovplyvňoval farmakokinetický profil tigecyklínu. Preto nie je potrebná úprava dávky pri podaní tigecyklínu s digoxínom.</w:t>
      </w:r>
    </w:p>
    <w:p w14:paraId="6C850EC3" w14:textId="77777777" w:rsidR="00870248" w:rsidRPr="00121123" w:rsidRDefault="00870248" w:rsidP="007A3A03">
      <w:pPr>
        <w:keepLines w:val="0"/>
        <w:tabs>
          <w:tab w:val="clear" w:pos="567"/>
        </w:tabs>
        <w:rPr>
          <w:noProof w:val="0"/>
        </w:rPr>
      </w:pPr>
    </w:p>
    <w:p w14:paraId="47944633" w14:textId="77777777" w:rsidR="00870248" w:rsidRPr="00121123" w:rsidRDefault="00870248" w:rsidP="007A3A03">
      <w:pPr>
        <w:keepLines w:val="0"/>
        <w:tabs>
          <w:tab w:val="clear" w:pos="567"/>
        </w:tabs>
        <w:rPr>
          <w:noProof w:val="0"/>
        </w:rPr>
      </w:pPr>
      <w:r w:rsidRPr="00121123">
        <w:rPr>
          <w:noProof w:val="0"/>
        </w:rPr>
        <w:t xml:space="preserve">Súbežné používanie antibiotík s perorálnou antikoncepciou môže znižovať účinnosť perorálnej antikoncepcie. </w:t>
      </w:r>
    </w:p>
    <w:p w14:paraId="1E55FA01" w14:textId="77777777" w:rsidR="00154F11" w:rsidRDefault="00154F11" w:rsidP="007A3A03">
      <w:pPr>
        <w:keepLines w:val="0"/>
        <w:tabs>
          <w:tab w:val="clear" w:pos="567"/>
        </w:tabs>
        <w:rPr>
          <w:noProof w:val="0"/>
        </w:rPr>
      </w:pPr>
    </w:p>
    <w:p w14:paraId="6364CC48" w14:textId="77777777" w:rsidR="007C3921" w:rsidRPr="00DF6976" w:rsidRDefault="007C3921" w:rsidP="007C3921">
      <w:pPr>
        <w:keepLines w:val="0"/>
        <w:tabs>
          <w:tab w:val="clear" w:pos="567"/>
        </w:tabs>
        <w:rPr>
          <w:noProof w:val="0"/>
          <w:color w:val="000000"/>
        </w:rPr>
      </w:pPr>
      <w:bookmarkStart w:id="2" w:name="_Hlk38488665"/>
      <w:r w:rsidRPr="00DF6976">
        <w:rPr>
          <w:noProof w:val="0"/>
          <w:color w:val="000000"/>
        </w:rPr>
        <w:t>Súbežné používanie tigecyklínu a inhibítorov kalcineurínu, ako sú takrolimus alebo cyklosporín, môže viesť k zvýšeniu minimálnych koncentrácií inhibítorov kalcineurínu v sére. Počas liečby tigecyklínom sa preto majú sledovať koncentrácie inhibítora kalcineurínu v sére, aby sa zabránilo liekovej toxicite.</w:t>
      </w:r>
    </w:p>
    <w:bookmarkEnd w:id="2"/>
    <w:p w14:paraId="2CFDD0C8" w14:textId="77777777" w:rsidR="007C3921" w:rsidRPr="00121123" w:rsidRDefault="007C3921" w:rsidP="007A3A03">
      <w:pPr>
        <w:keepLines w:val="0"/>
        <w:tabs>
          <w:tab w:val="clear" w:pos="567"/>
        </w:tabs>
        <w:rPr>
          <w:noProof w:val="0"/>
        </w:rPr>
      </w:pPr>
    </w:p>
    <w:p w14:paraId="203F4E58" w14:textId="77777777" w:rsidR="00154F11" w:rsidRPr="00121123" w:rsidRDefault="00154F11" w:rsidP="007A3A03">
      <w:pPr>
        <w:keepLines w:val="0"/>
        <w:tabs>
          <w:tab w:val="clear" w:pos="567"/>
        </w:tabs>
        <w:rPr>
          <w:noProof w:val="0"/>
        </w:rPr>
      </w:pPr>
      <w:r w:rsidRPr="00121123">
        <w:rPr>
          <w:noProof w:val="0"/>
        </w:rPr>
        <w:t xml:space="preserve">Na základe </w:t>
      </w:r>
      <w:r w:rsidR="00EF12FE" w:rsidRPr="00121123">
        <w:rPr>
          <w:i/>
          <w:noProof w:val="0"/>
        </w:rPr>
        <w:t>in vitro</w:t>
      </w:r>
      <w:r w:rsidRPr="00121123">
        <w:rPr>
          <w:noProof w:val="0"/>
        </w:rPr>
        <w:t xml:space="preserve"> štúdie tigecyklín je P-gp substrát. Súčasné podávanie P-gp inhibítorov (napr. ketokonazol alebo cyklosporín) alebo P-gp induktorov (napr. rifampicín) môže ovplyvniť farmakokinetiku tigecyklínu (pozri časť 5.2). </w:t>
      </w:r>
    </w:p>
    <w:p w14:paraId="37AD3699" w14:textId="77777777" w:rsidR="00870248" w:rsidRPr="00121123" w:rsidRDefault="00870248" w:rsidP="007A3A03">
      <w:pPr>
        <w:rPr>
          <w:noProof w:val="0"/>
        </w:rPr>
      </w:pPr>
    </w:p>
    <w:p w14:paraId="0B146101" w14:textId="77777777" w:rsidR="00870248" w:rsidRPr="0081661F" w:rsidRDefault="00870248" w:rsidP="007A3A03">
      <w:pPr>
        <w:rPr>
          <w:b/>
          <w:noProof w:val="0"/>
        </w:rPr>
      </w:pPr>
      <w:r w:rsidRPr="00121123">
        <w:rPr>
          <w:b/>
          <w:noProof w:val="0"/>
        </w:rPr>
        <w:t>4.6</w:t>
      </w:r>
      <w:r w:rsidRPr="00121123">
        <w:rPr>
          <w:b/>
          <w:noProof w:val="0"/>
        </w:rPr>
        <w:tab/>
      </w:r>
      <w:r w:rsidR="00D3455C" w:rsidRPr="00121123">
        <w:rPr>
          <w:b/>
          <w:noProof w:val="0"/>
        </w:rPr>
        <w:t>Fertilita, g</w:t>
      </w:r>
      <w:r w:rsidRPr="00121123">
        <w:rPr>
          <w:b/>
          <w:noProof w:val="0"/>
        </w:rPr>
        <w:t>ravidita a laktácia</w:t>
      </w:r>
    </w:p>
    <w:p w14:paraId="27DA198A" w14:textId="77777777" w:rsidR="00870248" w:rsidRPr="00121123" w:rsidRDefault="00870248" w:rsidP="007A3A03">
      <w:pPr>
        <w:keepLines w:val="0"/>
        <w:rPr>
          <w:noProof w:val="0"/>
        </w:rPr>
      </w:pPr>
    </w:p>
    <w:p w14:paraId="7512831E" w14:textId="77777777" w:rsidR="00A14E9F" w:rsidRPr="00121123" w:rsidRDefault="00A14E9F" w:rsidP="007A3A03">
      <w:pPr>
        <w:keepLines w:val="0"/>
        <w:rPr>
          <w:noProof w:val="0"/>
          <w:u w:val="single"/>
        </w:rPr>
      </w:pPr>
      <w:r w:rsidRPr="00121123">
        <w:rPr>
          <w:noProof w:val="0"/>
          <w:u w:val="single"/>
        </w:rPr>
        <w:t>Gravidita</w:t>
      </w:r>
    </w:p>
    <w:p w14:paraId="623D1ABF" w14:textId="77777777" w:rsidR="00294482" w:rsidRPr="00121123" w:rsidRDefault="00294482" w:rsidP="007A3A03">
      <w:pPr>
        <w:keepLines w:val="0"/>
        <w:rPr>
          <w:noProof w:val="0"/>
          <w:u w:val="single"/>
        </w:rPr>
      </w:pPr>
    </w:p>
    <w:p w14:paraId="5D37ED2C" w14:textId="77777777" w:rsidR="00870248" w:rsidRPr="00121123" w:rsidRDefault="00870248" w:rsidP="007A3A03">
      <w:pPr>
        <w:keepLines w:val="0"/>
        <w:tabs>
          <w:tab w:val="clear" w:pos="567"/>
        </w:tabs>
        <w:rPr>
          <w:noProof w:val="0"/>
        </w:rPr>
      </w:pPr>
      <w:r w:rsidRPr="00121123">
        <w:rPr>
          <w:noProof w:val="0"/>
        </w:rPr>
        <w:t>Nie sú k</w:t>
      </w:r>
      <w:r w:rsidR="0025462D" w:rsidRPr="00121123">
        <w:rPr>
          <w:noProof w:val="0"/>
        </w:rPr>
        <w:t> </w:t>
      </w:r>
      <w:r w:rsidRPr="00121123">
        <w:rPr>
          <w:noProof w:val="0"/>
        </w:rPr>
        <w:t>dispozícii</w:t>
      </w:r>
      <w:r w:rsidR="0025462D" w:rsidRPr="00121123">
        <w:rPr>
          <w:noProof w:val="0"/>
        </w:rPr>
        <w:t xml:space="preserve"> žiadne</w:t>
      </w:r>
      <w:r w:rsidR="00430937" w:rsidRPr="00121123">
        <w:rPr>
          <w:noProof w:val="0"/>
        </w:rPr>
        <w:t xml:space="preserve"> alebo iba omedzené údaje</w:t>
      </w:r>
      <w:r w:rsidRPr="00121123">
        <w:rPr>
          <w:noProof w:val="0"/>
        </w:rPr>
        <w:t xml:space="preserve"> o použití tigecyklínu u gravidných žien. </w:t>
      </w:r>
      <w:r w:rsidR="00E420D1" w:rsidRPr="00121123">
        <w:rPr>
          <w:noProof w:val="0"/>
        </w:rPr>
        <w:t>Štúdie</w:t>
      </w:r>
      <w:r w:rsidRPr="00121123">
        <w:rPr>
          <w:noProof w:val="0"/>
        </w:rPr>
        <w:t xml:space="preserve"> na zvieratách </w:t>
      </w:r>
      <w:r w:rsidR="00C73A23" w:rsidRPr="00121123">
        <w:rPr>
          <w:noProof w:val="0"/>
        </w:rPr>
        <w:t>pre</w:t>
      </w:r>
      <w:r w:rsidRPr="00121123">
        <w:rPr>
          <w:noProof w:val="0"/>
        </w:rPr>
        <w:t>ukázali</w:t>
      </w:r>
      <w:r w:rsidR="00E420D1" w:rsidRPr="00121123">
        <w:rPr>
          <w:noProof w:val="0"/>
        </w:rPr>
        <w:t xml:space="preserve"> reprodukčnú toxicitu</w:t>
      </w:r>
      <w:r w:rsidRPr="00121123">
        <w:rPr>
          <w:noProof w:val="0"/>
        </w:rPr>
        <w:t xml:space="preserve"> (pozri časť 5.3). Nie je známe potenciálne riziko u ľudí. Ako je známe pre triedu tetracyklínových antibiotík, tigecyklín môže tiež indukovať tvorbu trvalých zubných porúch (zmena farby a poškodenie skloviny) a spomaliť proces osifikácie u plodov vystavených liečivu v maternici počas druhej polovice gravidity a u detí vo veku menej ako osem rokov. To je spôsobené hromadením v tkanivách s vysokým obratom vápnika a tvorbou chelátových komplexov s vápnikom (pozri časť 4.4). Tigecyklín sa nemá používať počas gravidity, pokiaľ</w:t>
      </w:r>
      <w:r w:rsidR="00E420D1" w:rsidRPr="00121123">
        <w:rPr>
          <w:noProof w:val="0"/>
        </w:rPr>
        <w:t xml:space="preserve"> klinický stav ženy nevyžaduje liečbu tigecyklínom</w:t>
      </w:r>
      <w:r w:rsidRPr="00121123">
        <w:rPr>
          <w:noProof w:val="0"/>
        </w:rPr>
        <w:t>.</w:t>
      </w:r>
    </w:p>
    <w:p w14:paraId="45929E61" w14:textId="77777777" w:rsidR="00870248" w:rsidRPr="00121123" w:rsidRDefault="00870248" w:rsidP="007A3A03">
      <w:pPr>
        <w:keepLines w:val="0"/>
        <w:tabs>
          <w:tab w:val="clear" w:pos="567"/>
        </w:tabs>
        <w:rPr>
          <w:noProof w:val="0"/>
        </w:rPr>
      </w:pPr>
    </w:p>
    <w:p w14:paraId="24D2D092" w14:textId="77777777" w:rsidR="0097343E" w:rsidRPr="00121123" w:rsidRDefault="007A7568" w:rsidP="007A3A03">
      <w:pPr>
        <w:keepNext/>
        <w:tabs>
          <w:tab w:val="clear" w:pos="567"/>
        </w:tabs>
        <w:rPr>
          <w:noProof w:val="0"/>
          <w:u w:val="single"/>
        </w:rPr>
      </w:pPr>
      <w:r w:rsidRPr="00121123">
        <w:rPr>
          <w:noProof w:val="0"/>
          <w:u w:val="single"/>
        </w:rPr>
        <w:t>Dojčenie</w:t>
      </w:r>
    </w:p>
    <w:p w14:paraId="46984901" w14:textId="77777777" w:rsidR="00294482" w:rsidRPr="00121123" w:rsidRDefault="00294482" w:rsidP="007A3A03">
      <w:pPr>
        <w:keepNext/>
        <w:tabs>
          <w:tab w:val="clear" w:pos="567"/>
        </w:tabs>
        <w:rPr>
          <w:noProof w:val="0"/>
          <w:u w:val="single"/>
        </w:rPr>
      </w:pPr>
    </w:p>
    <w:p w14:paraId="5B358EA4" w14:textId="1896E037" w:rsidR="00870248" w:rsidRPr="00C26AE6" w:rsidRDefault="00870248" w:rsidP="007A3A03">
      <w:pPr>
        <w:keepNext/>
        <w:tabs>
          <w:tab w:val="clear" w:pos="567"/>
        </w:tabs>
        <w:rPr>
          <w:noProof w:val="0"/>
          <w:color w:val="000000"/>
        </w:rPr>
      </w:pPr>
      <w:r w:rsidRPr="00121123">
        <w:rPr>
          <w:noProof w:val="0"/>
        </w:rPr>
        <w:t xml:space="preserve">Nie je známe, či sa </w:t>
      </w:r>
      <w:r w:rsidR="00790864" w:rsidRPr="00121123">
        <w:rPr>
          <w:noProof w:val="0"/>
        </w:rPr>
        <w:t>tigecyklín/metabolity</w:t>
      </w:r>
      <w:r w:rsidRPr="00121123">
        <w:rPr>
          <w:noProof w:val="0"/>
        </w:rPr>
        <w:t xml:space="preserve"> vylučuj</w:t>
      </w:r>
      <w:r w:rsidR="00790864" w:rsidRPr="00121123">
        <w:rPr>
          <w:noProof w:val="0"/>
        </w:rPr>
        <w:t>ú</w:t>
      </w:r>
      <w:r w:rsidRPr="00121123">
        <w:rPr>
          <w:noProof w:val="0"/>
        </w:rPr>
        <w:t xml:space="preserve"> </w:t>
      </w:r>
      <w:r w:rsidR="00D0677B" w:rsidRPr="00121123">
        <w:rPr>
          <w:noProof w:val="0"/>
        </w:rPr>
        <w:t xml:space="preserve">do </w:t>
      </w:r>
      <w:r w:rsidR="00A04079" w:rsidRPr="00121123">
        <w:rPr>
          <w:noProof w:val="0"/>
        </w:rPr>
        <w:t xml:space="preserve">ľudského </w:t>
      </w:r>
      <w:r w:rsidRPr="00121123">
        <w:rPr>
          <w:noProof w:val="0"/>
        </w:rPr>
        <w:t>mliek</w:t>
      </w:r>
      <w:r w:rsidR="00D0677B" w:rsidRPr="00121123">
        <w:rPr>
          <w:noProof w:val="0"/>
        </w:rPr>
        <w:t>a</w:t>
      </w:r>
      <w:r w:rsidRPr="00121123">
        <w:rPr>
          <w:noProof w:val="0"/>
        </w:rPr>
        <w:t xml:space="preserve">. </w:t>
      </w:r>
      <w:r w:rsidR="00E420D1" w:rsidRPr="00121123">
        <w:rPr>
          <w:noProof w:val="0"/>
        </w:rPr>
        <w:t xml:space="preserve">Dostupné údaje </w:t>
      </w:r>
      <w:r w:rsidR="00A04079" w:rsidRPr="00121123">
        <w:rPr>
          <w:noProof w:val="0"/>
        </w:rPr>
        <w:t>u zvierat</w:t>
      </w:r>
      <w:r w:rsidR="00E420D1" w:rsidRPr="00121123">
        <w:rPr>
          <w:noProof w:val="0"/>
        </w:rPr>
        <w:t xml:space="preserve"> preukázali vylučovanie tigecyklínu/metabolitov do </w:t>
      </w:r>
      <w:r w:rsidR="00E420D1" w:rsidRPr="00C26AE6">
        <w:rPr>
          <w:noProof w:val="0"/>
          <w:color w:val="000000"/>
        </w:rPr>
        <w:t>mlieka (pozri časť 5.3)</w:t>
      </w:r>
      <w:r w:rsidR="00F9440C" w:rsidRPr="00C26AE6">
        <w:rPr>
          <w:noProof w:val="0"/>
          <w:color w:val="000000"/>
        </w:rPr>
        <w:t>.</w:t>
      </w:r>
      <w:r w:rsidR="00E420D1" w:rsidRPr="00C26AE6">
        <w:rPr>
          <w:noProof w:val="0"/>
          <w:color w:val="000000"/>
        </w:rPr>
        <w:t xml:space="preserve"> </w:t>
      </w:r>
      <w:r w:rsidR="00A04079" w:rsidRPr="00C26AE6">
        <w:rPr>
          <w:noProof w:val="0"/>
          <w:color w:val="000000"/>
        </w:rPr>
        <w:t>R</w:t>
      </w:r>
      <w:r w:rsidR="00E420D1" w:rsidRPr="00C26AE6">
        <w:rPr>
          <w:noProof w:val="0"/>
          <w:color w:val="000000"/>
        </w:rPr>
        <w:t xml:space="preserve">iziko </w:t>
      </w:r>
      <w:r w:rsidR="00A04079" w:rsidRPr="00C26AE6">
        <w:rPr>
          <w:noProof w:val="0"/>
          <w:color w:val="000000"/>
        </w:rPr>
        <w:t>u</w:t>
      </w:r>
      <w:r w:rsidR="00E420D1" w:rsidRPr="00C26AE6">
        <w:rPr>
          <w:noProof w:val="0"/>
          <w:color w:val="000000"/>
        </w:rPr>
        <w:t xml:space="preserve"> novorodencov/dojč</w:t>
      </w:r>
      <w:r w:rsidR="00A04079" w:rsidRPr="00C26AE6">
        <w:rPr>
          <w:noProof w:val="0"/>
          <w:color w:val="000000"/>
        </w:rPr>
        <w:t>iat nemôže byť vylúčené</w:t>
      </w:r>
      <w:r w:rsidR="00E420D1" w:rsidRPr="00C26AE6">
        <w:rPr>
          <w:noProof w:val="0"/>
          <w:color w:val="000000"/>
        </w:rPr>
        <w:t xml:space="preserve">. </w:t>
      </w:r>
      <w:r w:rsidR="00934D40" w:rsidRPr="00C26AE6">
        <w:rPr>
          <w:rFonts w:eastAsia="SimSun"/>
          <w:color w:val="000000"/>
          <w:lang w:eastAsia="zh-CN"/>
        </w:rPr>
        <w:t>Rozhodnutie, či ukončiť dojčenie alebo či ukončiť/prerušiť liečbu tigecyklínom sa má urobiť po zvážení prínosu dojčenia pre dieťa a prínosu liečby pre ženu.</w:t>
      </w:r>
    </w:p>
    <w:p w14:paraId="30AE1D45" w14:textId="77777777" w:rsidR="0097343E" w:rsidRPr="00C26AE6" w:rsidRDefault="0097343E" w:rsidP="007A3A03">
      <w:pPr>
        <w:keepLines w:val="0"/>
        <w:tabs>
          <w:tab w:val="clear" w:pos="567"/>
        </w:tabs>
        <w:rPr>
          <w:noProof w:val="0"/>
          <w:color w:val="000000"/>
        </w:rPr>
      </w:pPr>
    </w:p>
    <w:p w14:paraId="22A5A4ED" w14:textId="77777777" w:rsidR="0097343E" w:rsidRPr="00C26AE6" w:rsidRDefault="0097343E" w:rsidP="007A3A03">
      <w:pPr>
        <w:keepNext/>
        <w:keepLines w:val="0"/>
        <w:tabs>
          <w:tab w:val="clear" w:pos="567"/>
        </w:tabs>
        <w:rPr>
          <w:noProof w:val="0"/>
          <w:color w:val="000000"/>
          <w:u w:val="single"/>
        </w:rPr>
      </w:pPr>
      <w:r w:rsidRPr="00C26AE6">
        <w:rPr>
          <w:noProof w:val="0"/>
          <w:color w:val="000000"/>
          <w:u w:val="single"/>
        </w:rPr>
        <w:t>Fertilita</w:t>
      </w:r>
    </w:p>
    <w:p w14:paraId="47B4EF2A" w14:textId="77777777" w:rsidR="00294482" w:rsidRPr="00121123" w:rsidRDefault="00294482" w:rsidP="007A3A03">
      <w:pPr>
        <w:keepNext/>
        <w:keepLines w:val="0"/>
        <w:tabs>
          <w:tab w:val="clear" w:pos="567"/>
        </w:tabs>
        <w:rPr>
          <w:noProof w:val="0"/>
        </w:rPr>
      </w:pPr>
    </w:p>
    <w:p w14:paraId="0347FAA6" w14:textId="77777777" w:rsidR="00D16602" w:rsidRPr="00121123" w:rsidRDefault="00A673DB" w:rsidP="007A3A03">
      <w:pPr>
        <w:keepNext/>
        <w:keepLines w:val="0"/>
        <w:tabs>
          <w:tab w:val="clear" w:pos="567"/>
        </w:tabs>
        <w:rPr>
          <w:noProof w:val="0"/>
        </w:rPr>
      </w:pPr>
      <w:r w:rsidRPr="00DF6976">
        <w:rPr>
          <w:noProof w:val="0"/>
          <w:color w:val="000000"/>
        </w:rPr>
        <w:t xml:space="preserve">Účinky tigecyklínu na fertilitu u ľudí sa neskúmali. Predklinické štúdie uskutočňované s tigecyklínom u potkanov nepreukázali škodlivé účinky na fertilitu alebo reprodukčnú schopnosť. </w:t>
      </w:r>
      <w:r w:rsidR="00D16602" w:rsidRPr="00121123">
        <w:rPr>
          <w:noProof w:val="0"/>
        </w:rPr>
        <w:t xml:space="preserve">U samíc potkanov </w:t>
      </w:r>
      <w:r w:rsidR="00453C53" w:rsidRPr="00121123">
        <w:rPr>
          <w:noProof w:val="0"/>
        </w:rPr>
        <w:t xml:space="preserve">sa pri expozíciách vyšších ako 4,7-násobok dennej dávky u ľudí založenej na AUC nezistili </w:t>
      </w:r>
      <w:r w:rsidR="00D16602" w:rsidRPr="00121123">
        <w:rPr>
          <w:noProof w:val="0"/>
        </w:rPr>
        <w:t>žiadne účinky na vaječník</w:t>
      </w:r>
      <w:r w:rsidR="00985750" w:rsidRPr="00121123">
        <w:rPr>
          <w:noProof w:val="0"/>
        </w:rPr>
        <w:t>y</w:t>
      </w:r>
      <w:r w:rsidR="00D16602" w:rsidRPr="00121123">
        <w:rPr>
          <w:noProof w:val="0"/>
        </w:rPr>
        <w:t xml:space="preserve"> alebo na</w:t>
      </w:r>
      <w:r w:rsidR="00453C53" w:rsidRPr="00121123">
        <w:rPr>
          <w:noProof w:val="0"/>
        </w:rPr>
        <w:t xml:space="preserve"> estrálne </w:t>
      </w:r>
      <w:r w:rsidR="00D16602" w:rsidRPr="00121123">
        <w:rPr>
          <w:noProof w:val="0"/>
        </w:rPr>
        <w:t>cykly</w:t>
      </w:r>
      <w:r w:rsidR="00453C53" w:rsidRPr="00121123">
        <w:rPr>
          <w:noProof w:val="0"/>
        </w:rPr>
        <w:t>, ktoré by súviseli so zlúčeninou</w:t>
      </w:r>
      <w:r>
        <w:rPr>
          <w:noProof w:val="0"/>
        </w:rPr>
        <w:t xml:space="preserve"> (pozri časť 5.3)</w:t>
      </w:r>
      <w:r w:rsidR="00453C53" w:rsidRPr="00121123">
        <w:rPr>
          <w:noProof w:val="0"/>
        </w:rPr>
        <w:t>.</w:t>
      </w:r>
      <w:r w:rsidR="00D16602" w:rsidRPr="00121123">
        <w:rPr>
          <w:noProof w:val="0"/>
        </w:rPr>
        <w:t xml:space="preserve">  </w:t>
      </w:r>
    </w:p>
    <w:p w14:paraId="7B67645A" w14:textId="77777777" w:rsidR="0097343E" w:rsidRPr="00121123" w:rsidRDefault="0097343E" w:rsidP="007A3A03">
      <w:pPr>
        <w:keepLines w:val="0"/>
        <w:tabs>
          <w:tab w:val="clear" w:pos="567"/>
        </w:tabs>
        <w:rPr>
          <w:noProof w:val="0"/>
        </w:rPr>
      </w:pPr>
    </w:p>
    <w:p w14:paraId="4881DDCA" w14:textId="77777777" w:rsidR="00870248" w:rsidRPr="00121123" w:rsidRDefault="00870248" w:rsidP="007A3A03">
      <w:pPr>
        <w:rPr>
          <w:b/>
          <w:noProof w:val="0"/>
        </w:rPr>
      </w:pPr>
      <w:r w:rsidRPr="00121123">
        <w:rPr>
          <w:b/>
          <w:noProof w:val="0"/>
        </w:rPr>
        <w:t>4.7</w:t>
      </w:r>
      <w:r w:rsidRPr="00121123">
        <w:rPr>
          <w:b/>
          <w:noProof w:val="0"/>
        </w:rPr>
        <w:tab/>
        <w:t>Ovplyvnenie schopnosti viesť vozidlá a obsluhovať stroje</w:t>
      </w:r>
    </w:p>
    <w:p w14:paraId="392659FC" w14:textId="77777777" w:rsidR="00870248" w:rsidRPr="00121123" w:rsidRDefault="00870248" w:rsidP="007A3A03">
      <w:pPr>
        <w:keepLines w:val="0"/>
        <w:rPr>
          <w:noProof w:val="0"/>
        </w:rPr>
      </w:pPr>
    </w:p>
    <w:p w14:paraId="0F56FCF4" w14:textId="77777777" w:rsidR="00870248" w:rsidRPr="00121123" w:rsidRDefault="00870248" w:rsidP="007A3A03">
      <w:pPr>
        <w:keepLines w:val="0"/>
        <w:tabs>
          <w:tab w:val="clear" w:pos="567"/>
        </w:tabs>
        <w:rPr>
          <w:noProof w:val="0"/>
        </w:rPr>
      </w:pPr>
      <w:r w:rsidRPr="00121123">
        <w:rPr>
          <w:noProof w:val="0"/>
        </w:rPr>
        <w:t>Môžu sa objaviť závraty, ktoré môžu mať vplyv na schopnosť viesť vozidlá a obsluhovať stroje (pozri časť 4.8).</w:t>
      </w:r>
    </w:p>
    <w:p w14:paraId="1732DF68" w14:textId="77777777" w:rsidR="00870248" w:rsidRPr="00121123" w:rsidRDefault="00870248" w:rsidP="007A3A03">
      <w:pPr>
        <w:keepLines w:val="0"/>
        <w:tabs>
          <w:tab w:val="clear" w:pos="567"/>
        </w:tabs>
        <w:rPr>
          <w:noProof w:val="0"/>
        </w:rPr>
      </w:pPr>
    </w:p>
    <w:p w14:paraId="15B14631" w14:textId="77777777" w:rsidR="00870248" w:rsidRPr="00121123" w:rsidRDefault="00870248" w:rsidP="007A3A03">
      <w:pPr>
        <w:rPr>
          <w:b/>
          <w:noProof w:val="0"/>
        </w:rPr>
      </w:pPr>
      <w:bookmarkStart w:id="3" w:name="_4_8_Undesirable_effects"/>
      <w:bookmarkEnd w:id="3"/>
      <w:r w:rsidRPr="00121123">
        <w:rPr>
          <w:b/>
          <w:noProof w:val="0"/>
        </w:rPr>
        <w:lastRenderedPageBreak/>
        <w:t>4.8</w:t>
      </w:r>
      <w:r w:rsidRPr="00121123">
        <w:rPr>
          <w:b/>
          <w:noProof w:val="0"/>
        </w:rPr>
        <w:tab/>
        <w:t>Nežiaduce účinky</w:t>
      </w:r>
    </w:p>
    <w:p w14:paraId="4CDE7C20" w14:textId="77777777" w:rsidR="00870248" w:rsidRPr="00121123" w:rsidRDefault="00870248" w:rsidP="007A3A03">
      <w:pPr>
        <w:keepNext/>
        <w:keepLines w:val="0"/>
        <w:rPr>
          <w:noProof w:val="0"/>
        </w:rPr>
      </w:pPr>
    </w:p>
    <w:p w14:paraId="0E4CA58E" w14:textId="77777777" w:rsidR="00B57FBF" w:rsidRPr="00121123" w:rsidRDefault="005D1C3C" w:rsidP="007A3A03">
      <w:pPr>
        <w:keepNext/>
        <w:keepLines w:val="0"/>
        <w:rPr>
          <w:noProof w:val="0"/>
        </w:rPr>
      </w:pPr>
      <w:r w:rsidRPr="00121123">
        <w:rPr>
          <w:noProof w:val="0"/>
          <w:u w:val="single"/>
        </w:rPr>
        <w:t>Prehľad profilu bezpečnosti</w:t>
      </w:r>
    </w:p>
    <w:p w14:paraId="2D77E877" w14:textId="77777777" w:rsidR="001C6B0D" w:rsidRPr="00121123" w:rsidRDefault="001C6B0D" w:rsidP="007A3A03">
      <w:pPr>
        <w:keepNext/>
        <w:keepLines w:val="0"/>
        <w:rPr>
          <w:noProof w:val="0"/>
        </w:rPr>
      </w:pPr>
    </w:p>
    <w:p w14:paraId="6C1DF9B1" w14:textId="11BEB1C9" w:rsidR="0068091C" w:rsidRPr="00121123" w:rsidRDefault="00870248" w:rsidP="007A3A03">
      <w:pPr>
        <w:keepLines w:val="0"/>
        <w:tabs>
          <w:tab w:val="clear" w:pos="567"/>
        </w:tabs>
        <w:rPr>
          <w:noProof w:val="0"/>
        </w:rPr>
      </w:pPr>
      <w:r w:rsidRPr="00121123">
        <w:rPr>
          <w:noProof w:val="0"/>
        </w:rPr>
        <w:t xml:space="preserve">Celkový počet </w:t>
      </w:r>
      <w:r w:rsidR="0068091C" w:rsidRPr="00121123">
        <w:rPr>
          <w:noProof w:val="0"/>
        </w:rPr>
        <w:t xml:space="preserve">cSSTI a cIAI </w:t>
      </w:r>
      <w:r w:rsidRPr="00121123">
        <w:rPr>
          <w:noProof w:val="0"/>
        </w:rPr>
        <w:t xml:space="preserve">pacientov liečených tigecyklínom v klinických </w:t>
      </w:r>
      <w:r w:rsidR="005378B5">
        <w:rPr>
          <w:noProof w:val="0"/>
          <w:color w:val="000000"/>
        </w:rPr>
        <w:t>skúšaniach</w:t>
      </w:r>
      <w:r w:rsidR="00402271" w:rsidRPr="00121123">
        <w:rPr>
          <w:noProof w:val="0"/>
        </w:rPr>
        <w:t xml:space="preserve"> </w:t>
      </w:r>
      <w:r w:rsidRPr="00121123">
        <w:rPr>
          <w:noProof w:val="0"/>
        </w:rPr>
        <w:t>fázy </w:t>
      </w:r>
      <w:r w:rsidR="005378B5">
        <w:rPr>
          <w:noProof w:val="0"/>
        </w:rPr>
        <w:t xml:space="preserve">3 a 4 </w:t>
      </w:r>
      <w:r w:rsidRPr="00121123">
        <w:rPr>
          <w:noProof w:val="0"/>
        </w:rPr>
        <w:t xml:space="preserve">bol </w:t>
      </w:r>
      <w:r w:rsidR="003A34F4" w:rsidRPr="00121123">
        <w:rPr>
          <w:noProof w:val="0"/>
        </w:rPr>
        <w:t>2393</w:t>
      </w:r>
      <w:r w:rsidRPr="00121123">
        <w:rPr>
          <w:noProof w:val="0"/>
        </w:rPr>
        <w:t xml:space="preserve">. </w:t>
      </w:r>
    </w:p>
    <w:p w14:paraId="5500DAAF" w14:textId="77777777" w:rsidR="00870248" w:rsidRPr="00121123" w:rsidRDefault="00870248" w:rsidP="007A3A03">
      <w:pPr>
        <w:keepLines w:val="0"/>
        <w:tabs>
          <w:tab w:val="clear" w:pos="567"/>
        </w:tabs>
        <w:rPr>
          <w:noProof w:val="0"/>
        </w:rPr>
      </w:pPr>
    </w:p>
    <w:p w14:paraId="1CD24E42" w14:textId="77777777" w:rsidR="00870248" w:rsidRPr="00121123" w:rsidRDefault="00870248" w:rsidP="007A3A03">
      <w:pPr>
        <w:keepLines w:val="0"/>
        <w:tabs>
          <w:tab w:val="clear" w:pos="567"/>
        </w:tabs>
        <w:rPr>
          <w:noProof w:val="0"/>
        </w:rPr>
      </w:pPr>
      <w:r w:rsidRPr="00121123">
        <w:rPr>
          <w:noProof w:val="0"/>
        </w:rPr>
        <w:t xml:space="preserve">V klinických </w:t>
      </w:r>
      <w:r w:rsidR="00A75368" w:rsidRPr="00121123">
        <w:rPr>
          <w:noProof w:val="0"/>
        </w:rPr>
        <w:t>skúšaniach</w:t>
      </w:r>
      <w:r w:rsidRPr="00121123">
        <w:rPr>
          <w:noProof w:val="0"/>
        </w:rPr>
        <w:t xml:space="preserve"> </w:t>
      </w:r>
      <w:r w:rsidR="00453C53" w:rsidRPr="00121123">
        <w:rPr>
          <w:noProof w:val="0"/>
        </w:rPr>
        <w:t xml:space="preserve">boli </w:t>
      </w:r>
      <w:r w:rsidRPr="00121123">
        <w:rPr>
          <w:noProof w:val="0"/>
        </w:rPr>
        <w:t>naj</w:t>
      </w:r>
      <w:r w:rsidR="00F66FEE" w:rsidRPr="00121123">
        <w:rPr>
          <w:noProof w:val="0"/>
        </w:rPr>
        <w:t>častejšími</w:t>
      </w:r>
      <w:r w:rsidR="00453C53" w:rsidRPr="00121123">
        <w:rPr>
          <w:noProof w:val="0"/>
        </w:rPr>
        <w:t xml:space="preserve"> akútnymi </w:t>
      </w:r>
      <w:r w:rsidRPr="00121123">
        <w:rPr>
          <w:noProof w:val="0"/>
        </w:rPr>
        <w:t>nežiaducimi reakciami</w:t>
      </w:r>
      <w:r w:rsidR="00453C53" w:rsidRPr="00121123">
        <w:rPr>
          <w:noProof w:val="0"/>
        </w:rPr>
        <w:t xml:space="preserve"> súvisiacimi s</w:t>
      </w:r>
      <w:r w:rsidR="00035FC7" w:rsidRPr="00121123">
        <w:rPr>
          <w:noProof w:val="0"/>
        </w:rPr>
        <w:t> </w:t>
      </w:r>
      <w:r w:rsidR="00453C53" w:rsidRPr="00121123">
        <w:rPr>
          <w:noProof w:val="0"/>
        </w:rPr>
        <w:t>liekom</w:t>
      </w:r>
      <w:r w:rsidR="00035FC7" w:rsidRPr="00121123">
        <w:rPr>
          <w:noProof w:val="0"/>
        </w:rPr>
        <w:t>:</w:t>
      </w:r>
      <w:r w:rsidR="00402271" w:rsidRPr="00121123">
        <w:rPr>
          <w:noProof w:val="0"/>
        </w:rPr>
        <w:t xml:space="preserve"> </w:t>
      </w:r>
      <w:r w:rsidRPr="00121123">
        <w:rPr>
          <w:noProof w:val="0"/>
        </w:rPr>
        <w:t>reverzibilná nauzea (2</w:t>
      </w:r>
      <w:r w:rsidR="00DA3876" w:rsidRPr="00121123">
        <w:rPr>
          <w:noProof w:val="0"/>
        </w:rPr>
        <w:t>1</w:t>
      </w:r>
      <w:r w:rsidRPr="00121123">
        <w:rPr>
          <w:noProof w:val="0"/>
        </w:rPr>
        <w:t xml:space="preserve"> %) a </w:t>
      </w:r>
      <w:r w:rsidR="00522953" w:rsidRPr="00121123">
        <w:rPr>
          <w:noProof w:val="0"/>
        </w:rPr>
        <w:t xml:space="preserve">vracanie </w:t>
      </w:r>
      <w:r w:rsidRPr="00121123">
        <w:rPr>
          <w:noProof w:val="0"/>
        </w:rPr>
        <w:t>(1</w:t>
      </w:r>
      <w:r w:rsidR="00DA3876" w:rsidRPr="00121123">
        <w:rPr>
          <w:noProof w:val="0"/>
        </w:rPr>
        <w:t>3</w:t>
      </w:r>
      <w:r w:rsidRPr="00121123">
        <w:rPr>
          <w:noProof w:val="0"/>
        </w:rPr>
        <w:t xml:space="preserve"> %). Tieto sa zvyčajne objavili skoro (počas 1.</w:t>
      </w:r>
      <w:r w:rsidR="00805003" w:rsidRPr="00121123">
        <w:rPr>
          <w:noProof w:val="0"/>
        </w:rPr>
        <w:t> </w:t>
      </w:r>
      <w:r w:rsidRPr="00121123">
        <w:rPr>
          <w:noProof w:val="0"/>
        </w:rPr>
        <w:t>a</w:t>
      </w:r>
      <w:r w:rsidR="00805003" w:rsidRPr="00121123">
        <w:rPr>
          <w:noProof w:val="0"/>
        </w:rPr>
        <w:t> </w:t>
      </w:r>
      <w:r w:rsidRPr="00121123">
        <w:rPr>
          <w:noProof w:val="0"/>
        </w:rPr>
        <w:t>2.</w:t>
      </w:r>
      <w:r w:rsidR="00805003" w:rsidRPr="00121123">
        <w:rPr>
          <w:noProof w:val="0"/>
        </w:rPr>
        <w:t> </w:t>
      </w:r>
      <w:r w:rsidRPr="00121123">
        <w:rPr>
          <w:noProof w:val="0"/>
        </w:rPr>
        <w:t>dňa liečby) a</w:t>
      </w:r>
      <w:r w:rsidR="00805003" w:rsidRPr="00121123">
        <w:rPr>
          <w:noProof w:val="0"/>
        </w:rPr>
        <w:t> </w:t>
      </w:r>
      <w:r w:rsidRPr="00121123">
        <w:rPr>
          <w:noProof w:val="0"/>
        </w:rPr>
        <w:t xml:space="preserve">boli všeobecne mierne až stredne </w:t>
      </w:r>
      <w:r w:rsidR="00402271" w:rsidRPr="00121123">
        <w:rPr>
          <w:noProof w:val="0"/>
        </w:rPr>
        <w:t>ťažké</w:t>
      </w:r>
      <w:r w:rsidRPr="00121123">
        <w:rPr>
          <w:noProof w:val="0"/>
        </w:rPr>
        <w:t xml:space="preserve">. </w:t>
      </w:r>
    </w:p>
    <w:p w14:paraId="4B10F5EB" w14:textId="77777777" w:rsidR="00870248" w:rsidRPr="00121123" w:rsidRDefault="00870248" w:rsidP="007A3A03">
      <w:pPr>
        <w:keepLines w:val="0"/>
        <w:tabs>
          <w:tab w:val="clear" w:pos="567"/>
        </w:tabs>
        <w:rPr>
          <w:noProof w:val="0"/>
        </w:rPr>
      </w:pPr>
      <w:r w:rsidRPr="00121123">
        <w:rPr>
          <w:noProof w:val="0"/>
        </w:rPr>
        <w:t>Nežiaduce reakcie hlásené u </w:t>
      </w:r>
      <w:r w:rsidR="00E420D1" w:rsidRPr="00121123">
        <w:rPr>
          <w:noProof w:val="0"/>
        </w:rPr>
        <w:t xml:space="preserve">tigecyklínu </w:t>
      </w:r>
      <w:r w:rsidRPr="00121123">
        <w:rPr>
          <w:noProof w:val="0"/>
        </w:rPr>
        <w:t xml:space="preserve">vrátane klinických </w:t>
      </w:r>
      <w:r w:rsidR="00A75368" w:rsidRPr="00121123">
        <w:rPr>
          <w:noProof w:val="0"/>
        </w:rPr>
        <w:t>skúšaniach</w:t>
      </w:r>
      <w:r w:rsidRPr="00121123">
        <w:rPr>
          <w:noProof w:val="0"/>
        </w:rPr>
        <w:t xml:space="preserve"> a skúseností</w:t>
      </w:r>
      <w:r w:rsidR="00402271" w:rsidRPr="00121123">
        <w:rPr>
          <w:noProof w:val="0"/>
        </w:rPr>
        <w:t xml:space="preserve"> po uvedení lieku na trh</w:t>
      </w:r>
      <w:r w:rsidRPr="00121123">
        <w:rPr>
          <w:noProof w:val="0"/>
        </w:rPr>
        <w:t xml:space="preserve"> sú uvedené </w:t>
      </w:r>
      <w:r w:rsidR="00B55076" w:rsidRPr="00121123">
        <w:rPr>
          <w:noProof w:val="0"/>
        </w:rPr>
        <w:t xml:space="preserve">v tabuľke </w:t>
      </w:r>
      <w:r w:rsidRPr="00121123">
        <w:rPr>
          <w:noProof w:val="0"/>
        </w:rPr>
        <w:t xml:space="preserve">nižšie: </w:t>
      </w:r>
    </w:p>
    <w:p w14:paraId="64B71E32" w14:textId="77777777" w:rsidR="00870248" w:rsidRPr="00121123" w:rsidRDefault="00870248" w:rsidP="007A3A03">
      <w:pPr>
        <w:tabs>
          <w:tab w:val="clear" w:pos="567"/>
        </w:tabs>
        <w:rPr>
          <w:b/>
          <w:bCs/>
          <w:noProof w:val="0"/>
        </w:rPr>
      </w:pPr>
    </w:p>
    <w:p w14:paraId="600E5E98" w14:textId="77777777" w:rsidR="00B57FBF" w:rsidRPr="00121123" w:rsidRDefault="005D1C3C" w:rsidP="007A3A03">
      <w:pPr>
        <w:tabs>
          <w:tab w:val="clear" w:pos="567"/>
        </w:tabs>
        <w:rPr>
          <w:noProof w:val="0"/>
        </w:rPr>
      </w:pPr>
      <w:r w:rsidRPr="00121123">
        <w:rPr>
          <w:noProof w:val="0"/>
          <w:u w:val="single"/>
        </w:rPr>
        <w:t>Tabuľkový zoznam nežiaducich reakcií</w:t>
      </w:r>
    </w:p>
    <w:p w14:paraId="224FE5C8" w14:textId="77777777" w:rsidR="00D22C09" w:rsidRPr="00121123" w:rsidRDefault="00D22C09" w:rsidP="007A3A03">
      <w:pPr>
        <w:tabs>
          <w:tab w:val="clear" w:pos="567"/>
        </w:tabs>
        <w:rPr>
          <w:noProof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5"/>
        <w:gridCol w:w="733"/>
        <w:gridCol w:w="307"/>
        <w:gridCol w:w="1843"/>
        <w:gridCol w:w="1821"/>
        <w:gridCol w:w="1843"/>
        <w:gridCol w:w="1559"/>
      </w:tblGrid>
      <w:tr w:rsidR="00F24C18" w:rsidRPr="00121123" w14:paraId="6642AA38" w14:textId="77777777" w:rsidTr="008E6AE3">
        <w:trPr>
          <w:tblHeader/>
        </w:trPr>
        <w:tc>
          <w:tcPr>
            <w:tcW w:w="1925" w:type="dxa"/>
          </w:tcPr>
          <w:p w14:paraId="6E2EE718" w14:textId="77777777" w:rsidR="00F24C18" w:rsidRPr="00121123" w:rsidRDefault="00F24C18" w:rsidP="00F24C18">
            <w:pPr>
              <w:tabs>
                <w:tab w:val="clear" w:pos="567"/>
              </w:tabs>
              <w:rPr>
                <w:rFonts w:eastAsia="Calibri"/>
                <w:b/>
                <w:bCs/>
                <w:noProof w:val="0"/>
              </w:rPr>
            </w:pPr>
            <w:r w:rsidRPr="00121123">
              <w:rPr>
                <w:rFonts w:eastAsia="Calibri"/>
                <w:b/>
                <w:bCs/>
                <w:noProof w:val="0"/>
              </w:rPr>
              <w:t>Trieda orgánových systémov</w:t>
            </w:r>
          </w:p>
        </w:tc>
        <w:tc>
          <w:tcPr>
            <w:tcW w:w="1040" w:type="dxa"/>
            <w:gridSpan w:val="2"/>
          </w:tcPr>
          <w:p w14:paraId="186481D3" w14:textId="77777777" w:rsidR="00F24C18" w:rsidRPr="00121123" w:rsidRDefault="00F24C18" w:rsidP="00F24C18">
            <w:pPr>
              <w:tabs>
                <w:tab w:val="clear" w:pos="567"/>
              </w:tabs>
              <w:rPr>
                <w:rFonts w:eastAsia="Calibri"/>
                <w:b/>
                <w:bCs/>
                <w:noProof w:val="0"/>
              </w:rPr>
            </w:pPr>
            <w:r w:rsidRPr="00121123">
              <w:rPr>
                <w:rFonts w:eastAsia="Calibri"/>
                <w:b/>
                <w:bCs/>
                <w:noProof w:val="0"/>
              </w:rPr>
              <w:t>Veľmi časté (≥1/10)</w:t>
            </w:r>
          </w:p>
        </w:tc>
        <w:tc>
          <w:tcPr>
            <w:tcW w:w="1843" w:type="dxa"/>
          </w:tcPr>
          <w:p w14:paraId="62D54A1A" w14:textId="77777777" w:rsidR="00F24C18" w:rsidRPr="00121123" w:rsidRDefault="00F24C18" w:rsidP="00F24C18">
            <w:pPr>
              <w:tabs>
                <w:tab w:val="clear" w:pos="567"/>
              </w:tabs>
              <w:rPr>
                <w:rFonts w:eastAsia="Calibri"/>
                <w:b/>
                <w:bCs/>
                <w:noProof w:val="0"/>
              </w:rPr>
            </w:pPr>
            <w:r w:rsidRPr="00121123">
              <w:rPr>
                <w:rFonts w:eastAsia="Calibri"/>
                <w:b/>
                <w:bCs/>
                <w:noProof w:val="0"/>
              </w:rPr>
              <w:t xml:space="preserve">Časté ≥1/100 až </w:t>
            </w:r>
            <w:r w:rsidRPr="00121123">
              <w:rPr>
                <w:rFonts w:eastAsia="Calibri"/>
                <w:b/>
                <w:bCs/>
                <w:noProof w:val="0"/>
              </w:rPr>
              <w:sym w:font="Symbol" w:char="F03C"/>
            </w:r>
            <w:r w:rsidRPr="00121123">
              <w:rPr>
                <w:rFonts w:eastAsia="Calibri"/>
                <w:b/>
                <w:bCs/>
                <w:noProof w:val="0"/>
              </w:rPr>
              <w:t>1/10</w:t>
            </w:r>
          </w:p>
        </w:tc>
        <w:tc>
          <w:tcPr>
            <w:tcW w:w="1821" w:type="dxa"/>
          </w:tcPr>
          <w:p w14:paraId="2B88A81B" w14:textId="77777777" w:rsidR="00F24C18" w:rsidRPr="00121123" w:rsidRDefault="00F24C18" w:rsidP="00F24C18">
            <w:pPr>
              <w:tabs>
                <w:tab w:val="clear" w:pos="567"/>
              </w:tabs>
              <w:rPr>
                <w:rFonts w:eastAsia="Calibri"/>
                <w:b/>
                <w:bCs/>
                <w:noProof w:val="0"/>
              </w:rPr>
            </w:pPr>
            <w:r w:rsidRPr="00121123">
              <w:rPr>
                <w:rFonts w:eastAsia="Calibri"/>
                <w:b/>
                <w:bCs/>
                <w:noProof w:val="0"/>
              </w:rPr>
              <w:t xml:space="preserve">Menej časté ≥1/1 000 až </w:t>
            </w:r>
            <w:r w:rsidRPr="00121123">
              <w:rPr>
                <w:rFonts w:eastAsia="Calibri"/>
                <w:b/>
                <w:bCs/>
                <w:noProof w:val="0"/>
              </w:rPr>
              <w:sym w:font="Symbol" w:char="F03C"/>
            </w:r>
            <w:r w:rsidRPr="00121123">
              <w:rPr>
                <w:rFonts w:eastAsia="Calibri"/>
                <w:b/>
                <w:bCs/>
                <w:noProof w:val="0"/>
              </w:rPr>
              <w:t>1/100</w:t>
            </w:r>
          </w:p>
        </w:tc>
        <w:tc>
          <w:tcPr>
            <w:tcW w:w="1843" w:type="dxa"/>
          </w:tcPr>
          <w:p w14:paraId="34A5D36C" w14:textId="77777777" w:rsidR="00F24C18" w:rsidRPr="00DF6976" w:rsidRDefault="00F24C18" w:rsidP="00F24C18">
            <w:pPr>
              <w:pStyle w:val="TableText"/>
              <w:keepNext/>
              <w:rPr>
                <w:b/>
                <w:color w:val="000000"/>
                <w:sz w:val="22"/>
                <w:szCs w:val="22"/>
                <w:lang w:val="sk-SK"/>
              </w:rPr>
            </w:pPr>
            <w:r w:rsidRPr="00DF6976">
              <w:rPr>
                <w:b/>
                <w:color w:val="000000"/>
                <w:sz w:val="22"/>
                <w:szCs w:val="22"/>
                <w:lang w:val="sk-SK"/>
              </w:rPr>
              <w:t>Zriedkavé</w:t>
            </w:r>
          </w:p>
          <w:p w14:paraId="58ACB83D" w14:textId="77777777" w:rsidR="00F24C18" w:rsidRPr="00DF6976" w:rsidRDefault="00F24C18" w:rsidP="00F24C18">
            <w:pPr>
              <w:pStyle w:val="TableText"/>
              <w:keepNext/>
              <w:rPr>
                <w:b/>
                <w:color w:val="000000"/>
                <w:sz w:val="22"/>
                <w:szCs w:val="22"/>
                <w:lang w:val="sk-SK"/>
              </w:rPr>
            </w:pPr>
            <w:r w:rsidRPr="00DF6976">
              <w:rPr>
                <w:b/>
                <w:color w:val="000000"/>
                <w:sz w:val="22"/>
                <w:szCs w:val="22"/>
                <w:lang w:val="sk-SK"/>
              </w:rPr>
              <w:t>≥ 1/10 000 až &lt; 1/1 000</w:t>
            </w:r>
          </w:p>
          <w:p w14:paraId="7524EC7A" w14:textId="77777777" w:rsidR="00F24C18" w:rsidRPr="00121123" w:rsidRDefault="00F24C18" w:rsidP="00F24C18">
            <w:pPr>
              <w:tabs>
                <w:tab w:val="clear" w:pos="567"/>
              </w:tabs>
              <w:rPr>
                <w:rFonts w:eastAsia="Calibri"/>
                <w:b/>
                <w:bCs/>
                <w:noProof w:val="0"/>
              </w:rPr>
            </w:pPr>
          </w:p>
        </w:tc>
        <w:tc>
          <w:tcPr>
            <w:tcW w:w="1559" w:type="dxa"/>
          </w:tcPr>
          <w:p w14:paraId="2490E8E0" w14:textId="77777777" w:rsidR="00F24C18" w:rsidRPr="00121123" w:rsidRDefault="00F24C18" w:rsidP="00F24C18">
            <w:pPr>
              <w:tabs>
                <w:tab w:val="clear" w:pos="567"/>
              </w:tabs>
              <w:rPr>
                <w:rFonts w:eastAsia="Calibri"/>
                <w:b/>
                <w:noProof w:val="0"/>
                <w:u w:val="single"/>
              </w:rPr>
            </w:pPr>
            <w:r w:rsidRPr="00121123">
              <w:rPr>
                <w:rFonts w:eastAsia="Calibri"/>
                <w:b/>
                <w:bCs/>
                <w:noProof w:val="0"/>
              </w:rPr>
              <w:t>Neznáme (z dostupných údajov)</w:t>
            </w:r>
          </w:p>
        </w:tc>
      </w:tr>
      <w:tr w:rsidR="00F24C18" w:rsidRPr="00121123" w14:paraId="0DDDE227" w14:textId="77777777" w:rsidTr="008E6AE3">
        <w:tc>
          <w:tcPr>
            <w:tcW w:w="1925" w:type="dxa"/>
          </w:tcPr>
          <w:p w14:paraId="2689262C" w14:textId="77777777" w:rsidR="00F24C18" w:rsidRPr="00121123" w:rsidRDefault="00F24C18" w:rsidP="00F24C18">
            <w:pPr>
              <w:tabs>
                <w:tab w:val="clear" w:pos="567"/>
              </w:tabs>
              <w:rPr>
                <w:rFonts w:eastAsia="Calibri"/>
                <w:noProof w:val="0"/>
              </w:rPr>
            </w:pPr>
            <w:r w:rsidRPr="00121123">
              <w:rPr>
                <w:rFonts w:eastAsia="Calibri"/>
                <w:noProof w:val="0"/>
              </w:rPr>
              <w:t>Infekcie a nákazy</w:t>
            </w:r>
          </w:p>
        </w:tc>
        <w:tc>
          <w:tcPr>
            <w:tcW w:w="1040" w:type="dxa"/>
            <w:gridSpan w:val="2"/>
          </w:tcPr>
          <w:p w14:paraId="768A3B2D" w14:textId="77777777" w:rsidR="00F24C18" w:rsidRPr="00121123" w:rsidRDefault="00F24C18" w:rsidP="00F24C18">
            <w:pPr>
              <w:tabs>
                <w:tab w:val="clear" w:pos="567"/>
              </w:tabs>
              <w:rPr>
                <w:rFonts w:eastAsia="Calibri"/>
                <w:noProof w:val="0"/>
              </w:rPr>
            </w:pPr>
          </w:p>
        </w:tc>
        <w:tc>
          <w:tcPr>
            <w:tcW w:w="1843" w:type="dxa"/>
          </w:tcPr>
          <w:p w14:paraId="300D1B58" w14:textId="77777777" w:rsidR="00F24C18" w:rsidRPr="00121123" w:rsidRDefault="00F24C18" w:rsidP="00F24C18">
            <w:pPr>
              <w:tabs>
                <w:tab w:val="clear" w:pos="567"/>
              </w:tabs>
              <w:rPr>
                <w:rFonts w:eastAsia="Calibri"/>
                <w:noProof w:val="0"/>
              </w:rPr>
            </w:pPr>
            <w:r w:rsidRPr="00121123">
              <w:rPr>
                <w:rFonts w:eastAsia="Calibri"/>
                <w:noProof w:val="0"/>
              </w:rPr>
              <w:t>sepsa/septický šok, pneumónia, absces, infekcie</w:t>
            </w:r>
          </w:p>
        </w:tc>
        <w:tc>
          <w:tcPr>
            <w:tcW w:w="1821" w:type="dxa"/>
          </w:tcPr>
          <w:p w14:paraId="01DECB53" w14:textId="77777777" w:rsidR="00F24C18" w:rsidRPr="00121123" w:rsidRDefault="00F24C18" w:rsidP="00F24C18">
            <w:pPr>
              <w:tabs>
                <w:tab w:val="clear" w:pos="567"/>
              </w:tabs>
              <w:rPr>
                <w:rFonts w:eastAsia="Calibri"/>
                <w:noProof w:val="0"/>
              </w:rPr>
            </w:pPr>
          </w:p>
        </w:tc>
        <w:tc>
          <w:tcPr>
            <w:tcW w:w="1843" w:type="dxa"/>
          </w:tcPr>
          <w:p w14:paraId="5B2AE626" w14:textId="77777777" w:rsidR="00F24C18" w:rsidRPr="00121123" w:rsidRDefault="00F24C18" w:rsidP="00F24C18">
            <w:pPr>
              <w:tabs>
                <w:tab w:val="clear" w:pos="567"/>
              </w:tabs>
              <w:rPr>
                <w:rFonts w:eastAsia="Calibri"/>
                <w:noProof w:val="0"/>
              </w:rPr>
            </w:pPr>
          </w:p>
        </w:tc>
        <w:tc>
          <w:tcPr>
            <w:tcW w:w="1559" w:type="dxa"/>
          </w:tcPr>
          <w:p w14:paraId="17CC2616" w14:textId="77777777" w:rsidR="00F24C18" w:rsidRPr="00121123" w:rsidRDefault="00F24C18" w:rsidP="00F24C18">
            <w:pPr>
              <w:tabs>
                <w:tab w:val="clear" w:pos="567"/>
              </w:tabs>
              <w:rPr>
                <w:rFonts w:eastAsia="Calibri"/>
                <w:noProof w:val="0"/>
              </w:rPr>
            </w:pPr>
          </w:p>
        </w:tc>
      </w:tr>
      <w:tr w:rsidR="00F24C18" w:rsidRPr="00121123" w14:paraId="0EE186ED" w14:textId="77777777" w:rsidTr="008E6AE3">
        <w:tc>
          <w:tcPr>
            <w:tcW w:w="1925" w:type="dxa"/>
          </w:tcPr>
          <w:p w14:paraId="1439A293" w14:textId="77777777" w:rsidR="00F24C18" w:rsidRPr="00121123" w:rsidRDefault="00F24C18" w:rsidP="00F24C18">
            <w:pPr>
              <w:tabs>
                <w:tab w:val="clear" w:pos="567"/>
              </w:tabs>
              <w:rPr>
                <w:rFonts w:eastAsia="Calibri"/>
                <w:noProof w:val="0"/>
              </w:rPr>
            </w:pPr>
            <w:r w:rsidRPr="00121123">
              <w:rPr>
                <w:rFonts w:eastAsia="Calibri"/>
                <w:noProof w:val="0"/>
              </w:rPr>
              <w:t>Poruchy krvi a lymfatického systému</w:t>
            </w:r>
          </w:p>
        </w:tc>
        <w:tc>
          <w:tcPr>
            <w:tcW w:w="1040" w:type="dxa"/>
            <w:gridSpan w:val="2"/>
          </w:tcPr>
          <w:p w14:paraId="021EA1EB" w14:textId="77777777" w:rsidR="00F24C18" w:rsidRPr="00121123" w:rsidRDefault="00F24C18" w:rsidP="00F24C18">
            <w:pPr>
              <w:tabs>
                <w:tab w:val="clear" w:pos="567"/>
              </w:tabs>
              <w:rPr>
                <w:rFonts w:eastAsia="Calibri"/>
                <w:noProof w:val="0"/>
              </w:rPr>
            </w:pPr>
          </w:p>
        </w:tc>
        <w:tc>
          <w:tcPr>
            <w:tcW w:w="1843" w:type="dxa"/>
          </w:tcPr>
          <w:p w14:paraId="6C3676E8" w14:textId="77777777" w:rsidR="00F24C18" w:rsidRPr="00121123" w:rsidRDefault="00F24C18" w:rsidP="00F24C18">
            <w:pPr>
              <w:tabs>
                <w:tab w:val="clear" w:pos="567"/>
              </w:tabs>
              <w:rPr>
                <w:rFonts w:eastAsia="Calibri"/>
                <w:noProof w:val="0"/>
              </w:rPr>
            </w:pPr>
            <w:r w:rsidRPr="00121123">
              <w:rPr>
                <w:rFonts w:eastAsia="Calibri"/>
                <w:noProof w:val="0"/>
              </w:rPr>
              <w:t>predĺžený aktivovaný parciálny tromboplastínový čas (aPTT), predĺžený protrombínový čas (PT)</w:t>
            </w:r>
          </w:p>
        </w:tc>
        <w:tc>
          <w:tcPr>
            <w:tcW w:w="1821" w:type="dxa"/>
          </w:tcPr>
          <w:p w14:paraId="007C8784" w14:textId="77777777" w:rsidR="00F24C18" w:rsidRPr="00121123" w:rsidRDefault="00F24C18" w:rsidP="00F24C18">
            <w:pPr>
              <w:tabs>
                <w:tab w:val="clear" w:pos="567"/>
              </w:tabs>
              <w:rPr>
                <w:rFonts w:eastAsia="Calibri"/>
                <w:noProof w:val="0"/>
              </w:rPr>
            </w:pPr>
            <w:r w:rsidRPr="00121123">
              <w:rPr>
                <w:rFonts w:eastAsia="Calibri"/>
                <w:noProof w:val="0"/>
              </w:rPr>
              <w:t xml:space="preserve">trombocytopénia, zvýšený </w:t>
            </w:r>
            <w:r w:rsidRPr="00121123">
              <w:rPr>
                <w:rStyle w:val="Emphasis"/>
                <w:b w:val="0"/>
              </w:rPr>
              <w:t>medzinárodný normalizovaný pomer</w:t>
            </w:r>
            <w:r w:rsidRPr="00121123">
              <w:rPr>
                <w:rFonts w:eastAsia="Calibri"/>
                <w:noProof w:val="0"/>
              </w:rPr>
              <w:t xml:space="preserve"> (INR) </w:t>
            </w:r>
          </w:p>
        </w:tc>
        <w:tc>
          <w:tcPr>
            <w:tcW w:w="1843" w:type="dxa"/>
          </w:tcPr>
          <w:p w14:paraId="44678647" w14:textId="77777777" w:rsidR="00F24C18" w:rsidRPr="00121123" w:rsidRDefault="00F24C18" w:rsidP="00F24C18">
            <w:pPr>
              <w:tabs>
                <w:tab w:val="clear" w:pos="567"/>
              </w:tabs>
              <w:rPr>
                <w:rFonts w:eastAsia="Calibri"/>
                <w:noProof w:val="0"/>
              </w:rPr>
            </w:pPr>
            <w:r w:rsidRPr="00DF6976">
              <w:rPr>
                <w:rFonts w:eastAsia="Calibri"/>
                <w:noProof w:val="0"/>
                <w:color w:val="000000"/>
              </w:rPr>
              <w:t>hypofibrinogené</w:t>
            </w:r>
            <w:r w:rsidRPr="00DF6976">
              <w:rPr>
                <w:rFonts w:eastAsia="Calibri"/>
                <w:noProof w:val="0"/>
                <w:color w:val="000000"/>
              </w:rPr>
              <w:softHyphen/>
              <w:t>mia</w:t>
            </w:r>
          </w:p>
        </w:tc>
        <w:tc>
          <w:tcPr>
            <w:tcW w:w="1559" w:type="dxa"/>
          </w:tcPr>
          <w:p w14:paraId="52973BE4" w14:textId="77777777" w:rsidR="00F24C18" w:rsidRPr="00121123" w:rsidRDefault="00F24C18" w:rsidP="00F24C18">
            <w:pPr>
              <w:tabs>
                <w:tab w:val="clear" w:pos="567"/>
              </w:tabs>
              <w:rPr>
                <w:rFonts w:eastAsia="Calibri"/>
                <w:noProof w:val="0"/>
              </w:rPr>
            </w:pPr>
          </w:p>
        </w:tc>
      </w:tr>
      <w:tr w:rsidR="00F24C18" w:rsidRPr="00121123" w14:paraId="222E6B10" w14:textId="77777777" w:rsidTr="008E6AE3">
        <w:tc>
          <w:tcPr>
            <w:tcW w:w="1925" w:type="dxa"/>
          </w:tcPr>
          <w:p w14:paraId="7D01F78E" w14:textId="77777777" w:rsidR="00F24C18" w:rsidRPr="00121123" w:rsidRDefault="00F24C18" w:rsidP="00F24C18">
            <w:pPr>
              <w:keepNext/>
              <w:tabs>
                <w:tab w:val="clear" w:pos="567"/>
              </w:tabs>
              <w:rPr>
                <w:rFonts w:eastAsia="Calibri"/>
                <w:noProof w:val="0"/>
              </w:rPr>
            </w:pPr>
            <w:r w:rsidRPr="00121123">
              <w:rPr>
                <w:rFonts w:eastAsia="Calibri"/>
                <w:noProof w:val="0"/>
              </w:rPr>
              <w:t>Poruchy imunitného systému</w:t>
            </w:r>
          </w:p>
        </w:tc>
        <w:tc>
          <w:tcPr>
            <w:tcW w:w="1040" w:type="dxa"/>
            <w:gridSpan w:val="2"/>
          </w:tcPr>
          <w:p w14:paraId="4F82EB09" w14:textId="77777777" w:rsidR="00F24C18" w:rsidRPr="00121123" w:rsidRDefault="00F24C18" w:rsidP="00F24C18">
            <w:pPr>
              <w:keepNext/>
              <w:tabs>
                <w:tab w:val="clear" w:pos="567"/>
              </w:tabs>
              <w:rPr>
                <w:rFonts w:eastAsia="Calibri"/>
                <w:noProof w:val="0"/>
              </w:rPr>
            </w:pPr>
          </w:p>
        </w:tc>
        <w:tc>
          <w:tcPr>
            <w:tcW w:w="1843" w:type="dxa"/>
          </w:tcPr>
          <w:p w14:paraId="6C7F9A33" w14:textId="77777777" w:rsidR="00F24C18" w:rsidRPr="00121123" w:rsidRDefault="00F24C18" w:rsidP="00F24C18">
            <w:pPr>
              <w:keepNext/>
              <w:tabs>
                <w:tab w:val="clear" w:pos="567"/>
              </w:tabs>
              <w:rPr>
                <w:rFonts w:eastAsia="Calibri"/>
                <w:noProof w:val="0"/>
              </w:rPr>
            </w:pPr>
          </w:p>
        </w:tc>
        <w:tc>
          <w:tcPr>
            <w:tcW w:w="1821" w:type="dxa"/>
          </w:tcPr>
          <w:p w14:paraId="764B7FE0" w14:textId="77777777" w:rsidR="00F24C18" w:rsidRPr="00121123" w:rsidRDefault="00F24C18" w:rsidP="00F24C18">
            <w:pPr>
              <w:keepNext/>
              <w:tabs>
                <w:tab w:val="clear" w:pos="567"/>
              </w:tabs>
              <w:rPr>
                <w:rFonts w:eastAsia="Calibri"/>
                <w:noProof w:val="0"/>
              </w:rPr>
            </w:pPr>
          </w:p>
        </w:tc>
        <w:tc>
          <w:tcPr>
            <w:tcW w:w="1843" w:type="dxa"/>
          </w:tcPr>
          <w:p w14:paraId="49759D33" w14:textId="77777777" w:rsidR="00F24C18" w:rsidRPr="00121123" w:rsidRDefault="00F24C18" w:rsidP="00F24C18">
            <w:pPr>
              <w:keepNext/>
              <w:tabs>
                <w:tab w:val="clear" w:pos="567"/>
              </w:tabs>
              <w:rPr>
                <w:rFonts w:eastAsia="Calibri"/>
                <w:noProof w:val="0"/>
              </w:rPr>
            </w:pPr>
          </w:p>
        </w:tc>
        <w:tc>
          <w:tcPr>
            <w:tcW w:w="1559" w:type="dxa"/>
          </w:tcPr>
          <w:p w14:paraId="401C8BDD" w14:textId="77777777" w:rsidR="00F24C18" w:rsidRPr="00121123" w:rsidRDefault="00F24C18" w:rsidP="00F24C18">
            <w:pPr>
              <w:keepNext/>
              <w:tabs>
                <w:tab w:val="clear" w:pos="567"/>
              </w:tabs>
              <w:rPr>
                <w:rFonts w:eastAsia="Calibri"/>
                <w:noProof w:val="0"/>
              </w:rPr>
            </w:pPr>
            <w:r w:rsidRPr="00121123">
              <w:rPr>
                <w:rFonts w:eastAsia="Calibri"/>
                <w:noProof w:val="0"/>
              </w:rPr>
              <w:t>anafylaxia/</w:t>
            </w:r>
            <w:r>
              <w:rPr>
                <w:rFonts w:eastAsia="Calibri"/>
                <w:noProof w:val="0"/>
              </w:rPr>
              <w:t xml:space="preserve"> </w:t>
            </w:r>
            <w:r w:rsidRPr="00121123">
              <w:rPr>
                <w:rFonts w:eastAsia="Calibri"/>
                <w:noProof w:val="0"/>
              </w:rPr>
              <w:t>anafylaktoidné reakcie</w:t>
            </w:r>
            <w:r w:rsidRPr="00121123">
              <w:rPr>
                <w:vertAlign w:val="superscript"/>
              </w:rPr>
              <w:t>*</w:t>
            </w:r>
            <w:r w:rsidRPr="00121123">
              <w:rPr>
                <w:rFonts w:eastAsia="Calibri"/>
                <w:noProof w:val="0"/>
              </w:rPr>
              <w:t xml:space="preserve"> (pozri časti 4.3 a 4.4)</w:t>
            </w:r>
          </w:p>
        </w:tc>
      </w:tr>
      <w:tr w:rsidR="00F24C18" w:rsidRPr="00121123" w14:paraId="79A72969" w14:textId="77777777" w:rsidTr="008E6AE3">
        <w:tc>
          <w:tcPr>
            <w:tcW w:w="1925" w:type="dxa"/>
          </w:tcPr>
          <w:p w14:paraId="69CE0D1E" w14:textId="77777777" w:rsidR="00F24C18" w:rsidRPr="00121123" w:rsidRDefault="00F24C18" w:rsidP="00F24C18">
            <w:pPr>
              <w:keepNext/>
              <w:tabs>
                <w:tab w:val="clear" w:pos="567"/>
              </w:tabs>
              <w:rPr>
                <w:rFonts w:eastAsia="Calibri"/>
                <w:noProof w:val="0"/>
              </w:rPr>
            </w:pPr>
            <w:r w:rsidRPr="00121123">
              <w:rPr>
                <w:rFonts w:eastAsia="Calibri"/>
                <w:noProof w:val="0"/>
              </w:rPr>
              <w:t>Poruchy metabolizmu a výživy</w:t>
            </w:r>
          </w:p>
        </w:tc>
        <w:tc>
          <w:tcPr>
            <w:tcW w:w="1040" w:type="dxa"/>
            <w:gridSpan w:val="2"/>
          </w:tcPr>
          <w:p w14:paraId="20DA1C9B" w14:textId="77777777" w:rsidR="00F24C18" w:rsidRPr="00121123" w:rsidRDefault="00F24C18" w:rsidP="00F24C18">
            <w:pPr>
              <w:keepNext/>
              <w:tabs>
                <w:tab w:val="clear" w:pos="567"/>
              </w:tabs>
              <w:rPr>
                <w:rFonts w:eastAsia="Calibri"/>
                <w:noProof w:val="0"/>
              </w:rPr>
            </w:pPr>
          </w:p>
        </w:tc>
        <w:tc>
          <w:tcPr>
            <w:tcW w:w="1843" w:type="dxa"/>
          </w:tcPr>
          <w:p w14:paraId="6A881E94" w14:textId="77777777" w:rsidR="00F24C18" w:rsidRPr="00121123" w:rsidRDefault="00F24C18" w:rsidP="00F24C18">
            <w:pPr>
              <w:keepNext/>
              <w:tabs>
                <w:tab w:val="clear" w:pos="567"/>
              </w:tabs>
              <w:rPr>
                <w:rFonts w:eastAsia="Calibri"/>
                <w:noProof w:val="0"/>
              </w:rPr>
            </w:pPr>
            <w:r w:rsidRPr="00121123">
              <w:rPr>
                <w:rFonts w:eastAsia="Calibri"/>
                <w:noProof w:val="0"/>
              </w:rPr>
              <w:t>hypoglykémia, hypoproteinémia</w:t>
            </w:r>
          </w:p>
        </w:tc>
        <w:tc>
          <w:tcPr>
            <w:tcW w:w="1821" w:type="dxa"/>
          </w:tcPr>
          <w:p w14:paraId="0309FD6B" w14:textId="77777777" w:rsidR="00F24C18" w:rsidRPr="00121123" w:rsidRDefault="00F24C18" w:rsidP="00F24C18">
            <w:pPr>
              <w:keepNext/>
              <w:tabs>
                <w:tab w:val="clear" w:pos="567"/>
              </w:tabs>
              <w:rPr>
                <w:rFonts w:eastAsia="Calibri"/>
                <w:noProof w:val="0"/>
              </w:rPr>
            </w:pPr>
          </w:p>
        </w:tc>
        <w:tc>
          <w:tcPr>
            <w:tcW w:w="1843" w:type="dxa"/>
          </w:tcPr>
          <w:p w14:paraId="314BA9B2" w14:textId="77777777" w:rsidR="00F24C18" w:rsidRPr="00121123" w:rsidRDefault="00F24C18" w:rsidP="00F24C18">
            <w:pPr>
              <w:keepNext/>
              <w:tabs>
                <w:tab w:val="clear" w:pos="567"/>
              </w:tabs>
              <w:rPr>
                <w:rFonts w:eastAsia="Calibri"/>
                <w:noProof w:val="0"/>
              </w:rPr>
            </w:pPr>
          </w:p>
        </w:tc>
        <w:tc>
          <w:tcPr>
            <w:tcW w:w="1559" w:type="dxa"/>
          </w:tcPr>
          <w:p w14:paraId="3EB9D181" w14:textId="77777777" w:rsidR="00F24C18" w:rsidRPr="00121123" w:rsidRDefault="00F24C18" w:rsidP="00F24C18">
            <w:pPr>
              <w:keepNext/>
              <w:tabs>
                <w:tab w:val="clear" w:pos="567"/>
              </w:tabs>
              <w:rPr>
                <w:rFonts w:eastAsia="Calibri"/>
                <w:noProof w:val="0"/>
              </w:rPr>
            </w:pPr>
          </w:p>
        </w:tc>
      </w:tr>
      <w:tr w:rsidR="00F24C18" w:rsidRPr="00121123" w14:paraId="04CCDF03" w14:textId="77777777" w:rsidTr="008E6AE3">
        <w:tc>
          <w:tcPr>
            <w:tcW w:w="1925" w:type="dxa"/>
          </w:tcPr>
          <w:p w14:paraId="1CECA266" w14:textId="77777777" w:rsidR="00F24C18" w:rsidRPr="00121123" w:rsidRDefault="00F24C18" w:rsidP="00F24C18">
            <w:pPr>
              <w:keepNext/>
              <w:tabs>
                <w:tab w:val="clear" w:pos="567"/>
              </w:tabs>
              <w:rPr>
                <w:rFonts w:eastAsia="Calibri"/>
                <w:noProof w:val="0"/>
              </w:rPr>
            </w:pPr>
            <w:r w:rsidRPr="00121123">
              <w:rPr>
                <w:rFonts w:eastAsia="Calibri"/>
                <w:noProof w:val="0"/>
              </w:rPr>
              <w:t>Poruchy nervového systému</w:t>
            </w:r>
          </w:p>
        </w:tc>
        <w:tc>
          <w:tcPr>
            <w:tcW w:w="1040" w:type="dxa"/>
            <w:gridSpan w:val="2"/>
          </w:tcPr>
          <w:p w14:paraId="3D1EE345" w14:textId="77777777" w:rsidR="00F24C18" w:rsidRPr="00121123" w:rsidRDefault="00F24C18" w:rsidP="00F24C18">
            <w:pPr>
              <w:keepNext/>
              <w:tabs>
                <w:tab w:val="clear" w:pos="567"/>
              </w:tabs>
              <w:rPr>
                <w:rFonts w:eastAsia="Calibri"/>
                <w:noProof w:val="0"/>
              </w:rPr>
            </w:pPr>
          </w:p>
        </w:tc>
        <w:tc>
          <w:tcPr>
            <w:tcW w:w="1843" w:type="dxa"/>
          </w:tcPr>
          <w:p w14:paraId="65019B17" w14:textId="77777777" w:rsidR="00F24C18" w:rsidRPr="00121123" w:rsidRDefault="00F24C18" w:rsidP="00F24C18">
            <w:pPr>
              <w:keepNext/>
              <w:tabs>
                <w:tab w:val="clear" w:pos="567"/>
              </w:tabs>
              <w:rPr>
                <w:rFonts w:eastAsia="Calibri"/>
                <w:noProof w:val="0"/>
              </w:rPr>
            </w:pPr>
            <w:r w:rsidRPr="00121123">
              <w:rPr>
                <w:rFonts w:eastAsia="Calibri"/>
                <w:noProof w:val="0"/>
              </w:rPr>
              <w:t>závraty</w:t>
            </w:r>
          </w:p>
        </w:tc>
        <w:tc>
          <w:tcPr>
            <w:tcW w:w="1821" w:type="dxa"/>
          </w:tcPr>
          <w:p w14:paraId="09A7B712" w14:textId="77777777" w:rsidR="00F24C18" w:rsidRPr="00121123" w:rsidRDefault="00F24C18" w:rsidP="00F24C18">
            <w:pPr>
              <w:keepNext/>
              <w:tabs>
                <w:tab w:val="clear" w:pos="567"/>
              </w:tabs>
              <w:rPr>
                <w:rFonts w:eastAsia="Calibri"/>
                <w:noProof w:val="0"/>
              </w:rPr>
            </w:pPr>
          </w:p>
        </w:tc>
        <w:tc>
          <w:tcPr>
            <w:tcW w:w="1843" w:type="dxa"/>
          </w:tcPr>
          <w:p w14:paraId="0226EEBB" w14:textId="77777777" w:rsidR="00F24C18" w:rsidRPr="00121123" w:rsidRDefault="00F24C18" w:rsidP="00F24C18">
            <w:pPr>
              <w:keepNext/>
              <w:tabs>
                <w:tab w:val="clear" w:pos="567"/>
              </w:tabs>
              <w:rPr>
                <w:rFonts w:eastAsia="Calibri"/>
                <w:noProof w:val="0"/>
              </w:rPr>
            </w:pPr>
          </w:p>
        </w:tc>
        <w:tc>
          <w:tcPr>
            <w:tcW w:w="1559" w:type="dxa"/>
          </w:tcPr>
          <w:p w14:paraId="2AA13076" w14:textId="77777777" w:rsidR="00F24C18" w:rsidRPr="00121123" w:rsidRDefault="00F24C18" w:rsidP="00F24C18">
            <w:pPr>
              <w:keepNext/>
              <w:tabs>
                <w:tab w:val="clear" w:pos="567"/>
              </w:tabs>
              <w:rPr>
                <w:rFonts w:eastAsia="Calibri"/>
                <w:noProof w:val="0"/>
              </w:rPr>
            </w:pPr>
          </w:p>
        </w:tc>
      </w:tr>
      <w:tr w:rsidR="00F24C18" w:rsidRPr="00121123" w14:paraId="5EE7EDCA" w14:textId="77777777" w:rsidTr="008E6AE3">
        <w:tc>
          <w:tcPr>
            <w:tcW w:w="1925" w:type="dxa"/>
          </w:tcPr>
          <w:p w14:paraId="42942CCA" w14:textId="77777777" w:rsidR="00F24C18" w:rsidRPr="00121123" w:rsidRDefault="00F24C18" w:rsidP="00F24C18">
            <w:pPr>
              <w:keepLines w:val="0"/>
              <w:tabs>
                <w:tab w:val="clear" w:pos="567"/>
              </w:tabs>
              <w:rPr>
                <w:rFonts w:eastAsia="Calibri"/>
                <w:iCs/>
                <w:noProof w:val="0"/>
              </w:rPr>
            </w:pPr>
            <w:r w:rsidRPr="00121123">
              <w:rPr>
                <w:rFonts w:eastAsia="Calibri"/>
                <w:iCs/>
                <w:noProof w:val="0"/>
              </w:rPr>
              <w:t>Poruchy ciev</w:t>
            </w:r>
          </w:p>
        </w:tc>
        <w:tc>
          <w:tcPr>
            <w:tcW w:w="1040" w:type="dxa"/>
            <w:gridSpan w:val="2"/>
          </w:tcPr>
          <w:p w14:paraId="49870BC9" w14:textId="77777777" w:rsidR="00F24C18" w:rsidRPr="00121123" w:rsidRDefault="00F24C18" w:rsidP="00F24C18">
            <w:pPr>
              <w:keepLines w:val="0"/>
              <w:tabs>
                <w:tab w:val="clear" w:pos="567"/>
              </w:tabs>
              <w:rPr>
                <w:rFonts w:eastAsia="Calibri"/>
                <w:iCs/>
                <w:noProof w:val="0"/>
              </w:rPr>
            </w:pPr>
          </w:p>
        </w:tc>
        <w:tc>
          <w:tcPr>
            <w:tcW w:w="1843" w:type="dxa"/>
          </w:tcPr>
          <w:p w14:paraId="5CDC0605" w14:textId="77777777" w:rsidR="00F24C18" w:rsidRPr="00121123" w:rsidRDefault="00F24C18" w:rsidP="00F24C18">
            <w:pPr>
              <w:keepLines w:val="0"/>
              <w:tabs>
                <w:tab w:val="clear" w:pos="567"/>
              </w:tabs>
              <w:rPr>
                <w:rFonts w:eastAsia="Calibri"/>
                <w:noProof w:val="0"/>
              </w:rPr>
            </w:pPr>
            <w:r w:rsidRPr="00121123">
              <w:rPr>
                <w:rFonts w:eastAsia="Calibri"/>
                <w:noProof w:val="0"/>
              </w:rPr>
              <w:t>flebitída</w:t>
            </w:r>
          </w:p>
        </w:tc>
        <w:tc>
          <w:tcPr>
            <w:tcW w:w="1821" w:type="dxa"/>
          </w:tcPr>
          <w:p w14:paraId="7FDFCC26" w14:textId="77777777" w:rsidR="00F24C18" w:rsidRPr="00121123" w:rsidRDefault="00F24C18" w:rsidP="00F24C18">
            <w:pPr>
              <w:keepLines w:val="0"/>
              <w:tabs>
                <w:tab w:val="clear" w:pos="567"/>
              </w:tabs>
              <w:rPr>
                <w:rFonts w:eastAsia="Calibri"/>
                <w:noProof w:val="0"/>
              </w:rPr>
            </w:pPr>
            <w:r w:rsidRPr="00121123">
              <w:rPr>
                <w:rFonts w:eastAsia="Calibri"/>
                <w:noProof w:val="0"/>
              </w:rPr>
              <w:t>tromboflebitída</w:t>
            </w:r>
          </w:p>
        </w:tc>
        <w:tc>
          <w:tcPr>
            <w:tcW w:w="1843" w:type="dxa"/>
          </w:tcPr>
          <w:p w14:paraId="47A7C1F2" w14:textId="77777777" w:rsidR="00F24C18" w:rsidRPr="00121123" w:rsidRDefault="00F24C18" w:rsidP="00F24C18">
            <w:pPr>
              <w:keepLines w:val="0"/>
              <w:tabs>
                <w:tab w:val="clear" w:pos="567"/>
              </w:tabs>
              <w:rPr>
                <w:rFonts w:eastAsia="Calibri"/>
                <w:noProof w:val="0"/>
              </w:rPr>
            </w:pPr>
          </w:p>
        </w:tc>
        <w:tc>
          <w:tcPr>
            <w:tcW w:w="1559" w:type="dxa"/>
          </w:tcPr>
          <w:p w14:paraId="09C82960" w14:textId="77777777" w:rsidR="00F24C18" w:rsidRPr="00121123" w:rsidRDefault="00F24C18" w:rsidP="00F24C18">
            <w:pPr>
              <w:keepLines w:val="0"/>
              <w:tabs>
                <w:tab w:val="clear" w:pos="567"/>
              </w:tabs>
              <w:rPr>
                <w:rFonts w:eastAsia="Calibri"/>
                <w:noProof w:val="0"/>
              </w:rPr>
            </w:pPr>
          </w:p>
        </w:tc>
      </w:tr>
      <w:tr w:rsidR="00F24C18" w:rsidRPr="00121123" w14:paraId="213DE6D9" w14:textId="77777777" w:rsidTr="008E6AE3">
        <w:tc>
          <w:tcPr>
            <w:tcW w:w="1925" w:type="dxa"/>
          </w:tcPr>
          <w:p w14:paraId="029A34C7" w14:textId="77777777" w:rsidR="00F24C18" w:rsidRPr="00121123" w:rsidRDefault="00F24C18" w:rsidP="00F24C18">
            <w:pPr>
              <w:tabs>
                <w:tab w:val="clear" w:pos="567"/>
              </w:tabs>
              <w:rPr>
                <w:rFonts w:eastAsia="Calibri"/>
                <w:noProof w:val="0"/>
              </w:rPr>
            </w:pPr>
            <w:r w:rsidRPr="00121123">
              <w:rPr>
                <w:rFonts w:eastAsia="Calibri"/>
                <w:noProof w:val="0"/>
              </w:rPr>
              <w:t>Poruchy gastrointestinálneho traktu</w:t>
            </w:r>
          </w:p>
        </w:tc>
        <w:tc>
          <w:tcPr>
            <w:tcW w:w="1040" w:type="dxa"/>
            <w:gridSpan w:val="2"/>
          </w:tcPr>
          <w:p w14:paraId="70E77A53" w14:textId="77777777" w:rsidR="00F24C18" w:rsidRPr="00121123" w:rsidRDefault="00F24C18" w:rsidP="00F24C18">
            <w:pPr>
              <w:tabs>
                <w:tab w:val="clear" w:pos="567"/>
              </w:tabs>
              <w:rPr>
                <w:rFonts w:eastAsia="Calibri"/>
                <w:noProof w:val="0"/>
              </w:rPr>
            </w:pPr>
            <w:r w:rsidRPr="00121123">
              <w:rPr>
                <w:rFonts w:eastAsia="Calibri"/>
                <w:noProof w:val="0"/>
              </w:rPr>
              <w:t>nauzea, vracanie,hnačka</w:t>
            </w:r>
          </w:p>
        </w:tc>
        <w:tc>
          <w:tcPr>
            <w:tcW w:w="1843" w:type="dxa"/>
          </w:tcPr>
          <w:p w14:paraId="7B4CBFA8" w14:textId="77777777" w:rsidR="00F24C18" w:rsidRPr="00121123" w:rsidRDefault="00F24C18" w:rsidP="00F24C18">
            <w:pPr>
              <w:tabs>
                <w:tab w:val="clear" w:pos="567"/>
              </w:tabs>
              <w:rPr>
                <w:rFonts w:eastAsia="Calibri"/>
                <w:noProof w:val="0"/>
              </w:rPr>
            </w:pPr>
            <w:r w:rsidRPr="00121123">
              <w:rPr>
                <w:rFonts w:eastAsia="Calibri"/>
                <w:noProof w:val="0"/>
              </w:rPr>
              <w:t>bolesť brucha, dyspepsia, anorexia</w:t>
            </w:r>
          </w:p>
        </w:tc>
        <w:tc>
          <w:tcPr>
            <w:tcW w:w="1821" w:type="dxa"/>
          </w:tcPr>
          <w:p w14:paraId="4A618A64" w14:textId="77777777" w:rsidR="00F24C18" w:rsidRPr="00121123" w:rsidRDefault="00F24C18" w:rsidP="00F24C18">
            <w:pPr>
              <w:tabs>
                <w:tab w:val="clear" w:pos="567"/>
              </w:tabs>
              <w:rPr>
                <w:rFonts w:eastAsia="Calibri"/>
                <w:noProof w:val="0"/>
              </w:rPr>
            </w:pPr>
            <w:r w:rsidRPr="00121123">
              <w:rPr>
                <w:rFonts w:eastAsia="Calibri"/>
                <w:noProof w:val="0"/>
              </w:rPr>
              <w:t>akútna pankreatitída (pozri časť 4.4)</w:t>
            </w:r>
          </w:p>
        </w:tc>
        <w:tc>
          <w:tcPr>
            <w:tcW w:w="1843" w:type="dxa"/>
          </w:tcPr>
          <w:p w14:paraId="1B06E9A2" w14:textId="77777777" w:rsidR="00F24C18" w:rsidRPr="00121123" w:rsidRDefault="00F24C18" w:rsidP="00F24C18">
            <w:pPr>
              <w:tabs>
                <w:tab w:val="clear" w:pos="567"/>
              </w:tabs>
              <w:rPr>
                <w:rFonts w:eastAsia="Calibri"/>
                <w:noProof w:val="0"/>
              </w:rPr>
            </w:pPr>
          </w:p>
        </w:tc>
        <w:tc>
          <w:tcPr>
            <w:tcW w:w="1559" w:type="dxa"/>
          </w:tcPr>
          <w:p w14:paraId="733DB461" w14:textId="77777777" w:rsidR="00F24C18" w:rsidRPr="00121123" w:rsidRDefault="00F24C18" w:rsidP="00F24C18">
            <w:pPr>
              <w:tabs>
                <w:tab w:val="clear" w:pos="567"/>
              </w:tabs>
              <w:rPr>
                <w:rFonts w:eastAsia="Calibri"/>
                <w:noProof w:val="0"/>
              </w:rPr>
            </w:pPr>
          </w:p>
        </w:tc>
      </w:tr>
      <w:tr w:rsidR="00F24C18" w:rsidRPr="00121123" w14:paraId="2F7BD599" w14:textId="77777777" w:rsidTr="008E6AE3">
        <w:tc>
          <w:tcPr>
            <w:tcW w:w="1925" w:type="dxa"/>
          </w:tcPr>
          <w:p w14:paraId="5ECDE52D" w14:textId="77777777" w:rsidR="00F24C18" w:rsidRPr="00121123" w:rsidRDefault="00F24C18" w:rsidP="00F24C18">
            <w:pPr>
              <w:keepLines w:val="0"/>
              <w:tabs>
                <w:tab w:val="clear" w:pos="567"/>
              </w:tabs>
              <w:rPr>
                <w:rFonts w:eastAsia="Calibri"/>
                <w:iCs/>
                <w:noProof w:val="0"/>
              </w:rPr>
            </w:pPr>
            <w:r w:rsidRPr="00121123">
              <w:rPr>
                <w:rFonts w:eastAsia="Calibri"/>
                <w:iCs/>
                <w:noProof w:val="0"/>
              </w:rPr>
              <w:t>Poruchy pečene a žlčových ciest</w:t>
            </w:r>
          </w:p>
        </w:tc>
        <w:tc>
          <w:tcPr>
            <w:tcW w:w="1040" w:type="dxa"/>
            <w:gridSpan w:val="2"/>
          </w:tcPr>
          <w:p w14:paraId="1BDDE117" w14:textId="77777777" w:rsidR="00F24C18" w:rsidRPr="00121123" w:rsidRDefault="00F24C18" w:rsidP="00F24C18">
            <w:pPr>
              <w:keepLines w:val="0"/>
              <w:tabs>
                <w:tab w:val="clear" w:pos="567"/>
              </w:tabs>
              <w:rPr>
                <w:rFonts w:eastAsia="Calibri"/>
                <w:iCs/>
                <w:noProof w:val="0"/>
              </w:rPr>
            </w:pPr>
          </w:p>
        </w:tc>
        <w:tc>
          <w:tcPr>
            <w:tcW w:w="1843" w:type="dxa"/>
          </w:tcPr>
          <w:p w14:paraId="2A10FEDB" w14:textId="77777777" w:rsidR="00F24C18" w:rsidRPr="00121123" w:rsidRDefault="00F24C18" w:rsidP="00F24C18">
            <w:pPr>
              <w:keepLines w:val="0"/>
              <w:tabs>
                <w:tab w:val="clear" w:pos="567"/>
              </w:tabs>
              <w:rPr>
                <w:rFonts w:eastAsia="Calibri"/>
                <w:noProof w:val="0"/>
              </w:rPr>
            </w:pPr>
            <w:r w:rsidRPr="00121123">
              <w:rPr>
                <w:rFonts w:eastAsia="Calibri"/>
                <w:noProof w:val="0"/>
              </w:rPr>
              <w:t>zvýšená hladina aspartát aminotransferázy (AST) v sére a zvýšená hladina alanín aminotransferázy (ALT) v sére, hyperbilirubinémia</w:t>
            </w:r>
          </w:p>
        </w:tc>
        <w:tc>
          <w:tcPr>
            <w:tcW w:w="1821" w:type="dxa"/>
          </w:tcPr>
          <w:p w14:paraId="690DE6AE" w14:textId="77777777" w:rsidR="00F24C18" w:rsidRPr="00121123" w:rsidRDefault="00F24C18" w:rsidP="00F24C18">
            <w:pPr>
              <w:keepLines w:val="0"/>
              <w:tabs>
                <w:tab w:val="clear" w:pos="567"/>
              </w:tabs>
              <w:rPr>
                <w:rFonts w:eastAsia="Calibri"/>
                <w:noProof w:val="0"/>
              </w:rPr>
            </w:pPr>
            <w:r w:rsidRPr="00121123">
              <w:rPr>
                <w:rFonts w:eastAsia="Calibri"/>
                <w:noProof w:val="0"/>
              </w:rPr>
              <w:t>žltačka, poškodenie pečene, prevažne cholestatické</w:t>
            </w:r>
          </w:p>
        </w:tc>
        <w:tc>
          <w:tcPr>
            <w:tcW w:w="1843" w:type="dxa"/>
          </w:tcPr>
          <w:p w14:paraId="55579A38" w14:textId="77777777" w:rsidR="00F24C18" w:rsidRPr="00121123" w:rsidRDefault="00F24C18" w:rsidP="00F24C18">
            <w:pPr>
              <w:keepLines w:val="0"/>
              <w:tabs>
                <w:tab w:val="clear" w:pos="567"/>
              </w:tabs>
              <w:rPr>
                <w:rFonts w:eastAsia="Calibri"/>
                <w:noProof w:val="0"/>
              </w:rPr>
            </w:pPr>
          </w:p>
        </w:tc>
        <w:tc>
          <w:tcPr>
            <w:tcW w:w="1559" w:type="dxa"/>
          </w:tcPr>
          <w:p w14:paraId="1CC43D99" w14:textId="77777777" w:rsidR="00F24C18" w:rsidRPr="00121123" w:rsidRDefault="00F24C18" w:rsidP="00F24C18">
            <w:pPr>
              <w:keepLines w:val="0"/>
              <w:tabs>
                <w:tab w:val="clear" w:pos="567"/>
              </w:tabs>
              <w:rPr>
                <w:rFonts w:eastAsia="Calibri"/>
                <w:noProof w:val="0"/>
              </w:rPr>
            </w:pPr>
            <w:r w:rsidRPr="00121123">
              <w:rPr>
                <w:rFonts w:eastAsia="Calibri"/>
                <w:noProof w:val="0"/>
              </w:rPr>
              <w:t>zlyhávanie pečene</w:t>
            </w:r>
            <w:r w:rsidRPr="00121123">
              <w:rPr>
                <w:vertAlign w:val="superscript"/>
              </w:rPr>
              <w:t>*</w:t>
            </w:r>
            <w:r w:rsidRPr="00121123">
              <w:rPr>
                <w:rFonts w:eastAsia="Calibri"/>
                <w:noProof w:val="0"/>
              </w:rPr>
              <w:t xml:space="preserve"> (pozri časť 4.4)</w:t>
            </w:r>
          </w:p>
        </w:tc>
      </w:tr>
      <w:tr w:rsidR="00F24C18" w:rsidRPr="00121123" w14:paraId="086067DF" w14:textId="77777777" w:rsidTr="008E6AE3">
        <w:tc>
          <w:tcPr>
            <w:tcW w:w="1925" w:type="dxa"/>
          </w:tcPr>
          <w:p w14:paraId="3CBE1F35" w14:textId="77777777" w:rsidR="00F24C18" w:rsidRPr="00121123" w:rsidRDefault="00F24C18" w:rsidP="00F24C18">
            <w:pPr>
              <w:tabs>
                <w:tab w:val="clear" w:pos="567"/>
              </w:tabs>
              <w:rPr>
                <w:rFonts w:eastAsia="Calibri"/>
                <w:noProof w:val="0"/>
              </w:rPr>
            </w:pPr>
            <w:r w:rsidRPr="00121123">
              <w:rPr>
                <w:rFonts w:eastAsia="Calibri"/>
                <w:noProof w:val="0"/>
              </w:rPr>
              <w:lastRenderedPageBreak/>
              <w:t>Poruchy kože a podkožného tkaniva</w:t>
            </w:r>
          </w:p>
        </w:tc>
        <w:tc>
          <w:tcPr>
            <w:tcW w:w="1040" w:type="dxa"/>
            <w:gridSpan w:val="2"/>
          </w:tcPr>
          <w:p w14:paraId="64BFF8D0" w14:textId="77777777" w:rsidR="00F24C18" w:rsidRPr="00121123" w:rsidRDefault="00F24C18" w:rsidP="00F24C18">
            <w:pPr>
              <w:tabs>
                <w:tab w:val="clear" w:pos="567"/>
              </w:tabs>
              <w:rPr>
                <w:rFonts w:eastAsia="Calibri"/>
                <w:noProof w:val="0"/>
              </w:rPr>
            </w:pPr>
          </w:p>
        </w:tc>
        <w:tc>
          <w:tcPr>
            <w:tcW w:w="1843" w:type="dxa"/>
          </w:tcPr>
          <w:p w14:paraId="33B9251F" w14:textId="77777777" w:rsidR="00F24C18" w:rsidRPr="00121123" w:rsidRDefault="00F24C18" w:rsidP="00F24C18">
            <w:pPr>
              <w:tabs>
                <w:tab w:val="clear" w:pos="567"/>
              </w:tabs>
              <w:rPr>
                <w:rFonts w:eastAsia="Calibri"/>
                <w:noProof w:val="0"/>
              </w:rPr>
            </w:pPr>
            <w:r w:rsidRPr="00121123">
              <w:rPr>
                <w:rFonts w:eastAsia="Calibri"/>
                <w:noProof w:val="0"/>
              </w:rPr>
              <w:t>svrbenie, vyrážky</w:t>
            </w:r>
          </w:p>
        </w:tc>
        <w:tc>
          <w:tcPr>
            <w:tcW w:w="1821" w:type="dxa"/>
          </w:tcPr>
          <w:p w14:paraId="60D1DCC4" w14:textId="77777777" w:rsidR="00F24C18" w:rsidRPr="00121123" w:rsidRDefault="00F24C18" w:rsidP="00F24C18">
            <w:pPr>
              <w:tabs>
                <w:tab w:val="clear" w:pos="567"/>
              </w:tabs>
              <w:rPr>
                <w:rFonts w:eastAsia="Calibri"/>
                <w:noProof w:val="0"/>
              </w:rPr>
            </w:pPr>
          </w:p>
        </w:tc>
        <w:tc>
          <w:tcPr>
            <w:tcW w:w="1843" w:type="dxa"/>
          </w:tcPr>
          <w:p w14:paraId="6E0F487B" w14:textId="77777777" w:rsidR="00F24C18" w:rsidRPr="00121123" w:rsidRDefault="00F24C18" w:rsidP="00F24C18">
            <w:pPr>
              <w:tabs>
                <w:tab w:val="clear" w:pos="567"/>
              </w:tabs>
              <w:rPr>
                <w:rFonts w:eastAsia="Calibri"/>
                <w:noProof w:val="0"/>
              </w:rPr>
            </w:pPr>
          </w:p>
        </w:tc>
        <w:tc>
          <w:tcPr>
            <w:tcW w:w="1559" w:type="dxa"/>
          </w:tcPr>
          <w:p w14:paraId="5B5C8B7F" w14:textId="77777777" w:rsidR="00F24C18" w:rsidRPr="00121123" w:rsidRDefault="00F24C18" w:rsidP="00F24C18">
            <w:pPr>
              <w:tabs>
                <w:tab w:val="clear" w:pos="567"/>
              </w:tabs>
              <w:rPr>
                <w:rFonts w:eastAsia="Calibri"/>
                <w:b/>
                <w:bCs/>
                <w:i/>
                <w:iCs/>
                <w:noProof w:val="0"/>
              </w:rPr>
            </w:pPr>
            <w:r w:rsidRPr="00121123">
              <w:rPr>
                <w:rFonts w:eastAsia="Calibri"/>
                <w:noProof w:val="0"/>
              </w:rPr>
              <w:t>závažné kožné reakcie, vrátane Stevens-Johnsonovho syndrómu*</w:t>
            </w:r>
          </w:p>
        </w:tc>
      </w:tr>
      <w:tr w:rsidR="00F24C18" w:rsidRPr="00121123" w14:paraId="52549469" w14:textId="77777777" w:rsidTr="008E6AE3">
        <w:tc>
          <w:tcPr>
            <w:tcW w:w="1925" w:type="dxa"/>
          </w:tcPr>
          <w:p w14:paraId="757D9C97" w14:textId="77777777" w:rsidR="00F24C18" w:rsidRPr="00121123" w:rsidRDefault="00F24C18" w:rsidP="00F24C18">
            <w:pPr>
              <w:tabs>
                <w:tab w:val="clear" w:pos="567"/>
              </w:tabs>
              <w:rPr>
                <w:rFonts w:eastAsia="Calibri"/>
                <w:noProof w:val="0"/>
              </w:rPr>
            </w:pPr>
            <w:r w:rsidRPr="00121123">
              <w:rPr>
                <w:rFonts w:eastAsia="Calibri"/>
                <w:noProof w:val="0"/>
              </w:rPr>
              <w:t>Celkové poruchy a reakcie v mieste podania</w:t>
            </w:r>
          </w:p>
        </w:tc>
        <w:tc>
          <w:tcPr>
            <w:tcW w:w="1040" w:type="dxa"/>
            <w:gridSpan w:val="2"/>
          </w:tcPr>
          <w:p w14:paraId="6EED511A" w14:textId="77777777" w:rsidR="00F24C18" w:rsidRPr="00121123" w:rsidRDefault="00F24C18" w:rsidP="00F24C18">
            <w:pPr>
              <w:tabs>
                <w:tab w:val="clear" w:pos="567"/>
              </w:tabs>
              <w:rPr>
                <w:rFonts w:eastAsia="Calibri"/>
                <w:noProof w:val="0"/>
              </w:rPr>
            </w:pPr>
          </w:p>
        </w:tc>
        <w:tc>
          <w:tcPr>
            <w:tcW w:w="1843" w:type="dxa"/>
          </w:tcPr>
          <w:p w14:paraId="214D4337" w14:textId="77777777" w:rsidR="00F24C18" w:rsidRPr="00121123" w:rsidRDefault="00F24C18" w:rsidP="00F24C18">
            <w:pPr>
              <w:tabs>
                <w:tab w:val="clear" w:pos="567"/>
              </w:tabs>
              <w:rPr>
                <w:rFonts w:eastAsia="Calibri"/>
                <w:noProof w:val="0"/>
              </w:rPr>
            </w:pPr>
            <w:r w:rsidRPr="00121123">
              <w:rPr>
                <w:rFonts w:eastAsia="Calibri"/>
                <w:noProof w:val="0"/>
              </w:rPr>
              <w:t>zhoršené hojenie, reakcia v mieste podania, bolesť hlavy</w:t>
            </w:r>
          </w:p>
        </w:tc>
        <w:tc>
          <w:tcPr>
            <w:tcW w:w="1821" w:type="dxa"/>
          </w:tcPr>
          <w:p w14:paraId="2C1856B2" w14:textId="77777777" w:rsidR="00F24C18" w:rsidRPr="00121123" w:rsidRDefault="00F24C18" w:rsidP="00F24C18">
            <w:pPr>
              <w:tabs>
                <w:tab w:val="clear" w:pos="567"/>
              </w:tabs>
              <w:rPr>
                <w:rFonts w:eastAsia="Calibri"/>
                <w:noProof w:val="0"/>
              </w:rPr>
            </w:pPr>
            <w:r w:rsidRPr="00121123">
              <w:rPr>
                <w:rFonts w:eastAsia="Calibri"/>
                <w:noProof w:val="0"/>
              </w:rPr>
              <w:t>zápal v mieste podania, bolesť v mieste podania, opuch v mieste podania, flebitída v mieste podania</w:t>
            </w:r>
          </w:p>
        </w:tc>
        <w:tc>
          <w:tcPr>
            <w:tcW w:w="1843" w:type="dxa"/>
          </w:tcPr>
          <w:p w14:paraId="3CC2A99B" w14:textId="77777777" w:rsidR="00F24C18" w:rsidRPr="00121123" w:rsidRDefault="00F24C18" w:rsidP="00F24C18">
            <w:pPr>
              <w:tabs>
                <w:tab w:val="clear" w:pos="567"/>
              </w:tabs>
              <w:rPr>
                <w:rFonts w:eastAsia="Calibri"/>
                <w:noProof w:val="0"/>
              </w:rPr>
            </w:pPr>
          </w:p>
        </w:tc>
        <w:tc>
          <w:tcPr>
            <w:tcW w:w="1559" w:type="dxa"/>
          </w:tcPr>
          <w:p w14:paraId="12F168F7" w14:textId="77777777" w:rsidR="00F24C18" w:rsidRPr="00121123" w:rsidRDefault="00F24C18" w:rsidP="00F24C18">
            <w:pPr>
              <w:tabs>
                <w:tab w:val="clear" w:pos="567"/>
              </w:tabs>
              <w:rPr>
                <w:rFonts w:eastAsia="Calibri"/>
                <w:noProof w:val="0"/>
              </w:rPr>
            </w:pPr>
          </w:p>
        </w:tc>
      </w:tr>
      <w:tr w:rsidR="00F24C18" w:rsidRPr="00121123" w14:paraId="1C80F4C7" w14:textId="77777777" w:rsidTr="008E6AE3">
        <w:tc>
          <w:tcPr>
            <w:tcW w:w="1925" w:type="dxa"/>
          </w:tcPr>
          <w:p w14:paraId="11CE6154" w14:textId="77777777" w:rsidR="00F24C18" w:rsidRPr="00121123" w:rsidRDefault="00F24C18" w:rsidP="00F24C18">
            <w:pPr>
              <w:keepNext/>
              <w:tabs>
                <w:tab w:val="clear" w:pos="567"/>
              </w:tabs>
              <w:rPr>
                <w:rFonts w:eastAsia="Calibri"/>
                <w:noProof w:val="0"/>
              </w:rPr>
            </w:pPr>
            <w:r w:rsidRPr="00121123">
              <w:rPr>
                <w:rFonts w:eastAsia="Calibri"/>
                <w:noProof w:val="0"/>
              </w:rPr>
              <w:t>Laboratórne a funkčné vyšetrenia</w:t>
            </w:r>
          </w:p>
        </w:tc>
        <w:tc>
          <w:tcPr>
            <w:tcW w:w="1040" w:type="dxa"/>
            <w:gridSpan w:val="2"/>
          </w:tcPr>
          <w:p w14:paraId="35789D8C" w14:textId="77777777" w:rsidR="00F24C18" w:rsidRPr="00121123" w:rsidRDefault="00F24C18" w:rsidP="00F24C18">
            <w:pPr>
              <w:keepNext/>
              <w:tabs>
                <w:tab w:val="clear" w:pos="567"/>
              </w:tabs>
              <w:rPr>
                <w:rFonts w:eastAsia="Calibri"/>
                <w:noProof w:val="0"/>
              </w:rPr>
            </w:pPr>
          </w:p>
        </w:tc>
        <w:tc>
          <w:tcPr>
            <w:tcW w:w="1843" w:type="dxa"/>
          </w:tcPr>
          <w:p w14:paraId="6F40C904" w14:textId="77777777" w:rsidR="00F24C18" w:rsidRPr="00121123" w:rsidRDefault="00F24C18" w:rsidP="00F24C18">
            <w:pPr>
              <w:keepNext/>
              <w:tabs>
                <w:tab w:val="clear" w:pos="567"/>
              </w:tabs>
              <w:rPr>
                <w:rFonts w:eastAsia="Calibri"/>
              </w:rPr>
            </w:pPr>
            <w:r w:rsidRPr="00121123">
              <w:rPr>
                <w:rFonts w:eastAsia="Calibri"/>
                <w:noProof w:val="0"/>
              </w:rPr>
              <w:t>zvýšená hladina amylázy v sére, zvýšená hladina dusíka močoviny v krvi (blood urea nitrogen, BUN)</w:t>
            </w:r>
          </w:p>
        </w:tc>
        <w:tc>
          <w:tcPr>
            <w:tcW w:w="1821" w:type="dxa"/>
          </w:tcPr>
          <w:p w14:paraId="236C9165" w14:textId="77777777" w:rsidR="00F24C18" w:rsidRPr="00121123" w:rsidRDefault="00F24C18" w:rsidP="00F24C18">
            <w:pPr>
              <w:keepNext/>
              <w:tabs>
                <w:tab w:val="clear" w:pos="567"/>
              </w:tabs>
              <w:rPr>
                <w:rFonts w:eastAsia="Calibri"/>
              </w:rPr>
            </w:pPr>
          </w:p>
        </w:tc>
        <w:tc>
          <w:tcPr>
            <w:tcW w:w="1843" w:type="dxa"/>
          </w:tcPr>
          <w:p w14:paraId="17129BBF" w14:textId="77777777" w:rsidR="00F24C18" w:rsidRPr="00121123" w:rsidRDefault="00F24C18" w:rsidP="00F24C18">
            <w:pPr>
              <w:keepNext/>
              <w:tabs>
                <w:tab w:val="clear" w:pos="567"/>
              </w:tabs>
              <w:rPr>
                <w:rFonts w:eastAsia="Calibri"/>
              </w:rPr>
            </w:pPr>
          </w:p>
        </w:tc>
        <w:tc>
          <w:tcPr>
            <w:tcW w:w="1559" w:type="dxa"/>
          </w:tcPr>
          <w:p w14:paraId="3FEDAFE0" w14:textId="77777777" w:rsidR="00F24C18" w:rsidRPr="00121123" w:rsidRDefault="00F24C18" w:rsidP="00F24C18">
            <w:pPr>
              <w:keepNext/>
              <w:tabs>
                <w:tab w:val="clear" w:pos="567"/>
              </w:tabs>
              <w:rPr>
                <w:rFonts w:eastAsia="Calibri"/>
              </w:rPr>
            </w:pPr>
          </w:p>
        </w:tc>
      </w:tr>
      <w:tr w:rsidR="00F24C18" w:rsidRPr="00121123" w14:paraId="2712B121" w14:textId="77777777" w:rsidTr="008E6AE3">
        <w:tc>
          <w:tcPr>
            <w:tcW w:w="2658" w:type="dxa"/>
            <w:gridSpan w:val="2"/>
          </w:tcPr>
          <w:p w14:paraId="1A3B25F3" w14:textId="77777777" w:rsidR="00F24C18" w:rsidRPr="00121123" w:rsidRDefault="00F24C18" w:rsidP="00F24C18">
            <w:pPr>
              <w:rPr>
                <w:noProof w:val="0"/>
              </w:rPr>
            </w:pPr>
          </w:p>
        </w:tc>
        <w:tc>
          <w:tcPr>
            <w:tcW w:w="7373" w:type="dxa"/>
            <w:gridSpan w:val="5"/>
          </w:tcPr>
          <w:p w14:paraId="6A2BA2D5" w14:textId="77777777" w:rsidR="00F24C18" w:rsidRPr="00121123" w:rsidRDefault="00F24C18" w:rsidP="00F24C18">
            <w:pPr>
              <w:rPr>
                <w:noProof w:val="0"/>
              </w:rPr>
            </w:pPr>
            <w:r w:rsidRPr="00121123">
              <w:rPr>
                <w:noProof w:val="0"/>
              </w:rPr>
              <w:t>*Nežiaduca reakcia identifikovaná po uvedení lieku na trh</w:t>
            </w:r>
          </w:p>
        </w:tc>
      </w:tr>
    </w:tbl>
    <w:p w14:paraId="1321FA1C" w14:textId="77777777" w:rsidR="00F9393B" w:rsidRPr="00121123" w:rsidRDefault="00F9393B" w:rsidP="007A3A03">
      <w:pPr>
        <w:rPr>
          <w:noProof w:val="0"/>
        </w:rPr>
      </w:pPr>
    </w:p>
    <w:p w14:paraId="1984C3B7" w14:textId="77777777" w:rsidR="00B57FBF" w:rsidRPr="00121123" w:rsidRDefault="005D1C3C" w:rsidP="007A3A03">
      <w:pPr>
        <w:keepLines w:val="0"/>
        <w:tabs>
          <w:tab w:val="clear" w:pos="567"/>
        </w:tabs>
        <w:autoSpaceDE w:val="0"/>
        <w:autoSpaceDN w:val="0"/>
        <w:adjustRightInd w:val="0"/>
        <w:rPr>
          <w:noProof w:val="0"/>
          <w:u w:val="single"/>
        </w:rPr>
      </w:pPr>
      <w:r w:rsidRPr="00121123">
        <w:rPr>
          <w:noProof w:val="0"/>
          <w:u w:val="single"/>
        </w:rPr>
        <w:t>Opis vybraných nežiaducich reakcií</w:t>
      </w:r>
    </w:p>
    <w:p w14:paraId="1554F828" w14:textId="77777777" w:rsidR="00B57FBF" w:rsidRPr="00121123" w:rsidRDefault="00B57FBF" w:rsidP="007A3A03">
      <w:pPr>
        <w:keepLines w:val="0"/>
        <w:tabs>
          <w:tab w:val="clear" w:pos="567"/>
        </w:tabs>
        <w:autoSpaceDE w:val="0"/>
        <w:autoSpaceDN w:val="0"/>
        <w:adjustRightInd w:val="0"/>
        <w:rPr>
          <w:noProof w:val="0"/>
          <w:u w:val="single"/>
        </w:rPr>
      </w:pPr>
    </w:p>
    <w:p w14:paraId="77C0E49A" w14:textId="77777777" w:rsidR="00870248" w:rsidRPr="00121123" w:rsidRDefault="005D1C3C" w:rsidP="007A3A03">
      <w:pPr>
        <w:keepLines w:val="0"/>
        <w:tabs>
          <w:tab w:val="clear" w:pos="567"/>
        </w:tabs>
        <w:autoSpaceDE w:val="0"/>
        <w:autoSpaceDN w:val="0"/>
        <w:adjustRightInd w:val="0"/>
        <w:rPr>
          <w:noProof w:val="0"/>
          <w:u w:val="single"/>
        </w:rPr>
      </w:pPr>
      <w:r w:rsidRPr="00121123">
        <w:rPr>
          <w:i/>
          <w:noProof w:val="0"/>
        </w:rPr>
        <w:t>Účinky triedy antibiotík</w:t>
      </w:r>
    </w:p>
    <w:p w14:paraId="3E0EF27D" w14:textId="77777777" w:rsidR="00870248" w:rsidRPr="00121123" w:rsidRDefault="00870248" w:rsidP="007A3A03">
      <w:pPr>
        <w:keepLines w:val="0"/>
        <w:tabs>
          <w:tab w:val="clear" w:pos="567"/>
        </w:tabs>
        <w:autoSpaceDE w:val="0"/>
        <w:autoSpaceDN w:val="0"/>
        <w:adjustRightInd w:val="0"/>
        <w:rPr>
          <w:noProof w:val="0"/>
        </w:rPr>
      </w:pPr>
      <w:r w:rsidRPr="00121123">
        <w:rPr>
          <w:noProof w:val="0"/>
        </w:rPr>
        <w:t>Pseudomembranózna kolitída, ktorá môže mať rozsah závažnosti od miernej až po život</w:t>
      </w:r>
      <w:r w:rsidR="00D81A8D" w:rsidRPr="00121123">
        <w:rPr>
          <w:noProof w:val="0"/>
        </w:rPr>
        <w:t xml:space="preserve"> </w:t>
      </w:r>
      <w:r w:rsidRPr="00121123">
        <w:rPr>
          <w:noProof w:val="0"/>
        </w:rPr>
        <w:t xml:space="preserve">ohrozujúcu (pozri časť 4.4). </w:t>
      </w:r>
    </w:p>
    <w:p w14:paraId="5E7979B4" w14:textId="77777777" w:rsidR="00870248" w:rsidRPr="00121123" w:rsidRDefault="00870248" w:rsidP="007A3A03">
      <w:pPr>
        <w:keepLines w:val="0"/>
        <w:tabs>
          <w:tab w:val="clear" w:pos="567"/>
        </w:tabs>
        <w:autoSpaceDE w:val="0"/>
        <w:autoSpaceDN w:val="0"/>
        <w:adjustRightInd w:val="0"/>
        <w:rPr>
          <w:noProof w:val="0"/>
        </w:rPr>
      </w:pPr>
    </w:p>
    <w:p w14:paraId="753ED57D" w14:textId="77777777" w:rsidR="00870248" w:rsidRPr="00121123" w:rsidRDefault="00870248" w:rsidP="007A3A03">
      <w:pPr>
        <w:keepLines w:val="0"/>
        <w:tabs>
          <w:tab w:val="clear" w:pos="567"/>
        </w:tabs>
        <w:autoSpaceDE w:val="0"/>
        <w:autoSpaceDN w:val="0"/>
        <w:adjustRightInd w:val="0"/>
        <w:rPr>
          <w:noProof w:val="0"/>
        </w:rPr>
      </w:pPr>
      <w:r w:rsidRPr="00121123">
        <w:rPr>
          <w:noProof w:val="0"/>
        </w:rPr>
        <w:t xml:space="preserve">Nadmerný rast necitlivých organizmov vrátane húb (pozri časť 4.4). </w:t>
      </w:r>
    </w:p>
    <w:p w14:paraId="06911A38" w14:textId="77777777" w:rsidR="001C6B0D" w:rsidRPr="00121123" w:rsidRDefault="001C6B0D" w:rsidP="007A3A03">
      <w:pPr>
        <w:keepLines w:val="0"/>
        <w:tabs>
          <w:tab w:val="clear" w:pos="567"/>
        </w:tabs>
        <w:autoSpaceDE w:val="0"/>
        <w:autoSpaceDN w:val="0"/>
        <w:adjustRightInd w:val="0"/>
        <w:rPr>
          <w:noProof w:val="0"/>
        </w:rPr>
      </w:pPr>
    </w:p>
    <w:p w14:paraId="07A788ED" w14:textId="77777777" w:rsidR="00870248" w:rsidRPr="00121123" w:rsidRDefault="005D1C3C" w:rsidP="007A3A03">
      <w:pPr>
        <w:keepNext/>
        <w:keepLines w:val="0"/>
        <w:tabs>
          <w:tab w:val="clear" w:pos="567"/>
        </w:tabs>
        <w:autoSpaceDE w:val="0"/>
        <w:autoSpaceDN w:val="0"/>
        <w:adjustRightInd w:val="0"/>
        <w:rPr>
          <w:noProof w:val="0"/>
          <w:u w:val="single"/>
        </w:rPr>
      </w:pPr>
      <w:r w:rsidRPr="00121123">
        <w:rPr>
          <w:i/>
          <w:noProof w:val="0"/>
        </w:rPr>
        <w:t>Účinky triedy tetracyklínov</w:t>
      </w:r>
    </w:p>
    <w:p w14:paraId="413C9083" w14:textId="77777777" w:rsidR="00870248" w:rsidRPr="00121123" w:rsidRDefault="00870248" w:rsidP="007A3A03">
      <w:pPr>
        <w:keepNext/>
        <w:keepLines w:val="0"/>
        <w:tabs>
          <w:tab w:val="clear" w:pos="567"/>
        </w:tabs>
        <w:autoSpaceDE w:val="0"/>
        <w:autoSpaceDN w:val="0"/>
        <w:adjustRightInd w:val="0"/>
        <w:rPr>
          <w:noProof w:val="0"/>
        </w:rPr>
      </w:pPr>
      <w:r w:rsidRPr="00121123">
        <w:rPr>
          <w:noProof w:val="0"/>
        </w:rPr>
        <w:t>Antibiotiká glycylcyklínovej triedy sú štruktúrne podobné antibiotikám tetracyklínovej triedy. Nežiaduce účinky tetracyklínovej triedy môžu zahŕňať fotosenzitivitu, pseudotumor cerebri, pankreatitídu a antianabolický účinok, ktorý viedol ku zvýšen</w:t>
      </w:r>
      <w:r w:rsidR="00035FC7" w:rsidRPr="00121123">
        <w:rPr>
          <w:noProof w:val="0"/>
        </w:rPr>
        <w:t xml:space="preserve">iu </w:t>
      </w:r>
      <w:r w:rsidR="002B44AC" w:rsidRPr="00121123">
        <w:rPr>
          <w:noProof w:val="0"/>
        </w:rPr>
        <w:t xml:space="preserve">dusíka </w:t>
      </w:r>
      <w:r w:rsidR="00035FC7" w:rsidRPr="00121123">
        <w:rPr>
          <w:noProof w:val="0"/>
        </w:rPr>
        <w:t>močoviny</w:t>
      </w:r>
      <w:r w:rsidR="002B44AC" w:rsidRPr="00121123">
        <w:rPr>
          <w:noProof w:val="0"/>
        </w:rPr>
        <w:t xml:space="preserve"> v krvi (BUN)</w:t>
      </w:r>
      <w:r w:rsidRPr="00121123">
        <w:rPr>
          <w:noProof w:val="0"/>
        </w:rPr>
        <w:t>, azotémii, acidóze a hyperfosfatémii (pozri časť 4.4).</w:t>
      </w:r>
    </w:p>
    <w:p w14:paraId="4B80D611" w14:textId="77777777" w:rsidR="00870248" w:rsidRPr="00121123" w:rsidRDefault="00870248" w:rsidP="007A3A03">
      <w:pPr>
        <w:keepLines w:val="0"/>
        <w:tabs>
          <w:tab w:val="clear" w:pos="567"/>
        </w:tabs>
        <w:autoSpaceDE w:val="0"/>
        <w:autoSpaceDN w:val="0"/>
        <w:adjustRightInd w:val="0"/>
        <w:rPr>
          <w:noProof w:val="0"/>
        </w:rPr>
      </w:pPr>
    </w:p>
    <w:p w14:paraId="28A13A45" w14:textId="77777777" w:rsidR="00870248" w:rsidRPr="00121123" w:rsidRDefault="00870248" w:rsidP="007A3A03">
      <w:pPr>
        <w:keepLines w:val="0"/>
        <w:tabs>
          <w:tab w:val="clear" w:pos="567"/>
        </w:tabs>
        <w:autoSpaceDE w:val="0"/>
        <w:autoSpaceDN w:val="0"/>
        <w:adjustRightInd w:val="0"/>
        <w:rPr>
          <w:noProof w:val="0"/>
        </w:rPr>
      </w:pPr>
      <w:r w:rsidRPr="00121123">
        <w:rPr>
          <w:noProof w:val="0"/>
        </w:rPr>
        <w:t xml:space="preserve">Tigecyklín môže súvisieť so stálou zmenou farby zubov u ľudí, ak sa použije v období vývoja zubov (pozri časť 4.4).    </w:t>
      </w:r>
    </w:p>
    <w:p w14:paraId="4C4538B7" w14:textId="77777777" w:rsidR="00870248" w:rsidRPr="00121123" w:rsidRDefault="00870248" w:rsidP="007A3A03">
      <w:pPr>
        <w:keepLines w:val="0"/>
        <w:tabs>
          <w:tab w:val="clear" w:pos="567"/>
        </w:tabs>
        <w:autoSpaceDE w:val="0"/>
        <w:autoSpaceDN w:val="0"/>
        <w:adjustRightInd w:val="0"/>
        <w:rPr>
          <w:noProof w:val="0"/>
        </w:rPr>
      </w:pPr>
    </w:p>
    <w:p w14:paraId="169DA18B" w14:textId="1757A0B3" w:rsidR="00B57FBF" w:rsidRPr="00121123" w:rsidRDefault="00B57FBF" w:rsidP="007A3A03">
      <w:pPr>
        <w:rPr>
          <w:noProof w:val="0"/>
        </w:rPr>
      </w:pPr>
      <w:r w:rsidRPr="00121123" w:rsidDel="00B57FBF">
        <w:rPr>
          <w:noProof w:val="0"/>
        </w:rPr>
        <w:t>V </w:t>
      </w:r>
      <w:r w:rsidR="00B26516" w:rsidRPr="00121123">
        <w:rPr>
          <w:noProof w:val="0"/>
        </w:rPr>
        <w:t xml:space="preserve">cSSTI a cIAI </w:t>
      </w:r>
      <w:r w:rsidRPr="00121123" w:rsidDel="00B57FBF">
        <w:rPr>
          <w:noProof w:val="0"/>
        </w:rPr>
        <w:t xml:space="preserve">klinických </w:t>
      </w:r>
      <w:r w:rsidR="006134E6">
        <w:rPr>
          <w:noProof w:val="0"/>
          <w:color w:val="000000"/>
        </w:rPr>
        <w:t>skúšaniach</w:t>
      </w:r>
      <w:r w:rsidR="006134E6" w:rsidRPr="00121123" w:rsidDel="00B57FBF">
        <w:rPr>
          <w:noProof w:val="0"/>
        </w:rPr>
        <w:t xml:space="preserve"> </w:t>
      </w:r>
      <w:r w:rsidRPr="00121123" w:rsidDel="00B57FBF">
        <w:rPr>
          <w:noProof w:val="0"/>
        </w:rPr>
        <w:t>fázy</w:t>
      </w:r>
      <w:r w:rsidR="006134E6">
        <w:rPr>
          <w:noProof w:val="0"/>
        </w:rPr>
        <w:t xml:space="preserve"> 3 a 4</w:t>
      </w:r>
      <w:r w:rsidRPr="00121123" w:rsidDel="00B57FBF">
        <w:rPr>
          <w:noProof w:val="0"/>
        </w:rPr>
        <w:t xml:space="preserve"> boli závažné nežiaduce </w:t>
      </w:r>
      <w:r w:rsidR="00B3469C" w:rsidRPr="00121123">
        <w:rPr>
          <w:noProof w:val="0"/>
        </w:rPr>
        <w:t>reakcie</w:t>
      </w:r>
      <w:r w:rsidR="00B3469C" w:rsidRPr="00121123" w:rsidDel="00B57FBF">
        <w:rPr>
          <w:noProof w:val="0"/>
        </w:rPr>
        <w:t xml:space="preserve"> </w:t>
      </w:r>
      <w:r w:rsidRPr="00121123" w:rsidDel="00B57FBF">
        <w:rPr>
          <w:noProof w:val="0"/>
        </w:rPr>
        <w:t xml:space="preserve">súvisiace s infekciami </w:t>
      </w:r>
      <w:r w:rsidR="00035FC7" w:rsidRPr="00121123">
        <w:rPr>
          <w:noProof w:val="0"/>
        </w:rPr>
        <w:t xml:space="preserve">častejšie hlásené </w:t>
      </w:r>
      <w:r w:rsidRPr="00121123" w:rsidDel="00B57FBF">
        <w:rPr>
          <w:noProof w:val="0"/>
        </w:rPr>
        <w:t>u osôb liečených tigecyklínom (</w:t>
      </w:r>
      <w:r w:rsidR="00B26516" w:rsidRPr="00121123">
        <w:rPr>
          <w:noProof w:val="0"/>
        </w:rPr>
        <w:t>7,1</w:t>
      </w:r>
      <w:r w:rsidRPr="00121123" w:rsidDel="00B57FBF">
        <w:rPr>
          <w:noProof w:val="0"/>
        </w:rPr>
        <w:t xml:space="preserve"> %) v porovnaní s pacientmi liečenými </w:t>
      </w:r>
      <w:r w:rsidR="00035FC7" w:rsidRPr="00121123">
        <w:rPr>
          <w:noProof w:val="0"/>
        </w:rPr>
        <w:t xml:space="preserve">komparátorom </w:t>
      </w:r>
      <w:r w:rsidRPr="00121123" w:rsidDel="00B57FBF">
        <w:rPr>
          <w:noProof w:val="0"/>
        </w:rPr>
        <w:t>(</w:t>
      </w:r>
      <w:r w:rsidR="00B26516" w:rsidRPr="00121123">
        <w:rPr>
          <w:noProof w:val="0"/>
        </w:rPr>
        <w:t>5,3</w:t>
      </w:r>
      <w:r w:rsidRPr="00121123" w:rsidDel="00B57FBF">
        <w:rPr>
          <w:noProof w:val="0"/>
        </w:rPr>
        <w:t xml:space="preserve"> %). Pozorovali sa signifikantné rozdiely v sepse/septickom šoku medzi tigecyklínom (</w:t>
      </w:r>
      <w:r w:rsidR="00B26516" w:rsidRPr="00121123">
        <w:rPr>
          <w:noProof w:val="0"/>
        </w:rPr>
        <w:t>2,2</w:t>
      </w:r>
      <w:r w:rsidRPr="00121123" w:rsidDel="00B57FBF">
        <w:rPr>
          <w:noProof w:val="0"/>
        </w:rPr>
        <w:t xml:space="preserve"> %) a</w:t>
      </w:r>
      <w:r w:rsidR="00D81A8D" w:rsidRPr="00121123">
        <w:rPr>
          <w:noProof w:val="0"/>
        </w:rPr>
        <w:t> </w:t>
      </w:r>
      <w:r w:rsidR="00035FC7" w:rsidRPr="00121123">
        <w:rPr>
          <w:noProof w:val="0"/>
        </w:rPr>
        <w:t>komparátorom</w:t>
      </w:r>
      <w:r w:rsidRPr="00121123">
        <w:rPr>
          <w:noProof w:val="0"/>
        </w:rPr>
        <w:t xml:space="preserve"> </w:t>
      </w:r>
      <w:r w:rsidRPr="00121123" w:rsidDel="00B57FBF">
        <w:rPr>
          <w:noProof w:val="0"/>
        </w:rPr>
        <w:t>(</w:t>
      </w:r>
      <w:r w:rsidR="00B26516" w:rsidRPr="00121123">
        <w:rPr>
          <w:noProof w:val="0"/>
        </w:rPr>
        <w:t>1,1</w:t>
      </w:r>
      <w:r w:rsidRPr="00121123" w:rsidDel="00B57FBF">
        <w:rPr>
          <w:noProof w:val="0"/>
        </w:rPr>
        <w:t xml:space="preserve"> %). </w:t>
      </w:r>
    </w:p>
    <w:p w14:paraId="384B1BE7" w14:textId="77777777" w:rsidR="00B57FBF" w:rsidRPr="00121123" w:rsidDel="00B57FBF" w:rsidRDefault="00B57FBF" w:rsidP="007A3A03">
      <w:pPr>
        <w:rPr>
          <w:noProof w:val="0"/>
        </w:rPr>
      </w:pPr>
    </w:p>
    <w:p w14:paraId="347A2E8E" w14:textId="77777777" w:rsidR="00B57FBF" w:rsidRPr="00121123" w:rsidDel="00B57FBF" w:rsidRDefault="00B57FBF" w:rsidP="007A3A03">
      <w:pPr>
        <w:rPr>
          <w:noProof w:val="0"/>
        </w:rPr>
      </w:pPr>
      <w:r w:rsidRPr="00121123" w:rsidDel="00B57FBF">
        <w:rPr>
          <w:noProof w:val="0"/>
        </w:rPr>
        <w:t xml:space="preserve">Abnormality v hladinách AST a ALT </w:t>
      </w:r>
      <w:r w:rsidR="00035FC7" w:rsidRPr="00121123">
        <w:rPr>
          <w:noProof w:val="0"/>
        </w:rPr>
        <w:t xml:space="preserve">sa </w:t>
      </w:r>
      <w:r w:rsidRPr="00121123" w:rsidDel="00B57FBF">
        <w:rPr>
          <w:noProof w:val="0"/>
        </w:rPr>
        <w:t xml:space="preserve">u pacientov liečených </w:t>
      </w:r>
      <w:r w:rsidR="00B3469C" w:rsidRPr="00121123">
        <w:rPr>
          <w:noProof w:val="0"/>
        </w:rPr>
        <w:t>tigecyklínom</w:t>
      </w:r>
      <w:r w:rsidR="00B3469C" w:rsidRPr="00121123" w:rsidDel="00B57FBF">
        <w:rPr>
          <w:noProof w:val="0"/>
        </w:rPr>
        <w:t xml:space="preserve"> </w:t>
      </w:r>
      <w:r w:rsidR="00035FC7" w:rsidRPr="00121123">
        <w:rPr>
          <w:noProof w:val="0"/>
        </w:rPr>
        <w:t xml:space="preserve">zaznamenali </w:t>
      </w:r>
      <w:r w:rsidRPr="00121123" w:rsidDel="00B57FBF">
        <w:rPr>
          <w:noProof w:val="0"/>
        </w:rPr>
        <w:t>častejšie v</w:t>
      </w:r>
      <w:r w:rsidR="00035FC7" w:rsidRPr="00121123">
        <w:rPr>
          <w:noProof w:val="0"/>
        </w:rPr>
        <w:t> </w:t>
      </w:r>
      <w:r w:rsidRPr="00121123" w:rsidDel="00B57FBF">
        <w:rPr>
          <w:noProof w:val="0"/>
        </w:rPr>
        <w:t xml:space="preserve">období po ukončení liečby v porovnaní s pacientmi liečenými </w:t>
      </w:r>
      <w:r w:rsidR="00035FC7" w:rsidRPr="00121123">
        <w:rPr>
          <w:noProof w:val="0"/>
        </w:rPr>
        <w:t>komparátorom</w:t>
      </w:r>
      <w:r w:rsidR="0063750B" w:rsidRPr="00121123">
        <w:rPr>
          <w:noProof w:val="0"/>
        </w:rPr>
        <w:t>,</w:t>
      </w:r>
      <w:r w:rsidRPr="00121123" w:rsidDel="00B57FBF">
        <w:rPr>
          <w:noProof w:val="0"/>
        </w:rPr>
        <w:t xml:space="preserve"> u ktorých sa </w:t>
      </w:r>
      <w:r w:rsidR="00035FC7" w:rsidRPr="00121123">
        <w:rPr>
          <w:noProof w:val="0"/>
        </w:rPr>
        <w:t xml:space="preserve">zaznamenali </w:t>
      </w:r>
      <w:r w:rsidRPr="00121123" w:rsidDel="00B57FBF">
        <w:rPr>
          <w:noProof w:val="0"/>
        </w:rPr>
        <w:t>častejšie počas liečby.</w:t>
      </w:r>
    </w:p>
    <w:p w14:paraId="4E58DBEC" w14:textId="77777777" w:rsidR="00B57FBF" w:rsidRPr="00121123" w:rsidRDefault="00B57FBF" w:rsidP="007A3A03">
      <w:pPr>
        <w:rPr>
          <w:b/>
          <w:noProof w:val="0"/>
        </w:rPr>
      </w:pPr>
    </w:p>
    <w:p w14:paraId="41F9BA83" w14:textId="17BCC0E1" w:rsidR="00B57FBF" w:rsidRPr="00121123" w:rsidDel="00B57FBF" w:rsidRDefault="00B57FBF" w:rsidP="007A3A03">
      <w:pPr>
        <w:keepLines w:val="0"/>
        <w:tabs>
          <w:tab w:val="clear" w:pos="567"/>
        </w:tabs>
        <w:autoSpaceDE w:val="0"/>
        <w:autoSpaceDN w:val="0"/>
        <w:adjustRightInd w:val="0"/>
        <w:rPr>
          <w:noProof w:val="0"/>
        </w:rPr>
      </w:pPr>
      <w:r w:rsidRPr="00121123" w:rsidDel="00B57FBF">
        <w:rPr>
          <w:noProof w:val="0"/>
        </w:rPr>
        <w:t xml:space="preserve">Vo všetkých klinických </w:t>
      </w:r>
      <w:r w:rsidR="007D024F">
        <w:t xml:space="preserve">skúšaniach </w:t>
      </w:r>
      <w:r w:rsidRPr="00121123" w:rsidDel="00B57FBF">
        <w:rPr>
          <w:noProof w:val="0"/>
        </w:rPr>
        <w:t xml:space="preserve">fázy </w:t>
      </w:r>
      <w:r w:rsidR="007D024F">
        <w:rPr>
          <w:noProof w:val="0"/>
        </w:rPr>
        <w:t xml:space="preserve">3 a 4 </w:t>
      </w:r>
      <w:r w:rsidR="007C451C" w:rsidRPr="00121123">
        <w:rPr>
          <w:noProof w:val="0"/>
        </w:rPr>
        <w:t>(</w:t>
      </w:r>
      <w:r w:rsidRPr="00121123" w:rsidDel="00B57FBF">
        <w:rPr>
          <w:noProof w:val="0"/>
        </w:rPr>
        <w:t>cSS</w:t>
      </w:r>
      <w:r w:rsidR="00C70EDB" w:rsidRPr="00121123">
        <w:rPr>
          <w:noProof w:val="0"/>
        </w:rPr>
        <w:t>T</w:t>
      </w:r>
      <w:r w:rsidRPr="00121123" w:rsidDel="00B57FBF">
        <w:rPr>
          <w:noProof w:val="0"/>
        </w:rPr>
        <w:t>I a</w:t>
      </w:r>
      <w:r w:rsidR="007C451C" w:rsidRPr="00121123">
        <w:rPr>
          <w:noProof w:val="0"/>
        </w:rPr>
        <w:t> </w:t>
      </w:r>
      <w:r w:rsidRPr="00121123" w:rsidDel="00B57FBF">
        <w:rPr>
          <w:noProof w:val="0"/>
        </w:rPr>
        <w:t>cIAI</w:t>
      </w:r>
      <w:r w:rsidR="007C451C" w:rsidRPr="00121123">
        <w:rPr>
          <w:noProof w:val="0"/>
        </w:rPr>
        <w:t>)</w:t>
      </w:r>
      <w:r w:rsidRPr="00121123" w:rsidDel="00B57FBF">
        <w:rPr>
          <w:noProof w:val="0"/>
        </w:rPr>
        <w:t xml:space="preserve"> sa úmrtie vyskytlo u 2,</w:t>
      </w:r>
      <w:r w:rsidR="00C32F38" w:rsidRPr="00121123">
        <w:rPr>
          <w:noProof w:val="0"/>
        </w:rPr>
        <w:t>4</w:t>
      </w:r>
      <w:r w:rsidRPr="00121123" w:rsidDel="00B57FBF">
        <w:rPr>
          <w:noProof w:val="0"/>
        </w:rPr>
        <w:t> % (5</w:t>
      </w:r>
      <w:r w:rsidR="00C32F38" w:rsidRPr="00121123">
        <w:rPr>
          <w:noProof w:val="0"/>
        </w:rPr>
        <w:t>4</w:t>
      </w:r>
      <w:r w:rsidRPr="00121123" w:rsidDel="00B57FBF">
        <w:rPr>
          <w:noProof w:val="0"/>
        </w:rPr>
        <w:t>/2216) pacientov</w:t>
      </w:r>
      <w:r w:rsidR="00035FC7" w:rsidRPr="00121123">
        <w:rPr>
          <w:noProof w:val="0"/>
        </w:rPr>
        <w:t xml:space="preserve">, ktorým sa podával </w:t>
      </w:r>
      <w:r w:rsidRPr="00121123" w:rsidDel="00B57FBF">
        <w:rPr>
          <w:noProof w:val="0"/>
        </w:rPr>
        <w:t>tigecyklín a u 1,</w:t>
      </w:r>
      <w:r w:rsidR="00C32F38" w:rsidRPr="00121123">
        <w:rPr>
          <w:noProof w:val="0"/>
        </w:rPr>
        <w:t>7</w:t>
      </w:r>
      <w:r w:rsidRPr="00121123" w:rsidDel="00B57FBF">
        <w:rPr>
          <w:noProof w:val="0"/>
        </w:rPr>
        <w:t> % (3</w:t>
      </w:r>
      <w:r w:rsidR="00C32F38" w:rsidRPr="00121123">
        <w:rPr>
          <w:noProof w:val="0"/>
        </w:rPr>
        <w:t>7</w:t>
      </w:r>
      <w:r w:rsidRPr="00121123" w:rsidDel="00B57FBF">
        <w:rPr>
          <w:noProof w:val="0"/>
        </w:rPr>
        <w:t>/2206) pacientov</w:t>
      </w:r>
      <w:r w:rsidR="00035FC7" w:rsidRPr="00121123">
        <w:rPr>
          <w:noProof w:val="0"/>
        </w:rPr>
        <w:t xml:space="preserve">, ktorým sa podávali </w:t>
      </w:r>
      <w:r w:rsidR="00B3469C" w:rsidRPr="00121123">
        <w:rPr>
          <w:noProof w:val="0"/>
        </w:rPr>
        <w:t xml:space="preserve">aktívne </w:t>
      </w:r>
      <w:r w:rsidR="00035FC7" w:rsidRPr="00121123">
        <w:rPr>
          <w:noProof w:val="0"/>
        </w:rPr>
        <w:t>komparátory</w:t>
      </w:r>
      <w:r w:rsidRPr="00121123" w:rsidDel="00B57FBF">
        <w:rPr>
          <w:noProof w:val="0"/>
        </w:rPr>
        <w:t>.</w:t>
      </w:r>
    </w:p>
    <w:p w14:paraId="2474FBE6" w14:textId="77777777" w:rsidR="00B57FBF" w:rsidRPr="00121123" w:rsidRDefault="00B57FBF" w:rsidP="007A3A03">
      <w:pPr>
        <w:rPr>
          <w:b/>
          <w:noProof w:val="0"/>
        </w:rPr>
      </w:pPr>
    </w:p>
    <w:p w14:paraId="36F064E5" w14:textId="77777777" w:rsidR="004143F7" w:rsidRPr="00121123" w:rsidRDefault="004143F7" w:rsidP="007A3A03">
      <w:pPr>
        <w:keepNext/>
        <w:autoSpaceDE w:val="0"/>
        <w:autoSpaceDN w:val="0"/>
        <w:adjustRightInd w:val="0"/>
        <w:rPr>
          <w:noProof w:val="0"/>
        </w:rPr>
      </w:pPr>
      <w:r w:rsidRPr="00121123">
        <w:rPr>
          <w:noProof w:val="0"/>
          <w:u w:val="single"/>
        </w:rPr>
        <w:lastRenderedPageBreak/>
        <w:t>Pediatrická populácia</w:t>
      </w:r>
    </w:p>
    <w:p w14:paraId="3F5B83D4" w14:textId="77777777" w:rsidR="00C50767" w:rsidRPr="00121123" w:rsidRDefault="00C50767" w:rsidP="007A3A03">
      <w:pPr>
        <w:keepNext/>
        <w:keepLines w:val="0"/>
        <w:tabs>
          <w:tab w:val="clear" w:pos="567"/>
        </w:tabs>
        <w:autoSpaceDE w:val="0"/>
        <w:autoSpaceDN w:val="0"/>
        <w:adjustRightInd w:val="0"/>
        <w:rPr>
          <w:noProof w:val="0"/>
        </w:rPr>
      </w:pPr>
    </w:p>
    <w:p w14:paraId="34DD1F4D" w14:textId="00328B7F" w:rsidR="007C451C" w:rsidRPr="00121123" w:rsidRDefault="00263697" w:rsidP="007A3A03">
      <w:pPr>
        <w:keepNext/>
        <w:keepLines w:val="0"/>
        <w:tabs>
          <w:tab w:val="clear" w:pos="567"/>
        </w:tabs>
        <w:autoSpaceDE w:val="0"/>
        <w:autoSpaceDN w:val="0"/>
        <w:adjustRightInd w:val="0"/>
        <w:rPr>
          <w:noProof w:val="0"/>
        </w:rPr>
      </w:pPr>
      <w:r w:rsidRPr="00121123">
        <w:rPr>
          <w:noProof w:val="0"/>
        </w:rPr>
        <w:t xml:space="preserve">Z dvoch farmakokinetických </w:t>
      </w:r>
      <w:r w:rsidR="007D024F">
        <w:rPr>
          <w:noProof w:val="0"/>
          <w:color w:val="000000"/>
        </w:rPr>
        <w:t>klinických skúšaní</w:t>
      </w:r>
      <w:r w:rsidRPr="00121123">
        <w:rPr>
          <w:noProof w:val="0"/>
        </w:rPr>
        <w:t xml:space="preserve"> boli d</w:t>
      </w:r>
      <w:r w:rsidR="007C451C" w:rsidRPr="00121123">
        <w:rPr>
          <w:noProof w:val="0"/>
        </w:rPr>
        <w:t>ostupné veľmi obmedzené údaje o bezpečnosti (pozri časť 5.2). Nepozorovali sa žiadne nové alebo neočakávané situácie týkajúce sa bezpečnosti tigecyklínu v t</w:t>
      </w:r>
      <w:r w:rsidR="00F002B3" w:rsidRPr="00121123">
        <w:rPr>
          <w:noProof w:val="0"/>
        </w:rPr>
        <w:t>ýchto</w:t>
      </w:r>
      <w:r w:rsidR="007C451C" w:rsidRPr="00121123">
        <w:rPr>
          <w:noProof w:val="0"/>
        </w:rPr>
        <w:t xml:space="preserve"> </w:t>
      </w:r>
      <w:r w:rsidR="007D024F">
        <w:rPr>
          <w:noProof w:val="0"/>
          <w:color w:val="000000"/>
        </w:rPr>
        <w:t>klinických skúšaniach</w:t>
      </w:r>
      <w:r w:rsidR="007C451C" w:rsidRPr="00121123">
        <w:rPr>
          <w:noProof w:val="0"/>
        </w:rPr>
        <w:t>.</w:t>
      </w:r>
    </w:p>
    <w:p w14:paraId="2206AB29" w14:textId="77777777" w:rsidR="00F002B3" w:rsidRPr="00121123" w:rsidRDefault="00F002B3" w:rsidP="007A3A03">
      <w:pPr>
        <w:keepNext/>
        <w:keepLines w:val="0"/>
        <w:tabs>
          <w:tab w:val="clear" w:pos="567"/>
        </w:tabs>
        <w:autoSpaceDE w:val="0"/>
        <w:autoSpaceDN w:val="0"/>
        <w:adjustRightInd w:val="0"/>
        <w:rPr>
          <w:noProof w:val="0"/>
        </w:rPr>
      </w:pPr>
    </w:p>
    <w:p w14:paraId="74E103BB" w14:textId="65A585ED" w:rsidR="00F002B3" w:rsidRPr="00121123" w:rsidRDefault="007D024F" w:rsidP="007A3A03">
      <w:pPr>
        <w:keepNext/>
        <w:keepLines w:val="0"/>
        <w:tabs>
          <w:tab w:val="clear" w:pos="567"/>
        </w:tabs>
        <w:autoSpaceDE w:val="0"/>
        <w:autoSpaceDN w:val="0"/>
        <w:adjustRightInd w:val="0"/>
        <w:rPr>
          <w:noProof w:val="0"/>
        </w:rPr>
      </w:pPr>
      <w:r>
        <w:rPr>
          <w:noProof w:val="0"/>
          <w:color w:val="000000"/>
        </w:rPr>
        <w:t>B</w:t>
      </w:r>
      <w:r w:rsidRPr="00522436">
        <w:rPr>
          <w:noProof w:val="0"/>
          <w:color w:val="000000"/>
        </w:rPr>
        <w:t xml:space="preserve">ezpečnosť tigecyklínu </w:t>
      </w:r>
      <w:r>
        <w:rPr>
          <w:noProof w:val="0"/>
          <w:color w:val="000000"/>
        </w:rPr>
        <w:t xml:space="preserve">sa </w:t>
      </w:r>
      <w:r w:rsidRPr="00522436">
        <w:rPr>
          <w:noProof w:val="0"/>
          <w:color w:val="000000"/>
        </w:rPr>
        <w:t xml:space="preserve">skúmala u 25 detí vo veku 8 až 16 rokov </w:t>
      </w:r>
      <w:r>
        <w:rPr>
          <w:noProof w:val="0"/>
        </w:rPr>
        <w:t>v</w:t>
      </w:r>
      <w:r w:rsidR="00F002B3" w:rsidRPr="00121123">
        <w:rPr>
          <w:noProof w:val="0"/>
        </w:rPr>
        <w:t> </w:t>
      </w:r>
      <w:r>
        <w:rPr>
          <w:noProof w:val="0"/>
          <w:color w:val="000000"/>
        </w:rPr>
        <w:t xml:space="preserve">nezaslepenom </w:t>
      </w:r>
      <w:r w:rsidR="00F002B3" w:rsidRPr="00121123">
        <w:rPr>
          <w:noProof w:val="0"/>
        </w:rPr>
        <w:t>farmakokinetick</w:t>
      </w:r>
      <w:r>
        <w:rPr>
          <w:noProof w:val="0"/>
        </w:rPr>
        <w:t xml:space="preserve">om klinickom </w:t>
      </w:r>
      <w:r>
        <w:rPr>
          <w:noProof w:val="0"/>
          <w:color w:val="000000"/>
        </w:rPr>
        <w:t>skúšaní</w:t>
      </w:r>
      <w:r w:rsidR="00F002B3" w:rsidRPr="00121123">
        <w:rPr>
          <w:noProof w:val="0"/>
        </w:rPr>
        <w:t xml:space="preserve"> zvyšujúc</w:t>
      </w:r>
      <w:r>
        <w:rPr>
          <w:noProof w:val="0"/>
        </w:rPr>
        <w:t>ou</w:t>
      </w:r>
      <w:r w:rsidR="00F002B3" w:rsidRPr="00121123">
        <w:rPr>
          <w:noProof w:val="0"/>
        </w:rPr>
        <w:t xml:space="preserve"> sa </w:t>
      </w:r>
      <w:r w:rsidR="008C4E97" w:rsidRPr="00121123">
        <w:rPr>
          <w:noProof w:val="0"/>
        </w:rPr>
        <w:t>jednorazov</w:t>
      </w:r>
      <w:r>
        <w:rPr>
          <w:noProof w:val="0"/>
        </w:rPr>
        <w:t>ou</w:t>
      </w:r>
      <w:r w:rsidR="008C4E97" w:rsidRPr="00121123">
        <w:rPr>
          <w:noProof w:val="0"/>
        </w:rPr>
        <w:t xml:space="preserve"> </w:t>
      </w:r>
      <w:r w:rsidR="00F002B3" w:rsidRPr="00121123">
        <w:rPr>
          <w:noProof w:val="0"/>
        </w:rPr>
        <w:t>dávk</w:t>
      </w:r>
      <w:r>
        <w:rPr>
          <w:noProof w:val="0"/>
        </w:rPr>
        <w:t>ou</w:t>
      </w:r>
      <w:r w:rsidR="00F002B3" w:rsidRPr="00121123">
        <w:rPr>
          <w:noProof w:val="0"/>
        </w:rPr>
        <w:t xml:space="preserve">, ktoré sa </w:t>
      </w:r>
      <w:r w:rsidR="000A451F">
        <w:rPr>
          <w:noProof w:val="0"/>
          <w:color w:val="000000"/>
        </w:rPr>
        <w:t>nedávno</w:t>
      </w:r>
      <w:r w:rsidR="00F002B3" w:rsidRPr="00121123">
        <w:rPr>
          <w:noProof w:val="0"/>
        </w:rPr>
        <w:t xml:space="preserve"> zotavili z infekcií. Profil nežiaducich reakcií tigecyklínu u týchto 25</w:t>
      </w:r>
      <w:r w:rsidR="00CD4C0D" w:rsidRPr="00121123">
        <w:rPr>
          <w:noProof w:val="0"/>
        </w:rPr>
        <w:t> </w:t>
      </w:r>
      <w:r w:rsidR="000A451F">
        <w:rPr>
          <w:noProof w:val="0"/>
          <w:color w:val="000000"/>
        </w:rPr>
        <w:t>detí</w:t>
      </w:r>
      <w:r w:rsidR="00C50767" w:rsidRPr="00121123">
        <w:rPr>
          <w:noProof w:val="0"/>
        </w:rPr>
        <w:t xml:space="preserve"> bol vo všeobecnosti totožný s</w:t>
      </w:r>
      <w:r w:rsidR="00F002B3" w:rsidRPr="00121123">
        <w:rPr>
          <w:noProof w:val="0"/>
        </w:rPr>
        <w:t> profilom u dospelých.</w:t>
      </w:r>
    </w:p>
    <w:p w14:paraId="775913D7" w14:textId="77777777" w:rsidR="00F002B3" w:rsidRPr="00121123" w:rsidRDefault="00F002B3" w:rsidP="007A3A03">
      <w:pPr>
        <w:keepNext/>
        <w:keepLines w:val="0"/>
        <w:tabs>
          <w:tab w:val="clear" w:pos="567"/>
        </w:tabs>
        <w:autoSpaceDE w:val="0"/>
        <w:autoSpaceDN w:val="0"/>
        <w:adjustRightInd w:val="0"/>
        <w:rPr>
          <w:noProof w:val="0"/>
        </w:rPr>
      </w:pPr>
    </w:p>
    <w:p w14:paraId="2F5B2980" w14:textId="73B0B20C" w:rsidR="00F002B3" w:rsidRPr="00121123" w:rsidRDefault="00F002B3" w:rsidP="007A3A03">
      <w:pPr>
        <w:keepNext/>
        <w:keepLines w:val="0"/>
        <w:tabs>
          <w:tab w:val="clear" w:pos="567"/>
        </w:tabs>
        <w:autoSpaceDE w:val="0"/>
        <w:autoSpaceDN w:val="0"/>
        <w:adjustRightInd w:val="0"/>
        <w:rPr>
          <w:noProof w:val="0"/>
        </w:rPr>
      </w:pPr>
      <w:r w:rsidRPr="00121123">
        <w:rPr>
          <w:noProof w:val="0"/>
        </w:rPr>
        <w:t>Bezpečnosť tigecyklínu sa tiež skúmala v </w:t>
      </w:r>
      <w:r w:rsidR="00914417">
        <w:rPr>
          <w:noProof w:val="0"/>
          <w:color w:val="000000"/>
        </w:rPr>
        <w:t>nezaslepenom</w:t>
      </w:r>
      <w:r w:rsidRPr="00121123">
        <w:rPr>
          <w:noProof w:val="0"/>
        </w:rPr>
        <w:t>farmakokinetick</w:t>
      </w:r>
      <w:r w:rsidR="00914417">
        <w:rPr>
          <w:noProof w:val="0"/>
        </w:rPr>
        <w:t xml:space="preserve">om </w:t>
      </w:r>
      <w:r w:rsidR="00914417">
        <w:rPr>
          <w:noProof w:val="0"/>
          <w:color w:val="000000"/>
        </w:rPr>
        <w:t>skúšaní</w:t>
      </w:r>
      <w:r w:rsidRPr="00121123">
        <w:rPr>
          <w:noProof w:val="0"/>
        </w:rPr>
        <w:t xml:space="preserve"> </w:t>
      </w:r>
      <w:r w:rsidR="00172DA8" w:rsidRPr="00121123">
        <w:rPr>
          <w:noProof w:val="0"/>
        </w:rPr>
        <w:t xml:space="preserve">so </w:t>
      </w:r>
      <w:r w:rsidRPr="00121123">
        <w:rPr>
          <w:noProof w:val="0"/>
        </w:rPr>
        <w:t>zvyšujúc</w:t>
      </w:r>
      <w:r w:rsidR="00172DA8" w:rsidRPr="00121123">
        <w:rPr>
          <w:noProof w:val="0"/>
        </w:rPr>
        <w:t>imi</w:t>
      </w:r>
      <w:r w:rsidRPr="00121123">
        <w:rPr>
          <w:noProof w:val="0"/>
        </w:rPr>
        <w:t xml:space="preserve"> sa viacnásobn</w:t>
      </w:r>
      <w:r w:rsidR="00172DA8" w:rsidRPr="00121123">
        <w:rPr>
          <w:noProof w:val="0"/>
        </w:rPr>
        <w:t>ými</w:t>
      </w:r>
      <w:r w:rsidRPr="00121123">
        <w:rPr>
          <w:noProof w:val="0"/>
        </w:rPr>
        <w:t xml:space="preserve"> dávk</w:t>
      </w:r>
      <w:r w:rsidR="00172DA8" w:rsidRPr="00121123">
        <w:rPr>
          <w:noProof w:val="0"/>
        </w:rPr>
        <w:t>ami</w:t>
      </w:r>
      <w:r w:rsidRPr="00121123">
        <w:rPr>
          <w:noProof w:val="0"/>
        </w:rPr>
        <w:t xml:space="preserve"> u 58 detí vo veku 8</w:t>
      </w:r>
      <w:r w:rsidR="00EE4FB6" w:rsidRPr="00121123">
        <w:rPr>
          <w:noProof w:val="0"/>
        </w:rPr>
        <w:t> </w:t>
      </w:r>
      <w:r w:rsidR="00CD4C0D" w:rsidRPr="00121123">
        <w:rPr>
          <w:noProof w:val="0"/>
        </w:rPr>
        <w:t>až 11 </w:t>
      </w:r>
      <w:r w:rsidRPr="00121123">
        <w:rPr>
          <w:noProof w:val="0"/>
        </w:rPr>
        <w:t>rokov s cSTTI (n = 15), cIAI (n = 24) alebo s pneumóniou získanou v komunite (n = 19). Profil nežiaducich reakcií tigecyklínu u týchto 58 </w:t>
      </w:r>
      <w:r w:rsidR="00914417">
        <w:rPr>
          <w:noProof w:val="0"/>
          <w:color w:val="000000"/>
        </w:rPr>
        <w:t>detí</w:t>
      </w:r>
      <w:r w:rsidRPr="00121123">
        <w:rPr>
          <w:noProof w:val="0"/>
        </w:rPr>
        <w:t xml:space="preserve"> bol vo všeobecnosti totožný s profilom u dospelých, s výnimkou </w:t>
      </w:r>
      <w:r w:rsidR="00507D7C" w:rsidRPr="00121123">
        <w:rPr>
          <w:noProof w:val="0"/>
        </w:rPr>
        <w:t xml:space="preserve">nauzey </w:t>
      </w:r>
      <w:r w:rsidRPr="00121123">
        <w:rPr>
          <w:noProof w:val="0"/>
        </w:rPr>
        <w:t>(48,3</w:t>
      </w:r>
      <w:r w:rsidR="00CD4C0D" w:rsidRPr="00121123">
        <w:rPr>
          <w:noProof w:val="0"/>
        </w:rPr>
        <w:t> </w:t>
      </w:r>
      <w:r w:rsidRPr="00121123">
        <w:rPr>
          <w:noProof w:val="0"/>
        </w:rPr>
        <w:t>%), vracania (</w:t>
      </w:r>
      <w:r w:rsidR="00FA75FC" w:rsidRPr="00121123">
        <w:rPr>
          <w:noProof w:val="0"/>
        </w:rPr>
        <w:t>46,6</w:t>
      </w:r>
      <w:r w:rsidR="00CD4C0D" w:rsidRPr="00121123">
        <w:rPr>
          <w:noProof w:val="0"/>
        </w:rPr>
        <w:t> </w:t>
      </w:r>
      <w:r w:rsidR="00FA75FC" w:rsidRPr="00121123">
        <w:rPr>
          <w:noProof w:val="0"/>
        </w:rPr>
        <w:t>%) a zvýše</w:t>
      </w:r>
      <w:r w:rsidR="00CD4C0D" w:rsidRPr="00121123">
        <w:rPr>
          <w:noProof w:val="0"/>
        </w:rPr>
        <w:t xml:space="preserve">nej </w:t>
      </w:r>
      <w:r w:rsidR="00172DA8" w:rsidRPr="00121123">
        <w:rPr>
          <w:noProof w:val="0"/>
        </w:rPr>
        <w:t xml:space="preserve">aktivity </w:t>
      </w:r>
      <w:r w:rsidR="00CD4C0D" w:rsidRPr="00121123">
        <w:rPr>
          <w:noProof w:val="0"/>
        </w:rPr>
        <w:t>lipázy</w:t>
      </w:r>
      <w:r w:rsidR="00C56E27" w:rsidRPr="00121123">
        <w:rPr>
          <w:noProof w:val="0"/>
        </w:rPr>
        <w:t xml:space="preserve"> v sére</w:t>
      </w:r>
      <w:r w:rsidR="00CD4C0D" w:rsidRPr="00121123">
        <w:rPr>
          <w:noProof w:val="0"/>
        </w:rPr>
        <w:t xml:space="preserve"> (6,9 </w:t>
      </w:r>
      <w:r w:rsidR="00FA75FC" w:rsidRPr="00121123">
        <w:rPr>
          <w:noProof w:val="0"/>
        </w:rPr>
        <w:t xml:space="preserve">%), ktoré boli pozorované </w:t>
      </w:r>
      <w:r w:rsidR="00172DA8" w:rsidRPr="00121123">
        <w:rPr>
          <w:noProof w:val="0"/>
        </w:rPr>
        <w:t xml:space="preserve">častejšie </w:t>
      </w:r>
      <w:r w:rsidR="00FA75FC" w:rsidRPr="00121123">
        <w:rPr>
          <w:noProof w:val="0"/>
        </w:rPr>
        <w:t>ako u dospelých.</w:t>
      </w:r>
    </w:p>
    <w:p w14:paraId="5753D9DB" w14:textId="77777777" w:rsidR="007C451C" w:rsidRPr="00121123" w:rsidRDefault="007C451C" w:rsidP="007A3A03">
      <w:pPr>
        <w:rPr>
          <w:b/>
          <w:noProof w:val="0"/>
        </w:rPr>
      </w:pPr>
    </w:p>
    <w:p w14:paraId="46D995E7" w14:textId="77777777" w:rsidR="004143F7" w:rsidRPr="00121123" w:rsidRDefault="004143F7" w:rsidP="00F601C5">
      <w:pPr>
        <w:keepNext/>
        <w:autoSpaceDE w:val="0"/>
        <w:autoSpaceDN w:val="0"/>
        <w:adjustRightInd w:val="0"/>
        <w:rPr>
          <w:noProof w:val="0"/>
          <w:u w:val="single"/>
        </w:rPr>
      </w:pPr>
      <w:r w:rsidRPr="00121123">
        <w:rPr>
          <w:noProof w:val="0"/>
          <w:u w:val="single"/>
        </w:rPr>
        <w:t>Hlásenie podozrení na nežiaduce reakcie</w:t>
      </w:r>
    </w:p>
    <w:p w14:paraId="2458959D" w14:textId="77777777" w:rsidR="00B3469C" w:rsidRPr="00121123" w:rsidRDefault="00B3469C" w:rsidP="00F601C5">
      <w:pPr>
        <w:keepNext/>
        <w:autoSpaceDE w:val="0"/>
        <w:autoSpaceDN w:val="0"/>
        <w:adjustRightInd w:val="0"/>
        <w:rPr>
          <w:noProof w:val="0"/>
          <w:u w:val="single"/>
        </w:rPr>
      </w:pPr>
    </w:p>
    <w:p w14:paraId="75706194" w14:textId="77777777" w:rsidR="004143F7" w:rsidRPr="00121123" w:rsidRDefault="004143F7" w:rsidP="00F601C5">
      <w:pPr>
        <w:keepNext/>
        <w:autoSpaceDE w:val="0"/>
        <w:autoSpaceDN w:val="0"/>
        <w:adjustRightInd w:val="0"/>
        <w:rPr>
          <w:noProof w:val="0"/>
          <w:shd w:val="clear" w:color="auto" w:fill="BFBFBF"/>
        </w:rPr>
      </w:pPr>
      <w:r w:rsidRPr="00121123">
        <w:rPr>
          <w:noProof w:val="0"/>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74CB4">
        <w:rPr>
          <w:noProof w:val="0"/>
        </w:rPr>
        <w:t xml:space="preserve">na </w:t>
      </w:r>
      <w:r w:rsidRPr="00121123">
        <w:rPr>
          <w:noProof w:val="0"/>
          <w:highlight w:val="lightGray"/>
        </w:rPr>
        <w:t>národné</w:t>
      </w:r>
      <w:r w:rsidR="00274CB4">
        <w:rPr>
          <w:noProof w:val="0"/>
          <w:highlight w:val="lightGray"/>
        </w:rPr>
        <w:t xml:space="preserve"> centrum </w:t>
      </w:r>
      <w:r w:rsidRPr="00121123">
        <w:rPr>
          <w:noProof w:val="0"/>
          <w:highlight w:val="lightGray"/>
        </w:rPr>
        <w:t xml:space="preserve">hlásenia </w:t>
      </w:r>
      <w:r w:rsidR="006B1261" w:rsidRPr="00121123">
        <w:rPr>
          <w:noProof w:val="0"/>
          <w:highlight w:val="lightGray"/>
          <w:shd w:val="clear" w:color="auto" w:fill="D9D9D9"/>
        </w:rPr>
        <w:t>uvedené v </w:t>
      </w:r>
      <w:hyperlink r:id="rId11" w:history="1">
        <w:r w:rsidR="006B1261" w:rsidRPr="00EE47CB">
          <w:rPr>
            <w:rStyle w:val="Hyperlink"/>
            <w:noProof w:val="0"/>
            <w:highlight w:val="lightGray"/>
          </w:rPr>
          <w:t>P</w:t>
        </w:r>
        <w:r w:rsidR="006B1261" w:rsidRPr="00EE47CB">
          <w:rPr>
            <w:rStyle w:val="Hyperlink"/>
            <w:noProof w:val="0"/>
            <w:szCs w:val="20"/>
            <w:highlight w:val="lightGray"/>
          </w:rPr>
          <w:t xml:space="preserve">rílohe </w:t>
        </w:r>
        <w:r w:rsidR="006B1261" w:rsidRPr="00EE47CB">
          <w:rPr>
            <w:rStyle w:val="Hyperlink"/>
            <w:noProof w:val="0"/>
            <w:highlight w:val="lightGray"/>
          </w:rPr>
          <w:t>V</w:t>
        </w:r>
      </w:hyperlink>
      <w:r w:rsidR="006B1261" w:rsidRPr="00EE47CB">
        <w:rPr>
          <w:noProof w:val="0"/>
          <w:highlight w:val="lightGray"/>
          <w:shd w:val="clear" w:color="auto" w:fill="BFBFBF"/>
        </w:rPr>
        <w:t>.</w:t>
      </w:r>
    </w:p>
    <w:p w14:paraId="735C57C9" w14:textId="77777777" w:rsidR="00AA459D" w:rsidRPr="00121123" w:rsidRDefault="00AA459D" w:rsidP="00F601C5">
      <w:pPr>
        <w:keepNext/>
        <w:autoSpaceDE w:val="0"/>
        <w:autoSpaceDN w:val="0"/>
        <w:adjustRightInd w:val="0"/>
        <w:rPr>
          <w:noProof w:val="0"/>
        </w:rPr>
      </w:pPr>
    </w:p>
    <w:p w14:paraId="38A09EF3" w14:textId="77777777" w:rsidR="00870248" w:rsidRPr="00121123" w:rsidRDefault="00870248" w:rsidP="007A3A03">
      <w:pPr>
        <w:rPr>
          <w:b/>
          <w:noProof w:val="0"/>
        </w:rPr>
      </w:pPr>
      <w:r w:rsidRPr="00121123">
        <w:rPr>
          <w:b/>
          <w:noProof w:val="0"/>
        </w:rPr>
        <w:t>4.9</w:t>
      </w:r>
      <w:r w:rsidRPr="00121123">
        <w:rPr>
          <w:b/>
          <w:noProof w:val="0"/>
        </w:rPr>
        <w:tab/>
        <w:t>Predávkovanie</w:t>
      </w:r>
    </w:p>
    <w:p w14:paraId="04FE9D88" w14:textId="77777777" w:rsidR="00870248" w:rsidRPr="00121123" w:rsidRDefault="00870248" w:rsidP="007A3A03">
      <w:pPr>
        <w:keepLines w:val="0"/>
        <w:tabs>
          <w:tab w:val="clear" w:pos="567"/>
        </w:tabs>
        <w:rPr>
          <w:noProof w:val="0"/>
        </w:rPr>
      </w:pPr>
    </w:p>
    <w:p w14:paraId="36EE284C" w14:textId="77777777" w:rsidR="00870248" w:rsidRPr="00121123" w:rsidRDefault="00870248" w:rsidP="007A3A03">
      <w:pPr>
        <w:keepLines w:val="0"/>
        <w:tabs>
          <w:tab w:val="clear" w:pos="567"/>
        </w:tabs>
        <w:rPr>
          <w:noProof w:val="0"/>
        </w:rPr>
      </w:pPr>
      <w:r w:rsidRPr="00121123">
        <w:rPr>
          <w:noProof w:val="0"/>
        </w:rPr>
        <w:t>Nie sú k dispozícii špecifické informácie o liečbe predávkovania. Intravenózne podanie tigecyklínu formou jednorazovej dávky 300 mg počas 60 minút zdravým dobrovoľníkom viedlo k zvýšenému výskytu nauzey a </w:t>
      </w:r>
      <w:r w:rsidR="007E3E17" w:rsidRPr="00121123">
        <w:rPr>
          <w:noProof w:val="0"/>
        </w:rPr>
        <w:t>vracania</w:t>
      </w:r>
      <w:r w:rsidRPr="00121123">
        <w:rPr>
          <w:noProof w:val="0"/>
        </w:rPr>
        <w:t>. Hemodialýzou sa podstatné množstvo tigecyklínu neodstraňuje.</w:t>
      </w:r>
    </w:p>
    <w:p w14:paraId="698CC6CB" w14:textId="77777777" w:rsidR="00870248" w:rsidRPr="00121123" w:rsidRDefault="00870248" w:rsidP="007A3A03">
      <w:pPr>
        <w:pStyle w:val="Heading1"/>
        <w:keepNext w:val="0"/>
        <w:keepLines w:val="0"/>
        <w:rPr>
          <w:noProof w:val="0"/>
          <w:lang w:val="sk-SK"/>
        </w:rPr>
      </w:pPr>
    </w:p>
    <w:p w14:paraId="58B35C1F" w14:textId="77777777" w:rsidR="00CB04FB" w:rsidRPr="00121123" w:rsidRDefault="00CB04FB" w:rsidP="007A3A03">
      <w:pPr>
        <w:rPr>
          <w:b/>
          <w:noProof w:val="0"/>
        </w:rPr>
      </w:pPr>
    </w:p>
    <w:p w14:paraId="73E1ED32" w14:textId="77777777" w:rsidR="00870248" w:rsidRPr="00121123" w:rsidRDefault="00870248" w:rsidP="007A3A03">
      <w:pPr>
        <w:keepNext/>
        <w:rPr>
          <w:b/>
          <w:noProof w:val="0"/>
        </w:rPr>
      </w:pPr>
      <w:r w:rsidRPr="00121123">
        <w:rPr>
          <w:b/>
          <w:noProof w:val="0"/>
        </w:rPr>
        <w:t>5.</w:t>
      </w:r>
      <w:r w:rsidRPr="00121123">
        <w:rPr>
          <w:b/>
          <w:noProof w:val="0"/>
        </w:rPr>
        <w:tab/>
        <w:t>FARMAKOLOGICKÉ VLASTNOSTI</w:t>
      </w:r>
    </w:p>
    <w:p w14:paraId="3D55927F" w14:textId="77777777" w:rsidR="00870248" w:rsidRPr="00121123" w:rsidRDefault="00870248" w:rsidP="007A3A03">
      <w:pPr>
        <w:keepNext/>
        <w:keepLines w:val="0"/>
        <w:tabs>
          <w:tab w:val="clear" w:pos="567"/>
        </w:tabs>
        <w:rPr>
          <w:noProof w:val="0"/>
        </w:rPr>
      </w:pPr>
    </w:p>
    <w:p w14:paraId="16E1EB61" w14:textId="77777777" w:rsidR="00870248" w:rsidRPr="00121123" w:rsidRDefault="00870248" w:rsidP="007A3A03">
      <w:pPr>
        <w:keepNext/>
        <w:rPr>
          <w:b/>
          <w:noProof w:val="0"/>
        </w:rPr>
      </w:pPr>
      <w:bookmarkStart w:id="4" w:name="_5_1_Pharmacodynamic_properties"/>
      <w:bookmarkEnd w:id="4"/>
      <w:r w:rsidRPr="00121123">
        <w:rPr>
          <w:b/>
          <w:noProof w:val="0"/>
        </w:rPr>
        <w:t>5.1</w:t>
      </w:r>
      <w:r w:rsidRPr="00121123">
        <w:rPr>
          <w:b/>
          <w:noProof w:val="0"/>
        </w:rPr>
        <w:tab/>
        <w:t>Farmakodynamické vlastnosti</w:t>
      </w:r>
    </w:p>
    <w:p w14:paraId="740FA886" w14:textId="77777777" w:rsidR="00870248" w:rsidRPr="00121123" w:rsidRDefault="00870248" w:rsidP="007A3A03">
      <w:pPr>
        <w:keepLines w:val="0"/>
        <w:rPr>
          <w:noProof w:val="0"/>
        </w:rPr>
      </w:pPr>
    </w:p>
    <w:p w14:paraId="17C1170A" w14:textId="77777777" w:rsidR="00D2141F" w:rsidRPr="00121123" w:rsidRDefault="00870248" w:rsidP="007A3A03">
      <w:pPr>
        <w:keepLines w:val="0"/>
        <w:tabs>
          <w:tab w:val="clear" w:pos="567"/>
        </w:tabs>
        <w:rPr>
          <w:noProof w:val="0"/>
        </w:rPr>
      </w:pPr>
      <w:r w:rsidRPr="00121123">
        <w:rPr>
          <w:noProof w:val="0"/>
        </w:rPr>
        <w:t xml:space="preserve">Farmakoterapeutická skupina: </w:t>
      </w:r>
      <w:r w:rsidR="0063750B" w:rsidRPr="00121123">
        <w:rPr>
          <w:noProof w:val="0"/>
        </w:rPr>
        <w:t>Antibakt</w:t>
      </w:r>
      <w:r w:rsidR="00985750" w:rsidRPr="00121123">
        <w:rPr>
          <w:noProof w:val="0"/>
        </w:rPr>
        <w:t>e</w:t>
      </w:r>
      <w:r w:rsidR="0063750B" w:rsidRPr="00121123">
        <w:rPr>
          <w:noProof w:val="0"/>
        </w:rPr>
        <w:t>riálne lieky na systémové použitie, t</w:t>
      </w:r>
      <w:r w:rsidRPr="00121123">
        <w:rPr>
          <w:noProof w:val="0"/>
        </w:rPr>
        <w:t>etracyklíny</w:t>
      </w:r>
    </w:p>
    <w:p w14:paraId="659DA5EF" w14:textId="77777777" w:rsidR="00870248" w:rsidRPr="00121123" w:rsidRDefault="00870248" w:rsidP="007A3A03">
      <w:pPr>
        <w:keepLines w:val="0"/>
        <w:tabs>
          <w:tab w:val="clear" w:pos="567"/>
        </w:tabs>
        <w:rPr>
          <w:noProof w:val="0"/>
        </w:rPr>
      </w:pPr>
      <w:r w:rsidRPr="00121123">
        <w:rPr>
          <w:noProof w:val="0"/>
        </w:rPr>
        <w:t>ATC kód: J01AA12</w:t>
      </w:r>
    </w:p>
    <w:p w14:paraId="6BF3B0B7" w14:textId="77777777" w:rsidR="00870248" w:rsidRPr="00121123" w:rsidRDefault="00870248" w:rsidP="007A3A03">
      <w:pPr>
        <w:keepLines w:val="0"/>
        <w:tabs>
          <w:tab w:val="clear" w:pos="567"/>
        </w:tabs>
        <w:rPr>
          <w:noProof w:val="0"/>
        </w:rPr>
      </w:pPr>
    </w:p>
    <w:p w14:paraId="7ECF5616" w14:textId="77777777" w:rsidR="00870248" w:rsidRPr="00121123" w:rsidRDefault="00C56E27" w:rsidP="007A3A03">
      <w:pPr>
        <w:rPr>
          <w:noProof w:val="0"/>
          <w:u w:val="single"/>
        </w:rPr>
      </w:pPr>
      <w:r w:rsidRPr="00121123">
        <w:rPr>
          <w:noProof w:val="0"/>
          <w:u w:val="single"/>
        </w:rPr>
        <w:t xml:space="preserve">Mechanizmus </w:t>
      </w:r>
      <w:r w:rsidR="00870248" w:rsidRPr="00121123">
        <w:rPr>
          <w:noProof w:val="0"/>
          <w:u w:val="single"/>
        </w:rPr>
        <w:t>účinku</w:t>
      </w:r>
    </w:p>
    <w:p w14:paraId="732682B3" w14:textId="77777777" w:rsidR="00347E7D" w:rsidRPr="00121123" w:rsidRDefault="00347E7D" w:rsidP="007A3A03">
      <w:pPr>
        <w:rPr>
          <w:noProof w:val="0"/>
          <w:u w:val="single"/>
        </w:rPr>
      </w:pPr>
    </w:p>
    <w:p w14:paraId="2770FED8" w14:textId="77777777" w:rsidR="00870248" w:rsidRPr="00121123" w:rsidRDefault="00870248" w:rsidP="007A3A03">
      <w:pPr>
        <w:keepLines w:val="0"/>
        <w:tabs>
          <w:tab w:val="clear" w:pos="567"/>
        </w:tabs>
        <w:rPr>
          <w:noProof w:val="0"/>
        </w:rPr>
      </w:pPr>
      <w:r w:rsidRPr="00121123">
        <w:rPr>
          <w:noProof w:val="0"/>
        </w:rPr>
        <w:t>Tigecyklín, glycylcyklínové antibiotikum, inhibuje transláciu proteínov v baktériách tak, že sa viaže na 30S ribozomálnu subjednotku a blokuje vstup aminoacyl tRNA molekúl na A miesto ribozómu. Toto zabraňuje včleneniu sa aminokyselinových reziduí k predlžujúcim sa reťazcom peptidu.</w:t>
      </w:r>
    </w:p>
    <w:p w14:paraId="34ED7B03" w14:textId="77777777" w:rsidR="00870248" w:rsidRPr="00121123" w:rsidRDefault="00870248" w:rsidP="007A3A03">
      <w:pPr>
        <w:keepLines w:val="0"/>
        <w:tabs>
          <w:tab w:val="clear" w:pos="567"/>
        </w:tabs>
        <w:rPr>
          <w:noProof w:val="0"/>
        </w:rPr>
      </w:pPr>
    </w:p>
    <w:p w14:paraId="1594F410" w14:textId="77777777" w:rsidR="00870248" w:rsidRPr="00121123" w:rsidRDefault="00870248" w:rsidP="007A3A03">
      <w:pPr>
        <w:keepLines w:val="0"/>
        <w:tabs>
          <w:tab w:val="clear" w:pos="567"/>
        </w:tabs>
        <w:rPr>
          <w:noProof w:val="0"/>
        </w:rPr>
      </w:pPr>
      <w:r w:rsidRPr="00121123">
        <w:rPr>
          <w:noProof w:val="0"/>
        </w:rPr>
        <w:t xml:space="preserve">Všeobecne sa tigecyklín považuje za bakteriostatikum. Pri 4-násobnej hodnote minimálnej inhibičnej koncentrácie (minimal inhibitory concentration, MIC) sa pri tigecyklíne pozoroval 2-log pokles počtu kolónií </w:t>
      </w:r>
      <w:r w:rsidRPr="00121123">
        <w:rPr>
          <w:i/>
          <w:iCs/>
          <w:noProof w:val="0"/>
        </w:rPr>
        <w:t>Enterococcus</w:t>
      </w:r>
      <w:r w:rsidRPr="00121123">
        <w:rPr>
          <w:noProof w:val="0"/>
        </w:rPr>
        <w:t xml:space="preserve"> spp., </w:t>
      </w:r>
      <w:r w:rsidRPr="00121123">
        <w:rPr>
          <w:i/>
          <w:iCs/>
          <w:noProof w:val="0"/>
        </w:rPr>
        <w:t>Staphylococcus aureus</w:t>
      </w:r>
      <w:r w:rsidRPr="00121123">
        <w:rPr>
          <w:noProof w:val="0"/>
        </w:rPr>
        <w:t xml:space="preserve"> a </w:t>
      </w:r>
      <w:r w:rsidRPr="00121123">
        <w:rPr>
          <w:i/>
          <w:iCs/>
          <w:noProof w:val="0"/>
        </w:rPr>
        <w:t>Escherichia coli</w:t>
      </w:r>
      <w:r w:rsidRPr="00121123">
        <w:rPr>
          <w:noProof w:val="0"/>
        </w:rPr>
        <w:t xml:space="preserve">. </w:t>
      </w:r>
    </w:p>
    <w:p w14:paraId="0E63D8B7" w14:textId="77777777" w:rsidR="00870248" w:rsidRPr="00121123" w:rsidRDefault="00870248" w:rsidP="007A3A03">
      <w:pPr>
        <w:keepLines w:val="0"/>
        <w:tabs>
          <w:tab w:val="clear" w:pos="567"/>
        </w:tabs>
        <w:rPr>
          <w:noProof w:val="0"/>
        </w:rPr>
      </w:pPr>
    </w:p>
    <w:p w14:paraId="277DA239" w14:textId="77777777" w:rsidR="00870248" w:rsidRPr="00121123" w:rsidRDefault="00870248" w:rsidP="007A3A03">
      <w:pPr>
        <w:keepNext/>
        <w:tabs>
          <w:tab w:val="clear" w:pos="567"/>
        </w:tabs>
        <w:rPr>
          <w:iCs/>
          <w:noProof w:val="0"/>
          <w:u w:val="single"/>
        </w:rPr>
      </w:pPr>
      <w:r w:rsidRPr="00121123">
        <w:rPr>
          <w:iCs/>
          <w:noProof w:val="0"/>
          <w:u w:val="single"/>
        </w:rPr>
        <w:t>Mechanizmus rezistencie</w:t>
      </w:r>
    </w:p>
    <w:p w14:paraId="19C531F6" w14:textId="77777777" w:rsidR="00347E7D" w:rsidRPr="00121123" w:rsidRDefault="00347E7D" w:rsidP="007A3A03">
      <w:pPr>
        <w:keepNext/>
        <w:tabs>
          <w:tab w:val="clear" w:pos="567"/>
        </w:tabs>
        <w:rPr>
          <w:iCs/>
          <w:noProof w:val="0"/>
          <w:u w:val="single"/>
        </w:rPr>
      </w:pPr>
    </w:p>
    <w:p w14:paraId="3D1A6842" w14:textId="373B57B8" w:rsidR="00870248" w:rsidRPr="00121123" w:rsidRDefault="00870248" w:rsidP="007A3A03">
      <w:pPr>
        <w:keepNext/>
        <w:tabs>
          <w:tab w:val="clear" w:pos="567"/>
        </w:tabs>
        <w:rPr>
          <w:noProof w:val="0"/>
        </w:rPr>
      </w:pPr>
      <w:r w:rsidRPr="00121123">
        <w:rPr>
          <w:noProof w:val="0"/>
        </w:rPr>
        <w:t xml:space="preserve">Tigecyklín je schopný prekonať dva významné mechanizmy rezistencie na tetracyklín, ribozómovú ochranu a eflux. </w:t>
      </w:r>
      <w:r w:rsidR="00D2141F" w:rsidRPr="00121123">
        <w:rPr>
          <w:noProof w:val="0"/>
        </w:rPr>
        <w:t>V dôsledku prítomnosti efluxných púmp spôsobujúcich multirezistenciu (multi-drug resistance, MDR) sa p</w:t>
      </w:r>
      <w:r w:rsidR="00D81A8D" w:rsidRPr="00121123">
        <w:rPr>
          <w:noProof w:val="0"/>
        </w:rPr>
        <w:t>re</w:t>
      </w:r>
      <w:r w:rsidR="000E404B" w:rsidRPr="00121123">
        <w:rPr>
          <w:noProof w:val="0"/>
        </w:rPr>
        <w:t>ukáza</w:t>
      </w:r>
      <w:r w:rsidR="00D81A8D" w:rsidRPr="00121123">
        <w:rPr>
          <w:noProof w:val="0"/>
        </w:rPr>
        <w:t xml:space="preserve">la </w:t>
      </w:r>
      <w:r w:rsidR="000E404B" w:rsidRPr="00121123">
        <w:rPr>
          <w:noProof w:val="0"/>
        </w:rPr>
        <w:t>s</w:t>
      </w:r>
      <w:r w:rsidR="00F10FB0" w:rsidRPr="00121123">
        <w:rPr>
          <w:noProof w:val="0"/>
        </w:rPr>
        <w:t xml:space="preserve">krížená rezistencia </w:t>
      </w:r>
      <w:r w:rsidR="00D2141F" w:rsidRPr="00121123">
        <w:rPr>
          <w:noProof w:val="0"/>
        </w:rPr>
        <w:t xml:space="preserve">voči </w:t>
      </w:r>
      <w:r w:rsidR="00F10FB0" w:rsidRPr="00121123">
        <w:rPr>
          <w:noProof w:val="0"/>
        </w:rPr>
        <w:t>tigecyklín</w:t>
      </w:r>
      <w:r w:rsidR="00D2141F" w:rsidRPr="00121123">
        <w:rPr>
          <w:noProof w:val="0"/>
        </w:rPr>
        <w:t xml:space="preserve">u u izolátov z čeľade </w:t>
      </w:r>
      <w:r w:rsidR="00D00214" w:rsidRPr="00EA403D">
        <w:rPr>
          <w:i/>
        </w:rPr>
        <w:t>Enterobacterales</w:t>
      </w:r>
      <w:r w:rsidR="00236237" w:rsidRPr="00121123">
        <w:rPr>
          <w:i/>
          <w:noProof w:val="0"/>
        </w:rPr>
        <w:t xml:space="preserve"> </w:t>
      </w:r>
      <w:r w:rsidR="00D2141F" w:rsidRPr="00121123">
        <w:rPr>
          <w:noProof w:val="0"/>
        </w:rPr>
        <w:t xml:space="preserve">rezistentných na minocyklín. </w:t>
      </w:r>
      <w:r w:rsidRPr="00121123">
        <w:rPr>
          <w:noProof w:val="0"/>
        </w:rPr>
        <w:t>Medzi tigecyklínom a väčšinou tried antibiotík nedochádza k</w:t>
      </w:r>
      <w:r w:rsidR="00D2141F" w:rsidRPr="00121123">
        <w:rPr>
          <w:noProof w:val="0"/>
        </w:rPr>
        <w:t xml:space="preserve"> skríženej rezistencii týkajúcej sa </w:t>
      </w:r>
      <w:r w:rsidRPr="00121123">
        <w:rPr>
          <w:noProof w:val="0"/>
        </w:rPr>
        <w:t>cieľov</w:t>
      </w:r>
      <w:r w:rsidR="00D2141F" w:rsidRPr="00121123">
        <w:rPr>
          <w:noProof w:val="0"/>
        </w:rPr>
        <w:t>ého miesta</w:t>
      </w:r>
      <w:r w:rsidRPr="00121123">
        <w:rPr>
          <w:noProof w:val="0"/>
        </w:rPr>
        <w:t xml:space="preserve">. </w:t>
      </w:r>
    </w:p>
    <w:p w14:paraId="391E872A" w14:textId="77777777" w:rsidR="00870248" w:rsidRPr="00121123" w:rsidRDefault="00870248" w:rsidP="007A3A03">
      <w:pPr>
        <w:keepLines w:val="0"/>
        <w:tabs>
          <w:tab w:val="clear" w:pos="567"/>
        </w:tabs>
        <w:rPr>
          <w:noProof w:val="0"/>
        </w:rPr>
      </w:pPr>
    </w:p>
    <w:p w14:paraId="63343245" w14:textId="7AA0F46C" w:rsidR="00D00214" w:rsidRDefault="000E404B" w:rsidP="00D00214">
      <w:pPr>
        <w:keepLines w:val="0"/>
        <w:tabs>
          <w:tab w:val="clear" w:pos="567"/>
        </w:tabs>
        <w:rPr>
          <w:i/>
          <w:iCs/>
          <w:noProof w:val="0"/>
          <w:color w:val="000000"/>
          <w:u w:val="single"/>
        </w:rPr>
      </w:pPr>
      <w:r w:rsidRPr="00121123">
        <w:rPr>
          <w:noProof w:val="0"/>
        </w:rPr>
        <w:t xml:space="preserve">Tigecyklín je citlivý na </w:t>
      </w:r>
      <w:r w:rsidR="00E64357" w:rsidRPr="00121123">
        <w:rPr>
          <w:noProof w:val="0"/>
        </w:rPr>
        <w:t>chromoz</w:t>
      </w:r>
      <w:r w:rsidR="008906E2" w:rsidRPr="00121123">
        <w:rPr>
          <w:noProof w:val="0"/>
        </w:rPr>
        <w:t>ómovo</w:t>
      </w:r>
      <w:r w:rsidR="00E64357" w:rsidRPr="00121123">
        <w:rPr>
          <w:noProof w:val="0"/>
        </w:rPr>
        <w:t xml:space="preserve"> kódované</w:t>
      </w:r>
      <w:r w:rsidR="003E13ED" w:rsidRPr="00121123">
        <w:rPr>
          <w:noProof w:val="0"/>
        </w:rPr>
        <w:t xml:space="preserve"> </w:t>
      </w:r>
      <w:r w:rsidRPr="00121123">
        <w:rPr>
          <w:noProof w:val="0"/>
        </w:rPr>
        <w:t>efluxn</w:t>
      </w:r>
      <w:r w:rsidR="00E64357" w:rsidRPr="00121123">
        <w:rPr>
          <w:noProof w:val="0"/>
        </w:rPr>
        <w:t>é</w:t>
      </w:r>
      <w:r w:rsidRPr="00121123">
        <w:rPr>
          <w:noProof w:val="0"/>
        </w:rPr>
        <w:t xml:space="preserve"> pump</w:t>
      </w:r>
      <w:r w:rsidR="00E64357" w:rsidRPr="00121123">
        <w:rPr>
          <w:noProof w:val="0"/>
        </w:rPr>
        <w:t xml:space="preserve">y </w:t>
      </w:r>
      <w:r w:rsidR="00D2141F" w:rsidRPr="00121123">
        <w:rPr>
          <w:noProof w:val="0"/>
        </w:rPr>
        <w:t>spôsobujúce multirezistenciu</w:t>
      </w:r>
      <w:r w:rsidR="00916125" w:rsidRPr="00121123">
        <w:rPr>
          <w:noProof w:val="0"/>
        </w:rPr>
        <w:t xml:space="preserve"> </w:t>
      </w:r>
      <w:r w:rsidR="003E13ED" w:rsidRPr="00121123">
        <w:rPr>
          <w:i/>
          <w:noProof w:val="0"/>
        </w:rPr>
        <w:t>Proteeae</w:t>
      </w:r>
      <w:r w:rsidR="003E13ED" w:rsidRPr="00121123">
        <w:rPr>
          <w:noProof w:val="0"/>
        </w:rPr>
        <w:t xml:space="preserve"> a</w:t>
      </w:r>
      <w:r w:rsidR="00D81A8D" w:rsidRPr="00121123">
        <w:rPr>
          <w:noProof w:val="0"/>
        </w:rPr>
        <w:t> </w:t>
      </w:r>
      <w:r w:rsidR="003E13ED" w:rsidRPr="00121123">
        <w:rPr>
          <w:i/>
          <w:noProof w:val="0"/>
        </w:rPr>
        <w:t>Pseudomonas aeruginosa</w:t>
      </w:r>
      <w:r w:rsidR="003E13ED" w:rsidRPr="00121123">
        <w:rPr>
          <w:noProof w:val="0"/>
        </w:rPr>
        <w:t xml:space="preserve">. </w:t>
      </w:r>
      <w:r w:rsidR="00870248" w:rsidRPr="00121123">
        <w:rPr>
          <w:noProof w:val="0"/>
        </w:rPr>
        <w:t xml:space="preserve">Patogény </w:t>
      </w:r>
      <w:r w:rsidR="00D2141F" w:rsidRPr="00121123">
        <w:rPr>
          <w:noProof w:val="0"/>
        </w:rPr>
        <w:t xml:space="preserve">z čeľade </w:t>
      </w:r>
      <w:r w:rsidR="00870248" w:rsidRPr="00121123">
        <w:rPr>
          <w:i/>
          <w:iCs/>
          <w:noProof w:val="0"/>
        </w:rPr>
        <w:t>Proteeae</w:t>
      </w:r>
      <w:r w:rsidR="00870248" w:rsidRPr="00121123">
        <w:rPr>
          <w:noProof w:val="0"/>
        </w:rPr>
        <w:t xml:space="preserve"> (</w:t>
      </w:r>
      <w:r w:rsidR="00870248" w:rsidRPr="00121123">
        <w:rPr>
          <w:i/>
          <w:iCs/>
          <w:noProof w:val="0"/>
        </w:rPr>
        <w:t>Proteus</w:t>
      </w:r>
      <w:r w:rsidR="00870248" w:rsidRPr="00121123">
        <w:rPr>
          <w:noProof w:val="0"/>
        </w:rPr>
        <w:t xml:space="preserve"> sp., </w:t>
      </w:r>
      <w:r w:rsidR="00870248" w:rsidRPr="00121123">
        <w:rPr>
          <w:i/>
          <w:iCs/>
          <w:noProof w:val="0"/>
        </w:rPr>
        <w:t xml:space="preserve">Providencia </w:t>
      </w:r>
      <w:r w:rsidR="00870248" w:rsidRPr="00121123">
        <w:rPr>
          <w:noProof w:val="0"/>
        </w:rPr>
        <w:t xml:space="preserve">sp. </w:t>
      </w:r>
      <w:r w:rsidR="00D2141F" w:rsidRPr="00121123">
        <w:rPr>
          <w:noProof w:val="0"/>
        </w:rPr>
        <w:lastRenderedPageBreak/>
        <w:t>a </w:t>
      </w:r>
      <w:r w:rsidR="00870248" w:rsidRPr="00121123">
        <w:rPr>
          <w:i/>
          <w:iCs/>
          <w:noProof w:val="0"/>
        </w:rPr>
        <w:t>Morganella</w:t>
      </w:r>
      <w:r w:rsidR="00870248" w:rsidRPr="00121123">
        <w:rPr>
          <w:noProof w:val="0"/>
        </w:rPr>
        <w:t xml:space="preserve"> sp.) sú všeobecne menej citlivé na tigecyklín ako iní členovia patriaci k</w:t>
      </w:r>
      <w:r w:rsidR="002B44AC" w:rsidRPr="00121123">
        <w:rPr>
          <w:noProof w:val="0"/>
        </w:rPr>
        <w:t> </w:t>
      </w:r>
      <w:r w:rsidR="00D00214" w:rsidRPr="00EA403D">
        <w:rPr>
          <w:i/>
        </w:rPr>
        <w:t>Enterobacterales</w:t>
      </w:r>
      <w:r w:rsidR="00870248" w:rsidRPr="00121123">
        <w:rPr>
          <w:i/>
          <w:iCs/>
          <w:noProof w:val="0"/>
        </w:rPr>
        <w:t xml:space="preserve">. </w:t>
      </w:r>
      <w:r w:rsidR="00870248" w:rsidRPr="00121123">
        <w:rPr>
          <w:noProof w:val="0"/>
        </w:rPr>
        <w:t xml:space="preserve">Znížená citlivosť u oboch skupín </w:t>
      </w:r>
      <w:r w:rsidR="00D2141F" w:rsidRPr="00121123">
        <w:rPr>
          <w:noProof w:val="0"/>
        </w:rPr>
        <w:t xml:space="preserve">sa pripisuje nadmernej expresii </w:t>
      </w:r>
      <w:r w:rsidR="00870248" w:rsidRPr="00121123">
        <w:rPr>
          <w:noProof w:val="0"/>
        </w:rPr>
        <w:t>nešpecifickej</w:t>
      </w:r>
      <w:r w:rsidR="00D2141F" w:rsidRPr="00121123">
        <w:rPr>
          <w:noProof w:val="0"/>
        </w:rPr>
        <w:t xml:space="preserve"> efluxnej pumpy </w:t>
      </w:r>
      <w:r w:rsidR="00870248" w:rsidRPr="00121123">
        <w:rPr>
          <w:noProof w:val="0"/>
        </w:rPr>
        <w:t xml:space="preserve">AcrAB </w:t>
      </w:r>
      <w:r w:rsidR="00D2141F" w:rsidRPr="00121123">
        <w:rPr>
          <w:noProof w:val="0"/>
        </w:rPr>
        <w:t>spôsobujúcej multirezistenciu</w:t>
      </w:r>
      <w:r w:rsidR="00870248" w:rsidRPr="00121123">
        <w:rPr>
          <w:noProof w:val="0"/>
        </w:rPr>
        <w:t xml:space="preserve">. </w:t>
      </w:r>
      <w:r w:rsidR="00FE037D" w:rsidRPr="00121123">
        <w:rPr>
          <w:noProof w:val="0"/>
        </w:rPr>
        <w:t>Z</w:t>
      </w:r>
      <w:r w:rsidR="00870248" w:rsidRPr="00121123">
        <w:rPr>
          <w:noProof w:val="0"/>
        </w:rPr>
        <w:t xml:space="preserve">nížená citlivosť u </w:t>
      </w:r>
      <w:r w:rsidR="00870248" w:rsidRPr="00121123">
        <w:rPr>
          <w:i/>
          <w:iCs/>
          <w:noProof w:val="0"/>
        </w:rPr>
        <w:t>Acinetobacter baumannii</w:t>
      </w:r>
      <w:r w:rsidR="002B44AC" w:rsidRPr="00121123">
        <w:rPr>
          <w:i/>
          <w:iCs/>
          <w:noProof w:val="0"/>
        </w:rPr>
        <w:t xml:space="preserve"> </w:t>
      </w:r>
      <w:r w:rsidR="002B44AC" w:rsidRPr="00121123">
        <w:rPr>
          <w:iCs/>
          <w:noProof w:val="0"/>
        </w:rPr>
        <w:t>sa</w:t>
      </w:r>
      <w:r w:rsidR="00FE037D" w:rsidRPr="00121123">
        <w:rPr>
          <w:iCs/>
          <w:noProof w:val="0"/>
        </w:rPr>
        <w:t xml:space="preserve"> pri</w:t>
      </w:r>
      <w:r w:rsidR="00D2141F" w:rsidRPr="00121123">
        <w:rPr>
          <w:iCs/>
          <w:noProof w:val="0"/>
        </w:rPr>
        <w:t xml:space="preserve">pisuje </w:t>
      </w:r>
      <w:r w:rsidR="00FE037D" w:rsidRPr="00121123">
        <w:rPr>
          <w:iCs/>
          <w:noProof w:val="0"/>
        </w:rPr>
        <w:t xml:space="preserve">zvýšenej expresii </w:t>
      </w:r>
      <w:r w:rsidR="00D2141F" w:rsidRPr="00121123">
        <w:rPr>
          <w:iCs/>
          <w:noProof w:val="0"/>
        </w:rPr>
        <w:t xml:space="preserve">efluxnej pumpy </w:t>
      </w:r>
      <w:r w:rsidR="00FE037D" w:rsidRPr="00121123">
        <w:rPr>
          <w:iCs/>
          <w:noProof w:val="0"/>
        </w:rPr>
        <w:t>AdeABC</w:t>
      </w:r>
      <w:r w:rsidR="00870248" w:rsidRPr="00121123">
        <w:rPr>
          <w:noProof w:val="0"/>
        </w:rPr>
        <w:t>.</w:t>
      </w:r>
    </w:p>
    <w:p w14:paraId="64795D00" w14:textId="77777777" w:rsidR="00D00214" w:rsidRDefault="00D00214" w:rsidP="00D00214">
      <w:pPr>
        <w:keepLines w:val="0"/>
        <w:tabs>
          <w:tab w:val="clear" w:pos="567"/>
        </w:tabs>
        <w:rPr>
          <w:i/>
          <w:iCs/>
          <w:noProof w:val="0"/>
          <w:color w:val="000000"/>
          <w:u w:val="single"/>
        </w:rPr>
      </w:pPr>
    </w:p>
    <w:p w14:paraId="1EF1C456" w14:textId="77777777" w:rsidR="00D00214" w:rsidRPr="00B43025" w:rsidRDefault="00D00214" w:rsidP="00D00214">
      <w:pPr>
        <w:keepLines w:val="0"/>
        <w:tabs>
          <w:tab w:val="clear" w:pos="567"/>
        </w:tabs>
        <w:autoSpaceDE w:val="0"/>
        <w:autoSpaceDN w:val="0"/>
        <w:adjustRightInd w:val="0"/>
        <w:rPr>
          <w:u w:val="single"/>
        </w:rPr>
      </w:pPr>
      <w:r>
        <w:rPr>
          <w:u w:val="single"/>
        </w:rPr>
        <w:t>Antibakteriálna aktivita v kombinácii s inými antibakteriálnymi liekmi</w:t>
      </w:r>
    </w:p>
    <w:p w14:paraId="3C05C9F8" w14:textId="77777777" w:rsidR="00D00214" w:rsidRDefault="00D00214" w:rsidP="00D00214">
      <w:pPr>
        <w:keepLines w:val="0"/>
        <w:tabs>
          <w:tab w:val="clear" w:pos="567"/>
        </w:tabs>
        <w:autoSpaceDE w:val="0"/>
        <w:autoSpaceDN w:val="0"/>
        <w:adjustRightInd w:val="0"/>
      </w:pPr>
    </w:p>
    <w:p w14:paraId="693E4F51" w14:textId="2603420A" w:rsidR="004630CB" w:rsidRDefault="00D00214" w:rsidP="00C23C08">
      <w:pPr>
        <w:keepLines w:val="0"/>
        <w:tabs>
          <w:tab w:val="clear" w:pos="567"/>
        </w:tabs>
        <w:autoSpaceDE w:val="0"/>
        <w:autoSpaceDN w:val="0"/>
        <w:adjustRightInd w:val="0"/>
        <w:rPr>
          <w:rFonts w:cstheme="majorHAnsi"/>
          <w:u w:val="single"/>
        </w:rPr>
      </w:pPr>
      <w:r>
        <w:t xml:space="preserve">V štúdiach </w:t>
      </w:r>
      <w:r>
        <w:rPr>
          <w:i/>
          <w:iCs/>
        </w:rPr>
        <w:t>in vitro</w:t>
      </w:r>
      <w:r>
        <w:t xml:space="preserve"> bol antagonizmus medzi tigecyklínom a inými bežne používanými triedami antibiotík pozorovaný zriedka.</w:t>
      </w:r>
    </w:p>
    <w:p w14:paraId="11E7950D" w14:textId="33FC1855" w:rsidR="004630CB" w:rsidRPr="00DC5746" w:rsidRDefault="004630CB" w:rsidP="00C23C08">
      <w:pPr>
        <w:widowControl w:val="0"/>
        <w:autoSpaceDE w:val="0"/>
        <w:autoSpaceDN w:val="0"/>
        <w:adjustRightInd w:val="0"/>
        <w:spacing w:line="360" w:lineRule="auto"/>
        <w:ind w:right="108"/>
        <w:rPr>
          <w:rFonts w:cstheme="majorHAnsi"/>
          <w:color w:val="000000"/>
          <w:u w:val="single"/>
        </w:rPr>
      </w:pPr>
      <w:r w:rsidRPr="00DC5746">
        <w:rPr>
          <w:rFonts w:cstheme="majorHAnsi"/>
          <w:u w:val="single"/>
        </w:rPr>
        <w:t>Hraničné hodnoty testovania citlivosti</w:t>
      </w:r>
      <w:r w:rsidRPr="00DC5746">
        <w:rPr>
          <w:rFonts w:cstheme="majorHAnsi"/>
          <w:color w:val="000000"/>
          <w:u w:val="single"/>
        </w:rPr>
        <w:t xml:space="preserve"> </w:t>
      </w:r>
    </w:p>
    <w:p w14:paraId="60BFA06B" w14:textId="66095365" w:rsidR="004630CB" w:rsidRDefault="004630CB" w:rsidP="004630CB">
      <w:pPr>
        <w:tabs>
          <w:tab w:val="clear" w:pos="567"/>
        </w:tabs>
        <w:rPr>
          <w:iCs/>
          <w:noProof w:val="0"/>
          <w:u w:val="single"/>
        </w:rPr>
      </w:pPr>
      <w:r w:rsidRPr="00DC5746">
        <w:rPr>
          <w:rFonts w:cstheme="majorHAnsi"/>
          <w:color w:val="000000"/>
        </w:rPr>
        <w:t xml:space="preserve">Interpretačné kritériá MIC (minimálnej inhibičnej koncentrácie) pre testovanie citlivosti stanovil </w:t>
      </w:r>
      <w:r w:rsidRPr="00DC5746">
        <w:rPr>
          <w:rFonts w:cstheme="majorHAnsi"/>
          <w:i/>
          <w:iCs/>
          <w:color w:val="000000"/>
        </w:rPr>
        <w:t>European Committee on Antimicrobial Susceptibility Testing</w:t>
      </w:r>
      <w:r w:rsidRPr="00DC5746">
        <w:rPr>
          <w:rFonts w:cstheme="majorHAnsi"/>
          <w:color w:val="000000"/>
        </w:rPr>
        <w:t xml:space="preserve"> (EUCAST) pre </w:t>
      </w:r>
      <w:r w:rsidRPr="00121123">
        <w:rPr>
          <w:noProof w:val="0"/>
        </w:rPr>
        <w:t>tigecyklín</w:t>
      </w:r>
      <w:r w:rsidRPr="00DC5746">
        <w:rPr>
          <w:rFonts w:cstheme="majorHAnsi"/>
          <w:color w:val="000000"/>
        </w:rPr>
        <w:t xml:space="preserve"> a sú uvedené tu: </w:t>
      </w:r>
      <w:hyperlink r:id="rId12" w:history="1">
        <w:r w:rsidRPr="002111B3">
          <w:rPr>
            <w:rStyle w:val="Hyperlink"/>
          </w:rPr>
          <w:t>https://www.ema.europa.eu/documents/other/minimum-inhibitory-concentration-mic-breakpoints_en.xlsx</w:t>
        </w:r>
      </w:hyperlink>
    </w:p>
    <w:p w14:paraId="63856D27" w14:textId="77777777" w:rsidR="004630CB" w:rsidRDefault="004630CB" w:rsidP="007A3A03">
      <w:pPr>
        <w:tabs>
          <w:tab w:val="clear" w:pos="567"/>
        </w:tabs>
        <w:rPr>
          <w:iCs/>
          <w:noProof w:val="0"/>
          <w:u w:val="single"/>
        </w:rPr>
      </w:pPr>
    </w:p>
    <w:p w14:paraId="79911068" w14:textId="56A3B0B9" w:rsidR="00870248" w:rsidRPr="00121123" w:rsidRDefault="00870248" w:rsidP="007A3A03">
      <w:pPr>
        <w:tabs>
          <w:tab w:val="clear" w:pos="567"/>
        </w:tabs>
        <w:rPr>
          <w:noProof w:val="0"/>
        </w:rPr>
      </w:pPr>
      <w:r w:rsidRPr="00C26AE6">
        <w:rPr>
          <w:noProof w:val="0"/>
          <w:color w:val="000000"/>
        </w:rPr>
        <w:t>Pre anaeróbne baktérie existujú klinické dôkazy účinnosti voči polymikrobiálnym intraabdominálnym</w:t>
      </w:r>
      <w:r w:rsidRPr="00121123">
        <w:rPr>
          <w:noProof w:val="0"/>
        </w:rPr>
        <w:t xml:space="preserve"> infekciám, ale nie je k dispozícii korelácia medzi hodnotami MIC, farmakokinetickými/ farmakodynamickými údajmi a klinickým výsledkom. Preto sa neudávajú hranice citlivosti. Je potrebné poznamenať, že distribúcie MIC pre organizmy rodov Bacteroides a Clostridium sú široké a môžu zahŕňať hodnoty vyššie ako 2 mg/l tigecyklínu.</w:t>
      </w:r>
    </w:p>
    <w:p w14:paraId="4D2F6276" w14:textId="77777777" w:rsidR="00870248" w:rsidRPr="00121123" w:rsidRDefault="00870248" w:rsidP="007A3A03">
      <w:pPr>
        <w:pStyle w:val="Header"/>
        <w:keepLines w:val="0"/>
        <w:tabs>
          <w:tab w:val="clear" w:pos="4320"/>
          <w:tab w:val="clear" w:pos="8640"/>
          <w:tab w:val="left" w:pos="567"/>
        </w:tabs>
        <w:rPr>
          <w:noProof w:val="0"/>
        </w:rPr>
      </w:pPr>
    </w:p>
    <w:p w14:paraId="2DE12C4C" w14:textId="77777777" w:rsidR="00870248" w:rsidRPr="00121123" w:rsidRDefault="00870248" w:rsidP="007A3A03">
      <w:pPr>
        <w:keepLines w:val="0"/>
        <w:widowControl w:val="0"/>
        <w:rPr>
          <w:noProof w:val="0"/>
        </w:rPr>
      </w:pPr>
      <w:r w:rsidRPr="00121123">
        <w:rPr>
          <w:noProof w:val="0"/>
        </w:rPr>
        <w:t xml:space="preserve">K dispozícii sú limitované dôkazy o klinickej účinnosti tigecyklínu na Enterococci. Ukázalo sa však, že v klinických </w:t>
      </w:r>
      <w:r w:rsidR="007A7568" w:rsidRPr="00121123">
        <w:rPr>
          <w:noProof w:val="0"/>
        </w:rPr>
        <w:t>skúšaniach</w:t>
      </w:r>
      <w:r w:rsidRPr="00121123">
        <w:rPr>
          <w:noProof w:val="0"/>
        </w:rPr>
        <w:t xml:space="preserve"> polymikrobiálne intraabdominálne infekcie reagujú na liečbu tigecyklínom. </w:t>
      </w:r>
    </w:p>
    <w:p w14:paraId="326D3AE0" w14:textId="77777777" w:rsidR="00870248" w:rsidRPr="00121123" w:rsidRDefault="00870248" w:rsidP="007A3A03">
      <w:pPr>
        <w:pStyle w:val="Header"/>
        <w:keepLines w:val="0"/>
        <w:widowControl w:val="0"/>
        <w:tabs>
          <w:tab w:val="clear" w:pos="4320"/>
          <w:tab w:val="clear" w:pos="8640"/>
          <w:tab w:val="left" w:pos="567"/>
        </w:tabs>
        <w:rPr>
          <w:noProof w:val="0"/>
        </w:rPr>
      </w:pPr>
    </w:p>
    <w:p w14:paraId="23785FFE" w14:textId="77777777" w:rsidR="00870248" w:rsidRPr="00121123" w:rsidRDefault="00870248" w:rsidP="007A3A03">
      <w:pPr>
        <w:keepLines w:val="0"/>
        <w:widowControl w:val="0"/>
        <w:tabs>
          <w:tab w:val="clear" w:pos="567"/>
        </w:tabs>
        <w:autoSpaceDE w:val="0"/>
        <w:autoSpaceDN w:val="0"/>
        <w:adjustRightInd w:val="0"/>
        <w:rPr>
          <w:noProof w:val="0"/>
          <w:u w:val="single"/>
        </w:rPr>
      </w:pPr>
      <w:r w:rsidRPr="00121123">
        <w:rPr>
          <w:noProof w:val="0"/>
          <w:u w:val="single"/>
        </w:rPr>
        <w:t>Citlivosť</w:t>
      </w:r>
    </w:p>
    <w:p w14:paraId="5C076B17" w14:textId="77777777" w:rsidR="00347E7D" w:rsidRPr="00121123" w:rsidRDefault="00347E7D" w:rsidP="007A3A03">
      <w:pPr>
        <w:keepLines w:val="0"/>
        <w:widowControl w:val="0"/>
        <w:tabs>
          <w:tab w:val="clear" w:pos="567"/>
        </w:tabs>
        <w:autoSpaceDE w:val="0"/>
        <w:autoSpaceDN w:val="0"/>
        <w:adjustRightInd w:val="0"/>
        <w:rPr>
          <w:noProof w:val="0"/>
          <w:u w:val="single"/>
        </w:rPr>
      </w:pPr>
    </w:p>
    <w:p w14:paraId="23A426B3" w14:textId="77777777" w:rsidR="00493DD2" w:rsidRPr="00121123" w:rsidRDefault="00870248" w:rsidP="007A3A03">
      <w:pPr>
        <w:keepLines w:val="0"/>
        <w:widowControl w:val="0"/>
        <w:tabs>
          <w:tab w:val="clear" w:pos="567"/>
        </w:tabs>
        <w:autoSpaceDE w:val="0"/>
        <w:autoSpaceDN w:val="0"/>
        <w:adjustRightInd w:val="0"/>
        <w:rPr>
          <w:noProof w:val="0"/>
        </w:rPr>
      </w:pPr>
      <w:r w:rsidRPr="00121123">
        <w:rPr>
          <w:noProof w:val="0"/>
        </w:rPr>
        <w:t xml:space="preserve">Prevalencia získanej rezistencie sa môže v prípade určitých kmeňov líšiť v závislosti od geografických podmienok a času a potrebné sú miestne informácie o rezistencii, najmä ak sa liečia závažné infekcie. Podľa potreby sa má vyhľadať odborná rada, ak je miestne rozšírenie rezistencie také, že je použitie lieku aspoň u niektorých typov infekcií otázne. </w:t>
      </w:r>
    </w:p>
    <w:p w14:paraId="6B6D7698" w14:textId="77777777" w:rsidR="00493DD2" w:rsidRPr="00121123" w:rsidRDefault="00493DD2" w:rsidP="007A3A03">
      <w:pPr>
        <w:keepLines w:val="0"/>
        <w:tabs>
          <w:tab w:val="clear" w:pos="567"/>
        </w:tabs>
        <w:autoSpaceDE w:val="0"/>
        <w:autoSpaceDN w:val="0"/>
        <w:adjustRightInd w:val="0"/>
        <w:rPr>
          <w:noProof w:val="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70248" w:rsidRPr="00121123" w14:paraId="684D163F" w14:textId="77777777" w:rsidTr="00493DD2">
        <w:trPr>
          <w:tblHeader/>
        </w:trPr>
        <w:tc>
          <w:tcPr>
            <w:tcW w:w="9606" w:type="dxa"/>
            <w:tcBorders>
              <w:top w:val="single" w:sz="4" w:space="0" w:color="auto"/>
              <w:left w:val="single" w:sz="4" w:space="0" w:color="auto"/>
              <w:bottom w:val="single" w:sz="4" w:space="0" w:color="auto"/>
              <w:right w:val="single" w:sz="4" w:space="0" w:color="auto"/>
            </w:tcBorders>
          </w:tcPr>
          <w:p w14:paraId="616B8FB1" w14:textId="77777777" w:rsidR="00870248" w:rsidRPr="00121123" w:rsidRDefault="00870248" w:rsidP="007A3A03">
            <w:pPr>
              <w:keepLines w:val="0"/>
              <w:rPr>
                <w:b/>
                <w:bCs/>
                <w:noProof w:val="0"/>
              </w:rPr>
            </w:pPr>
            <w:r w:rsidRPr="00121123">
              <w:rPr>
                <w:b/>
                <w:bCs/>
                <w:noProof w:val="0"/>
              </w:rPr>
              <w:t>Patogén</w:t>
            </w:r>
          </w:p>
          <w:p w14:paraId="7674577C" w14:textId="77777777" w:rsidR="00493DD2" w:rsidRPr="00121123" w:rsidRDefault="00493DD2" w:rsidP="007A3A03">
            <w:pPr>
              <w:keepLines w:val="0"/>
              <w:rPr>
                <w:b/>
                <w:bCs/>
                <w:noProof w:val="0"/>
                <w:u w:val="single"/>
              </w:rPr>
            </w:pPr>
          </w:p>
        </w:tc>
      </w:tr>
      <w:tr w:rsidR="00870248" w:rsidRPr="00121123" w14:paraId="7D5D270F" w14:textId="77777777" w:rsidTr="00493DD2">
        <w:trPr>
          <w:hidden w:val="0"/>
        </w:trPr>
        <w:tc>
          <w:tcPr>
            <w:tcW w:w="9606" w:type="dxa"/>
            <w:tcBorders>
              <w:top w:val="single" w:sz="4" w:space="0" w:color="auto"/>
              <w:left w:val="single" w:sz="4" w:space="0" w:color="auto"/>
              <w:bottom w:val="single" w:sz="4" w:space="0" w:color="auto"/>
              <w:right w:val="single" w:sz="4" w:space="0" w:color="auto"/>
            </w:tcBorders>
          </w:tcPr>
          <w:p w14:paraId="705B65CC" w14:textId="77777777" w:rsidR="00870248" w:rsidRPr="00121123" w:rsidRDefault="00870248" w:rsidP="007A3A03">
            <w:pPr>
              <w:pStyle w:val="Heading1"/>
              <w:keepNext w:val="0"/>
              <w:keepLines w:val="0"/>
              <w:rPr>
                <w:caps w:val="0"/>
                <w:noProof w:val="0"/>
                <w:u w:val="single"/>
                <w:lang w:val="sk-SK"/>
              </w:rPr>
            </w:pPr>
            <w:r w:rsidRPr="00121123">
              <w:rPr>
                <w:rStyle w:val="tw4winMark"/>
                <w:rFonts w:ascii="Times New Roman" w:hAnsi="Times New Roman" w:cs="Times New Roman"/>
                <w:caps w:val="0"/>
                <w:noProof w:val="0"/>
                <w:vanish w:val="0"/>
                <w:color w:val="auto"/>
                <w:vertAlign w:val="baseline"/>
                <w:lang w:val="sk-SK"/>
              </w:rPr>
              <w:t>Bežne citlivé kmene</w:t>
            </w:r>
          </w:p>
        </w:tc>
      </w:tr>
      <w:tr w:rsidR="00870248" w:rsidRPr="00121123" w14:paraId="36DB96E1" w14:textId="77777777" w:rsidTr="00493DD2">
        <w:tc>
          <w:tcPr>
            <w:tcW w:w="9606" w:type="dxa"/>
            <w:tcBorders>
              <w:top w:val="single" w:sz="4" w:space="0" w:color="auto"/>
              <w:left w:val="single" w:sz="4" w:space="0" w:color="auto"/>
              <w:bottom w:val="single" w:sz="4" w:space="0" w:color="auto"/>
              <w:right w:val="single" w:sz="4" w:space="0" w:color="auto"/>
            </w:tcBorders>
          </w:tcPr>
          <w:p w14:paraId="79B076A3" w14:textId="77777777" w:rsidR="00AB63CC" w:rsidRPr="00121123" w:rsidRDefault="00AB63CC" w:rsidP="007A3A03">
            <w:pPr>
              <w:keepLines w:val="0"/>
              <w:rPr>
                <w:iCs/>
                <w:noProof w:val="0"/>
                <w:u w:val="single"/>
              </w:rPr>
            </w:pPr>
            <w:r w:rsidRPr="00121123">
              <w:rPr>
                <w:iCs/>
                <w:noProof w:val="0"/>
                <w:u w:val="single"/>
              </w:rPr>
              <w:t>Grampozitívne aeróby</w:t>
            </w:r>
          </w:p>
          <w:p w14:paraId="01C445BA" w14:textId="77777777" w:rsidR="00870248" w:rsidRPr="00121123" w:rsidRDefault="00870248" w:rsidP="007A3A03">
            <w:pPr>
              <w:keepLines w:val="0"/>
              <w:rPr>
                <w:noProof w:val="0"/>
              </w:rPr>
            </w:pPr>
            <w:r w:rsidRPr="00121123">
              <w:rPr>
                <w:i/>
                <w:iCs/>
                <w:noProof w:val="0"/>
              </w:rPr>
              <w:t>Enterococcus</w:t>
            </w:r>
            <w:r w:rsidRPr="00121123">
              <w:rPr>
                <w:noProof w:val="0"/>
              </w:rPr>
              <w:t xml:space="preserve"> spp.†</w:t>
            </w:r>
          </w:p>
          <w:p w14:paraId="61B3A372" w14:textId="77777777" w:rsidR="00870248" w:rsidRPr="00121123" w:rsidRDefault="00870248" w:rsidP="007A3A03">
            <w:pPr>
              <w:keepLines w:val="0"/>
              <w:rPr>
                <w:i/>
                <w:iCs/>
                <w:noProof w:val="0"/>
              </w:rPr>
            </w:pPr>
            <w:r w:rsidRPr="00121123">
              <w:rPr>
                <w:i/>
                <w:iCs/>
                <w:noProof w:val="0"/>
              </w:rPr>
              <w:t>Staphylococcus aureus*</w:t>
            </w:r>
          </w:p>
          <w:p w14:paraId="43923311" w14:textId="77777777" w:rsidR="00870248" w:rsidRPr="00121123" w:rsidRDefault="00870248" w:rsidP="007A3A03">
            <w:pPr>
              <w:keepLines w:val="0"/>
              <w:rPr>
                <w:i/>
                <w:iCs/>
                <w:noProof w:val="0"/>
              </w:rPr>
            </w:pPr>
            <w:r w:rsidRPr="00121123">
              <w:rPr>
                <w:i/>
                <w:iCs/>
                <w:noProof w:val="0"/>
              </w:rPr>
              <w:t>Staphylococcus epidermidis</w:t>
            </w:r>
          </w:p>
          <w:p w14:paraId="5ABDFE2C" w14:textId="77777777" w:rsidR="00870248" w:rsidRPr="00121123" w:rsidRDefault="00870248" w:rsidP="007A3A03">
            <w:pPr>
              <w:keepLines w:val="0"/>
              <w:rPr>
                <w:i/>
                <w:iCs/>
                <w:noProof w:val="0"/>
              </w:rPr>
            </w:pPr>
            <w:r w:rsidRPr="00121123">
              <w:rPr>
                <w:i/>
                <w:iCs/>
                <w:noProof w:val="0"/>
              </w:rPr>
              <w:t>Staphylococcus haemolyticus</w:t>
            </w:r>
          </w:p>
          <w:p w14:paraId="45CCC682" w14:textId="77777777" w:rsidR="00870248" w:rsidRPr="00121123" w:rsidRDefault="00870248" w:rsidP="007A3A03">
            <w:pPr>
              <w:keepLines w:val="0"/>
              <w:rPr>
                <w:i/>
                <w:iCs/>
                <w:noProof w:val="0"/>
              </w:rPr>
            </w:pPr>
            <w:r w:rsidRPr="00121123">
              <w:rPr>
                <w:i/>
                <w:iCs/>
                <w:noProof w:val="0"/>
              </w:rPr>
              <w:t>Streptococcus agalactiae*</w:t>
            </w:r>
          </w:p>
          <w:p w14:paraId="5BE851FA" w14:textId="77777777" w:rsidR="00870248" w:rsidRPr="00121123" w:rsidRDefault="00890A75" w:rsidP="007A3A03">
            <w:pPr>
              <w:keepLines w:val="0"/>
              <w:rPr>
                <w:i/>
                <w:iCs/>
                <w:noProof w:val="0"/>
              </w:rPr>
            </w:pPr>
            <w:r w:rsidRPr="00121123">
              <w:rPr>
                <w:iCs/>
                <w:noProof w:val="0"/>
              </w:rPr>
              <w:t xml:space="preserve">Skupina </w:t>
            </w:r>
            <w:r w:rsidR="00870248" w:rsidRPr="00121123">
              <w:rPr>
                <w:i/>
                <w:iCs/>
                <w:noProof w:val="0"/>
              </w:rPr>
              <w:t>Streptococcus anginosu*</w:t>
            </w:r>
            <w:r w:rsidR="00870248" w:rsidRPr="00121123">
              <w:rPr>
                <w:noProof w:val="0"/>
              </w:rPr>
              <w:t xml:space="preserve"> (zahŕňa </w:t>
            </w:r>
            <w:r w:rsidR="00870248" w:rsidRPr="00121123">
              <w:rPr>
                <w:i/>
                <w:iCs/>
                <w:noProof w:val="0"/>
              </w:rPr>
              <w:t>S. anginosus, S. intermedius a</w:t>
            </w:r>
            <w:r w:rsidR="00870248" w:rsidRPr="00121123">
              <w:rPr>
                <w:noProof w:val="0"/>
              </w:rPr>
              <w:t xml:space="preserve"> </w:t>
            </w:r>
            <w:r w:rsidR="00870248" w:rsidRPr="00121123">
              <w:rPr>
                <w:i/>
                <w:iCs/>
                <w:noProof w:val="0"/>
              </w:rPr>
              <w:t>S. constellatus</w:t>
            </w:r>
            <w:r w:rsidR="00870248" w:rsidRPr="00121123">
              <w:rPr>
                <w:noProof w:val="0"/>
              </w:rPr>
              <w:t>)</w:t>
            </w:r>
          </w:p>
          <w:p w14:paraId="7A9DBB1C" w14:textId="77777777" w:rsidR="00870248" w:rsidRPr="00121123" w:rsidRDefault="00870248" w:rsidP="007A3A03">
            <w:pPr>
              <w:keepLines w:val="0"/>
              <w:tabs>
                <w:tab w:val="clear" w:pos="567"/>
              </w:tabs>
              <w:rPr>
                <w:i/>
                <w:iCs/>
                <w:noProof w:val="0"/>
              </w:rPr>
            </w:pPr>
            <w:r w:rsidRPr="00121123">
              <w:rPr>
                <w:i/>
                <w:iCs/>
                <w:noProof w:val="0"/>
              </w:rPr>
              <w:t>Streptococcus pyogenes*</w:t>
            </w:r>
          </w:p>
          <w:p w14:paraId="10201277" w14:textId="77777777" w:rsidR="00AB63CC" w:rsidRPr="00121123" w:rsidRDefault="00AB63CC" w:rsidP="007A3A03">
            <w:pPr>
              <w:keepLines w:val="0"/>
              <w:tabs>
                <w:tab w:val="right" w:pos="9360"/>
              </w:tabs>
              <w:rPr>
                <w:noProof w:val="0"/>
              </w:rPr>
            </w:pPr>
            <w:r w:rsidRPr="00121123">
              <w:rPr>
                <w:noProof w:val="0"/>
              </w:rPr>
              <w:t>Strepto</w:t>
            </w:r>
            <w:r w:rsidR="00890A75" w:rsidRPr="00121123">
              <w:rPr>
                <w:noProof w:val="0"/>
              </w:rPr>
              <w:t>koky zo</w:t>
            </w:r>
            <w:r w:rsidRPr="00121123">
              <w:rPr>
                <w:noProof w:val="0"/>
              </w:rPr>
              <w:t xml:space="preserve"> skupiny Viridans</w:t>
            </w:r>
          </w:p>
          <w:p w14:paraId="39712B49" w14:textId="77777777" w:rsidR="00AB63CC" w:rsidRPr="00121123" w:rsidRDefault="00AB63CC" w:rsidP="007A3A03">
            <w:pPr>
              <w:keepLines w:val="0"/>
              <w:tabs>
                <w:tab w:val="clear" w:pos="567"/>
              </w:tabs>
              <w:rPr>
                <w:i/>
                <w:iCs/>
                <w:noProof w:val="0"/>
              </w:rPr>
            </w:pPr>
          </w:p>
          <w:p w14:paraId="45965102" w14:textId="77777777" w:rsidR="00AB63CC" w:rsidRPr="00121123" w:rsidRDefault="00AB63CC" w:rsidP="007A3A03">
            <w:pPr>
              <w:keepLines w:val="0"/>
              <w:tabs>
                <w:tab w:val="right" w:pos="9360"/>
              </w:tabs>
              <w:rPr>
                <w:noProof w:val="0"/>
                <w:u w:val="single"/>
              </w:rPr>
            </w:pPr>
            <w:r w:rsidRPr="00121123">
              <w:rPr>
                <w:noProof w:val="0"/>
                <w:u w:val="single"/>
              </w:rPr>
              <w:t>Gramnegatívne aeróby</w:t>
            </w:r>
          </w:p>
          <w:p w14:paraId="32AE8A20" w14:textId="77777777" w:rsidR="00870248" w:rsidRPr="00121123" w:rsidRDefault="00870248" w:rsidP="007A3A03">
            <w:pPr>
              <w:keepLines w:val="0"/>
              <w:tabs>
                <w:tab w:val="clear" w:pos="567"/>
              </w:tabs>
              <w:rPr>
                <w:i/>
                <w:iCs/>
                <w:noProof w:val="0"/>
              </w:rPr>
            </w:pPr>
            <w:r w:rsidRPr="00121123">
              <w:rPr>
                <w:i/>
                <w:iCs/>
                <w:noProof w:val="0"/>
              </w:rPr>
              <w:t>Citrobacter freundii*</w:t>
            </w:r>
          </w:p>
          <w:p w14:paraId="6CF5C3A4" w14:textId="77777777" w:rsidR="00870248" w:rsidRPr="00121123" w:rsidRDefault="00870248" w:rsidP="007A3A03">
            <w:pPr>
              <w:keepLines w:val="0"/>
              <w:tabs>
                <w:tab w:val="clear" w:pos="567"/>
              </w:tabs>
              <w:rPr>
                <w:i/>
                <w:iCs/>
                <w:noProof w:val="0"/>
              </w:rPr>
            </w:pPr>
            <w:r w:rsidRPr="00121123">
              <w:rPr>
                <w:i/>
                <w:iCs/>
                <w:noProof w:val="0"/>
              </w:rPr>
              <w:t>Citrobacter koseri</w:t>
            </w:r>
          </w:p>
          <w:p w14:paraId="2B5F5880" w14:textId="77777777" w:rsidR="00870248" w:rsidRPr="00121123" w:rsidRDefault="00870248" w:rsidP="007A3A03">
            <w:pPr>
              <w:keepLines w:val="0"/>
              <w:tabs>
                <w:tab w:val="clear" w:pos="567"/>
              </w:tabs>
              <w:rPr>
                <w:i/>
                <w:iCs/>
                <w:noProof w:val="0"/>
              </w:rPr>
            </w:pPr>
            <w:r w:rsidRPr="00121123">
              <w:rPr>
                <w:i/>
                <w:iCs/>
                <w:noProof w:val="0"/>
              </w:rPr>
              <w:t>Escherichia coli*</w:t>
            </w:r>
          </w:p>
          <w:p w14:paraId="4DB2FE74" w14:textId="77777777" w:rsidR="00E0005A" w:rsidRPr="00121123" w:rsidRDefault="00E0005A" w:rsidP="007A3A03">
            <w:pPr>
              <w:keepLines w:val="0"/>
              <w:tabs>
                <w:tab w:val="clear" w:pos="567"/>
              </w:tabs>
              <w:rPr>
                <w:i/>
                <w:iCs/>
                <w:noProof w:val="0"/>
              </w:rPr>
            </w:pPr>
          </w:p>
          <w:p w14:paraId="66D889EC" w14:textId="77777777" w:rsidR="00B05918" w:rsidRPr="00121123" w:rsidRDefault="00B05918" w:rsidP="007A3A03">
            <w:pPr>
              <w:keepLines w:val="0"/>
              <w:tabs>
                <w:tab w:val="clear" w:pos="567"/>
              </w:tabs>
              <w:rPr>
                <w:iCs/>
                <w:noProof w:val="0"/>
                <w:u w:val="single"/>
              </w:rPr>
            </w:pPr>
            <w:r w:rsidRPr="00121123">
              <w:rPr>
                <w:iCs/>
                <w:noProof w:val="0"/>
                <w:u w:val="single"/>
              </w:rPr>
              <w:t>Anaeróby</w:t>
            </w:r>
          </w:p>
          <w:p w14:paraId="1C2FFE26" w14:textId="77777777" w:rsidR="00870248" w:rsidRPr="00121123" w:rsidRDefault="00870248" w:rsidP="007A3A03">
            <w:pPr>
              <w:keepLines w:val="0"/>
              <w:tabs>
                <w:tab w:val="clear" w:pos="567"/>
                <w:tab w:val="right" w:pos="9360"/>
              </w:tabs>
              <w:rPr>
                <w:i/>
                <w:iCs/>
                <w:noProof w:val="0"/>
              </w:rPr>
            </w:pPr>
            <w:r w:rsidRPr="00121123">
              <w:rPr>
                <w:i/>
                <w:iCs/>
                <w:noProof w:val="0"/>
              </w:rPr>
              <w:t>Clostridium perfringens</w:t>
            </w:r>
            <w:r w:rsidRPr="00121123">
              <w:rPr>
                <w:noProof w:val="0"/>
              </w:rPr>
              <w:t>†</w:t>
            </w:r>
          </w:p>
          <w:p w14:paraId="7835C25B" w14:textId="77777777" w:rsidR="00870248" w:rsidRPr="00121123" w:rsidRDefault="00870248" w:rsidP="007A3A03">
            <w:pPr>
              <w:keepLines w:val="0"/>
              <w:tabs>
                <w:tab w:val="clear" w:pos="567"/>
                <w:tab w:val="right" w:pos="9360"/>
              </w:tabs>
              <w:rPr>
                <w:noProof w:val="0"/>
              </w:rPr>
            </w:pPr>
            <w:r w:rsidRPr="00121123">
              <w:rPr>
                <w:i/>
                <w:iCs/>
                <w:noProof w:val="0"/>
              </w:rPr>
              <w:t xml:space="preserve">Peptostreptococcus </w:t>
            </w:r>
            <w:r w:rsidRPr="00121123">
              <w:rPr>
                <w:noProof w:val="0"/>
              </w:rPr>
              <w:t>sp.†</w:t>
            </w:r>
          </w:p>
          <w:p w14:paraId="416E12FF" w14:textId="77777777" w:rsidR="00870248" w:rsidRPr="00121123" w:rsidRDefault="00870248" w:rsidP="007A3A03">
            <w:pPr>
              <w:keepLines w:val="0"/>
              <w:tabs>
                <w:tab w:val="right" w:pos="9360"/>
              </w:tabs>
              <w:rPr>
                <w:b/>
                <w:bCs/>
                <w:noProof w:val="0"/>
              </w:rPr>
            </w:pPr>
            <w:r w:rsidRPr="00121123">
              <w:rPr>
                <w:i/>
                <w:iCs/>
                <w:noProof w:val="0"/>
              </w:rPr>
              <w:t xml:space="preserve">Prevotella </w:t>
            </w:r>
            <w:r w:rsidRPr="00121123">
              <w:rPr>
                <w:noProof w:val="0"/>
              </w:rPr>
              <w:t>sp.</w:t>
            </w:r>
          </w:p>
        </w:tc>
      </w:tr>
      <w:tr w:rsidR="00870248" w:rsidRPr="00121123" w14:paraId="7F1F0DE8" w14:textId="77777777" w:rsidTr="00493DD2">
        <w:tc>
          <w:tcPr>
            <w:tcW w:w="9606" w:type="dxa"/>
            <w:tcBorders>
              <w:top w:val="single" w:sz="4" w:space="0" w:color="auto"/>
              <w:left w:val="single" w:sz="4" w:space="0" w:color="auto"/>
              <w:bottom w:val="single" w:sz="4" w:space="0" w:color="auto"/>
              <w:right w:val="single" w:sz="4" w:space="0" w:color="auto"/>
            </w:tcBorders>
          </w:tcPr>
          <w:p w14:paraId="21381234" w14:textId="77777777" w:rsidR="00870248" w:rsidRPr="00121123" w:rsidRDefault="00870248" w:rsidP="007A3A03">
            <w:pPr>
              <w:keepNext/>
              <w:keepLines w:val="0"/>
              <w:tabs>
                <w:tab w:val="left" w:pos="8505"/>
                <w:tab w:val="right" w:pos="9360"/>
              </w:tabs>
              <w:rPr>
                <w:b/>
                <w:bCs/>
                <w:noProof w:val="0"/>
              </w:rPr>
            </w:pPr>
            <w:r w:rsidRPr="00121123">
              <w:rPr>
                <w:b/>
                <w:bCs/>
                <w:noProof w:val="0"/>
              </w:rPr>
              <w:lastRenderedPageBreak/>
              <w:t xml:space="preserve">Kmene, </w:t>
            </w:r>
            <w:r w:rsidR="00890A75" w:rsidRPr="00121123">
              <w:rPr>
                <w:b/>
                <w:bCs/>
                <w:noProof w:val="0"/>
              </w:rPr>
              <w:t xml:space="preserve">u </w:t>
            </w:r>
            <w:r w:rsidRPr="00121123">
              <w:rPr>
                <w:b/>
                <w:bCs/>
                <w:noProof w:val="0"/>
              </w:rPr>
              <w:t>ktor</w:t>
            </w:r>
            <w:r w:rsidR="00890A75" w:rsidRPr="00121123">
              <w:rPr>
                <w:b/>
                <w:bCs/>
                <w:noProof w:val="0"/>
              </w:rPr>
              <w:t>ých</w:t>
            </w:r>
            <w:r w:rsidRPr="00121123">
              <w:rPr>
                <w:b/>
                <w:bCs/>
                <w:noProof w:val="0"/>
              </w:rPr>
              <w:t xml:space="preserve"> môže byť problémom </w:t>
            </w:r>
            <w:r w:rsidR="00890A75" w:rsidRPr="00121123">
              <w:rPr>
                <w:b/>
                <w:bCs/>
                <w:noProof w:val="0"/>
              </w:rPr>
              <w:t xml:space="preserve">získaná </w:t>
            </w:r>
            <w:r w:rsidR="00A50174" w:rsidRPr="00121123">
              <w:rPr>
                <w:b/>
                <w:bCs/>
                <w:noProof w:val="0"/>
              </w:rPr>
              <w:t>rezistencia</w:t>
            </w:r>
            <w:r w:rsidRPr="00121123">
              <w:rPr>
                <w:b/>
                <w:bCs/>
                <w:noProof w:val="0"/>
              </w:rPr>
              <w:t xml:space="preserve"> </w:t>
            </w:r>
          </w:p>
        </w:tc>
      </w:tr>
      <w:tr w:rsidR="00870248" w:rsidRPr="00121123" w14:paraId="78A0BA99" w14:textId="77777777" w:rsidTr="00493DD2">
        <w:tc>
          <w:tcPr>
            <w:tcW w:w="9606" w:type="dxa"/>
            <w:tcBorders>
              <w:top w:val="single" w:sz="4" w:space="0" w:color="auto"/>
              <w:left w:val="single" w:sz="4" w:space="0" w:color="auto"/>
              <w:bottom w:val="single" w:sz="4" w:space="0" w:color="auto"/>
              <w:right w:val="single" w:sz="4" w:space="0" w:color="auto"/>
            </w:tcBorders>
          </w:tcPr>
          <w:p w14:paraId="65658640" w14:textId="77777777" w:rsidR="00E0005A" w:rsidRPr="00121123" w:rsidRDefault="00E0005A" w:rsidP="007A3A03">
            <w:pPr>
              <w:keepNext/>
              <w:keepLines w:val="0"/>
              <w:tabs>
                <w:tab w:val="clear" w:pos="567"/>
              </w:tabs>
              <w:rPr>
                <w:iCs/>
                <w:noProof w:val="0"/>
                <w:u w:val="single"/>
              </w:rPr>
            </w:pPr>
            <w:r w:rsidRPr="00121123">
              <w:rPr>
                <w:iCs/>
                <w:noProof w:val="0"/>
                <w:u w:val="single"/>
              </w:rPr>
              <w:t>Gramnegatívne aeróby</w:t>
            </w:r>
          </w:p>
          <w:p w14:paraId="02DC2097" w14:textId="77777777" w:rsidR="00870248" w:rsidRPr="00121123" w:rsidRDefault="00870248" w:rsidP="007A3A03">
            <w:pPr>
              <w:keepNext/>
              <w:keepLines w:val="0"/>
              <w:tabs>
                <w:tab w:val="clear" w:pos="567"/>
              </w:tabs>
              <w:rPr>
                <w:i/>
                <w:iCs/>
                <w:noProof w:val="0"/>
              </w:rPr>
            </w:pPr>
            <w:r w:rsidRPr="00121123">
              <w:rPr>
                <w:i/>
                <w:iCs/>
                <w:noProof w:val="0"/>
              </w:rPr>
              <w:t>Acinetobacter baumannii</w:t>
            </w:r>
          </w:p>
          <w:p w14:paraId="51DB0471" w14:textId="77777777" w:rsidR="00D00214" w:rsidRDefault="00870248" w:rsidP="00D00214">
            <w:pPr>
              <w:keepLines w:val="0"/>
              <w:tabs>
                <w:tab w:val="clear" w:pos="567"/>
              </w:tabs>
              <w:rPr>
                <w:i/>
                <w:iCs/>
                <w:lang w:val="it-IT"/>
              </w:rPr>
            </w:pPr>
            <w:r w:rsidRPr="00121123">
              <w:rPr>
                <w:i/>
                <w:iCs/>
                <w:noProof w:val="0"/>
              </w:rPr>
              <w:t>Burkholderia cepacia</w:t>
            </w:r>
          </w:p>
          <w:p w14:paraId="5A4636BF" w14:textId="77777777" w:rsidR="00AB63CC" w:rsidRPr="007905C0" w:rsidRDefault="00D00214" w:rsidP="007905C0">
            <w:pPr>
              <w:keepLines w:val="0"/>
              <w:tabs>
                <w:tab w:val="clear" w:pos="567"/>
              </w:tabs>
              <w:rPr>
                <w:i/>
                <w:iCs/>
                <w:lang w:val="it-IT"/>
              </w:rPr>
            </w:pPr>
            <w:r>
              <w:rPr>
                <w:i/>
                <w:iCs/>
                <w:lang w:val="it-IT"/>
              </w:rPr>
              <w:t>Enterobacter cloacae*</w:t>
            </w:r>
          </w:p>
          <w:p w14:paraId="52AF2A1B" w14:textId="15676C9A" w:rsidR="00AB63CC" w:rsidRDefault="00D00214" w:rsidP="007A3A03">
            <w:pPr>
              <w:keepNext/>
              <w:keepLines w:val="0"/>
              <w:tabs>
                <w:tab w:val="clear" w:pos="567"/>
              </w:tabs>
              <w:rPr>
                <w:i/>
                <w:iCs/>
                <w:noProof w:val="0"/>
              </w:rPr>
            </w:pPr>
            <w:r>
              <w:rPr>
                <w:i/>
                <w:iCs/>
                <w:noProof w:val="0"/>
                <w:color w:val="000000"/>
              </w:rPr>
              <w:t>Klebsiella</w:t>
            </w:r>
            <w:r w:rsidRPr="00522436">
              <w:rPr>
                <w:i/>
                <w:iCs/>
                <w:noProof w:val="0"/>
                <w:color w:val="000000"/>
              </w:rPr>
              <w:t xml:space="preserve"> </w:t>
            </w:r>
            <w:r w:rsidR="00AB63CC" w:rsidRPr="00121123">
              <w:rPr>
                <w:i/>
                <w:iCs/>
                <w:noProof w:val="0"/>
              </w:rPr>
              <w:t>aerogenes</w:t>
            </w:r>
          </w:p>
          <w:p w14:paraId="24EF3D27" w14:textId="77777777" w:rsidR="00D00214" w:rsidRPr="00121123" w:rsidRDefault="00D00214" w:rsidP="007A3A03">
            <w:pPr>
              <w:keepNext/>
              <w:keepLines w:val="0"/>
              <w:tabs>
                <w:tab w:val="clear" w:pos="567"/>
              </w:tabs>
              <w:rPr>
                <w:i/>
                <w:iCs/>
                <w:noProof w:val="0"/>
              </w:rPr>
            </w:pPr>
            <w:r w:rsidRPr="005C7CF6">
              <w:rPr>
                <w:i/>
                <w:iCs/>
                <w:lang w:val="fr-FR"/>
              </w:rPr>
              <w:t>Klebsiella oxytoca</w:t>
            </w:r>
            <w:r w:rsidRPr="00945F87">
              <w:rPr>
                <w:i/>
                <w:iCs/>
                <w:lang w:val="fr-FR"/>
              </w:rPr>
              <w:t>*</w:t>
            </w:r>
          </w:p>
          <w:p w14:paraId="59AAF2D4" w14:textId="77777777" w:rsidR="00E0005A" w:rsidRPr="00121123" w:rsidRDefault="00E0005A" w:rsidP="007A3A03">
            <w:pPr>
              <w:keepNext/>
              <w:keepLines w:val="0"/>
              <w:tabs>
                <w:tab w:val="clear" w:pos="567"/>
              </w:tabs>
              <w:rPr>
                <w:i/>
                <w:iCs/>
                <w:noProof w:val="0"/>
              </w:rPr>
            </w:pPr>
            <w:r w:rsidRPr="00121123">
              <w:rPr>
                <w:i/>
                <w:iCs/>
                <w:noProof w:val="0"/>
              </w:rPr>
              <w:t>Klebsiella pneumoniae*</w:t>
            </w:r>
          </w:p>
          <w:p w14:paraId="3E5D84F4" w14:textId="77777777" w:rsidR="00870248" w:rsidRPr="00121123" w:rsidRDefault="00870248" w:rsidP="007A3A03">
            <w:pPr>
              <w:keepNext/>
              <w:keepLines w:val="0"/>
              <w:tabs>
                <w:tab w:val="left" w:pos="8505"/>
                <w:tab w:val="right" w:pos="9360"/>
              </w:tabs>
              <w:rPr>
                <w:i/>
                <w:iCs/>
                <w:noProof w:val="0"/>
              </w:rPr>
            </w:pPr>
            <w:r w:rsidRPr="00121123">
              <w:rPr>
                <w:i/>
                <w:iCs/>
                <w:noProof w:val="0"/>
              </w:rPr>
              <w:t>Stenotrophomonas maltophilia</w:t>
            </w:r>
          </w:p>
          <w:p w14:paraId="24C263E0" w14:textId="77777777" w:rsidR="00B05918" w:rsidRPr="00121123" w:rsidRDefault="00B05918" w:rsidP="007A3A03">
            <w:pPr>
              <w:keepNext/>
              <w:keepLines w:val="0"/>
              <w:tabs>
                <w:tab w:val="left" w:pos="8505"/>
                <w:tab w:val="right" w:pos="9360"/>
              </w:tabs>
              <w:rPr>
                <w:iCs/>
                <w:noProof w:val="0"/>
                <w:u w:val="single"/>
              </w:rPr>
            </w:pPr>
          </w:p>
          <w:p w14:paraId="507E5D0B" w14:textId="77777777" w:rsidR="00E0005A" w:rsidRPr="00121123" w:rsidRDefault="00E0005A" w:rsidP="007A3A03">
            <w:pPr>
              <w:keepNext/>
              <w:keepLines w:val="0"/>
              <w:tabs>
                <w:tab w:val="left" w:pos="8505"/>
                <w:tab w:val="right" w:pos="9360"/>
              </w:tabs>
              <w:rPr>
                <w:iCs/>
                <w:noProof w:val="0"/>
                <w:u w:val="single"/>
              </w:rPr>
            </w:pPr>
            <w:r w:rsidRPr="00121123">
              <w:rPr>
                <w:iCs/>
                <w:noProof w:val="0"/>
                <w:u w:val="single"/>
              </w:rPr>
              <w:t>Anaeróby</w:t>
            </w:r>
          </w:p>
          <w:p w14:paraId="1AC45294" w14:textId="77777777" w:rsidR="00E0005A" w:rsidRPr="00121123" w:rsidRDefault="00E0005A" w:rsidP="007A3A03">
            <w:pPr>
              <w:keepNext/>
              <w:keepLines w:val="0"/>
              <w:tabs>
                <w:tab w:val="clear" w:pos="567"/>
                <w:tab w:val="right" w:pos="9360"/>
              </w:tabs>
              <w:rPr>
                <w:noProof w:val="0"/>
              </w:rPr>
            </w:pPr>
            <w:r w:rsidRPr="00121123">
              <w:rPr>
                <w:i/>
                <w:iCs/>
                <w:noProof w:val="0"/>
              </w:rPr>
              <w:t xml:space="preserve">skupina Bacteroides fragilis </w:t>
            </w:r>
            <w:r w:rsidRPr="00121123">
              <w:rPr>
                <w:noProof w:val="0"/>
              </w:rPr>
              <w:t>†</w:t>
            </w:r>
          </w:p>
        </w:tc>
      </w:tr>
      <w:tr w:rsidR="00870248" w:rsidRPr="00121123" w14:paraId="720C9236" w14:textId="77777777" w:rsidTr="00493DD2">
        <w:tc>
          <w:tcPr>
            <w:tcW w:w="9606" w:type="dxa"/>
            <w:tcBorders>
              <w:top w:val="single" w:sz="4" w:space="0" w:color="auto"/>
              <w:left w:val="single" w:sz="4" w:space="0" w:color="auto"/>
              <w:bottom w:val="single" w:sz="4" w:space="0" w:color="auto"/>
              <w:right w:val="single" w:sz="4" w:space="0" w:color="auto"/>
            </w:tcBorders>
          </w:tcPr>
          <w:p w14:paraId="492380AF" w14:textId="77777777" w:rsidR="00870248" w:rsidRPr="00121123" w:rsidRDefault="00870248" w:rsidP="007A3A03">
            <w:pPr>
              <w:keepNext/>
              <w:keepLines w:val="0"/>
              <w:rPr>
                <w:b/>
                <w:bCs/>
                <w:noProof w:val="0"/>
              </w:rPr>
            </w:pPr>
            <w:r w:rsidRPr="00121123">
              <w:rPr>
                <w:b/>
                <w:bCs/>
                <w:noProof w:val="0"/>
              </w:rPr>
              <w:t>Organizmy s </w:t>
            </w:r>
            <w:r w:rsidR="00A50174" w:rsidRPr="00121123">
              <w:rPr>
                <w:b/>
                <w:bCs/>
                <w:noProof w:val="0"/>
              </w:rPr>
              <w:t>prirodzenou</w:t>
            </w:r>
            <w:r w:rsidRPr="00121123">
              <w:rPr>
                <w:b/>
                <w:bCs/>
                <w:noProof w:val="0"/>
              </w:rPr>
              <w:t xml:space="preserve"> rezistenciou</w:t>
            </w:r>
          </w:p>
        </w:tc>
      </w:tr>
      <w:tr w:rsidR="00870248" w:rsidRPr="00121123" w14:paraId="2547B225" w14:textId="77777777" w:rsidTr="00493DD2">
        <w:tc>
          <w:tcPr>
            <w:tcW w:w="9606" w:type="dxa"/>
            <w:tcBorders>
              <w:top w:val="single" w:sz="4" w:space="0" w:color="auto"/>
              <w:left w:val="single" w:sz="4" w:space="0" w:color="auto"/>
              <w:bottom w:val="single" w:sz="4" w:space="0" w:color="auto"/>
              <w:right w:val="single" w:sz="4" w:space="0" w:color="auto"/>
            </w:tcBorders>
          </w:tcPr>
          <w:p w14:paraId="67521D3F" w14:textId="77777777" w:rsidR="00E0005A" w:rsidRPr="00121123" w:rsidRDefault="00E0005A" w:rsidP="007A3A03">
            <w:pPr>
              <w:keepNext/>
              <w:keepLines w:val="0"/>
              <w:rPr>
                <w:iCs/>
                <w:noProof w:val="0"/>
                <w:u w:val="single"/>
              </w:rPr>
            </w:pPr>
            <w:r w:rsidRPr="00121123">
              <w:rPr>
                <w:iCs/>
                <w:noProof w:val="0"/>
                <w:u w:val="single"/>
              </w:rPr>
              <w:t>Gramnegatívne aeróby</w:t>
            </w:r>
          </w:p>
          <w:p w14:paraId="5438EF00" w14:textId="77777777" w:rsidR="00D00214" w:rsidRDefault="00D00214" w:rsidP="00D00214">
            <w:pPr>
              <w:keepNext/>
              <w:rPr>
                <w:i/>
                <w:iCs/>
                <w:lang w:val="es-ES"/>
              </w:rPr>
            </w:pPr>
            <w:bookmarkStart w:id="5" w:name="_Hlk77706185"/>
            <w:r>
              <w:rPr>
                <w:i/>
                <w:iCs/>
                <w:lang w:val="it-IT"/>
              </w:rPr>
              <w:t>Morganella morganii</w:t>
            </w:r>
          </w:p>
          <w:p w14:paraId="2735A92B" w14:textId="77777777" w:rsidR="00D00214" w:rsidRDefault="00D00214" w:rsidP="00D00214">
            <w:pPr>
              <w:keepNext/>
              <w:rPr>
                <w:lang w:val="es-ES"/>
              </w:rPr>
            </w:pPr>
            <w:r>
              <w:rPr>
                <w:i/>
                <w:iCs/>
                <w:lang w:val="es-ES"/>
              </w:rPr>
              <w:t xml:space="preserve">Proteus </w:t>
            </w:r>
            <w:r>
              <w:rPr>
                <w:lang w:val="es-ES"/>
              </w:rPr>
              <w:t>spp</w:t>
            </w:r>
            <w:bookmarkEnd w:id="5"/>
            <w:r>
              <w:rPr>
                <w:lang w:val="es-ES"/>
              </w:rPr>
              <w:t>.</w:t>
            </w:r>
          </w:p>
          <w:p w14:paraId="50A7AC1D" w14:textId="77777777" w:rsidR="00D00214" w:rsidRDefault="00D00214" w:rsidP="00D00214">
            <w:pPr>
              <w:keepLines w:val="0"/>
              <w:tabs>
                <w:tab w:val="clear" w:pos="567"/>
              </w:tabs>
              <w:rPr>
                <w:lang w:val="it-IT"/>
              </w:rPr>
            </w:pPr>
            <w:r w:rsidRPr="00564940">
              <w:rPr>
                <w:i/>
                <w:iCs/>
                <w:lang w:val="it-IT"/>
              </w:rPr>
              <w:t xml:space="preserve">Providencia </w:t>
            </w:r>
            <w:r w:rsidRPr="00564940">
              <w:rPr>
                <w:lang w:val="it-IT"/>
              </w:rPr>
              <w:t>spp.</w:t>
            </w:r>
          </w:p>
          <w:p w14:paraId="4B82B80A" w14:textId="77777777" w:rsidR="00D00214" w:rsidRPr="00E020F3" w:rsidRDefault="00D00214" w:rsidP="00D00214">
            <w:pPr>
              <w:keepLines w:val="0"/>
              <w:tabs>
                <w:tab w:val="clear" w:pos="567"/>
              </w:tabs>
              <w:rPr>
                <w:i/>
                <w:iCs/>
                <w:lang w:val="es-ES"/>
              </w:rPr>
            </w:pPr>
            <w:r>
              <w:rPr>
                <w:i/>
                <w:iCs/>
                <w:lang w:val="it-IT"/>
              </w:rPr>
              <w:t>Serratia marcescens</w:t>
            </w:r>
          </w:p>
          <w:p w14:paraId="70DB39DC" w14:textId="77777777" w:rsidR="00870248" w:rsidRPr="00121123" w:rsidRDefault="00870248" w:rsidP="007A3A03">
            <w:pPr>
              <w:keepNext/>
              <w:keepLines w:val="0"/>
              <w:rPr>
                <w:noProof w:val="0"/>
              </w:rPr>
            </w:pPr>
            <w:r w:rsidRPr="00121123">
              <w:rPr>
                <w:i/>
                <w:iCs/>
                <w:noProof w:val="0"/>
              </w:rPr>
              <w:t>Pseudomonas aeruginosa</w:t>
            </w:r>
          </w:p>
        </w:tc>
      </w:tr>
    </w:tbl>
    <w:p w14:paraId="4A8A0DC8" w14:textId="77777777" w:rsidR="00870248" w:rsidRDefault="00870248" w:rsidP="007A3A03">
      <w:pPr>
        <w:keepLines w:val="0"/>
        <w:tabs>
          <w:tab w:val="clear" w:pos="567"/>
        </w:tabs>
        <w:autoSpaceDE w:val="0"/>
        <w:autoSpaceDN w:val="0"/>
        <w:adjustRightInd w:val="0"/>
        <w:ind w:left="562" w:hanging="562"/>
        <w:rPr>
          <w:noProof w:val="0"/>
        </w:rPr>
      </w:pPr>
      <w:r w:rsidRPr="00121123">
        <w:rPr>
          <w:noProof w:val="0"/>
        </w:rPr>
        <w:t xml:space="preserve">*označuje kmene, aktivita voči ktorým sa považuje za uspokojivo dokázanú v klinických štúdiách. </w:t>
      </w:r>
    </w:p>
    <w:p w14:paraId="2D3F916B" w14:textId="77777777" w:rsidR="00F80765" w:rsidRPr="00121123" w:rsidRDefault="00F80765" w:rsidP="007A3A03">
      <w:pPr>
        <w:keepLines w:val="0"/>
        <w:tabs>
          <w:tab w:val="clear" w:pos="567"/>
        </w:tabs>
        <w:autoSpaceDE w:val="0"/>
        <w:autoSpaceDN w:val="0"/>
        <w:adjustRightInd w:val="0"/>
        <w:ind w:left="562" w:hanging="562"/>
        <w:rPr>
          <w:noProof w:val="0"/>
        </w:rPr>
      </w:pPr>
      <w:r w:rsidRPr="00121123">
        <w:rPr>
          <w:noProof w:val="0"/>
        </w:rPr>
        <w:t xml:space="preserve">† pozri časť 5.1 </w:t>
      </w:r>
      <w:r w:rsidRPr="00121123">
        <w:rPr>
          <w:i/>
          <w:iCs/>
          <w:noProof w:val="0"/>
        </w:rPr>
        <w:t>Hranice citlivosti,</w:t>
      </w:r>
      <w:r w:rsidRPr="00121123">
        <w:rPr>
          <w:noProof w:val="0"/>
        </w:rPr>
        <w:t xml:space="preserve"> vyššie.</w:t>
      </w:r>
    </w:p>
    <w:p w14:paraId="7ABA6E97" w14:textId="77777777" w:rsidR="002E0DEC" w:rsidRPr="00121123" w:rsidRDefault="002E0DEC" w:rsidP="007A3A03">
      <w:pPr>
        <w:keepLines w:val="0"/>
        <w:tabs>
          <w:tab w:val="clear" w:pos="567"/>
        </w:tabs>
        <w:autoSpaceDE w:val="0"/>
        <w:autoSpaceDN w:val="0"/>
        <w:adjustRightInd w:val="0"/>
        <w:rPr>
          <w:u w:val="single"/>
        </w:rPr>
      </w:pPr>
    </w:p>
    <w:p w14:paraId="5D3183F3" w14:textId="77777777" w:rsidR="002E0DEC" w:rsidRPr="00121123" w:rsidRDefault="002E0DEC" w:rsidP="007A3A03">
      <w:pPr>
        <w:keepLines w:val="0"/>
        <w:tabs>
          <w:tab w:val="clear" w:pos="567"/>
        </w:tabs>
        <w:autoSpaceDE w:val="0"/>
        <w:autoSpaceDN w:val="0"/>
        <w:adjustRightInd w:val="0"/>
        <w:rPr>
          <w:u w:val="single"/>
        </w:rPr>
      </w:pPr>
      <w:r w:rsidRPr="00121123">
        <w:rPr>
          <w:u w:val="single"/>
        </w:rPr>
        <w:t>Elektrofyziologické vyšetrenie srdca</w:t>
      </w:r>
    </w:p>
    <w:p w14:paraId="4F9FED19" w14:textId="77777777" w:rsidR="008E6C0B" w:rsidRPr="00121123" w:rsidRDefault="008E6C0B" w:rsidP="007A3A03">
      <w:pPr>
        <w:keepLines w:val="0"/>
        <w:tabs>
          <w:tab w:val="clear" w:pos="567"/>
        </w:tabs>
        <w:autoSpaceDE w:val="0"/>
        <w:autoSpaceDN w:val="0"/>
        <w:adjustRightInd w:val="0"/>
        <w:rPr>
          <w:u w:val="single"/>
        </w:rPr>
      </w:pPr>
    </w:p>
    <w:p w14:paraId="4557C088" w14:textId="04739DA5" w:rsidR="002E0DEC" w:rsidRPr="00121123" w:rsidRDefault="002E0DEC" w:rsidP="007A3A03">
      <w:pPr>
        <w:keepLines w:val="0"/>
        <w:tabs>
          <w:tab w:val="clear" w:pos="567"/>
        </w:tabs>
        <w:autoSpaceDE w:val="0"/>
        <w:autoSpaceDN w:val="0"/>
        <w:adjustRightInd w:val="0"/>
        <w:rPr>
          <w:u w:val="single"/>
        </w:rPr>
      </w:pPr>
      <w:r w:rsidRPr="00121123">
        <w:t>V randomizovan</w:t>
      </w:r>
      <w:r w:rsidR="00550635">
        <w:t>om</w:t>
      </w:r>
      <w:r w:rsidRPr="00121123">
        <w:t>, placebom i aktívne kontrolovan</w:t>
      </w:r>
      <w:r w:rsidR="00550635">
        <w:t>om</w:t>
      </w:r>
      <w:r w:rsidRPr="00121123">
        <w:t xml:space="preserve"> prekrížen</w:t>
      </w:r>
      <w:r w:rsidR="00550635">
        <w:rPr>
          <w:color w:val="000000"/>
        </w:rPr>
        <w:t>om klinickom skúšaní</w:t>
      </w:r>
      <w:r w:rsidRPr="00121123">
        <w:t xml:space="preserve"> so 46 zdravými osobami</w:t>
      </w:r>
      <w:r w:rsidR="0031651B" w:rsidRPr="00121123">
        <w:t xml:space="preserve"> a so</w:t>
      </w:r>
      <w:r w:rsidRPr="00121123">
        <w:t xml:space="preserve"> štyr</w:t>
      </w:r>
      <w:r w:rsidR="0031651B" w:rsidRPr="00121123">
        <w:t>mi</w:t>
      </w:r>
      <w:r w:rsidRPr="00121123">
        <w:t xml:space="preserve"> </w:t>
      </w:r>
      <w:r w:rsidR="0031651B" w:rsidRPr="00121123">
        <w:t xml:space="preserve">ramenami, </w:t>
      </w:r>
      <w:r w:rsidRPr="00121123">
        <w:t>zameran</w:t>
      </w:r>
      <w:r w:rsidR="00550635">
        <w:t>om</w:t>
      </w:r>
      <w:r w:rsidRPr="00121123">
        <w:t xml:space="preserve"> na QTc interval</w:t>
      </w:r>
      <w:r w:rsidR="0031651B" w:rsidRPr="00121123">
        <w:t>,</w:t>
      </w:r>
      <w:r w:rsidRPr="00121123">
        <w:t xml:space="preserve"> </w:t>
      </w:r>
      <w:r w:rsidR="0031651B" w:rsidRPr="00121123">
        <w:t xml:space="preserve">sa nezistil </w:t>
      </w:r>
      <w:r w:rsidRPr="00121123">
        <w:t>žiadny významný vplyv</w:t>
      </w:r>
      <w:r w:rsidR="0031651B" w:rsidRPr="00121123">
        <w:t xml:space="preserve"> na QTc interval po podaní</w:t>
      </w:r>
      <w:r w:rsidRPr="00121123">
        <w:t xml:space="preserve"> jednej intravenózne</w:t>
      </w:r>
      <w:r w:rsidR="0031651B" w:rsidRPr="00121123">
        <w:t>j</w:t>
      </w:r>
      <w:r w:rsidRPr="00121123">
        <w:t xml:space="preserve"> dávky </w:t>
      </w:r>
      <w:r w:rsidR="00BD33EB" w:rsidRPr="00121123">
        <w:t xml:space="preserve"> </w:t>
      </w:r>
      <w:r w:rsidR="00372156" w:rsidRPr="00121123">
        <w:t xml:space="preserve"> </w:t>
      </w:r>
      <w:r w:rsidRPr="00121123">
        <w:t xml:space="preserve">tigecyklínu 50 mg alebo 200 mg </w:t>
      </w:r>
    </w:p>
    <w:p w14:paraId="52820330" w14:textId="77777777" w:rsidR="00BE2ED8" w:rsidRPr="00121123" w:rsidRDefault="00BE2ED8" w:rsidP="007A3A03">
      <w:pPr>
        <w:keepLines w:val="0"/>
        <w:tabs>
          <w:tab w:val="clear" w:pos="567"/>
        </w:tabs>
        <w:autoSpaceDE w:val="0"/>
        <w:autoSpaceDN w:val="0"/>
        <w:adjustRightInd w:val="0"/>
        <w:rPr>
          <w:u w:val="single"/>
        </w:rPr>
      </w:pPr>
    </w:p>
    <w:p w14:paraId="60C123D9" w14:textId="77777777" w:rsidR="00FA75FC" w:rsidRPr="00121123" w:rsidRDefault="00FA75FC" w:rsidP="007A3A03">
      <w:pPr>
        <w:keepLines w:val="0"/>
        <w:tabs>
          <w:tab w:val="clear" w:pos="567"/>
        </w:tabs>
        <w:autoSpaceDE w:val="0"/>
        <w:autoSpaceDN w:val="0"/>
        <w:adjustRightInd w:val="0"/>
        <w:rPr>
          <w:noProof w:val="0"/>
          <w:u w:val="single"/>
        </w:rPr>
      </w:pPr>
      <w:r w:rsidRPr="00121123">
        <w:rPr>
          <w:noProof w:val="0"/>
          <w:u w:val="single"/>
        </w:rPr>
        <w:t>Pediatrická populácia</w:t>
      </w:r>
    </w:p>
    <w:p w14:paraId="6C892CBF" w14:textId="77777777" w:rsidR="00FA75FC" w:rsidRPr="00121123" w:rsidRDefault="00FA75FC" w:rsidP="007A3A03">
      <w:pPr>
        <w:keepLines w:val="0"/>
        <w:tabs>
          <w:tab w:val="clear" w:pos="567"/>
        </w:tabs>
        <w:autoSpaceDE w:val="0"/>
        <w:autoSpaceDN w:val="0"/>
        <w:adjustRightInd w:val="0"/>
        <w:rPr>
          <w:noProof w:val="0"/>
        </w:rPr>
      </w:pPr>
    </w:p>
    <w:p w14:paraId="65869152" w14:textId="017BE517" w:rsidR="00FA75FC" w:rsidRPr="00121123" w:rsidRDefault="00FA75FC" w:rsidP="007A3A03">
      <w:pPr>
        <w:keepLines w:val="0"/>
        <w:tabs>
          <w:tab w:val="clear" w:pos="567"/>
        </w:tabs>
        <w:autoSpaceDE w:val="0"/>
        <w:autoSpaceDN w:val="0"/>
        <w:adjustRightInd w:val="0"/>
        <w:rPr>
          <w:noProof w:val="0"/>
        </w:rPr>
      </w:pPr>
      <w:r w:rsidRPr="00121123">
        <w:rPr>
          <w:noProof w:val="0"/>
        </w:rPr>
        <w:t>V </w:t>
      </w:r>
      <w:r w:rsidR="000A6921">
        <w:rPr>
          <w:noProof w:val="0"/>
          <w:color w:val="000000"/>
        </w:rPr>
        <w:t>nezaslepenom klinickom skúšaní</w:t>
      </w:r>
      <w:r w:rsidRPr="00121123">
        <w:rPr>
          <w:noProof w:val="0"/>
        </w:rPr>
        <w:t xml:space="preserve"> </w:t>
      </w:r>
      <w:r w:rsidR="00172DA8" w:rsidRPr="00121123">
        <w:rPr>
          <w:noProof w:val="0"/>
        </w:rPr>
        <w:t xml:space="preserve">so </w:t>
      </w:r>
      <w:r w:rsidRPr="00121123">
        <w:rPr>
          <w:noProof w:val="0"/>
        </w:rPr>
        <w:t>zvyšujúc</w:t>
      </w:r>
      <w:r w:rsidR="00172DA8" w:rsidRPr="00121123">
        <w:rPr>
          <w:noProof w:val="0"/>
        </w:rPr>
        <w:t>ou</w:t>
      </w:r>
      <w:r w:rsidRPr="00121123">
        <w:rPr>
          <w:noProof w:val="0"/>
        </w:rPr>
        <w:t xml:space="preserve"> sa viacnásobn</w:t>
      </w:r>
      <w:r w:rsidR="00172DA8" w:rsidRPr="00121123">
        <w:rPr>
          <w:noProof w:val="0"/>
        </w:rPr>
        <w:t>ou</w:t>
      </w:r>
      <w:r w:rsidRPr="00121123">
        <w:rPr>
          <w:noProof w:val="0"/>
        </w:rPr>
        <w:t xml:space="preserve"> dávk</w:t>
      </w:r>
      <w:r w:rsidR="00172DA8" w:rsidRPr="00121123">
        <w:rPr>
          <w:noProof w:val="0"/>
        </w:rPr>
        <w:t>ou</w:t>
      </w:r>
      <w:r w:rsidR="006D1121" w:rsidRPr="00121123">
        <w:rPr>
          <w:noProof w:val="0"/>
        </w:rPr>
        <w:t xml:space="preserve"> </w:t>
      </w:r>
      <w:r w:rsidRPr="00121123">
        <w:rPr>
          <w:noProof w:val="0"/>
        </w:rPr>
        <w:t>sa 39</w:t>
      </w:r>
      <w:r w:rsidR="00CD4C0D" w:rsidRPr="00121123">
        <w:rPr>
          <w:noProof w:val="0"/>
        </w:rPr>
        <w:t> </w:t>
      </w:r>
      <w:r w:rsidRPr="00121123">
        <w:rPr>
          <w:noProof w:val="0"/>
        </w:rPr>
        <w:t>deťom vo veku 8</w:t>
      </w:r>
      <w:r w:rsidR="00CD4C0D" w:rsidRPr="00121123">
        <w:rPr>
          <w:noProof w:val="0"/>
        </w:rPr>
        <w:t> </w:t>
      </w:r>
      <w:r w:rsidRPr="00121123">
        <w:rPr>
          <w:noProof w:val="0"/>
        </w:rPr>
        <w:t>až</w:t>
      </w:r>
      <w:r w:rsidR="00CD4C0D" w:rsidRPr="00121123">
        <w:rPr>
          <w:noProof w:val="0"/>
        </w:rPr>
        <w:t> </w:t>
      </w:r>
      <w:r w:rsidRPr="00121123">
        <w:rPr>
          <w:noProof w:val="0"/>
        </w:rPr>
        <w:t>11 rokov s cIAI alebo cSSTI podával tigecyklín (0,75</w:t>
      </w:r>
      <w:r w:rsidR="005D4151" w:rsidRPr="00121123">
        <w:rPr>
          <w:noProof w:val="0"/>
        </w:rPr>
        <w:t>;</w:t>
      </w:r>
      <w:r w:rsidRPr="00121123">
        <w:rPr>
          <w:noProof w:val="0"/>
        </w:rPr>
        <w:t xml:space="preserve"> 1 alebo 1,25</w:t>
      </w:r>
      <w:r w:rsidR="00CD4C0D" w:rsidRPr="00121123">
        <w:rPr>
          <w:noProof w:val="0"/>
        </w:rPr>
        <w:t> </w:t>
      </w:r>
      <w:r w:rsidRPr="00121123">
        <w:rPr>
          <w:noProof w:val="0"/>
        </w:rPr>
        <w:t>mg/kg). Všetci pacienti dostávali i.v. tigecyklín počas minimálne 3 po sebe nasledujúcich dní do maximálne 14 po sebe nasledujúcich dní s možnosťou prechodu na perorálne antibiotikum v 4.</w:t>
      </w:r>
      <w:r w:rsidR="00947B83" w:rsidRPr="00121123">
        <w:rPr>
          <w:noProof w:val="0"/>
        </w:rPr>
        <w:t> </w:t>
      </w:r>
      <w:r w:rsidRPr="00121123">
        <w:rPr>
          <w:noProof w:val="0"/>
        </w:rPr>
        <w:t xml:space="preserve">dni alebo </w:t>
      </w:r>
      <w:r w:rsidR="00172DA8" w:rsidRPr="00121123">
        <w:rPr>
          <w:noProof w:val="0"/>
        </w:rPr>
        <w:t>neskôr</w:t>
      </w:r>
      <w:r w:rsidRPr="00121123">
        <w:rPr>
          <w:noProof w:val="0"/>
        </w:rPr>
        <w:t>.</w:t>
      </w:r>
    </w:p>
    <w:p w14:paraId="7681F364" w14:textId="77777777" w:rsidR="00FA75FC" w:rsidRPr="00121123" w:rsidRDefault="00FA75FC" w:rsidP="007A3A03">
      <w:pPr>
        <w:keepLines w:val="0"/>
        <w:tabs>
          <w:tab w:val="clear" w:pos="567"/>
        </w:tabs>
        <w:autoSpaceDE w:val="0"/>
        <w:autoSpaceDN w:val="0"/>
        <w:adjustRightInd w:val="0"/>
        <w:rPr>
          <w:noProof w:val="0"/>
        </w:rPr>
      </w:pPr>
    </w:p>
    <w:p w14:paraId="72634626" w14:textId="77777777" w:rsidR="00FA75FC" w:rsidRPr="00121123" w:rsidRDefault="00FA75FC" w:rsidP="007A3A03">
      <w:pPr>
        <w:keepNext/>
        <w:tabs>
          <w:tab w:val="clear" w:pos="567"/>
        </w:tabs>
        <w:autoSpaceDE w:val="0"/>
        <w:autoSpaceDN w:val="0"/>
        <w:adjustRightInd w:val="0"/>
        <w:rPr>
          <w:noProof w:val="0"/>
        </w:rPr>
      </w:pPr>
      <w:r w:rsidRPr="00121123">
        <w:rPr>
          <w:noProof w:val="0"/>
        </w:rPr>
        <w:t>Klinick</w:t>
      </w:r>
      <w:r w:rsidR="00D41A08" w:rsidRPr="00121123">
        <w:rPr>
          <w:noProof w:val="0"/>
        </w:rPr>
        <w:t xml:space="preserve">é vyliečenie </w:t>
      </w:r>
      <w:r w:rsidR="00172DA8" w:rsidRPr="00121123">
        <w:rPr>
          <w:noProof w:val="0"/>
        </w:rPr>
        <w:t>sa hodnotil</w:t>
      </w:r>
      <w:r w:rsidR="00D41A08" w:rsidRPr="00121123">
        <w:rPr>
          <w:noProof w:val="0"/>
        </w:rPr>
        <w:t xml:space="preserve">o </w:t>
      </w:r>
      <w:r w:rsidR="00E30D03" w:rsidRPr="00121123">
        <w:rPr>
          <w:noProof w:val="0"/>
        </w:rPr>
        <w:t>medzi 10. a</w:t>
      </w:r>
      <w:r w:rsidRPr="00121123">
        <w:rPr>
          <w:noProof w:val="0"/>
        </w:rPr>
        <w:t> 21.</w:t>
      </w:r>
      <w:r w:rsidR="00E30D03" w:rsidRPr="00121123">
        <w:rPr>
          <w:noProof w:val="0"/>
        </w:rPr>
        <w:t xml:space="preserve"> d</w:t>
      </w:r>
      <w:r w:rsidRPr="00121123">
        <w:rPr>
          <w:noProof w:val="0"/>
        </w:rPr>
        <w:t>ňom po poslednej dávk</w:t>
      </w:r>
      <w:r w:rsidR="00172DA8" w:rsidRPr="00121123">
        <w:rPr>
          <w:noProof w:val="0"/>
        </w:rPr>
        <w:t>e</w:t>
      </w:r>
      <w:r w:rsidR="00C56E27" w:rsidRPr="00121123">
        <w:rPr>
          <w:noProof w:val="0"/>
        </w:rPr>
        <w:t>.</w:t>
      </w:r>
      <w:r w:rsidRPr="00121123">
        <w:rPr>
          <w:noProof w:val="0"/>
        </w:rPr>
        <w:t xml:space="preserve"> Súhrn výsledkov klinickej odpovede v</w:t>
      </w:r>
      <w:r w:rsidR="00D41A08" w:rsidRPr="00121123">
        <w:rPr>
          <w:noProof w:val="0"/>
        </w:rPr>
        <w:t xml:space="preserve"> modifikovanej </w:t>
      </w:r>
      <w:r w:rsidRPr="00121123">
        <w:rPr>
          <w:noProof w:val="0"/>
        </w:rPr>
        <w:t xml:space="preserve">populácii </w:t>
      </w:r>
      <w:r w:rsidR="0003786D" w:rsidRPr="00121123">
        <w:rPr>
          <w:noProof w:val="0"/>
        </w:rPr>
        <w:t>so zámerom liečiť sa</w:t>
      </w:r>
      <w:r w:rsidR="00D41A08" w:rsidRPr="00121123">
        <w:rPr>
          <w:noProof w:val="0"/>
        </w:rPr>
        <w:t xml:space="preserve"> </w:t>
      </w:r>
      <w:r w:rsidRPr="00121123">
        <w:rPr>
          <w:noProof w:val="0"/>
        </w:rPr>
        <w:t>(</w:t>
      </w:r>
      <w:r w:rsidR="0003786D" w:rsidRPr="00121123">
        <w:rPr>
          <w:noProof w:val="0"/>
        </w:rPr>
        <w:t xml:space="preserve">modified intent-to-treat, </w:t>
      </w:r>
      <w:r w:rsidRPr="00121123">
        <w:rPr>
          <w:noProof w:val="0"/>
        </w:rPr>
        <w:t>mITT) je uvedený v nasledujúcej tabuľke.</w:t>
      </w:r>
    </w:p>
    <w:p w14:paraId="658725B3" w14:textId="77777777" w:rsidR="00FA75FC" w:rsidRPr="00121123" w:rsidRDefault="00FA75FC" w:rsidP="007A3A03">
      <w:pPr>
        <w:keepNext/>
        <w:tabs>
          <w:tab w:val="clear" w:pos="567"/>
        </w:tabs>
        <w:autoSpaceDE w:val="0"/>
        <w:autoSpaceDN w:val="0"/>
        <w:adjustRightInd w:val="0"/>
        <w:rPr>
          <w:noProof w:val="0"/>
        </w:rPr>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FA75FC" w:rsidRPr="00121123" w14:paraId="77F67801" w14:textId="77777777" w:rsidTr="0029758D">
        <w:tc>
          <w:tcPr>
            <w:tcW w:w="5793" w:type="dxa"/>
            <w:gridSpan w:val="4"/>
          </w:tcPr>
          <w:p w14:paraId="0CBE34A6" w14:textId="77777777" w:rsidR="00FA75FC" w:rsidRPr="00121123" w:rsidRDefault="00FA75FC" w:rsidP="007A3A03">
            <w:pPr>
              <w:keepNext/>
              <w:jc w:val="center"/>
              <w:rPr>
                <w:noProof w:val="0"/>
              </w:rPr>
            </w:pPr>
            <w:r w:rsidRPr="00121123">
              <w:rPr>
                <w:b/>
                <w:noProof w:val="0"/>
              </w:rPr>
              <w:t>Klinick</w:t>
            </w:r>
            <w:r w:rsidR="00D41A08" w:rsidRPr="00121123">
              <w:rPr>
                <w:b/>
                <w:noProof w:val="0"/>
              </w:rPr>
              <w:t>é vyliečenie</w:t>
            </w:r>
            <w:r w:rsidRPr="00121123">
              <w:rPr>
                <w:b/>
                <w:noProof w:val="0"/>
              </w:rPr>
              <w:t>, populácia mITT</w:t>
            </w:r>
          </w:p>
        </w:tc>
      </w:tr>
      <w:tr w:rsidR="00FA75FC" w:rsidRPr="00121123" w14:paraId="7AEED214" w14:textId="77777777" w:rsidTr="0029758D">
        <w:tc>
          <w:tcPr>
            <w:tcW w:w="1147" w:type="dxa"/>
          </w:tcPr>
          <w:p w14:paraId="4566A4F1" w14:textId="77777777" w:rsidR="00FA75FC" w:rsidRPr="00121123" w:rsidRDefault="00FA75FC" w:rsidP="007A3A03">
            <w:pPr>
              <w:keepNext/>
              <w:rPr>
                <w:noProof w:val="0"/>
              </w:rPr>
            </w:pPr>
          </w:p>
        </w:tc>
        <w:tc>
          <w:tcPr>
            <w:tcW w:w="1729" w:type="dxa"/>
          </w:tcPr>
          <w:p w14:paraId="0DD27EA8" w14:textId="77777777" w:rsidR="00FA75FC" w:rsidRPr="00121123" w:rsidRDefault="00FA75FC" w:rsidP="007A3A03">
            <w:pPr>
              <w:keepNext/>
              <w:jc w:val="center"/>
              <w:rPr>
                <w:noProof w:val="0"/>
              </w:rPr>
            </w:pPr>
            <w:r w:rsidRPr="00121123">
              <w:rPr>
                <w:noProof w:val="0"/>
              </w:rPr>
              <w:t>0,75 mg/kg</w:t>
            </w:r>
          </w:p>
        </w:tc>
        <w:tc>
          <w:tcPr>
            <w:tcW w:w="1496" w:type="dxa"/>
          </w:tcPr>
          <w:p w14:paraId="5F51A2FC" w14:textId="77777777" w:rsidR="00FA75FC" w:rsidRPr="00121123" w:rsidRDefault="00FA75FC" w:rsidP="007A3A03">
            <w:pPr>
              <w:keepNext/>
              <w:jc w:val="center"/>
              <w:rPr>
                <w:noProof w:val="0"/>
              </w:rPr>
            </w:pPr>
            <w:r w:rsidRPr="00121123">
              <w:rPr>
                <w:noProof w:val="0"/>
              </w:rPr>
              <w:t>1 mg/kg</w:t>
            </w:r>
          </w:p>
        </w:tc>
        <w:tc>
          <w:tcPr>
            <w:tcW w:w="1421" w:type="dxa"/>
          </w:tcPr>
          <w:p w14:paraId="59E680FA" w14:textId="77777777" w:rsidR="00FA75FC" w:rsidRPr="00121123" w:rsidRDefault="00FA75FC" w:rsidP="007A3A03">
            <w:pPr>
              <w:keepNext/>
              <w:jc w:val="center"/>
              <w:rPr>
                <w:noProof w:val="0"/>
              </w:rPr>
            </w:pPr>
            <w:r w:rsidRPr="00121123">
              <w:rPr>
                <w:noProof w:val="0"/>
              </w:rPr>
              <w:t>1,25 mg/kg</w:t>
            </w:r>
          </w:p>
        </w:tc>
      </w:tr>
      <w:tr w:rsidR="00FA75FC" w:rsidRPr="00121123" w14:paraId="2C7084F7" w14:textId="77777777" w:rsidTr="0029758D">
        <w:tc>
          <w:tcPr>
            <w:tcW w:w="1147" w:type="dxa"/>
          </w:tcPr>
          <w:p w14:paraId="36FE529C" w14:textId="77777777" w:rsidR="00FA75FC" w:rsidRPr="00121123" w:rsidRDefault="00FA75FC" w:rsidP="007A3A03">
            <w:pPr>
              <w:keepNext/>
              <w:rPr>
                <w:noProof w:val="0"/>
              </w:rPr>
            </w:pPr>
            <w:r w:rsidRPr="00121123">
              <w:rPr>
                <w:noProof w:val="0"/>
              </w:rPr>
              <w:t>Indikácia</w:t>
            </w:r>
          </w:p>
        </w:tc>
        <w:tc>
          <w:tcPr>
            <w:tcW w:w="1729" w:type="dxa"/>
          </w:tcPr>
          <w:p w14:paraId="55B40290" w14:textId="77777777" w:rsidR="00FA75FC" w:rsidRPr="00121123" w:rsidRDefault="00FA75FC" w:rsidP="007A3A03">
            <w:pPr>
              <w:keepNext/>
              <w:jc w:val="center"/>
              <w:rPr>
                <w:noProof w:val="0"/>
              </w:rPr>
            </w:pPr>
            <w:r w:rsidRPr="00121123">
              <w:rPr>
                <w:noProof w:val="0"/>
              </w:rPr>
              <w:t>n/N (%)</w:t>
            </w:r>
          </w:p>
        </w:tc>
        <w:tc>
          <w:tcPr>
            <w:tcW w:w="1496" w:type="dxa"/>
          </w:tcPr>
          <w:p w14:paraId="75D32A9F" w14:textId="77777777" w:rsidR="00FA75FC" w:rsidRPr="00121123" w:rsidRDefault="00FA75FC" w:rsidP="007A3A03">
            <w:pPr>
              <w:keepNext/>
              <w:jc w:val="center"/>
              <w:rPr>
                <w:noProof w:val="0"/>
              </w:rPr>
            </w:pPr>
            <w:r w:rsidRPr="00121123">
              <w:rPr>
                <w:noProof w:val="0"/>
              </w:rPr>
              <w:t>n/N (%)</w:t>
            </w:r>
          </w:p>
        </w:tc>
        <w:tc>
          <w:tcPr>
            <w:tcW w:w="1421" w:type="dxa"/>
          </w:tcPr>
          <w:p w14:paraId="41170D93" w14:textId="77777777" w:rsidR="00FA75FC" w:rsidRPr="00121123" w:rsidRDefault="00FA75FC" w:rsidP="007A3A03">
            <w:pPr>
              <w:keepNext/>
              <w:jc w:val="center"/>
              <w:rPr>
                <w:noProof w:val="0"/>
              </w:rPr>
            </w:pPr>
            <w:r w:rsidRPr="00121123">
              <w:rPr>
                <w:noProof w:val="0"/>
              </w:rPr>
              <w:t>n/N (%)</w:t>
            </w:r>
          </w:p>
        </w:tc>
      </w:tr>
      <w:tr w:rsidR="00FA75FC" w:rsidRPr="00121123" w14:paraId="63D878DD" w14:textId="77777777" w:rsidTr="0029758D">
        <w:tc>
          <w:tcPr>
            <w:tcW w:w="1147" w:type="dxa"/>
          </w:tcPr>
          <w:p w14:paraId="73A9B2EC" w14:textId="77777777" w:rsidR="00FA75FC" w:rsidRPr="00121123" w:rsidRDefault="00FA75FC" w:rsidP="007A3A03">
            <w:pPr>
              <w:keepNext/>
              <w:rPr>
                <w:noProof w:val="0"/>
              </w:rPr>
            </w:pPr>
            <w:r w:rsidRPr="00121123">
              <w:rPr>
                <w:noProof w:val="0"/>
              </w:rPr>
              <w:t>cIAI</w:t>
            </w:r>
          </w:p>
        </w:tc>
        <w:tc>
          <w:tcPr>
            <w:tcW w:w="1729" w:type="dxa"/>
          </w:tcPr>
          <w:p w14:paraId="5041F49B" w14:textId="77777777" w:rsidR="00FA75FC" w:rsidRPr="00121123" w:rsidRDefault="00FA75FC" w:rsidP="007A3A03">
            <w:pPr>
              <w:keepNext/>
              <w:jc w:val="center"/>
              <w:rPr>
                <w:noProof w:val="0"/>
              </w:rPr>
            </w:pPr>
            <w:r w:rsidRPr="00121123">
              <w:rPr>
                <w:noProof w:val="0"/>
              </w:rPr>
              <w:t>6/6 (100,0)</w:t>
            </w:r>
          </w:p>
        </w:tc>
        <w:tc>
          <w:tcPr>
            <w:tcW w:w="1496" w:type="dxa"/>
          </w:tcPr>
          <w:p w14:paraId="0D51B54E" w14:textId="77777777" w:rsidR="00FA75FC" w:rsidRPr="00121123" w:rsidRDefault="00FA75FC" w:rsidP="007A3A03">
            <w:pPr>
              <w:keepNext/>
              <w:jc w:val="center"/>
              <w:rPr>
                <w:noProof w:val="0"/>
              </w:rPr>
            </w:pPr>
            <w:r w:rsidRPr="00121123">
              <w:rPr>
                <w:noProof w:val="0"/>
              </w:rPr>
              <w:t>3/6 (50,0)</w:t>
            </w:r>
          </w:p>
        </w:tc>
        <w:tc>
          <w:tcPr>
            <w:tcW w:w="1421" w:type="dxa"/>
          </w:tcPr>
          <w:p w14:paraId="12A52065" w14:textId="77777777" w:rsidR="00FA75FC" w:rsidRPr="00121123" w:rsidRDefault="00FA75FC" w:rsidP="007A3A03">
            <w:pPr>
              <w:keepNext/>
              <w:jc w:val="center"/>
              <w:rPr>
                <w:noProof w:val="0"/>
              </w:rPr>
            </w:pPr>
            <w:r w:rsidRPr="00121123">
              <w:rPr>
                <w:noProof w:val="0"/>
              </w:rPr>
              <w:t>10/12 (83,3)</w:t>
            </w:r>
          </w:p>
        </w:tc>
      </w:tr>
      <w:tr w:rsidR="00FA75FC" w:rsidRPr="00121123" w14:paraId="319673BB" w14:textId="77777777" w:rsidTr="0029758D">
        <w:tc>
          <w:tcPr>
            <w:tcW w:w="1147" w:type="dxa"/>
          </w:tcPr>
          <w:p w14:paraId="02A19CA4" w14:textId="77777777" w:rsidR="00FA75FC" w:rsidRPr="00121123" w:rsidRDefault="00FA75FC" w:rsidP="007A3A03">
            <w:pPr>
              <w:keepNext/>
              <w:rPr>
                <w:noProof w:val="0"/>
              </w:rPr>
            </w:pPr>
            <w:r w:rsidRPr="00121123">
              <w:rPr>
                <w:noProof w:val="0"/>
              </w:rPr>
              <w:t>cSSTI</w:t>
            </w:r>
          </w:p>
        </w:tc>
        <w:tc>
          <w:tcPr>
            <w:tcW w:w="1729" w:type="dxa"/>
          </w:tcPr>
          <w:p w14:paraId="0D02F7B4" w14:textId="77777777" w:rsidR="00FA75FC" w:rsidRPr="00121123" w:rsidRDefault="00FA75FC" w:rsidP="007A3A03">
            <w:pPr>
              <w:keepNext/>
              <w:jc w:val="center"/>
              <w:rPr>
                <w:noProof w:val="0"/>
              </w:rPr>
            </w:pPr>
            <w:r w:rsidRPr="00121123">
              <w:rPr>
                <w:noProof w:val="0"/>
              </w:rPr>
              <w:t>3/4 (75,0)</w:t>
            </w:r>
          </w:p>
        </w:tc>
        <w:tc>
          <w:tcPr>
            <w:tcW w:w="1496" w:type="dxa"/>
          </w:tcPr>
          <w:p w14:paraId="45E569BE" w14:textId="77777777" w:rsidR="00FA75FC" w:rsidRPr="00121123" w:rsidRDefault="00FA75FC" w:rsidP="007A3A03">
            <w:pPr>
              <w:keepNext/>
              <w:jc w:val="center"/>
              <w:rPr>
                <w:noProof w:val="0"/>
              </w:rPr>
            </w:pPr>
            <w:r w:rsidRPr="00121123">
              <w:rPr>
                <w:noProof w:val="0"/>
              </w:rPr>
              <w:t>5/7 (71,4)</w:t>
            </w:r>
          </w:p>
        </w:tc>
        <w:tc>
          <w:tcPr>
            <w:tcW w:w="1421" w:type="dxa"/>
          </w:tcPr>
          <w:p w14:paraId="0D167516" w14:textId="77777777" w:rsidR="00FA75FC" w:rsidRPr="00121123" w:rsidRDefault="00FA75FC" w:rsidP="007A3A03">
            <w:pPr>
              <w:keepNext/>
              <w:jc w:val="center"/>
              <w:rPr>
                <w:noProof w:val="0"/>
              </w:rPr>
            </w:pPr>
            <w:r w:rsidRPr="00121123">
              <w:rPr>
                <w:noProof w:val="0"/>
              </w:rPr>
              <w:t>2/4 (50,0)</w:t>
            </w:r>
          </w:p>
        </w:tc>
      </w:tr>
      <w:tr w:rsidR="00FA75FC" w:rsidRPr="00121123" w14:paraId="6FF6FFE4" w14:textId="77777777" w:rsidTr="0029758D">
        <w:tc>
          <w:tcPr>
            <w:tcW w:w="1147" w:type="dxa"/>
          </w:tcPr>
          <w:p w14:paraId="73E2A340" w14:textId="77777777" w:rsidR="00FA75FC" w:rsidRPr="00121123" w:rsidRDefault="008C4E97" w:rsidP="007A3A03">
            <w:pPr>
              <w:keepNext/>
              <w:rPr>
                <w:noProof w:val="0"/>
              </w:rPr>
            </w:pPr>
            <w:r w:rsidRPr="00121123">
              <w:rPr>
                <w:noProof w:val="0"/>
              </w:rPr>
              <w:t>Celkom</w:t>
            </w:r>
          </w:p>
        </w:tc>
        <w:tc>
          <w:tcPr>
            <w:tcW w:w="1729" w:type="dxa"/>
          </w:tcPr>
          <w:p w14:paraId="589DB1AE" w14:textId="77777777" w:rsidR="00FA75FC" w:rsidRPr="00121123" w:rsidRDefault="00FA75FC" w:rsidP="007A3A03">
            <w:pPr>
              <w:keepNext/>
              <w:jc w:val="center"/>
              <w:rPr>
                <w:noProof w:val="0"/>
              </w:rPr>
            </w:pPr>
            <w:r w:rsidRPr="00121123">
              <w:rPr>
                <w:noProof w:val="0"/>
              </w:rPr>
              <w:t>9/10 (90,0)</w:t>
            </w:r>
          </w:p>
        </w:tc>
        <w:tc>
          <w:tcPr>
            <w:tcW w:w="1496" w:type="dxa"/>
          </w:tcPr>
          <w:p w14:paraId="34B63B8D" w14:textId="77777777" w:rsidR="00FA75FC" w:rsidRPr="00121123" w:rsidRDefault="00FA75FC" w:rsidP="007A3A03">
            <w:pPr>
              <w:keepNext/>
              <w:jc w:val="center"/>
              <w:rPr>
                <w:noProof w:val="0"/>
              </w:rPr>
            </w:pPr>
            <w:r w:rsidRPr="00121123">
              <w:rPr>
                <w:noProof w:val="0"/>
              </w:rPr>
              <w:t>8/13 (62,0)</w:t>
            </w:r>
          </w:p>
        </w:tc>
        <w:tc>
          <w:tcPr>
            <w:tcW w:w="1421" w:type="dxa"/>
          </w:tcPr>
          <w:p w14:paraId="4E1753CF" w14:textId="77777777" w:rsidR="00FA75FC" w:rsidRPr="00121123" w:rsidRDefault="00FA75FC" w:rsidP="007A3A03">
            <w:pPr>
              <w:keepNext/>
              <w:jc w:val="center"/>
              <w:rPr>
                <w:noProof w:val="0"/>
              </w:rPr>
            </w:pPr>
            <w:r w:rsidRPr="00121123">
              <w:rPr>
                <w:noProof w:val="0"/>
              </w:rPr>
              <w:t>12/16 (75,0)</w:t>
            </w:r>
          </w:p>
        </w:tc>
      </w:tr>
    </w:tbl>
    <w:p w14:paraId="71C3C9E8" w14:textId="77777777" w:rsidR="00FA75FC" w:rsidRPr="00121123" w:rsidRDefault="00FA75FC" w:rsidP="007A3A03">
      <w:pPr>
        <w:keepLines w:val="0"/>
        <w:tabs>
          <w:tab w:val="clear" w:pos="567"/>
        </w:tabs>
        <w:autoSpaceDE w:val="0"/>
        <w:autoSpaceDN w:val="0"/>
        <w:adjustRightInd w:val="0"/>
        <w:rPr>
          <w:noProof w:val="0"/>
        </w:rPr>
      </w:pPr>
    </w:p>
    <w:p w14:paraId="7F25C1B0" w14:textId="0910667F" w:rsidR="00FA75FC" w:rsidRPr="00121123" w:rsidRDefault="00E30D03" w:rsidP="007A3A03">
      <w:pPr>
        <w:keepLines w:val="0"/>
        <w:tabs>
          <w:tab w:val="clear" w:pos="567"/>
        </w:tabs>
        <w:autoSpaceDE w:val="0"/>
        <w:autoSpaceDN w:val="0"/>
        <w:adjustRightInd w:val="0"/>
        <w:rPr>
          <w:noProof w:val="0"/>
        </w:rPr>
      </w:pPr>
      <w:r w:rsidRPr="00121123">
        <w:rPr>
          <w:noProof w:val="0"/>
        </w:rPr>
        <w:t>Údaje týkajúce</w:t>
      </w:r>
      <w:r w:rsidR="00FA75FC" w:rsidRPr="00121123">
        <w:rPr>
          <w:noProof w:val="0"/>
        </w:rPr>
        <w:t xml:space="preserve"> sa </w:t>
      </w:r>
      <w:r w:rsidR="00EE4FB6" w:rsidRPr="00121123">
        <w:rPr>
          <w:noProof w:val="0"/>
        </w:rPr>
        <w:t>účinnosti</w:t>
      </w:r>
      <w:r w:rsidR="00D41A08" w:rsidRPr="00121123">
        <w:rPr>
          <w:noProof w:val="0"/>
        </w:rPr>
        <w:t>, ktoré sú</w:t>
      </w:r>
      <w:r w:rsidR="00EE4FB6" w:rsidRPr="00121123">
        <w:rPr>
          <w:noProof w:val="0"/>
        </w:rPr>
        <w:t xml:space="preserve"> </w:t>
      </w:r>
      <w:r w:rsidR="00FA75FC" w:rsidRPr="00121123">
        <w:rPr>
          <w:noProof w:val="0"/>
        </w:rPr>
        <w:t>uvedené vyššie</w:t>
      </w:r>
      <w:r w:rsidR="00D41A08" w:rsidRPr="00121123">
        <w:rPr>
          <w:noProof w:val="0"/>
        </w:rPr>
        <w:t xml:space="preserve">, je potrebné hodnotiť s opatrnosťou, </w:t>
      </w:r>
      <w:r w:rsidR="00FA75FC" w:rsidRPr="00121123">
        <w:rPr>
          <w:noProof w:val="0"/>
        </w:rPr>
        <w:t>pretože v t</w:t>
      </w:r>
      <w:r w:rsidR="004A1D3B">
        <w:rPr>
          <w:noProof w:val="0"/>
          <w:color w:val="000000"/>
        </w:rPr>
        <w:t>omto klinickom skúšaní</w:t>
      </w:r>
      <w:r w:rsidR="00FA75FC" w:rsidRPr="00121123">
        <w:rPr>
          <w:noProof w:val="0"/>
        </w:rPr>
        <w:t xml:space="preserve"> bolo povolené súbežné podávanie </w:t>
      </w:r>
      <w:r w:rsidR="00D41A08" w:rsidRPr="00121123">
        <w:rPr>
          <w:noProof w:val="0"/>
        </w:rPr>
        <w:t xml:space="preserve">aj iných </w:t>
      </w:r>
      <w:r w:rsidR="00FA75FC" w:rsidRPr="00121123">
        <w:rPr>
          <w:noProof w:val="0"/>
        </w:rPr>
        <w:t>antibiotík. Okrem toho</w:t>
      </w:r>
      <w:r w:rsidR="008C4E97" w:rsidRPr="00121123">
        <w:rPr>
          <w:noProof w:val="0"/>
        </w:rPr>
        <w:t xml:space="preserve"> </w:t>
      </w:r>
      <w:r w:rsidR="00D41A08" w:rsidRPr="00121123">
        <w:rPr>
          <w:noProof w:val="0"/>
        </w:rPr>
        <w:t xml:space="preserve">je potrebné vziať do úvahy aj malý počet pacientov. </w:t>
      </w:r>
    </w:p>
    <w:p w14:paraId="6684793E" w14:textId="77777777" w:rsidR="00FA75FC" w:rsidRPr="00121123" w:rsidRDefault="00FA75FC" w:rsidP="007A3A03">
      <w:pPr>
        <w:keepLines w:val="0"/>
        <w:tabs>
          <w:tab w:val="clear" w:pos="567"/>
        </w:tabs>
        <w:autoSpaceDE w:val="0"/>
        <w:autoSpaceDN w:val="0"/>
        <w:adjustRightInd w:val="0"/>
        <w:rPr>
          <w:noProof w:val="0"/>
        </w:rPr>
      </w:pPr>
    </w:p>
    <w:p w14:paraId="032C268E" w14:textId="77777777" w:rsidR="00870248" w:rsidRPr="00121123" w:rsidRDefault="00870248" w:rsidP="007A3A03">
      <w:pPr>
        <w:pStyle w:val="Heading2"/>
        <w:keepLines w:val="0"/>
        <w:tabs>
          <w:tab w:val="left" w:pos="4680"/>
        </w:tabs>
        <w:spacing w:before="0" w:after="0"/>
        <w:ind w:right="14"/>
        <w:rPr>
          <w:rFonts w:ascii="Times New Roman" w:hAnsi="Times New Roman" w:cs="Times New Roman"/>
          <w:i w:val="0"/>
          <w:iCs w:val="0"/>
          <w:noProof w:val="0"/>
          <w:sz w:val="22"/>
          <w:szCs w:val="22"/>
        </w:rPr>
      </w:pPr>
      <w:bookmarkStart w:id="6" w:name="_5_2_Pharmacokinetic_properties"/>
      <w:bookmarkEnd w:id="6"/>
      <w:r w:rsidRPr="00121123">
        <w:rPr>
          <w:rFonts w:ascii="Times New Roman" w:hAnsi="Times New Roman" w:cs="Times New Roman"/>
          <w:i w:val="0"/>
          <w:iCs w:val="0"/>
          <w:noProof w:val="0"/>
          <w:sz w:val="22"/>
          <w:szCs w:val="22"/>
        </w:rPr>
        <w:t>5.2</w:t>
      </w:r>
      <w:r w:rsidRPr="00121123">
        <w:rPr>
          <w:rFonts w:ascii="Times New Roman" w:hAnsi="Times New Roman" w:cs="Times New Roman"/>
          <w:i w:val="0"/>
          <w:iCs w:val="0"/>
          <w:noProof w:val="0"/>
          <w:sz w:val="22"/>
          <w:szCs w:val="22"/>
        </w:rPr>
        <w:tab/>
        <w:t>Farmakokinetické vlastnosti</w:t>
      </w:r>
    </w:p>
    <w:p w14:paraId="4FCFBFB2" w14:textId="77777777" w:rsidR="00870248" w:rsidRPr="00121123" w:rsidRDefault="00870248" w:rsidP="007A3A03">
      <w:pPr>
        <w:keepLines w:val="0"/>
        <w:tabs>
          <w:tab w:val="clear" w:pos="567"/>
        </w:tabs>
        <w:rPr>
          <w:noProof w:val="0"/>
        </w:rPr>
      </w:pPr>
    </w:p>
    <w:p w14:paraId="6FF9ECA6" w14:textId="77777777" w:rsidR="00870248" w:rsidRPr="00121123" w:rsidRDefault="00870248" w:rsidP="007A3A03">
      <w:pPr>
        <w:pStyle w:val="Heading3"/>
        <w:keepNext w:val="0"/>
        <w:keepLines w:val="0"/>
        <w:spacing w:before="0" w:after="0"/>
        <w:rPr>
          <w:b w:val="0"/>
          <w:bCs w:val="0"/>
          <w:iCs/>
          <w:noProof w:val="0"/>
          <w:u w:val="single"/>
          <w:lang w:val="sk-SK"/>
        </w:rPr>
      </w:pPr>
      <w:r w:rsidRPr="00121123">
        <w:rPr>
          <w:b w:val="0"/>
          <w:bCs w:val="0"/>
          <w:iCs/>
          <w:noProof w:val="0"/>
          <w:u w:val="single"/>
          <w:lang w:val="sk-SK"/>
        </w:rPr>
        <w:t>Absorpcia</w:t>
      </w:r>
    </w:p>
    <w:p w14:paraId="61F89D1B" w14:textId="77777777" w:rsidR="00347E7D" w:rsidRPr="00121123" w:rsidRDefault="00347E7D" w:rsidP="00347E7D"/>
    <w:p w14:paraId="19AFF7F1" w14:textId="77777777" w:rsidR="00870248" w:rsidRPr="00121123" w:rsidRDefault="00870248" w:rsidP="007A3A03">
      <w:pPr>
        <w:keepLines w:val="0"/>
        <w:tabs>
          <w:tab w:val="clear" w:pos="567"/>
        </w:tabs>
        <w:rPr>
          <w:noProof w:val="0"/>
        </w:rPr>
      </w:pPr>
      <w:r w:rsidRPr="00121123">
        <w:rPr>
          <w:noProof w:val="0"/>
        </w:rPr>
        <w:t>Tigecyklín sa podáva intravenózne, a preto je jeho biologická dostupnosť 100 %.</w:t>
      </w:r>
    </w:p>
    <w:p w14:paraId="0EC797F2" w14:textId="77777777" w:rsidR="00870248" w:rsidRPr="00121123" w:rsidRDefault="00870248" w:rsidP="007A3A03">
      <w:pPr>
        <w:keepNext/>
        <w:rPr>
          <w:noProof w:val="0"/>
          <w:u w:val="single"/>
        </w:rPr>
      </w:pPr>
      <w:r w:rsidRPr="00121123">
        <w:rPr>
          <w:noProof w:val="0"/>
          <w:u w:val="single"/>
        </w:rPr>
        <w:lastRenderedPageBreak/>
        <w:t>Distribúcia</w:t>
      </w:r>
    </w:p>
    <w:p w14:paraId="1A1CC5A8" w14:textId="77777777" w:rsidR="00347E7D" w:rsidRPr="00121123" w:rsidRDefault="00347E7D" w:rsidP="007A3A03">
      <w:pPr>
        <w:keepNext/>
        <w:rPr>
          <w:noProof w:val="0"/>
          <w:u w:val="single"/>
        </w:rPr>
      </w:pPr>
    </w:p>
    <w:p w14:paraId="5CD76DFC" w14:textId="77777777" w:rsidR="00870248" w:rsidRPr="00121123" w:rsidRDefault="00870248" w:rsidP="007A3A03">
      <w:pPr>
        <w:keepNext/>
        <w:tabs>
          <w:tab w:val="clear" w:pos="567"/>
        </w:tabs>
        <w:rPr>
          <w:noProof w:val="0"/>
        </w:rPr>
      </w:pPr>
      <w:r w:rsidRPr="00121123">
        <w:rPr>
          <w:noProof w:val="0"/>
        </w:rPr>
        <w:t xml:space="preserve">Väzba tigecyklínu na proteíny plazmy </w:t>
      </w:r>
      <w:r w:rsidRPr="00121123">
        <w:rPr>
          <w:i/>
          <w:iCs/>
          <w:noProof w:val="0"/>
        </w:rPr>
        <w:t>in vitro</w:t>
      </w:r>
      <w:r w:rsidRPr="00121123">
        <w:rPr>
          <w:noProof w:val="0"/>
        </w:rPr>
        <w:t xml:space="preserve"> bola pri koncentráciách pozorovaných v klinických štúdiách (0,1 do 1,0 </w:t>
      </w:r>
      <w:r w:rsidR="002E0DEC" w:rsidRPr="00121123">
        <w:rPr>
          <w:noProof w:val="0"/>
        </w:rPr>
        <w:t>mc</w:t>
      </w:r>
      <w:r w:rsidRPr="00121123">
        <w:rPr>
          <w:noProof w:val="0"/>
        </w:rPr>
        <w:t xml:space="preserve">g/ml) v rozmedzí približne od 71 % do 89 %. Farmakokinetické štúdie na zvieratách a ľuďoch </w:t>
      </w:r>
      <w:r w:rsidR="00D81A8D" w:rsidRPr="00121123">
        <w:rPr>
          <w:noProof w:val="0"/>
        </w:rPr>
        <w:t>preukázali</w:t>
      </w:r>
      <w:r w:rsidRPr="00121123">
        <w:rPr>
          <w:noProof w:val="0"/>
        </w:rPr>
        <w:t>, že sa tigecyklín ľahko distribuuje do tkanív.</w:t>
      </w:r>
    </w:p>
    <w:p w14:paraId="4FA33FFA" w14:textId="77777777" w:rsidR="00870248" w:rsidRPr="00121123" w:rsidRDefault="00870248" w:rsidP="007A3A03">
      <w:pPr>
        <w:keepNext/>
        <w:tabs>
          <w:tab w:val="clear" w:pos="567"/>
        </w:tabs>
        <w:rPr>
          <w:noProof w:val="0"/>
        </w:rPr>
      </w:pPr>
    </w:p>
    <w:p w14:paraId="44DA3515" w14:textId="77777777" w:rsidR="00870248" w:rsidRPr="00121123" w:rsidRDefault="00870248" w:rsidP="007A3A03">
      <w:pPr>
        <w:keepNext/>
        <w:tabs>
          <w:tab w:val="clear" w:pos="567"/>
        </w:tabs>
        <w:rPr>
          <w:noProof w:val="0"/>
        </w:rPr>
      </w:pPr>
      <w:r w:rsidRPr="00121123">
        <w:rPr>
          <w:noProof w:val="0"/>
        </w:rPr>
        <w:t xml:space="preserve">U potkanov, ktorý dostávali jednu alebo viacnásobné dávky </w:t>
      </w:r>
      <w:r w:rsidRPr="00121123">
        <w:rPr>
          <w:noProof w:val="0"/>
          <w:vertAlign w:val="superscript"/>
        </w:rPr>
        <w:t>14</w:t>
      </w:r>
      <w:r w:rsidRPr="00121123">
        <w:rPr>
          <w:noProof w:val="0"/>
        </w:rPr>
        <w:t>C-tigecyklínu, bola rádioaktivita dobre distribuovaná do väčšiny tkanív. Najvyššia celková expozícia sa pozorovala v kostnej dreni, slinných žľazách, štítnej žľaze, slezine a obličkách. U ľudí bol distribučný objem tigecyklínu v </w:t>
      </w:r>
      <w:r w:rsidR="00F2089A" w:rsidRPr="00121123">
        <w:rPr>
          <w:noProof w:val="0"/>
        </w:rPr>
        <w:t>rovnovážnom</w:t>
      </w:r>
      <w:r w:rsidRPr="00121123">
        <w:rPr>
          <w:noProof w:val="0"/>
        </w:rPr>
        <w:t xml:space="preserve"> stave v priemere od 500 do 700 l (7 až 9 l/kg), čo naznačuje, že sa rozsiahlo distribuuje nad rámec objemu plazmy a koncentruje sa v tkanivách.</w:t>
      </w:r>
    </w:p>
    <w:p w14:paraId="0233499D" w14:textId="77777777" w:rsidR="00870248" w:rsidRPr="00121123" w:rsidRDefault="00870248" w:rsidP="007A3A03">
      <w:pPr>
        <w:keepLines w:val="0"/>
        <w:tabs>
          <w:tab w:val="clear" w:pos="567"/>
        </w:tabs>
        <w:rPr>
          <w:noProof w:val="0"/>
        </w:rPr>
      </w:pPr>
    </w:p>
    <w:p w14:paraId="049BBD7E" w14:textId="77777777" w:rsidR="00870248" w:rsidRPr="00121123" w:rsidRDefault="00870248" w:rsidP="007A3A03">
      <w:pPr>
        <w:keepLines w:val="0"/>
        <w:tabs>
          <w:tab w:val="clear" w:pos="567"/>
        </w:tabs>
        <w:rPr>
          <w:noProof w:val="0"/>
        </w:rPr>
      </w:pPr>
      <w:r w:rsidRPr="00121123">
        <w:rPr>
          <w:noProof w:val="0"/>
        </w:rPr>
        <w:t xml:space="preserve">Nie sú k dispozícii žiadne údaje o tom, či tigecyklín prechádza cez ľudskú hematoencefalickú bariéru. </w:t>
      </w:r>
    </w:p>
    <w:p w14:paraId="65C139C1" w14:textId="77777777" w:rsidR="00870248" w:rsidRPr="00121123" w:rsidRDefault="00870248" w:rsidP="007A3A03">
      <w:pPr>
        <w:keepLines w:val="0"/>
        <w:tabs>
          <w:tab w:val="clear" w:pos="567"/>
        </w:tabs>
        <w:rPr>
          <w:noProof w:val="0"/>
        </w:rPr>
      </w:pPr>
    </w:p>
    <w:p w14:paraId="40D18DAD" w14:textId="77777777" w:rsidR="00870248" w:rsidRPr="00121123" w:rsidRDefault="00870248" w:rsidP="007A3A03">
      <w:pPr>
        <w:tabs>
          <w:tab w:val="clear" w:pos="567"/>
        </w:tabs>
        <w:rPr>
          <w:noProof w:val="0"/>
        </w:rPr>
      </w:pPr>
      <w:r w:rsidRPr="00121123">
        <w:rPr>
          <w:noProof w:val="0"/>
        </w:rPr>
        <w:t>V klinických farmakologických štúdiách s použitím terapeutického dávkovacieho režimu 100</w:t>
      </w:r>
      <w:r w:rsidR="00A96D8B" w:rsidRPr="00121123">
        <w:rPr>
          <w:noProof w:val="0"/>
        </w:rPr>
        <w:t xml:space="preserve"> </w:t>
      </w:r>
      <w:r w:rsidRPr="00121123">
        <w:rPr>
          <w:noProof w:val="0"/>
        </w:rPr>
        <w:t>mg nasledovaných 50</w:t>
      </w:r>
      <w:r w:rsidR="00A96D8B" w:rsidRPr="00121123">
        <w:rPr>
          <w:noProof w:val="0"/>
        </w:rPr>
        <w:t xml:space="preserve"> </w:t>
      </w:r>
      <w:r w:rsidRPr="00121123">
        <w:rPr>
          <w:noProof w:val="0"/>
        </w:rPr>
        <w:t>mg každých 12 hodín bola hodnota C</w:t>
      </w:r>
      <w:r w:rsidRPr="00121123">
        <w:rPr>
          <w:noProof w:val="0"/>
          <w:vertAlign w:val="subscript"/>
        </w:rPr>
        <w:t>max</w:t>
      </w:r>
      <w:r w:rsidRPr="00121123">
        <w:rPr>
          <w:noProof w:val="0"/>
        </w:rPr>
        <w:t xml:space="preserve"> tigecyklínu v plazme v</w:t>
      </w:r>
      <w:r w:rsidR="00F2089A" w:rsidRPr="00121123">
        <w:rPr>
          <w:noProof w:val="0"/>
        </w:rPr>
        <w:t xml:space="preserve"> rovnovážnom </w:t>
      </w:r>
      <w:r w:rsidRPr="00121123">
        <w:rPr>
          <w:noProof w:val="0"/>
        </w:rPr>
        <w:t>stave 866±233 ng/ml v prípade 30 minútových infúzií a 634±97 ng/ml v prípade 60 minútových infúzií. Hodnota AUC</w:t>
      </w:r>
      <w:r w:rsidRPr="00121123">
        <w:rPr>
          <w:noProof w:val="0"/>
          <w:vertAlign w:val="subscript"/>
        </w:rPr>
        <w:t>0-12h</w:t>
      </w:r>
      <w:r w:rsidRPr="00121123">
        <w:rPr>
          <w:noProof w:val="0"/>
        </w:rPr>
        <w:t xml:space="preserve"> v ustálenom sta</w:t>
      </w:r>
      <w:r w:rsidR="008D52AC" w:rsidRPr="00121123">
        <w:rPr>
          <w:noProof w:val="0"/>
        </w:rPr>
        <w:t>v</w:t>
      </w:r>
      <w:r w:rsidRPr="00121123">
        <w:rPr>
          <w:noProof w:val="0"/>
        </w:rPr>
        <w:t>e bola 2349±850 ng•h/ml.</w:t>
      </w:r>
    </w:p>
    <w:p w14:paraId="4234F7F8" w14:textId="77777777" w:rsidR="00870248" w:rsidRPr="00121123" w:rsidRDefault="00870248" w:rsidP="007A3A03">
      <w:pPr>
        <w:keepLines w:val="0"/>
        <w:tabs>
          <w:tab w:val="clear" w:pos="567"/>
        </w:tabs>
        <w:rPr>
          <w:noProof w:val="0"/>
        </w:rPr>
      </w:pPr>
    </w:p>
    <w:p w14:paraId="0519C1EF" w14:textId="77777777" w:rsidR="00870248" w:rsidRPr="00121123" w:rsidRDefault="0063750B" w:rsidP="007A3A03">
      <w:pPr>
        <w:rPr>
          <w:noProof w:val="0"/>
          <w:u w:val="single"/>
        </w:rPr>
      </w:pPr>
      <w:r w:rsidRPr="00121123">
        <w:rPr>
          <w:noProof w:val="0"/>
          <w:u w:val="single"/>
        </w:rPr>
        <w:t>Biotransformácia</w:t>
      </w:r>
    </w:p>
    <w:p w14:paraId="4831A353" w14:textId="77777777" w:rsidR="00347E7D" w:rsidRPr="00121123" w:rsidRDefault="00347E7D" w:rsidP="007A3A03">
      <w:pPr>
        <w:rPr>
          <w:noProof w:val="0"/>
          <w:u w:val="single"/>
        </w:rPr>
      </w:pPr>
    </w:p>
    <w:p w14:paraId="33537527" w14:textId="77777777" w:rsidR="00870248" w:rsidRPr="00121123" w:rsidRDefault="00870248" w:rsidP="007A3A03">
      <w:pPr>
        <w:keepLines w:val="0"/>
        <w:tabs>
          <w:tab w:val="clear" w:pos="567"/>
        </w:tabs>
        <w:rPr>
          <w:noProof w:val="0"/>
        </w:rPr>
      </w:pPr>
      <w:r w:rsidRPr="00121123">
        <w:rPr>
          <w:noProof w:val="0"/>
        </w:rPr>
        <w:t xml:space="preserve">V priemere sa odhaduje, že pred vylúčením sa metabolizuje menej ako 20 % tigecyklínu. U zdravých dobrovoľníkov, mužov, bol po podaní </w:t>
      </w:r>
      <w:r w:rsidRPr="00121123">
        <w:rPr>
          <w:noProof w:val="0"/>
          <w:vertAlign w:val="superscript"/>
        </w:rPr>
        <w:t>14</w:t>
      </w:r>
      <w:r w:rsidRPr="00121123">
        <w:rPr>
          <w:noProof w:val="0"/>
        </w:rPr>
        <w:t xml:space="preserve">C-tigecyklínu nezmenený tigecyklín primárnym </w:t>
      </w:r>
      <w:r w:rsidRPr="00121123">
        <w:rPr>
          <w:noProof w:val="0"/>
          <w:vertAlign w:val="superscript"/>
        </w:rPr>
        <w:t>14</w:t>
      </w:r>
      <w:r w:rsidRPr="00121123">
        <w:rPr>
          <w:noProof w:val="0"/>
        </w:rPr>
        <w:t>C-značeným materiálom prítomným v moči a stolici, ale glukuronid, N-acetylovaný metabolit a epimér tigecyklínu boli taktiež prítomné.</w:t>
      </w:r>
    </w:p>
    <w:p w14:paraId="23C23661" w14:textId="77777777" w:rsidR="00870248" w:rsidRPr="00121123" w:rsidRDefault="00870248" w:rsidP="007A3A03">
      <w:pPr>
        <w:keepLines w:val="0"/>
        <w:tabs>
          <w:tab w:val="clear" w:pos="567"/>
        </w:tabs>
        <w:rPr>
          <w:noProof w:val="0"/>
        </w:rPr>
      </w:pPr>
    </w:p>
    <w:p w14:paraId="6CACFF94" w14:textId="77777777" w:rsidR="00870248" w:rsidRPr="00121123" w:rsidRDefault="00A50174" w:rsidP="007A3A03">
      <w:pPr>
        <w:keepLines w:val="0"/>
        <w:tabs>
          <w:tab w:val="clear" w:pos="567"/>
        </w:tabs>
        <w:rPr>
          <w:noProof w:val="0"/>
        </w:rPr>
      </w:pPr>
      <w:r w:rsidRPr="00121123">
        <w:rPr>
          <w:iCs/>
          <w:noProof w:val="0"/>
        </w:rPr>
        <w:t>Štúdie i</w:t>
      </w:r>
      <w:r w:rsidR="00870248" w:rsidRPr="00121123">
        <w:rPr>
          <w:i/>
          <w:iCs/>
          <w:noProof w:val="0"/>
        </w:rPr>
        <w:t>n vitro</w:t>
      </w:r>
      <w:r w:rsidR="00870248" w:rsidRPr="00121123">
        <w:rPr>
          <w:noProof w:val="0"/>
        </w:rPr>
        <w:t xml:space="preserve"> s ľudskými pečeňovými mikrozómami naznačujú, že tigecyklín neinhibuje kompetitívnou inhibíciou metabolizmus sprostredkovaný niektorým z týchto 6 izoforiem cytochrómu P450 (CYP): 1A2, 2C8, 2C9, 2C19, 2D6, a 3A4. Okrem toho, tigecyklín nepreukázal závislosť od NADPH pri inhibícii CYP2C9, CYP2C19, CYP2D6 a CYP3A, čo naznačuje chýbanie inhibície</w:t>
      </w:r>
      <w:r w:rsidR="0003786D" w:rsidRPr="00121123">
        <w:rPr>
          <w:noProof w:val="0"/>
        </w:rPr>
        <w:t xml:space="preserve"> založenej na mechanizme</w:t>
      </w:r>
      <w:r w:rsidR="00870248" w:rsidRPr="00121123">
        <w:rPr>
          <w:noProof w:val="0"/>
        </w:rPr>
        <w:t xml:space="preserve"> týchto CYP enzýmov.</w:t>
      </w:r>
    </w:p>
    <w:p w14:paraId="43D5B086" w14:textId="77777777" w:rsidR="00870248" w:rsidRPr="00121123" w:rsidRDefault="00870248" w:rsidP="007A3A03">
      <w:pPr>
        <w:keepLines w:val="0"/>
        <w:tabs>
          <w:tab w:val="clear" w:pos="567"/>
        </w:tabs>
        <w:rPr>
          <w:noProof w:val="0"/>
        </w:rPr>
      </w:pPr>
    </w:p>
    <w:p w14:paraId="77E1E3E9" w14:textId="77777777" w:rsidR="00870248" w:rsidRPr="00121123" w:rsidRDefault="00870248" w:rsidP="007A3A03">
      <w:pPr>
        <w:rPr>
          <w:noProof w:val="0"/>
          <w:u w:val="single"/>
        </w:rPr>
      </w:pPr>
      <w:r w:rsidRPr="00121123">
        <w:rPr>
          <w:noProof w:val="0"/>
          <w:u w:val="single"/>
        </w:rPr>
        <w:t>Eliminácia</w:t>
      </w:r>
    </w:p>
    <w:p w14:paraId="2FF15CAE" w14:textId="77777777" w:rsidR="00347E7D" w:rsidRPr="00121123" w:rsidRDefault="00347E7D" w:rsidP="007A3A03">
      <w:pPr>
        <w:rPr>
          <w:noProof w:val="0"/>
          <w:u w:val="single"/>
        </w:rPr>
      </w:pPr>
    </w:p>
    <w:p w14:paraId="597D3C93" w14:textId="77777777" w:rsidR="00870248" w:rsidRPr="00121123" w:rsidRDefault="00870248" w:rsidP="007A3A03">
      <w:pPr>
        <w:keepLines w:val="0"/>
        <w:tabs>
          <w:tab w:val="clear" w:pos="567"/>
        </w:tabs>
        <w:rPr>
          <w:noProof w:val="0"/>
        </w:rPr>
      </w:pPr>
      <w:r w:rsidRPr="00121123">
        <w:rPr>
          <w:noProof w:val="0"/>
        </w:rPr>
        <w:t xml:space="preserve">Návratnosť celkovej rádioaktivity v stolici a moči po podaní </w:t>
      </w:r>
      <w:r w:rsidRPr="00121123">
        <w:rPr>
          <w:noProof w:val="0"/>
          <w:vertAlign w:val="superscript"/>
        </w:rPr>
        <w:t>14</w:t>
      </w:r>
      <w:r w:rsidRPr="00121123">
        <w:rPr>
          <w:noProof w:val="0"/>
        </w:rPr>
        <w:t>C-tigecyklínu naznačuje, že 59 % dávky sa eliminuje bil</w:t>
      </w:r>
      <w:r w:rsidR="001C42B3" w:rsidRPr="00121123">
        <w:rPr>
          <w:noProof w:val="0"/>
        </w:rPr>
        <w:t xml:space="preserve"> </w:t>
      </w:r>
      <w:r w:rsidRPr="00121123">
        <w:rPr>
          <w:noProof w:val="0"/>
        </w:rPr>
        <w:t>iárnou/fekálnou cestou a 33 % sa vylučuje v moči. Celkovo je primárnou cestou eliminácie tigecyklínu biliárna exkrécia nezmeneného tigecyklínu. Sekundárnymi cestami sú glukuronidácia a renálna exkrécia nezmeneného tigecyklínu.</w:t>
      </w:r>
    </w:p>
    <w:p w14:paraId="3489CA8A" w14:textId="77777777" w:rsidR="00870248" w:rsidRPr="00121123" w:rsidRDefault="00870248" w:rsidP="007A3A03">
      <w:pPr>
        <w:keepLines w:val="0"/>
        <w:rPr>
          <w:noProof w:val="0"/>
        </w:rPr>
      </w:pPr>
    </w:p>
    <w:p w14:paraId="252BE2A1" w14:textId="77777777" w:rsidR="00870248" w:rsidRPr="00121123" w:rsidRDefault="00870248" w:rsidP="007A3A03">
      <w:pPr>
        <w:keepLines w:val="0"/>
        <w:rPr>
          <w:noProof w:val="0"/>
        </w:rPr>
      </w:pPr>
      <w:r w:rsidRPr="00121123">
        <w:rPr>
          <w:noProof w:val="0"/>
        </w:rPr>
        <w:t xml:space="preserve">Po intravenóznej infúzii je celkový klírens tigecyklínu </w:t>
      </w:r>
      <w:r w:rsidR="00656010" w:rsidRPr="00121123">
        <w:rPr>
          <w:noProof w:val="0"/>
        </w:rPr>
        <w:t>24 l</w:t>
      </w:r>
      <w:r w:rsidRPr="00121123">
        <w:rPr>
          <w:noProof w:val="0"/>
        </w:rPr>
        <w:t>/hod. Renálny klírens je približne 13 % celkového klírensu. Tigecyklín vykazuje polyexponenciálny priebeh eliminácie z plazmy so stredným terminálnym eliminačným polčasom 42 hodín po viacnásobných dávkach, aj keď existuje vysoká interindividuálna variabilita.</w:t>
      </w:r>
    </w:p>
    <w:p w14:paraId="1FA213CE" w14:textId="77777777" w:rsidR="00154F11" w:rsidRPr="00121123" w:rsidRDefault="00154F11" w:rsidP="007A3A03">
      <w:pPr>
        <w:keepLines w:val="0"/>
        <w:rPr>
          <w:noProof w:val="0"/>
        </w:rPr>
      </w:pPr>
    </w:p>
    <w:p w14:paraId="27DE8D18" w14:textId="77777777" w:rsidR="00154F11" w:rsidRPr="00121123" w:rsidRDefault="001A131A" w:rsidP="007A3A03">
      <w:pPr>
        <w:keepLines w:val="0"/>
        <w:rPr>
          <w:noProof w:val="0"/>
        </w:rPr>
      </w:pPr>
      <w:r w:rsidRPr="00121123">
        <w:rPr>
          <w:noProof w:val="0"/>
        </w:rPr>
        <w:t xml:space="preserve">Štúdie </w:t>
      </w:r>
      <w:r w:rsidR="00EF12FE" w:rsidRPr="00121123">
        <w:rPr>
          <w:i/>
          <w:noProof w:val="0"/>
        </w:rPr>
        <w:t>in vitro</w:t>
      </w:r>
      <w:r w:rsidRPr="00121123">
        <w:rPr>
          <w:noProof w:val="0"/>
        </w:rPr>
        <w:t xml:space="preserve"> s bunkami Caco-2 ukazujú, že tigecyklín neinhibuje tok digoxínu a nasvedčuj</w:t>
      </w:r>
      <w:r w:rsidR="000B664D" w:rsidRPr="00121123">
        <w:rPr>
          <w:noProof w:val="0"/>
        </w:rPr>
        <w:t>ú</w:t>
      </w:r>
      <w:r w:rsidRPr="00121123">
        <w:rPr>
          <w:noProof w:val="0"/>
        </w:rPr>
        <w:t xml:space="preserve">, že tigecyklín nie je inhibítor P-glykoproteínu (P-gp). Táto </w:t>
      </w:r>
      <w:r w:rsidR="00EF12FE" w:rsidRPr="00121123">
        <w:rPr>
          <w:i/>
          <w:noProof w:val="0"/>
        </w:rPr>
        <w:t>in vitro</w:t>
      </w:r>
      <w:r w:rsidRPr="00121123">
        <w:rPr>
          <w:noProof w:val="0"/>
        </w:rPr>
        <w:t xml:space="preserve"> informácia </w:t>
      </w:r>
      <w:r w:rsidR="00EF12FE" w:rsidRPr="00121123">
        <w:rPr>
          <w:noProof w:val="0"/>
        </w:rPr>
        <w:t xml:space="preserve">je </w:t>
      </w:r>
      <w:r w:rsidRPr="00121123">
        <w:rPr>
          <w:noProof w:val="0"/>
        </w:rPr>
        <w:t>zhod</w:t>
      </w:r>
      <w:r w:rsidR="00EF12FE" w:rsidRPr="00121123">
        <w:rPr>
          <w:noProof w:val="0"/>
        </w:rPr>
        <w:t>ná</w:t>
      </w:r>
      <w:r w:rsidRPr="00121123">
        <w:rPr>
          <w:noProof w:val="0"/>
        </w:rPr>
        <w:t xml:space="preserve"> </w:t>
      </w:r>
      <w:r w:rsidR="00B942FD" w:rsidRPr="00121123">
        <w:rPr>
          <w:noProof w:val="0"/>
        </w:rPr>
        <w:t xml:space="preserve">s nedostatočným účinkom tigecyklínu na klírens digoxínu zaznamenanom v in vivo štúdii na liekovú interakciu </w:t>
      </w:r>
      <w:r w:rsidR="00EF12FE" w:rsidRPr="00121123">
        <w:rPr>
          <w:noProof w:val="0"/>
        </w:rPr>
        <w:t>opísanej</w:t>
      </w:r>
      <w:r w:rsidRPr="00121123">
        <w:rPr>
          <w:noProof w:val="0"/>
        </w:rPr>
        <w:t xml:space="preserve"> vyššie (pozri časť 4.5).</w:t>
      </w:r>
      <w:r w:rsidR="00EC6593" w:rsidRPr="00121123">
        <w:rPr>
          <w:noProof w:val="0"/>
        </w:rPr>
        <w:t xml:space="preserve"> </w:t>
      </w:r>
    </w:p>
    <w:p w14:paraId="1FD7A198" w14:textId="77777777" w:rsidR="00EC6593" w:rsidRPr="00121123" w:rsidRDefault="00EC6593" w:rsidP="007A3A03">
      <w:pPr>
        <w:keepLines w:val="0"/>
        <w:rPr>
          <w:noProof w:val="0"/>
        </w:rPr>
      </w:pPr>
    </w:p>
    <w:p w14:paraId="2E5F0FD3" w14:textId="77777777" w:rsidR="00EC6593" w:rsidRPr="00121123" w:rsidRDefault="00EC6593" w:rsidP="007A3A03">
      <w:pPr>
        <w:keepLines w:val="0"/>
        <w:rPr>
          <w:noProof w:val="0"/>
        </w:rPr>
      </w:pPr>
      <w:r w:rsidRPr="00121123">
        <w:rPr>
          <w:noProof w:val="0"/>
        </w:rPr>
        <w:t xml:space="preserve">Tigecyklín je </w:t>
      </w:r>
      <w:r w:rsidR="00B942FD" w:rsidRPr="00121123">
        <w:rPr>
          <w:noProof w:val="0"/>
        </w:rPr>
        <w:t xml:space="preserve">P-gp substrát na základe </w:t>
      </w:r>
      <w:r w:rsidR="00EF12FE" w:rsidRPr="00121123">
        <w:rPr>
          <w:i/>
          <w:noProof w:val="0"/>
        </w:rPr>
        <w:t>in vitro</w:t>
      </w:r>
      <w:r w:rsidR="00B942FD" w:rsidRPr="00121123">
        <w:rPr>
          <w:noProof w:val="0"/>
        </w:rPr>
        <w:t xml:space="preserve"> štúdie s</w:t>
      </w:r>
      <w:r w:rsidR="00EF12FE" w:rsidRPr="00121123">
        <w:rPr>
          <w:noProof w:val="0"/>
        </w:rPr>
        <w:t> bunkovou líniou exprimujúcou</w:t>
      </w:r>
      <w:r w:rsidR="0085733C" w:rsidRPr="00121123">
        <w:rPr>
          <w:noProof w:val="0"/>
        </w:rPr>
        <w:t xml:space="preserve"> P-gp</w:t>
      </w:r>
      <w:r w:rsidR="00B942FD" w:rsidRPr="00121123">
        <w:rPr>
          <w:noProof w:val="0"/>
        </w:rPr>
        <w:t>. Možný</w:t>
      </w:r>
      <w:r w:rsidR="0085733C" w:rsidRPr="00121123">
        <w:rPr>
          <w:noProof w:val="0"/>
        </w:rPr>
        <w:t xml:space="preserve"> prínos P-gp sprostredkovaného </w:t>
      </w:r>
      <w:r w:rsidR="00261370" w:rsidRPr="00121123">
        <w:rPr>
          <w:noProof w:val="0"/>
        </w:rPr>
        <w:t>transportu do in vivo povahy tigecyklínu nie je známy. Súčasné podávanie P-gp inhibítor</w:t>
      </w:r>
      <w:r w:rsidR="000B664D" w:rsidRPr="00121123">
        <w:rPr>
          <w:noProof w:val="0"/>
        </w:rPr>
        <w:t>ov</w:t>
      </w:r>
      <w:r w:rsidR="00261370" w:rsidRPr="00121123">
        <w:rPr>
          <w:noProof w:val="0"/>
        </w:rPr>
        <w:t xml:space="preserve"> (napr. ketokonazol alebo cyklosporín) alebo P-gp induktora (napr. rifampicín) môže ovplyvniť farmakokinetiku tigecyklínu.</w:t>
      </w:r>
    </w:p>
    <w:p w14:paraId="0FEECFB2" w14:textId="77777777" w:rsidR="00870248" w:rsidRPr="00121123" w:rsidRDefault="00870248" w:rsidP="007A3A03">
      <w:pPr>
        <w:keepLines w:val="0"/>
        <w:rPr>
          <w:noProof w:val="0"/>
        </w:rPr>
      </w:pPr>
    </w:p>
    <w:p w14:paraId="57A2A26D" w14:textId="77777777" w:rsidR="00870248" w:rsidRPr="00121123" w:rsidRDefault="00F2089A" w:rsidP="00347E7D">
      <w:pPr>
        <w:keepNext/>
        <w:rPr>
          <w:noProof w:val="0"/>
          <w:u w:val="single"/>
        </w:rPr>
      </w:pPr>
      <w:r w:rsidRPr="00121123">
        <w:rPr>
          <w:noProof w:val="0"/>
          <w:u w:val="single"/>
        </w:rPr>
        <w:lastRenderedPageBreak/>
        <w:t>Osobitné skupiny pacientov</w:t>
      </w:r>
    </w:p>
    <w:p w14:paraId="153E035F" w14:textId="77777777" w:rsidR="00870248" w:rsidRPr="00121123" w:rsidRDefault="00870248" w:rsidP="00347E7D">
      <w:pPr>
        <w:keepNext/>
        <w:rPr>
          <w:noProof w:val="0"/>
        </w:rPr>
      </w:pPr>
    </w:p>
    <w:p w14:paraId="071409D7" w14:textId="77777777" w:rsidR="00870248" w:rsidRPr="00121123" w:rsidRDefault="008E6C0B" w:rsidP="00347E7D">
      <w:pPr>
        <w:keepNext/>
        <w:rPr>
          <w:i/>
          <w:noProof w:val="0"/>
        </w:rPr>
      </w:pPr>
      <w:r w:rsidRPr="00121123">
        <w:rPr>
          <w:i/>
          <w:noProof w:val="0"/>
        </w:rPr>
        <w:t>Po</w:t>
      </w:r>
      <w:r w:rsidR="001C42B3" w:rsidRPr="00121123">
        <w:rPr>
          <w:i/>
          <w:noProof w:val="0"/>
        </w:rPr>
        <w:t>rucha funkcie</w:t>
      </w:r>
      <w:r w:rsidRPr="00121123">
        <w:rPr>
          <w:i/>
          <w:noProof w:val="0"/>
        </w:rPr>
        <w:t xml:space="preserve"> pečene</w:t>
      </w:r>
    </w:p>
    <w:p w14:paraId="26CA24AB" w14:textId="77777777" w:rsidR="00870248" w:rsidRPr="00121123" w:rsidRDefault="00870248" w:rsidP="00347E7D">
      <w:pPr>
        <w:keepNext/>
        <w:tabs>
          <w:tab w:val="clear" w:pos="567"/>
        </w:tabs>
        <w:rPr>
          <w:noProof w:val="0"/>
        </w:rPr>
      </w:pPr>
      <w:r w:rsidRPr="00121123">
        <w:rPr>
          <w:noProof w:val="0"/>
        </w:rPr>
        <w:t>Farmakokinetická dispozícia tigecyklínu po podaní jednorazovej dávky sa nemenila u pacientov s</w:t>
      </w:r>
      <w:r w:rsidR="00F2089A" w:rsidRPr="00121123">
        <w:rPr>
          <w:noProof w:val="0"/>
        </w:rPr>
        <w:t> </w:t>
      </w:r>
      <w:r w:rsidRPr="00121123">
        <w:rPr>
          <w:noProof w:val="0"/>
        </w:rPr>
        <w:t>miern</w:t>
      </w:r>
      <w:r w:rsidR="001C42B3" w:rsidRPr="00121123">
        <w:rPr>
          <w:noProof w:val="0"/>
        </w:rPr>
        <w:t>ou</w:t>
      </w:r>
      <w:r w:rsidRPr="00121123">
        <w:rPr>
          <w:noProof w:val="0"/>
        </w:rPr>
        <w:t xml:space="preserve"> po</w:t>
      </w:r>
      <w:r w:rsidR="001C42B3" w:rsidRPr="00121123">
        <w:rPr>
          <w:noProof w:val="0"/>
        </w:rPr>
        <w:t>ruchou</w:t>
      </w:r>
      <w:r w:rsidRPr="00121123">
        <w:rPr>
          <w:noProof w:val="0"/>
        </w:rPr>
        <w:t xml:space="preserve"> funkcie pečene. Avšak systémový klírens tigecyklínu sa u pacientov so </w:t>
      </w:r>
      <w:r w:rsidR="00F2089A" w:rsidRPr="00121123">
        <w:rPr>
          <w:noProof w:val="0"/>
        </w:rPr>
        <w:t>stredne ťažk</w:t>
      </w:r>
      <w:r w:rsidR="001C42B3" w:rsidRPr="00121123">
        <w:rPr>
          <w:noProof w:val="0"/>
        </w:rPr>
        <w:t>ou</w:t>
      </w:r>
      <w:r w:rsidR="00F2089A" w:rsidRPr="00121123">
        <w:rPr>
          <w:noProof w:val="0"/>
        </w:rPr>
        <w:t xml:space="preserve"> </w:t>
      </w:r>
      <w:r w:rsidRPr="00121123">
        <w:rPr>
          <w:noProof w:val="0"/>
        </w:rPr>
        <w:t xml:space="preserve">alebo </w:t>
      </w:r>
      <w:r w:rsidR="00581782" w:rsidRPr="00121123">
        <w:rPr>
          <w:noProof w:val="0"/>
        </w:rPr>
        <w:t>ťažk</w:t>
      </w:r>
      <w:r w:rsidR="001C42B3" w:rsidRPr="00121123">
        <w:rPr>
          <w:noProof w:val="0"/>
        </w:rPr>
        <w:t>ou</w:t>
      </w:r>
      <w:r w:rsidRPr="00121123">
        <w:rPr>
          <w:noProof w:val="0"/>
        </w:rPr>
        <w:t xml:space="preserve"> po</w:t>
      </w:r>
      <w:r w:rsidR="001C42B3" w:rsidRPr="00121123">
        <w:rPr>
          <w:noProof w:val="0"/>
        </w:rPr>
        <w:t>ruchou</w:t>
      </w:r>
      <w:r w:rsidRPr="00121123">
        <w:rPr>
          <w:noProof w:val="0"/>
        </w:rPr>
        <w:t xml:space="preserve"> funkcie pečene (</w:t>
      </w:r>
      <w:r w:rsidR="00F2089A" w:rsidRPr="00121123">
        <w:rPr>
          <w:noProof w:val="0"/>
        </w:rPr>
        <w:t>stupne B a</w:t>
      </w:r>
      <w:r w:rsidR="00916125" w:rsidRPr="00121123">
        <w:rPr>
          <w:noProof w:val="0"/>
        </w:rPr>
        <w:t> </w:t>
      </w:r>
      <w:r w:rsidR="00F2089A" w:rsidRPr="00121123">
        <w:rPr>
          <w:noProof w:val="0"/>
        </w:rPr>
        <w:t>C</w:t>
      </w:r>
      <w:r w:rsidR="00916125" w:rsidRPr="00121123">
        <w:rPr>
          <w:noProof w:val="0"/>
        </w:rPr>
        <w:t xml:space="preserve"> skóre</w:t>
      </w:r>
      <w:r w:rsidR="00F2089A" w:rsidRPr="00121123">
        <w:rPr>
          <w:noProof w:val="0"/>
        </w:rPr>
        <w:t xml:space="preserve"> podľa </w:t>
      </w:r>
      <w:r w:rsidR="00916125" w:rsidRPr="00121123">
        <w:rPr>
          <w:noProof w:val="0"/>
        </w:rPr>
        <w:t xml:space="preserve">Childa a </w:t>
      </w:r>
      <w:r w:rsidRPr="00121123">
        <w:rPr>
          <w:noProof w:val="0"/>
        </w:rPr>
        <w:t>Pugh</w:t>
      </w:r>
      <w:r w:rsidR="00916125" w:rsidRPr="00121123">
        <w:rPr>
          <w:noProof w:val="0"/>
        </w:rPr>
        <w:t>a</w:t>
      </w:r>
      <w:r w:rsidR="00F2089A" w:rsidRPr="00121123">
        <w:rPr>
          <w:noProof w:val="0"/>
        </w:rPr>
        <w:t>)</w:t>
      </w:r>
      <w:r w:rsidR="00A50174" w:rsidRPr="00121123">
        <w:rPr>
          <w:noProof w:val="0"/>
        </w:rPr>
        <w:t xml:space="preserve"> </w:t>
      </w:r>
      <w:r w:rsidRPr="00121123">
        <w:rPr>
          <w:noProof w:val="0"/>
        </w:rPr>
        <w:t>znížil o 25 % a 55 % a biologický polčas sa predĺžil o 23 % a 43 % (pozri časť 4.2).</w:t>
      </w:r>
    </w:p>
    <w:p w14:paraId="33ED8A5D" w14:textId="77777777" w:rsidR="00870248" w:rsidRPr="00121123" w:rsidRDefault="00870248" w:rsidP="007A3A03">
      <w:pPr>
        <w:keepLines w:val="0"/>
        <w:tabs>
          <w:tab w:val="clear" w:pos="567"/>
        </w:tabs>
        <w:rPr>
          <w:noProof w:val="0"/>
        </w:rPr>
      </w:pPr>
    </w:p>
    <w:p w14:paraId="3AE1EE3F" w14:textId="77777777" w:rsidR="00870248" w:rsidRPr="00121123" w:rsidRDefault="008E6C0B" w:rsidP="007A3A03">
      <w:pPr>
        <w:keepNext/>
        <w:rPr>
          <w:i/>
          <w:noProof w:val="0"/>
        </w:rPr>
      </w:pPr>
      <w:r w:rsidRPr="00121123">
        <w:rPr>
          <w:i/>
          <w:noProof w:val="0"/>
        </w:rPr>
        <w:t>Po</w:t>
      </w:r>
      <w:r w:rsidR="001C42B3" w:rsidRPr="00121123">
        <w:rPr>
          <w:i/>
          <w:noProof w:val="0"/>
        </w:rPr>
        <w:t>rucha funkcie</w:t>
      </w:r>
      <w:r w:rsidRPr="00121123">
        <w:rPr>
          <w:i/>
          <w:noProof w:val="0"/>
        </w:rPr>
        <w:t xml:space="preserve"> obličiek</w:t>
      </w:r>
    </w:p>
    <w:p w14:paraId="087DC646" w14:textId="77777777" w:rsidR="00870248" w:rsidRPr="00121123" w:rsidRDefault="00870248" w:rsidP="007A3A03">
      <w:pPr>
        <w:keepNext/>
        <w:tabs>
          <w:tab w:val="clear" w:pos="567"/>
        </w:tabs>
        <w:rPr>
          <w:noProof w:val="0"/>
        </w:rPr>
      </w:pPr>
      <w:r w:rsidRPr="00121123">
        <w:rPr>
          <w:noProof w:val="0"/>
        </w:rPr>
        <w:t>Farmakokinetická dispozícia tigecyklínu po podaní jednorazovej dávky sa nemenila u pacientov s</w:t>
      </w:r>
      <w:r w:rsidR="00F2089A" w:rsidRPr="00121123">
        <w:rPr>
          <w:noProof w:val="0"/>
        </w:rPr>
        <w:t> </w:t>
      </w:r>
      <w:r w:rsidRPr="00121123">
        <w:rPr>
          <w:noProof w:val="0"/>
        </w:rPr>
        <w:t xml:space="preserve">obličkovou </w:t>
      </w:r>
      <w:r w:rsidR="00F2089A" w:rsidRPr="00121123">
        <w:rPr>
          <w:noProof w:val="0"/>
        </w:rPr>
        <w:t>nedostatočnosťou</w:t>
      </w:r>
      <w:r w:rsidRPr="00121123">
        <w:rPr>
          <w:noProof w:val="0"/>
        </w:rPr>
        <w:t xml:space="preserve"> (klírens kreatinínu &lt;30 ml/min, n=6). Pri závažn</w:t>
      </w:r>
      <w:r w:rsidR="001C42B3" w:rsidRPr="00121123">
        <w:rPr>
          <w:noProof w:val="0"/>
        </w:rPr>
        <w:t>ej poruche</w:t>
      </w:r>
      <w:r w:rsidRPr="00121123">
        <w:rPr>
          <w:noProof w:val="0"/>
        </w:rPr>
        <w:t xml:space="preserve"> funkcie obličiek bol AUC parameter o 30 % vyšší ako u osôb s normálnou funkciou obličiek (pozri časť 4.2). </w:t>
      </w:r>
    </w:p>
    <w:p w14:paraId="5C2C27AC" w14:textId="77777777" w:rsidR="00870248" w:rsidRPr="00121123" w:rsidRDefault="00870248" w:rsidP="007A3A03">
      <w:pPr>
        <w:pStyle w:val="Heading4"/>
        <w:keepNext w:val="0"/>
        <w:keepLines w:val="0"/>
        <w:rPr>
          <w:b w:val="0"/>
          <w:bCs w:val="0"/>
          <w:i/>
          <w:iCs/>
          <w:noProof w:val="0"/>
        </w:rPr>
      </w:pPr>
    </w:p>
    <w:p w14:paraId="24FACCD3" w14:textId="77777777" w:rsidR="00870248" w:rsidRPr="00121123" w:rsidRDefault="00870248" w:rsidP="007A3A03">
      <w:pPr>
        <w:rPr>
          <w:i/>
          <w:noProof w:val="0"/>
        </w:rPr>
      </w:pPr>
      <w:r w:rsidRPr="00121123">
        <w:rPr>
          <w:i/>
          <w:noProof w:val="0"/>
        </w:rPr>
        <w:t>Starš</w:t>
      </w:r>
      <w:r w:rsidR="00E3739E" w:rsidRPr="00121123">
        <w:rPr>
          <w:i/>
          <w:noProof w:val="0"/>
        </w:rPr>
        <w:t>ie osoby</w:t>
      </w:r>
    </w:p>
    <w:p w14:paraId="44907E3D" w14:textId="77777777" w:rsidR="00870248" w:rsidRPr="00121123" w:rsidRDefault="00870248" w:rsidP="007A3A03">
      <w:pPr>
        <w:keepLines w:val="0"/>
        <w:tabs>
          <w:tab w:val="clear" w:pos="567"/>
        </w:tabs>
        <w:rPr>
          <w:noProof w:val="0"/>
        </w:rPr>
      </w:pPr>
      <w:r w:rsidRPr="00121123">
        <w:rPr>
          <w:noProof w:val="0"/>
        </w:rPr>
        <w:t xml:space="preserve">Nepozorovali sa žiadne celkové rozdiely vo farmakokinetike zdravých starších a mladších </w:t>
      </w:r>
      <w:r w:rsidR="00F2089A" w:rsidRPr="00121123">
        <w:rPr>
          <w:noProof w:val="0"/>
        </w:rPr>
        <w:t>osôb</w:t>
      </w:r>
      <w:r w:rsidRPr="00121123">
        <w:rPr>
          <w:noProof w:val="0"/>
        </w:rPr>
        <w:t xml:space="preserve"> (pozri časť 4.2).</w:t>
      </w:r>
    </w:p>
    <w:p w14:paraId="7647BDDA" w14:textId="77777777" w:rsidR="00870248" w:rsidRPr="00121123" w:rsidRDefault="00870248" w:rsidP="007A3A03">
      <w:pPr>
        <w:keepLines w:val="0"/>
        <w:tabs>
          <w:tab w:val="clear" w:pos="567"/>
        </w:tabs>
        <w:rPr>
          <w:noProof w:val="0"/>
        </w:rPr>
      </w:pPr>
    </w:p>
    <w:p w14:paraId="394B5047" w14:textId="77777777" w:rsidR="00870248" w:rsidRPr="00121123" w:rsidRDefault="00160BBF" w:rsidP="007A3A03">
      <w:pPr>
        <w:rPr>
          <w:i/>
          <w:noProof w:val="0"/>
        </w:rPr>
      </w:pPr>
      <w:r w:rsidRPr="00121123">
        <w:rPr>
          <w:i/>
          <w:noProof w:val="0"/>
        </w:rPr>
        <w:t>Pediatrická populácia</w:t>
      </w:r>
    </w:p>
    <w:p w14:paraId="195385D8" w14:textId="5F41C7FE" w:rsidR="00276A41" w:rsidRPr="00121123" w:rsidRDefault="002E7AC9" w:rsidP="007A3A03">
      <w:pPr>
        <w:keepLines w:val="0"/>
        <w:tabs>
          <w:tab w:val="clear" w:pos="567"/>
        </w:tabs>
        <w:rPr>
          <w:noProof w:val="0"/>
        </w:rPr>
      </w:pPr>
      <w:r w:rsidRPr="00121123">
        <w:rPr>
          <w:noProof w:val="0"/>
        </w:rPr>
        <w:t xml:space="preserve">Farmakokinetika tigecyklínu sa skúmala v dvoch </w:t>
      </w:r>
      <w:r w:rsidR="006E7506">
        <w:rPr>
          <w:noProof w:val="0"/>
          <w:color w:val="000000"/>
        </w:rPr>
        <w:t>klinických skúšaniach</w:t>
      </w:r>
      <w:r w:rsidRPr="00121123">
        <w:rPr>
          <w:noProof w:val="0"/>
        </w:rPr>
        <w:t xml:space="preserve">. </w:t>
      </w:r>
      <w:r w:rsidR="00EE6A12" w:rsidRPr="00121123">
        <w:rPr>
          <w:noProof w:val="0"/>
        </w:rPr>
        <w:t xml:space="preserve">Do </w:t>
      </w:r>
      <w:r w:rsidRPr="00121123">
        <w:rPr>
          <w:noProof w:val="0"/>
        </w:rPr>
        <w:t>prv</w:t>
      </w:r>
      <w:r w:rsidR="006E7506">
        <w:rPr>
          <w:noProof w:val="0"/>
          <w:color w:val="000000"/>
        </w:rPr>
        <w:t>ého klinického skúšania</w:t>
      </w:r>
      <w:r w:rsidRPr="00121123">
        <w:rPr>
          <w:noProof w:val="0"/>
        </w:rPr>
        <w:t xml:space="preserve"> boli zaradené deti vo veku 8</w:t>
      </w:r>
      <w:r w:rsidR="00EE6A12" w:rsidRPr="00121123">
        <w:rPr>
          <w:noProof w:val="0"/>
        </w:rPr>
        <w:noBreakHyphen/>
      </w:r>
      <w:r w:rsidRPr="00121123">
        <w:rPr>
          <w:noProof w:val="0"/>
        </w:rPr>
        <w:t>16 rokov (n=24), ktoré dostali jednu dávku tigecyklínu ( 0</w:t>
      </w:r>
      <w:r w:rsidR="00EE6A12" w:rsidRPr="00121123">
        <w:rPr>
          <w:noProof w:val="0"/>
        </w:rPr>
        <w:t>,</w:t>
      </w:r>
      <w:r w:rsidRPr="00121123">
        <w:rPr>
          <w:noProof w:val="0"/>
        </w:rPr>
        <w:t>5</w:t>
      </w:r>
      <w:r w:rsidR="00AD5A31" w:rsidRPr="00121123">
        <w:rPr>
          <w:noProof w:val="0"/>
        </w:rPr>
        <w:t xml:space="preserve"> mg/kg až do maximálnej dávky 50 mg</w:t>
      </w:r>
      <w:r w:rsidRPr="00121123">
        <w:rPr>
          <w:noProof w:val="0"/>
        </w:rPr>
        <w:t xml:space="preserve">, 1 </w:t>
      </w:r>
      <w:r w:rsidR="00AD5A31" w:rsidRPr="00121123">
        <w:rPr>
          <w:noProof w:val="0"/>
        </w:rPr>
        <w:t xml:space="preserve">mg/kg až do maximálnej dávky 100 mg </w:t>
      </w:r>
      <w:r w:rsidRPr="00121123">
        <w:rPr>
          <w:noProof w:val="0"/>
        </w:rPr>
        <w:t>alebo 2 mg/kg</w:t>
      </w:r>
      <w:r w:rsidR="00AD5A31" w:rsidRPr="00121123">
        <w:rPr>
          <w:noProof w:val="0"/>
        </w:rPr>
        <w:t xml:space="preserve"> až do maximálnej dávky 150 mg</w:t>
      </w:r>
      <w:r w:rsidRPr="00121123">
        <w:rPr>
          <w:noProof w:val="0"/>
        </w:rPr>
        <w:t>) podávanú intravenózne v 30 minútovej infúzii. Druh</w:t>
      </w:r>
      <w:r w:rsidR="006E7506">
        <w:rPr>
          <w:noProof w:val="0"/>
          <w:color w:val="000000"/>
        </w:rPr>
        <w:t>é klinické skúšanie</w:t>
      </w:r>
      <w:r w:rsidRPr="00121123">
        <w:rPr>
          <w:noProof w:val="0"/>
        </w:rPr>
        <w:t xml:space="preserve"> </w:t>
      </w:r>
      <w:r w:rsidR="00EE6A12" w:rsidRPr="00121123">
        <w:rPr>
          <w:noProof w:val="0"/>
        </w:rPr>
        <w:t xml:space="preserve">sa uskutočnila </w:t>
      </w:r>
      <w:r w:rsidRPr="00121123">
        <w:rPr>
          <w:noProof w:val="0"/>
        </w:rPr>
        <w:t>u detí vo veku od 8</w:t>
      </w:r>
      <w:r w:rsidR="00EE6A12" w:rsidRPr="00121123">
        <w:rPr>
          <w:noProof w:val="0"/>
        </w:rPr>
        <w:t> </w:t>
      </w:r>
      <w:r w:rsidRPr="00121123">
        <w:rPr>
          <w:noProof w:val="0"/>
        </w:rPr>
        <w:t>do</w:t>
      </w:r>
      <w:r w:rsidR="00EE6A12" w:rsidRPr="00121123">
        <w:rPr>
          <w:noProof w:val="0"/>
        </w:rPr>
        <w:t> </w:t>
      </w:r>
      <w:r w:rsidRPr="00121123">
        <w:rPr>
          <w:noProof w:val="0"/>
        </w:rPr>
        <w:t>11 rokov, ktoré dostali opakované dávky tigecyklínu (0</w:t>
      </w:r>
      <w:r w:rsidR="00EE6A12" w:rsidRPr="00121123">
        <w:rPr>
          <w:noProof w:val="0"/>
        </w:rPr>
        <w:t>,</w:t>
      </w:r>
      <w:r w:rsidRPr="00121123">
        <w:rPr>
          <w:noProof w:val="0"/>
        </w:rPr>
        <w:t>75, 1 alebo 1</w:t>
      </w:r>
      <w:r w:rsidR="00EE6A12" w:rsidRPr="00121123">
        <w:rPr>
          <w:noProof w:val="0"/>
        </w:rPr>
        <w:t>,</w:t>
      </w:r>
      <w:r w:rsidRPr="00121123">
        <w:rPr>
          <w:noProof w:val="0"/>
        </w:rPr>
        <w:t xml:space="preserve">25 mg/kg až po maximálnu dávku 50 mg) podávané každých 12 hodín v 30 minútovej infúzii. </w:t>
      </w:r>
      <w:r w:rsidR="00EE6A12" w:rsidRPr="00121123">
        <w:rPr>
          <w:noProof w:val="0"/>
        </w:rPr>
        <w:t xml:space="preserve">V týchto </w:t>
      </w:r>
      <w:r w:rsidR="00924B5E">
        <w:rPr>
          <w:noProof w:val="0"/>
          <w:color w:val="000000"/>
        </w:rPr>
        <w:t>klinických skúšaniach</w:t>
      </w:r>
      <w:r w:rsidR="00924B5E" w:rsidRPr="00522436">
        <w:rPr>
          <w:noProof w:val="0"/>
          <w:color w:val="000000"/>
        </w:rPr>
        <w:t xml:space="preserve"> </w:t>
      </w:r>
      <w:r w:rsidR="00EE6A12" w:rsidRPr="00121123">
        <w:rPr>
          <w:noProof w:val="0"/>
        </w:rPr>
        <w:t>n</w:t>
      </w:r>
      <w:r w:rsidRPr="00121123">
        <w:rPr>
          <w:noProof w:val="0"/>
        </w:rPr>
        <w:t>ebola pod</w:t>
      </w:r>
      <w:r w:rsidR="00EE6A12" w:rsidRPr="00121123">
        <w:rPr>
          <w:noProof w:val="0"/>
        </w:rPr>
        <w:t xml:space="preserve">aná </w:t>
      </w:r>
      <w:r w:rsidRPr="00121123">
        <w:rPr>
          <w:noProof w:val="0"/>
        </w:rPr>
        <w:t xml:space="preserve">nasycovacia dávka. Farmakokinetické parametre </w:t>
      </w:r>
      <w:r w:rsidR="00EE6A12" w:rsidRPr="00121123">
        <w:rPr>
          <w:noProof w:val="0"/>
        </w:rPr>
        <w:t xml:space="preserve">sú </w:t>
      </w:r>
      <w:r w:rsidR="00AD5A31" w:rsidRPr="00121123">
        <w:rPr>
          <w:noProof w:val="0"/>
        </w:rPr>
        <w:t>zhrnuté</w:t>
      </w:r>
      <w:r w:rsidR="00EE6A12" w:rsidRPr="00121123">
        <w:rPr>
          <w:noProof w:val="0"/>
        </w:rPr>
        <w:t xml:space="preserve"> </w:t>
      </w:r>
      <w:r w:rsidRPr="00121123">
        <w:rPr>
          <w:noProof w:val="0"/>
        </w:rPr>
        <w:t>v tabuľke nižšie.</w:t>
      </w:r>
    </w:p>
    <w:p w14:paraId="34425EF9" w14:textId="77777777" w:rsidR="00EE6A12" w:rsidRPr="00121123" w:rsidRDefault="00EE6A12" w:rsidP="007A3A03">
      <w:pPr>
        <w:keepLines w:val="0"/>
        <w:tabs>
          <w:tab w:val="clear" w:pos="567"/>
        </w:tabs>
        <w:rPr>
          <w:noProof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256"/>
        <w:gridCol w:w="2267"/>
        <w:gridCol w:w="2275"/>
      </w:tblGrid>
      <w:tr w:rsidR="002E7AC9" w:rsidRPr="00121123" w14:paraId="18FAFAAE" w14:textId="77777777" w:rsidTr="00A60668">
        <w:tc>
          <w:tcPr>
            <w:tcW w:w="9216" w:type="dxa"/>
            <w:gridSpan w:val="4"/>
          </w:tcPr>
          <w:p w14:paraId="71425670" w14:textId="77777777" w:rsidR="002E7AC9" w:rsidRPr="00121123" w:rsidRDefault="002E7AC9" w:rsidP="007A3A03">
            <w:pPr>
              <w:keepNext/>
              <w:jc w:val="center"/>
              <w:rPr>
                <w:b/>
                <w:noProof w:val="0"/>
              </w:rPr>
            </w:pPr>
            <w:r w:rsidRPr="00121123">
              <w:rPr>
                <w:b/>
                <w:noProof w:val="0"/>
              </w:rPr>
              <w:t xml:space="preserve">Dávka normalizovaná na 1 mg/kg priemer ± SD </w:t>
            </w:r>
            <w:r w:rsidR="00EE6A12" w:rsidRPr="00121123">
              <w:rPr>
                <w:b/>
                <w:noProof w:val="0"/>
              </w:rPr>
              <w:t>t</w:t>
            </w:r>
            <w:r w:rsidRPr="00121123">
              <w:rPr>
                <w:b/>
                <w:noProof w:val="0"/>
              </w:rPr>
              <w:t>igecyklín C</w:t>
            </w:r>
            <w:r w:rsidRPr="00121123">
              <w:rPr>
                <w:b/>
                <w:noProof w:val="0"/>
                <w:vertAlign w:val="subscript"/>
              </w:rPr>
              <w:t>max</w:t>
            </w:r>
            <w:r w:rsidRPr="00121123">
              <w:rPr>
                <w:b/>
                <w:noProof w:val="0"/>
              </w:rPr>
              <w:t xml:space="preserve"> a AUC u detí</w:t>
            </w:r>
          </w:p>
        </w:tc>
      </w:tr>
      <w:tr w:rsidR="002E7AC9" w:rsidRPr="00121123" w14:paraId="2D39001E" w14:textId="77777777" w:rsidTr="00A60668">
        <w:tc>
          <w:tcPr>
            <w:tcW w:w="2304" w:type="dxa"/>
          </w:tcPr>
          <w:p w14:paraId="6F6F9F94" w14:textId="77777777" w:rsidR="002E7AC9" w:rsidRPr="00121123" w:rsidRDefault="002E7AC9" w:rsidP="007A3A03">
            <w:pPr>
              <w:keepNext/>
              <w:jc w:val="center"/>
              <w:rPr>
                <w:noProof w:val="0"/>
              </w:rPr>
            </w:pPr>
            <w:r w:rsidRPr="00121123">
              <w:rPr>
                <w:noProof w:val="0"/>
              </w:rPr>
              <w:t xml:space="preserve">Vek </w:t>
            </w:r>
          </w:p>
        </w:tc>
        <w:tc>
          <w:tcPr>
            <w:tcW w:w="2304" w:type="dxa"/>
          </w:tcPr>
          <w:p w14:paraId="2849DDB7" w14:textId="77777777" w:rsidR="002E7AC9" w:rsidRPr="00121123" w:rsidRDefault="002E7AC9" w:rsidP="007A3A03">
            <w:pPr>
              <w:keepNext/>
              <w:jc w:val="center"/>
              <w:rPr>
                <w:noProof w:val="0"/>
              </w:rPr>
            </w:pPr>
            <w:r w:rsidRPr="00121123">
              <w:rPr>
                <w:noProof w:val="0"/>
              </w:rPr>
              <w:t>N</w:t>
            </w:r>
          </w:p>
        </w:tc>
        <w:tc>
          <w:tcPr>
            <w:tcW w:w="2304" w:type="dxa"/>
          </w:tcPr>
          <w:p w14:paraId="34CB6D27" w14:textId="77777777" w:rsidR="002E7AC9" w:rsidRPr="00121123" w:rsidRDefault="002E7AC9" w:rsidP="007A3A03">
            <w:pPr>
              <w:keepNext/>
              <w:jc w:val="center"/>
              <w:rPr>
                <w:noProof w:val="0"/>
              </w:rPr>
            </w:pPr>
            <w:r w:rsidRPr="00121123">
              <w:rPr>
                <w:noProof w:val="0"/>
              </w:rPr>
              <w:t>C</w:t>
            </w:r>
            <w:r w:rsidRPr="00121123">
              <w:rPr>
                <w:noProof w:val="0"/>
                <w:vertAlign w:val="subscript"/>
              </w:rPr>
              <w:t>max</w:t>
            </w:r>
            <w:r w:rsidRPr="00121123">
              <w:rPr>
                <w:noProof w:val="0"/>
              </w:rPr>
              <w:t xml:space="preserve"> (ng/m</w:t>
            </w:r>
            <w:r w:rsidR="00EE6A12" w:rsidRPr="00121123">
              <w:rPr>
                <w:noProof w:val="0"/>
              </w:rPr>
              <w:t>l</w:t>
            </w:r>
            <w:r w:rsidRPr="00121123">
              <w:rPr>
                <w:noProof w:val="0"/>
              </w:rPr>
              <w:t>)</w:t>
            </w:r>
          </w:p>
        </w:tc>
        <w:tc>
          <w:tcPr>
            <w:tcW w:w="2304" w:type="dxa"/>
          </w:tcPr>
          <w:p w14:paraId="7B27496E" w14:textId="77777777" w:rsidR="002E7AC9" w:rsidRPr="00121123" w:rsidRDefault="002E7AC9" w:rsidP="007A3A03">
            <w:pPr>
              <w:jc w:val="center"/>
              <w:rPr>
                <w:noProof w:val="0"/>
              </w:rPr>
            </w:pPr>
            <w:r w:rsidRPr="00121123">
              <w:rPr>
                <w:noProof w:val="0"/>
              </w:rPr>
              <w:t>AUC (ng•h/m</w:t>
            </w:r>
            <w:r w:rsidR="00EE6A12" w:rsidRPr="00121123">
              <w:rPr>
                <w:noProof w:val="0"/>
              </w:rPr>
              <w:t>l</w:t>
            </w:r>
            <w:r w:rsidRPr="00121123">
              <w:rPr>
                <w:noProof w:val="0"/>
              </w:rPr>
              <w:t>)*</w:t>
            </w:r>
          </w:p>
        </w:tc>
      </w:tr>
      <w:tr w:rsidR="002E7AC9" w:rsidRPr="00121123" w14:paraId="1D920FB8" w14:textId="77777777" w:rsidTr="00A60668">
        <w:tc>
          <w:tcPr>
            <w:tcW w:w="2304" w:type="dxa"/>
          </w:tcPr>
          <w:p w14:paraId="7EC63BD0" w14:textId="77777777" w:rsidR="002E7AC9" w:rsidRPr="00121123" w:rsidRDefault="002E7AC9" w:rsidP="007A3A03">
            <w:pPr>
              <w:keepNext/>
              <w:rPr>
                <w:noProof w:val="0"/>
              </w:rPr>
            </w:pPr>
            <w:r w:rsidRPr="00121123">
              <w:rPr>
                <w:noProof w:val="0"/>
              </w:rPr>
              <w:t>Jedna dávka</w:t>
            </w:r>
          </w:p>
        </w:tc>
        <w:tc>
          <w:tcPr>
            <w:tcW w:w="2304" w:type="dxa"/>
          </w:tcPr>
          <w:p w14:paraId="15F18E41" w14:textId="77777777" w:rsidR="002E7AC9" w:rsidRPr="00121123" w:rsidRDefault="002E7AC9" w:rsidP="007A3A03">
            <w:pPr>
              <w:keepNext/>
              <w:rPr>
                <w:noProof w:val="0"/>
              </w:rPr>
            </w:pPr>
          </w:p>
        </w:tc>
        <w:tc>
          <w:tcPr>
            <w:tcW w:w="2304" w:type="dxa"/>
          </w:tcPr>
          <w:p w14:paraId="6EEB1878" w14:textId="77777777" w:rsidR="002E7AC9" w:rsidRPr="00121123" w:rsidRDefault="002E7AC9" w:rsidP="007A3A03">
            <w:pPr>
              <w:keepNext/>
              <w:rPr>
                <w:noProof w:val="0"/>
              </w:rPr>
            </w:pPr>
          </w:p>
        </w:tc>
        <w:tc>
          <w:tcPr>
            <w:tcW w:w="2304" w:type="dxa"/>
          </w:tcPr>
          <w:p w14:paraId="4C16B106" w14:textId="77777777" w:rsidR="002E7AC9" w:rsidRPr="00121123" w:rsidRDefault="002E7AC9" w:rsidP="007A3A03">
            <w:pPr>
              <w:rPr>
                <w:noProof w:val="0"/>
              </w:rPr>
            </w:pPr>
          </w:p>
        </w:tc>
      </w:tr>
      <w:tr w:rsidR="002E7AC9" w:rsidRPr="00121123" w14:paraId="4BE91757" w14:textId="77777777" w:rsidTr="00A60668">
        <w:tc>
          <w:tcPr>
            <w:tcW w:w="2304" w:type="dxa"/>
          </w:tcPr>
          <w:p w14:paraId="0771C5D6" w14:textId="77777777" w:rsidR="002E7AC9" w:rsidRPr="00121123" w:rsidRDefault="002E7AC9" w:rsidP="007A3A03">
            <w:pPr>
              <w:keepNext/>
              <w:jc w:val="center"/>
              <w:rPr>
                <w:noProof w:val="0"/>
              </w:rPr>
            </w:pPr>
            <w:r w:rsidRPr="00121123">
              <w:rPr>
                <w:noProof w:val="0"/>
              </w:rPr>
              <w:t>8 – 11</w:t>
            </w:r>
          </w:p>
        </w:tc>
        <w:tc>
          <w:tcPr>
            <w:tcW w:w="2304" w:type="dxa"/>
          </w:tcPr>
          <w:p w14:paraId="32BF5ADD" w14:textId="77777777" w:rsidR="002E7AC9" w:rsidRPr="00121123" w:rsidRDefault="002E7AC9" w:rsidP="007A3A03">
            <w:pPr>
              <w:keepNext/>
              <w:jc w:val="center"/>
              <w:rPr>
                <w:noProof w:val="0"/>
              </w:rPr>
            </w:pPr>
            <w:r w:rsidRPr="00121123">
              <w:rPr>
                <w:noProof w:val="0"/>
              </w:rPr>
              <w:t>8</w:t>
            </w:r>
          </w:p>
        </w:tc>
        <w:tc>
          <w:tcPr>
            <w:tcW w:w="2304" w:type="dxa"/>
          </w:tcPr>
          <w:p w14:paraId="720DABFF" w14:textId="77777777" w:rsidR="002E7AC9" w:rsidRPr="00121123" w:rsidRDefault="002E7AC9" w:rsidP="007A3A03">
            <w:pPr>
              <w:keepNext/>
              <w:jc w:val="center"/>
              <w:rPr>
                <w:noProof w:val="0"/>
              </w:rPr>
            </w:pPr>
            <w:r w:rsidRPr="00121123">
              <w:rPr>
                <w:noProof w:val="0"/>
              </w:rPr>
              <w:t>3</w:t>
            </w:r>
            <w:r w:rsidR="00EE6A12" w:rsidRPr="00121123">
              <w:rPr>
                <w:noProof w:val="0"/>
              </w:rPr>
              <w:t> </w:t>
            </w:r>
            <w:r w:rsidRPr="00121123">
              <w:rPr>
                <w:noProof w:val="0"/>
              </w:rPr>
              <w:t>881 ± 6</w:t>
            </w:r>
            <w:r w:rsidR="00EE6A12" w:rsidRPr="00121123">
              <w:rPr>
                <w:noProof w:val="0"/>
              </w:rPr>
              <w:t> </w:t>
            </w:r>
            <w:r w:rsidRPr="00121123">
              <w:rPr>
                <w:noProof w:val="0"/>
              </w:rPr>
              <w:t>637</w:t>
            </w:r>
          </w:p>
        </w:tc>
        <w:tc>
          <w:tcPr>
            <w:tcW w:w="2304" w:type="dxa"/>
          </w:tcPr>
          <w:p w14:paraId="118C3C11" w14:textId="77777777" w:rsidR="002E7AC9" w:rsidRPr="00121123" w:rsidRDefault="002E7AC9" w:rsidP="007A3A03">
            <w:pPr>
              <w:jc w:val="center"/>
              <w:rPr>
                <w:noProof w:val="0"/>
              </w:rPr>
            </w:pPr>
            <w:r w:rsidRPr="00121123">
              <w:rPr>
                <w:noProof w:val="0"/>
              </w:rPr>
              <w:t>4</w:t>
            </w:r>
            <w:r w:rsidR="00EE6A12" w:rsidRPr="00121123">
              <w:rPr>
                <w:noProof w:val="0"/>
              </w:rPr>
              <w:t> </w:t>
            </w:r>
            <w:r w:rsidRPr="00121123">
              <w:rPr>
                <w:noProof w:val="0"/>
              </w:rPr>
              <w:t>034 ± 2</w:t>
            </w:r>
            <w:r w:rsidR="00EE6A12" w:rsidRPr="00121123">
              <w:rPr>
                <w:noProof w:val="0"/>
              </w:rPr>
              <w:t> </w:t>
            </w:r>
            <w:r w:rsidRPr="00121123">
              <w:rPr>
                <w:noProof w:val="0"/>
              </w:rPr>
              <w:t>874</w:t>
            </w:r>
          </w:p>
        </w:tc>
      </w:tr>
      <w:tr w:rsidR="002E7AC9" w:rsidRPr="00121123" w14:paraId="397D2804" w14:textId="77777777" w:rsidTr="00A60668">
        <w:tc>
          <w:tcPr>
            <w:tcW w:w="2304" w:type="dxa"/>
          </w:tcPr>
          <w:p w14:paraId="4831432A" w14:textId="79A245D1" w:rsidR="002E7AC9" w:rsidRPr="00121123" w:rsidRDefault="002E7AC9" w:rsidP="007A3A03">
            <w:pPr>
              <w:keepNext/>
              <w:jc w:val="center"/>
              <w:rPr>
                <w:noProof w:val="0"/>
              </w:rPr>
            </w:pPr>
            <w:r w:rsidRPr="00121123">
              <w:rPr>
                <w:noProof w:val="0"/>
              </w:rPr>
              <w:t xml:space="preserve">12 </w:t>
            </w:r>
            <w:r w:rsidR="00D00214">
              <w:rPr>
                <w:noProof w:val="0"/>
              </w:rPr>
              <w:t>–</w:t>
            </w:r>
            <w:r w:rsidRPr="00121123">
              <w:rPr>
                <w:noProof w:val="0"/>
              </w:rPr>
              <w:t xml:space="preserve"> 16</w:t>
            </w:r>
          </w:p>
        </w:tc>
        <w:tc>
          <w:tcPr>
            <w:tcW w:w="2304" w:type="dxa"/>
          </w:tcPr>
          <w:p w14:paraId="24EA84F1" w14:textId="77777777" w:rsidR="002E7AC9" w:rsidRPr="00121123" w:rsidRDefault="002E7AC9" w:rsidP="007A3A03">
            <w:pPr>
              <w:keepNext/>
              <w:jc w:val="center"/>
              <w:rPr>
                <w:noProof w:val="0"/>
              </w:rPr>
            </w:pPr>
            <w:r w:rsidRPr="00121123">
              <w:rPr>
                <w:noProof w:val="0"/>
              </w:rPr>
              <w:t>16</w:t>
            </w:r>
          </w:p>
        </w:tc>
        <w:tc>
          <w:tcPr>
            <w:tcW w:w="2304" w:type="dxa"/>
          </w:tcPr>
          <w:p w14:paraId="53FACD7E" w14:textId="77777777" w:rsidR="002E7AC9" w:rsidRPr="00121123" w:rsidRDefault="002E7AC9" w:rsidP="007A3A03">
            <w:pPr>
              <w:keepNext/>
              <w:jc w:val="center"/>
              <w:rPr>
                <w:noProof w:val="0"/>
              </w:rPr>
            </w:pPr>
            <w:r w:rsidRPr="00121123">
              <w:rPr>
                <w:noProof w:val="0"/>
              </w:rPr>
              <w:t>8</w:t>
            </w:r>
            <w:r w:rsidR="00EE6A12" w:rsidRPr="00121123">
              <w:rPr>
                <w:noProof w:val="0"/>
              </w:rPr>
              <w:t> </w:t>
            </w:r>
            <w:r w:rsidRPr="00121123">
              <w:rPr>
                <w:noProof w:val="0"/>
              </w:rPr>
              <w:t>508 ± 11</w:t>
            </w:r>
            <w:r w:rsidR="00EE6A12" w:rsidRPr="00121123">
              <w:rPr>
                <w:noProof w:val="0"/>
              </w:rPr>
              <w:t> </w:t>
            </w:r>
            <w:r w:rsidRPr="00121123">
              <w:rPr>
                <w:noProof w:val="0"/>
              </w:rPr>
              <w:t>433</w:t>
            </w:r>
          </w:p>
        </w:tc>
        <w:tc>
          <w:tcPr>
            <w:tcW w:w="2304" w:type="dxa"/>
          </w:tcPr>
          <w:p w14:paraId="57AA409A" w14:textId="77777777" w:rsidR="002E7AC9" w:rsidRPr="00121123" w:rsidRDefault="002E7AC9" w:rsidP="007A3A03">
            <w:pPr>
              <w:jc w:val="center"/>
              <w:rPr>
                <w:noProof w:val="0"/>
              </w:rPr>
            </w:pPr>
            <w:r w:rsidRPr="00121123">
              <w:rPr>
                <w:noProof w:val="0"/>
              </w:rPr>
              <w:t>7</w:t>
            </w:r>
            <w:r w:rsidR="00EE6A12" w:rsidRPr="00121123">
              <w:rPr>
                <w:noProof w:val="0"/>
              </w:rPr>
              <w:t> </w:t>
            </w:r>
            <w:r w:rsidRPr="00121123">
              <w:rPr>
                <w:noProof w:val="0"/>
              </w:rPr>
              <w:t>026 ± 4</w:t>
            </w:r>
            <w:r w:rsidR="00EE6A12" w:rsidRPr="00121123">
              <w:rPr>
                <w:noProof w:val="0"/>
              </w:rPr>
              <w:t> </w:t>
            </w:r>
            <w:r w:rsidRPr="00121123">
              <w:rPr>
                <w:noProof w:val="0"/>
              </w:rPr>
              <w:t>088</w:t>
            </w:r>
          </w:p>
        </w:tc>
      </w:tr>
      <w:tr w:rsidR="002E7AC9" w:rsidRPr="00121123" w14:paraId="4EB40B1C" w14:textId="77777777" w:rsidTr="00A60668">
        <w:tc>
          <w:tcPr>
            <w:tcW w:w="9216" w:type="dxa"/>
            <w:gridSpan w:val="4"/>
          </w:tcPr>
          <w:p w14:paraId="1174F3A7" w14:textId="77777777" w:rsidR="002E7AC9" w:rsidRPr="00121123" w:rsidRDefault="002E7AC9" w:rsidP="007A3A03">
            <w:pPr>
              <w:keepNext/>
              <w:rPr>
                <w:noProof w:val="0"/>
              </w:rPr>
            </w:pPr>
            <w:r w:rsidRPr="00121123">
              <w:rPr>
                <w:noProof w:val="0"/>
              </w:rPr>
              <w:t>Opakovaná dávka</w:t>
            </w:r>
          </w:p>
        </w:tc>
      </w:tr>
      <w:tr w:rsidR="002E7AC9" w:rsidRPr="00121123" w14:paraId="10ABC69A" w14:textId="77777777" w:rsidTr="00A60668">
        <w:tc>
          <w:tcPr>
            <w:tcW w:w="2304" w:type="dxa"/>
          </w:tcPr>
          <w:p w14:paraId="6C1B08E9" w14:textId="615D6E5E" w:rsidR="002E7AC9" w:rsidRPr="00121123" w:rsidRDefault="002E7AC9" w:rsidP="007A3A03">
            <w:pPr>
              <w:keepNext/>
              <w:jc w:val="center"/>
              <w:rPr>
                <w:noProof w:val="0"/>
              </w:rPr>
            </w:pPr>
            <w:r w:rsidRPr="00121123">
              <w:rPr>
                <w:noProof w:val="0"/>
              </w:rPr>
              <w:t xml:space="preserve">8 </w:t>
            </w:r>
            <w:r w:rsidR="00C90398">
              <w:rPr>
                <w:noProof w:val="0"/>
              </w:rPr>
              <w:t>–</w:t>
            </w:r>
            <w:r w:rsidRPr="00121123">
              <w:rPr>
                <w:noProof w:val="0"/>
              </w:rPr>
              <w:t xml:space="preserve"> 11</w:t>
            </w:r>
          </w:p>
        </w:tc>
        <w:tc>
          <w:tcPr>
            <w:tcW w:w="2304" w:type="dxa"/>
          </w:tcPr>
          <w:p w14:paraId="6431C762" w14:textId="77777777" w:rsidR="002E7AC9" w:rsidRPr="00121123" w:rsidRDefault="002E7AC9" w:rsidP="007A3A03">
            <w:pPr>
              <w:keepNext/>
              <w:jc w:val="center"/>
              <w:rPr>
                <w:noProof w:val="0"/>
              </w:rPr>
            </w:pPr>
            <w:r w:rsidRPr="00121123">
              <w:rPr>
                <w:noProof w:val="0"/>
              </w:rPr>
              <w:t>4</w:t>
            </w:r>
            <w:r w:rsidR="00260081" w:rsidRPr="00121123">
              <w:rPr>
                <w:noProof w:val="0"/>
              </w:rPr>
              <w:t>2</w:t>
            </w:r>
          </w:p>
        </w:tc>
        <w:tc>
          <w:tcPr>
            <w:tcW w:w="2304" w:type="dxa"/>
          </w:tcPr>
          <w:p w14:paraId="64BAD470" w14:textId="77777777" w:rsidR="002E7AC9" w:rsidRPr="00121123" w:rsidRDefault="002E7AC9" w:rsidP="007A3A03">
            <w:pPr>
              <w:keepNext/>
              <w:jc w:val="center"/>
              <w:rPr>
                <w:noProof w:val="0"/>
              </w:rPr>
            </w:pPr>
            <w:r w:rsidRPr="00121123">
              <w:rPr>
                <w:noProof w:val="0"/>
              </w:rPr>
              <w:t>1</w:t>
            </w:r>
            <w:r w:rsidR="00260081" w:rsidRPr="00121123">
              <w:rPr>
                <w:noProof w:val="0"/>
              </w:rPr>
              <w:t xml:space="preserve"> 911</w:t>
            </w:r>
            <w:r w:rsidRPr="00121123">
              <w:rPr>
                <w:noProof w:val="0"/>
              </w:rPr>
              <w:t xml:space="preserve"> ± </w:t>
            </w:r>
            <w:r w:rsidR="00260081" w:rsidRPr="00121123">
              <w:rPr>
                <w:noProof w:val="0"/>
              </w:rPr>
              <w:t>3 03</w:t>
            </w:r>
            <w:r w:rsidRPr="00121123">
              <w:rPr>
                <w:noProof w:val="0"/>
              </w:rPr>
              <w:t>2</w:t>
            </w:r>
          </w:p>
        </w:tc>
        <w:tc>
          <w:tcPr>
            <w:tcW w:w="2304" w:type="dxa"/>
          </w:tcPr>
          <w:p w14:paraId="6E74C4B8" w14:textId="77777777" w:rsidR="002E7AC9" w:rsidRPr="00121123" w:rsidRDefault="002E7AC9" w:rsidP="007A3A03">
            <w:pPr>
              <w:jc w:val="center"/>
              <w:rPr>
                <w:noProof w:val="0"/>
              </w:rPr>
            </w:pPr>
            <w:r w:rsidRPr="00121123">
              <w:rPr>
                <w:noProof w:val="0"/>
              </w:rPr>
              <w:t>2</w:t>
            </w:r>
            <w:r w:rsidR="00EE6A12" w:rsidRPr="00121123">
              <w:rPr>
                <w:noProof w:val="0"/>
              </w:rPr>
              <w:t> </w:t>
            </w:r>
            <w:r w:rsidR="00260081" w:rsidRPr="00121123">
              <w:rPr>
                <w:noProof w:val="0"/>
              </w:rPr>
              <w:t xml:space="preserve">404 </w:t>
            </w:r>
            <w:r w:rsidRPr="00121123">
              <w:rPr>
                <w:noProof w:val="0"/>
              </w:rPr>
              <w:t>± 1</w:t>
            </w:r>
            <w:r w:rsidR="00EE6A12" w:rsidRPr="00121123">
              <w:rPr>
                <w:noProof w:val="0"/>
              </w:rPr>
              <w:t> </w:t>
            </w:r>
            <w:r w:rsidR="00260081" w:rsidRPr="00121123">
              <w:rPr>
                <w:noProof w:val="0"/>
              </w:rPr>
              <w:t>000</w:t>
            </w:r>
          </w:p>
        </w:tc>
      </w:tr>
      <w:tr w:rsidR="002E7AC9" w:rsidRPr="00121123" w14:paraId="66F815D2" w14:textId="77777777" w:rsidTr="00A60668">
        <w:tc>
          <w:tcPr>
            <w:tcW w:w="9216" w:type="dxa"/>
            <w:gridSpan w:val="4"/>
          </w:tcPr>
          <w:p w14:paraId="28EEA9E2" w14:textId="77777777" w:rsidR="002E7AC9" w:rsidRPr="00121123" w:rsidRDefault="002E7AC9" w:rsidP="007A3A03">
            <w:pPr>
              <w:rPr>
                <w:noProof w:val="0"/>
              </w:rPr>
            </w:pPr>
            <w:r w:rsidRPr="00121123">
              <w:rPr>
                <w:noProof w:val="0"/>
              </w:rPr>
              <w:t>* jedna dávka AUC</w:t>
            </w:r>
            <w:r w:rsidRPr="00121123">
              <w:rPr>
                <w:noProof w:val="0"/>
                <w:vertAlign w:val="subscript"/>
              </w:rPr>
              <w:t>0-</w:t>
            </w:r>
            <w:r w:rsidR="00260081" w:rsidRPr="00121123">
              <w:rPr>
                <w:noProof w:val="0"/>
                <w:vertAlign w:val="subscript"/>
              </w:rPr>
              <w:t>∞</w:t>
            </w:r>
            <w:r w:rsidRPr="00121123">
              <w:rPr>
                <w:noProof w:val="0"/>
              </w:rPr>
              <w:t>, opakovaná dávka AUC</w:t>
            </w:r>
            <w:r w:rsidRPr="00121123">
              <w:rPr>
                <w:noProof w:val="0"/>
                <w:vertAlign w:val="subscript"/>
              </w:rPr>
              <w:t>0-12h</w:t>
            </w:r>
          </w:p>
        </w:tc>
      </w:tr>
    </w:tbl>
    <w:p w14:paraId="566A0782" w14:textId="77777777" w:rsidR="002E7AC9" w:rsidRPr="00121123" w:rsidRDefault="002E7AC9" w:rsidP="007A3A03">
      <w:pPr>
        <w:keepLines w:val="0"/>
        <w:tabs>
          <w:tab w:val="clear" w:pos="567"/>
        </w:tabs>
        <w:rPr>
          <w:noProof w:val="0"/>
        </w:rPr>
      </w:pPr>
    </w:p>
    <w:p w14:paraId="3CAEE77C" w14:textId="77777777" w:rsidR="00870248" w:rsidRPr="00121123" w:rsidRDefault="002E7AC9" w:rsidP="007A3A03">
      <w:pPr>
        <w:keepLines w:val="0"/>
        <w:tabs>
          <w:tab w:val="clear" w:pos="567"/>
        </w:tabs>
        <w:rPr>
          <w:noProof w:val="0"/>
        </w:rPr>
      </w:pPr>
      <w:r w:rsidRPr="00121123">
        <w:rPr>
          <w:noProof w:val="0"/>
        </w:rPr>
        <w:t>Cieľová hladina AUC</w:t>
      </w:r>
      <w:r w:rsidRPr="00121123">
        <w:rPr>
          <w:noProof w:val="0"/>
          <w:vertAlign w:val="subscript"/>
        </w:rPr>
        <w:t>0-12h</w:t>
      </w:r>
      <w:r w:rsidRPr="00121123">
        <w:rPr>
          <w:noProof w:val="0"/>
        </w:rPr>
        <w:t xml:space="preserve"> u dospelých po </w:t>
      </w:r>
      <w:r w:rsidR="00EE6A12" w:rsidRPr="00121123">
        <w:rPr>
          <w:noProof w:val="0"/>
        </w:rPr>
        <w:t>od</w:t>
      </w:r>
      <w:r w:rsidRPr="00121123">
        <w:rPr>
          <w:noProof w:val="0"/>
        </w:rPr>
        <w:t>poručenej dávke 100</w:t>
      </w:r>
      <w:r w:rsidR="00EE6A12" w:rsidRPr="00121123">
        <w:rPr>
          <w:noProof w:val="0"/>
        </w:rPr>
        <w:t> </w:t>
      </w:r>
      <w:r w:rsidRPr="00121123">
        <w:rPr>
          <w:noProof w:val="0"/>
        </w:rPr>
        <w:t>mg</w:t>
      </w:r>
      <w:r w:rsidR="007F1772" w:rsidRPr="00121123">
        <w:rPr>
          <w:noProof w:val="0"/>
        </w:rPr>
        <w:t xml:space="preserve"> nasýtenia</w:t>
      </w:r>
      <w:r w:rsidRPr="00121123">
        <w:rPr>
          <w:noProof w:val="0"/>
        </w:rPr>
        <w:t xml:space="preserve"> a 50 mg každých 12</w:t>
      </w:r>
      <w:r w:rsidR="00141917" w:rsidRPr="00121123">
        <w:rPr>
          <w:noProof w:val="0"/>
        </w:rPr>
        <w:t> </w:t>
      </w:r>
      <w:r w:rsidRPr="00121123">
        <w:rPr>
          <w:noProof w:val="0"/>
        </w:rPr>
        <w:t>hodín bola priemerne 2500 ng•h/m</w:t>
      </w:r>
      <w:r w:rsidR="007F1772" w:rsidRPr="00121123">
        <w:rPr>
          <w:noProof w:val="0"/>
        </w:rPr>
        <w:t xml:space="preserve">l. </w:t>
      </w:r>
    </w:p>
    <w:p w14:paraId="1CF3510C" w14:textId="77777777" w:rsidR="00870248" w:rsidRPr="00121123" w:rsidRDefault="00870248" w:rsidP="007A3A03">
      <w:pPr>
        <w:keepLines w:val="0"/>
        <w:tabs>
          <w:tab w:val="clear" w:pos="567"/>
        </w:tabs>
        <w:rPr>
          <w:noProof w:val="0"/>
        </w:rPr>
      </w:pPr>
    </w:p>
    <w:p w14:paraId="3D78FA66" w14:textId="585FE756" w:rsidR="00AD5A31" w:rsidRPr="00121123" w:rsidRDefault="00AD5A31" w:rsidP="007A3A03">
      <w:pPr>
        <w:keepLines w:val="0"/>
        <w:tabs>
          <w:tab w:val="clear" w:pos="567"/>
        </w:tabs>
        <w:rPr>
          <w:noProof w:val="0"/>
        </w:rPr>
      </w:pPr>
      <w:r w:rsidRPr="00121123">
        <w:rPr>
          <w:noProof w:val="0"/>
        </w:rPr>
        <w:t xml:space="preserve">PK </w:t>
      </w:r>
      <w:r w:rsidR="00D41A08" w:rsidRPr="00121123">
        <w:rPr>
          <w:noProof w:val="0"/>
        </w:rPr>
        <w:t xml:space="preserve">analýza populácie z </w:t>
      </w:r>
      <w:r w:rsidRPr="00121123">
        <w:rPr>
          <w:noProof w:val="0"/>
        </w:rPr>
        <w:t xml:space="preserve">obidvoch </w:t>
      </w:r>
      <w:r w:rsidR="00D3639F">
        <w:rPr>
          <w:noProof w:val="0"/>
          <w:color w:val="000000"/>
        </w:rPr>
        <w:t>klinických skúšaní</w:t>
      </w:r>
      <w:r w:rsidRPr="00121123">
        <w:rPr>
          <w:noProof w:val="0"/>
        </w:rPr>
        <w:t xml:space="preserve"> identifikovala telesn</w:t>
      </w:r>
      <w:r w:rsidR="00D41A08" w:rsidRPr="00121123">
        <w:rPr>
          <w:noProof w:val="0"/>
        </w:rPr>
        <w:t xml:space="preserve">ú </w:t>
      </w:r>
      <w:r w:rsidRPr="00121123">
        <w:rPr>
          <w:noProof w:val="0"/>
        </w:rPr>
        <w:t>hmotnosť ako kovariát klírensu tigecyklínu u detí vo veku 8 rokov a starších.</w:t>
      </w:r>
      <w:r w:rsidR="00715BD9" w:rsidRPr="00121123">
        <w:rPr>
          <w:noProof w:val="0"/>
        </w:rPr>
        <w:t xml:space="preserve"> Dávkovací režim 1,2 </w:t>
      </w:r>
      <w:r w:rsidRPr="00121123">
        <w:rPr>
          <w:noProof w:val="0"/>
        </w:rPr>
        <w:t>mg/kg každých 12</w:t>
      </w:r>
      <w:r w:rsidR="00715BD9" w:rsidRPr="00121123">
        <w:rPr>
          <w:noProof w:val="0"/>
        </w:rPr>
        <w:t> hodín (do maximálnej dávky 50 mg každých 12 </w:t>
      </w:r>
      <w:r w:rsidRPr="00121123">
        <w:rPr>
          <w:noProof w:val="0"/>
        </w:rPr>
        <w:t xml:space="preserve">hodín) u detí vo veku 8 až </w:t>
      </w:r>
      <w:r w:rsidR="00715BD9" w:rsidRPr="00121123">
        <w:rPr>
          <w:noProof w:val="0"/>
        </w:rPr>
        <w:t>&lt; 12 rokov a 50 </w:t>
      </w:r>
      <w:r w:rsidRPr="00121123">
        <w:rPr>
          <w:noProof w:val="0"/>
        </w:rPr>
        <w:t>mg každých 12</w:t>
      </w:r>
      <w:r w:rsidR="00715BD9" w:rsidRPr="00121123">
        <w:rPr>
          <w:noProof w:val="0"/>
        </w:rPr>
        <w:t> </w:t>
      </w:r>
      <w:r w:rsidRPr="00121123">
        <w:rPr>
          <w:noProof w:val="0"/>
        </w:rPr>
        <w:t>hodín u dospievajúcich vo veku 12</w:t>
      </w:r>
      <w:r w:rsidR="00715BD9" w:rsidRPr="00121123">
        <w:rPr>
          <w:noProof w:val="0"/>
        </w:rPr>
        <w:t> </w:t>
      </w:r>
      <w:r w:rsidRPr="00121123">
        <w:rPr>
          <w:noProof w:val="0"/>
        </w:rPr>
        <w:t>až</w:t>
      </w:r>
      <w:r w:rsidR="00715BD9" w:rsidRPr="00121123">
        <w:rPr>
          <w:noProof w:val="0"/>
        </w:rPr>
        <w:t> </w:t>
      </w:r>
      <w:r w:rsidRPr="00121123">
        <w:rPr>
          <w:noProof w:val="0"/>
        </w:rPr>
        <w:t>&lt; 18 rokov by pravdepodobne viedol k</w:t>
      </w:r>
      <w:r w:rsidR="00267FD0" w:rsidRPr="00121123">
        <w:rPr>
          <w:noProof w:val="0"/>
        </w:rPr>
        <w:t> </w:t>
      </w:r>
      <w:r w:rsidRPr="00121123">
        <w:rPr>
          <w:noProof w:val="0"/>
        </w:rPr>
        <w:t>expozíciám</w:t>
      </w:r>
      <w:r w:rsidR="00267FD0" w:rsidRPr="00121123">
        <w:rPr>
          <w:noProof w:val="0"/>
        </w:rPr>
        <w:t xml:space="preserve">, ktoré sú porovnateľné </w:t>
      </w:r>
      <w:r w:rsidRPr="00121123">
        <w:rPr>
          <w:noProof w:val="0"/>
        </w:rPr>
        <w:t>s expozíciami pozorovanými u dospelých liečených schváleným dávkovacím režimom.</w:t>
      </w:r>
    </w:p>
    <w:p w14:paraId="652AE801" w14:textId="77777777" w:rsidR="00AD5A31" w:rsidRPr="00121123" w:rsidRDefault="00AD5A31" w:rsidP="007A3A03">
      <w:pPr>
        <w:keepLines w:val="0"/>
        <w:tabs>
          <w:tab w:val="clear" w:pos="567"/>
        </w:tabs>
        <w:rPr>
          <w:noProof w:val="0"/>
        </w:rPr>
      </w:pPr>
    </w:p>
    <w:p w14:paraId="3A135D1C" w14:textId="723AAA40" w:rsidR="00916125" w:rsidRPr="00121123" w:rsidRDefault="00AD5A31" w:rsidP="007A3A03">
      <w:pPr>
        <w:keepLines w:val="0"/>
        <w:tabs>
          <w:tab w:val="clear" w:pos="567"/>
        </w:tabs>
        <w:rPr>
          <w:noProof w:val="0"/>
        </w:rPr>
      </w:pPr>
      <w:r w:rsidRPr="00121123">
        <w:rPr>
          <w:noProof w:val="0"/>
        </w:rPr>
        <w:t xml:space="preserve">V týchto </w:t>
      </w:r>
      <w:r w:rsidR="00D3639F">
        <w:rPr>
          <w:noProof w:val="0"/>
          <w:color w:val="000000"/>
        </w:rPr>
        <w:t>klinických skúšaniach</w:t>
      </w:r>
      <w:r w:rsidR="00D3639F" w:rsidRPr="00522436">
        <w:rPr>
          <w:noProof w:val="0"/>
          <w:color w:val="000000"/>
        </w:rPr>
        <w:t xml:space="preserve"> </w:t>
      </w:r>
      <w:r w:rsidRPr="00121123">
        <w:rPr>
          <w:noProof w:val="0"/>
        </w:rPr>
        <w:t>sa u niekoľkých detí pozorovali vyššie hodnoty C</w:t>
      </w:r>
      <w:r w:rsidRPr="00121123">
        <w:rPr>
          <w:noProof w:val="0"/>
          <w:vertAlign w:val="subscript"/>
        </w:rPr>
        <w:t>max</w:t>
      </w:r>
      <w:r w:rsidR="00267FD0" w:rsidRPr="00121123">
        <w:rPr>
          <w:noProof w:val="0"/>
        </w:rPr>
        <w:t>,</w:t>
      </w:r>
      <w:r w:rsidRPr="00121123">
        <w:rPr>
          <w:noProof w:val="0"/>
        </w:rPr>
        <w:t xml:space="preserve"> ako u dospelých pacientov. V dôsledku toho sa má </w:t>
      </w:r>
      <w:r w:rsidR="00D41A08" w:rsidRPr="00121123">
        <w:rPr>
          <w:noProof w:val="0"/>
        </w:rPr>
        <w:t xml:space="preserve">u detí a dospievajúcich </w:t>
      </w:r>
      <w:r w:rsidR="00E30D03" w:rsidRPr="00121123">
        <w:rPr>
          <w:noProof w:val="0"/>
        </w:rPr>
        <w:t>venovať pozornosť rýchlosti inf</w:t>
      </w:r>
      <w:r w:rsidRPr="00121123">
        <w:rPr>
          <w:noProof w:val="0"/>
        </w:rPr>
        <w:t>úzie tigecyklínu.</w:t>
      </w:r>
    </w:p>
    <w:p w14:paraId="13E7C07C" w14:textId="77777777" w:rsidR="00887897" w:rsidRPr="00121123" w:rsidRDefault="00887897" w:rsidP="007A3A03">
      <w:pPr>
        <w:keepLines w:val="0"/>
        <w:tabs>
          <w:tab w:val="clear" w:pos="567"/>
        </w:tabs>
        <w:rPr>
          <w:noProof w:val="0"/>
        </w:rPr>
      </w:pPr>
    </w:p>
    <w:p w14:paraId="3CD00933" w14:textId="77777777" w:rsidR="00870248" w:rsidRPr="00121123" w:rsidRDefault="00870248" w:rsidP="007A3A03">
      <w:pPr>
        <w:keepLines w:val="0"/>
        <w:tabs>
          <w:tab w:val="clear" w:pos="567"/>
        </w:tabs>
        <w:rPr>
          <w:i/>
          <w:noProof w:val="0"/>
        </w:rPr>
      </w:pPr>
      <w:r w:rsidRPr="00121123">
        <w:rPr>
          <w:i/>
          <w:noProof w:val="0"/>
        </w:rPr>
        <w:t>Pohlavie</w:t>
      </w:r>
    </w:p>
    <w:p w14:paraId="13FDAD31" w14:textId="77777777" w:rsidR="00870248" w:rsidRPr="00121123" w:rsidRDefault="00870248" w:rsidP="007A3A03">
      <w:pPr>
        <w:keepLines w:val="0"/>
        <w:tabs>
          <w:tab w:val="clear" w:pos="567"/>
        </w:tabs>
        <w:rPr>
          <w:noProof w:val="0"/>
        </w:rPr>
      </w:pPr>
      <w:r w:rsidRPr="00121123">
        <w:rPr>
          <w:noProof w:val="0"/>
        </w:rPr>
        <w:t>Nepozorovali sa klinicky významné rozdiely v klírense tigecyklínu medzi mužmi a ženami. AUC parameter bol odhadnutý o 20 % vyšší u žien ako u mužov.</w:t>
      </w:r>
    </w:p>
    <w:p w14:paraId="05E9E51B" w14:textId="77777777" w:rsidR="00870248" w:rsidRPr="00121123" w:rsidRDefault="00870248" w:rsidP="007A3A03">
      <w:pPr>
        <w:keepLines w:val="0"/>
        <w:tabs>
          <w:tab w:val="clear" w:pos="567"/>
        </w:tabs>
        <w:rPr>
          <w:noProof w:val="0"/>
        </w:rPr>
      </w:pPr>
    </w:p>
    <w:p w14:paraId="7906E80A" w14:textId="77777777" w:rsidR="00870248" w:rsidRPr="00121123" w:rsidRDefault="00870248" w:rsidP="007A3A03">
      <w:pPr>
        <w:rPr>
          <w:i/>
          <w:noProof w:val="0"/>
        </w:rPr>
      </w:pPr>
      <w:r w:rsidRPr="00121123">
        <w:rPr>
          <w:i/>
          <w:noProof w:val="0"/>
        </w:rPr>
        <w:t>Rasa</w:t>
      </w:r>
    </w:p>
    <w:p w14:paraId="1900C06B" w14:textId="77777777" w:rsidR="00870248" w:rsidRPr="00121123" w:rsidRDefault="00870248" w:rsidP="007A3A03">
      <w:pPr>
        <w:keepLines w:val="0"/>
        <w:tabs>
          <w:tab w:val="clear" w:pos="567"/>
        </w:tabs>
        <w:rPr>
          <w:noProof w:val="0"/>
        </w:rPr>
      </w:pPr>
      <w:r w:rsidRPr="00121123">
        <w:rPr>
          <w:noProof w:val="0"/>
        </w:rPr>
        <w:t>Nepozorovali sa rozdiely v klírense tigecyklínu v závislosti od rasy.</w:t>
      </w:r>
    </w:p>
    <w:p w14:paraId="4CE29B38" w14:textId="77777777" w:rsidR="00870248" w:rsidRPr="00121123" w:rsidRDefault="00870248" w:rsidP="007A3A03">
      <w:pPr>
        <w:keepLines w:val="0"/>
        <w:tabs>
          <w:tab w:val="clear" w:pos="567"/>
        </w:tabs>
        <w:rPr>
          <w:noProof w:val="0"/>
        </w:rPr>
      </w:pPr>
    </w:p>
    <w:p w14:paraId="2C697EB9" w14:textId="77777777" w:rsidR="00870248" w:rsidRPr="00121123" w:rsidRDefault="00870248" w:rsidP="007A3A03">
      <w:pPr>
        <w:tabs>
          <w:tab w:val="clear" w:pos="567"/>
        </w:tabs>
        <w:rPr>
          <w:noProof w:val="0"/>
        </w:rPr>
      </w:pPr>
      <w:r w:rsidRPr="00121123">
        <w:rPr>
          <w:i/>
          <w:iCs/>
          <w:noProof w:val="0"/>
        </w:rPr>
        <w:lastRenderedPageBreak/>
        <w:t>Telesná hmotnosť</w:t>
      </w:r>
      <w:r w:rsidRPr="00121123">
        <w:rPr>
          <w:i/>
          <w:iCs/>
          <w:noProof w:val="0"/>
        </w:rPr>
        <w:br/>
      </w:r>
      <w:r w:rsidRPr="00121123">
        <w:rPr>
          <w:noProof w:val="0"/>
        </w:rPr>
        <w:t>Klírens, klírens normalizovaný na hmotnosť a AUC neboli značne odlišné u pacientov s rozdielnou telesnou hmotnosťou, vrátane tých, ktorí vážili</w:t>
      </w:r>
      <w:r w:rsidRPr="00121123">
        <w:rPr>
          <w:i/>
          <w:iCs/>
          <w:noProof w:val="0"/>
        </w:rPr>
        <w:t xml:space="preserve"> </w:t>
      </w:r>
      <w:r w:rsidRPr="00121123">
        <w:rPr>
          <w:noProof w:val="0"/>
        </w:rPr>
        <w:t></w:t>
      </w:r>
      <w:r w:rsidRPr="00121123">
        <w:rPr>
          <w:noProof w:val="0"/>
        </w:rPr>
        <w:t xml:space="preserve">125 kg. AUC parameter bol o 24 % nižší u pacientov vážiacich </w:t>
      </w:r>
      <w:r w:rsidRPr="00121123">
        <w:rPr>
          <w:noProof w:val="0"/>
        </w:rPr>
        <w:t></w:t>
      </w:r>
      <w:r w:rsidRPr="00121123">
        <w:rPr>
          <w:noProof w:val="0"/>
        </w:rPr>
        <w:t>125 kg. Nie sú k dispozícii údaje od pacientov s telesnou hmotnosťou 140 kg a vyššou.</w:t>
      </w:r>
    </w:p>
    <w:p w14:paraId="662F4EB4" w14:textId="77777777" w:rsidR="00870248" w:rsidRPr="00121123" w:rsidRDefault="00870248" w:rsidP="007A3A03">
      <w:pPr>
        <w:keepLines w:val="0"/>
        <w:tabs>
          <w:tab w:val="clear" w:pos="567"/>
        </w:tabs>
        <w:rPr>
          <w:noProof w:val="0"/>
        </w:rPr>
      </w:pPr>
    </w:p>
    <w:p w14:paraId="3FEB44E1" w14:textId="77777777" w:rsidR="00870248" w:rsidRPr="00121123" w:rsidRDefault="00870248" w:rsidP="007A3A03">
      <w:pPr>
        <w:keepNext/>
        <w:rPr>
          <w:b/>
          <w:noProof w:val="0"/>
        </w:rPr>
      </w:pPr>
      <w:bookmarkStart w:id="7" w:name="_5_3_Preclinical_safety"/>
      <w:bookmarkEnd w:id="7"/>
      <w:r w:rsidRPr="00121123">
        <w:rPr>
          <w:b/>
          <w:noProof w:val="0"/>
        </w:rPr>
        <w:t>5.3</w:t>
      </w:r>
      <w:r w:rsidRPr="00121123">
        <w:rPr>
          <w:b/>
          <w:noProof w:val="0"/>
        </w:rPr>
        <w:tab/>
        <w:t>Predklinické údaje o bezpečnosti</w:t>
      </w:r>
    </w:p>
    <w:p w14:paraId="3FBE3E62" w14:textId="77777777" w:rsidR="00870248" w:rsidRPr="00121123" w:rsidRDefault="00870248" w:rsidP="007A3A03">
      <w:pPr>
        <w:pStyle w:val="Header"/>
        <w:keepNext/>
        <w:keepLines w:val="0"/>
        <w:tabs>
          <w:tab w:val="clear" w:pos="4320"/>
          <w:tab w:val="clear" w:pos="8640"/>
        </w:tabs>
        <w:rPr>
          <w:noProof w:val="0"/>
        </w:rPr>
      </w:pPr>
    </w:p>
    <w:p w14:paraId="006C1CDB" w14:textId="77777777" w:rsidR="00870248" w:rsidRPr="00121123" w:rsidRDefault="00870248" w:rsidP="007A3A03">
      <w:pPr>
        <w:keepNext/>
        <w:keepLines w:val="0"/>
        <w:tabs>
          <w:tab w:val="clear" w:pos="567"/>
        </w:tabs>
        <w:rPr>
          <w:noProof w:val="0"/>
        </w:rPr>
      </w:pPr>
      <w:r w:rsidRPr="00121123">
        <w:rPr>
          <w:noProof w:val="0"/>
        </w:rPr>
        <w:t>V štúdiách toxicity opakovanej dávky u potkanov a psov sa pozorovali pri expozícii tigecyklínu 8</w:t>
      </w:r>
      <w:r w:rsidR="00F2089A" w:rsidRPr="00121123">
        <w:rPr>
          <w:noProof w:val="0"/>
        </w:rPr>
        <w:noBreakHyphen/>
      </w:r>
      <w:r w:rsidRPr="00121123">
        <w:rPr>
          <w:noProof w:val="0"/>
        </w:rPr>
        <w:t>násobne a 10-násobne vyššej ako je ľudská denná dávka, určenej na základe AUC u potkanov a psov, lymfoidná deplécia/atrofia lymfatických uzlín, sleziny a týmusu, znížený počet erytrocytov, retikulocytov, leukocytov a krvných doštičiek v súvislosti s hypocelularitou kostnej drene a nežiaduce účinky na obličky a gastrointestinál</w:t>
      </w:r>
      <w:r w:rsidR="00A96D8B" w:rsidRPr="00121123">
        <w:rPr>
          <w:noProof w:val="0"/>
        </w:rPr>
        <w:t>n</w:t>
      </w:r>
      <w:r w:rsidRPr="00121123">
        <w:rPr>
          <w:noProof w:val="0"/>
        </w:rPr>
        <w:t>y trakt. Tieto zmeny sa ukázali byť reverzibilné po dvoch týždňoch dávkovania.</w:t>
      </w:r>
    </w:p>
    <w:p w14:paraId="4E9BBC93" w14:textId="77777777" w:rsidR="00870248" w:rsidRPr="00121123" w:rsidRDefault="00870248" w:rsidP="007A3A03">
      <w:pPr>
        <w:keepLines w:val="0"/>
        <w:tabs>
          <w:tab w:val="clear" w:pos="567"/>
        </w:tabs>
        <w:rPr>
          <w:noProof w:val="0"/>
        </w:rPr>
      </w:pPr>
    </w:p>
    <w:p w14:paraId="479E2407" w14:textId="77777777" w:rsidR="00870248" w:rsidRPr="00121123" w:rsidRDefault="00870248" w:rsidP="007A3A03">
      <w:pPr>
        <w:keepLines w:val="0"/>
        <w:tabs>
          <w:tab w:val="clear" w:pos="567"/>
        </w:tabs>
        <w:rPr>
          <w:noProof w:val="0"/>
        </w:rPr>
      </w:pPr>
      <w:r w:rsidRPr="00121123">
        <w:rPr>
          <w:noProof w:val="0"/>
        </w:rPr>
        <w:t xml:space="preserve">U potkanov sa pozorovala zmena farby </w:t>
      </w:r>
      <w:r w:rsidR="006D1121" w:rsidRPr="00121123">
        <w:rPr>
          <w:noProof w:val="0"/>
        </w:rPr>
        <w:t>kostí</w:t>
      </w:r>
      <w:r w:rsidR="00A50174" w:rsidRPr="00121123">
        <w:rPr>
          <w:noProof w:val="0"/>
        </w:rPr>
        <w:t xml:space="preserve">, </w:t>
      </w:r>
      <w:r w:rsidR="00F2089A" w:rsidRPr="00121123">
        <w:rPr>
          <w:noProof w:val="0"/>
        </w:rPr>
        <w:t>ktorá</w:t>
      </w:r>
      <w:r w:rsidRPr="00121123">
        <w:rPr>
          <w:noProof w:val="0"/>
        </w:rPr>
        <w:t xml:space="preserve"> po dvoch týždňoch dávkovania </w:t>
      </w:r>
      <w:r w:rsidR="00A50174" w:rsidRPr="00121123">
        <w:rPr>
          <w:noProof w:val="0"/>
        </w:rPr>
        <w:t xml:space="preserve">nebola </w:t>
      </w:r>
      <w:r w:rsidRPr="00121123">
        <w:rPr>
          <w:noProof w:val="0"/>
        </w:rPr>
        <w:t>reverzibilná.</w:t>
      </w:r>
    </w:p>
    <w:p w14:paraId="18D8F092" w14:textId="77777777" w:rsidR="00870248" w:rsidRPr="00121123" w:rsidRDefault="00870248" w:rsidP="007A3A03">
      <w:pPr>
        <w:keepLines w:val="0"/>
        <w:tabs>
          <w:tab w:val="clear" w:pos="567"/>
        </w:tabs>
        <w:rPr>
          <w:noProof w:val="0"/>
        </w:rPr>
      </w:pPr>
    </w:p>
    <w:p w14:paraId="5591C437" w14:textId="77777777" w:rsidR="00870248" w:rsidRPr="00121123" w:rsidRDefault="00870248" w:rsidP="007A3A03">
      <w:pPr>
        <w:keepLines w:val="0"/>
        <w:tabs>
          <w:tab w:val="clear" w:pos="567"/>
        </w:tabs>
        <w:rPr>
          <w:noProof w:val="0"/>
        </w:rPr>
      </w:pPr>
      <w:r w:rsidRPr="00121123">
        <w:rPr>
          <w:noProof w:val="0"/>
        </w:rPr>
        <w:t>Výsledky štúdií na zvieratách naznačujú, že tigecyklín pre</w:t>
      </w:r>
      <w:r w:rsidR="00F2089A" w:rsidRPr="00121123">
        <w:rPr>
          <w:noProof w:val="0"/>
        </w:rPr>
        <w:t>chádza</w:t>
      </w:r>
      <w:r w:rsidRPr="00121123">
        <w:rPr>
          <w:noProof w:val="0"/>
        </w:rPr>
        <w:t xml:space="preserve"> placentou a je prítomný v tkanive plodu. V štúdiách reprodukčnej toxicity s tigecyklínom sa pozoroval pokles telesnej hmotnosti plodov potkanov a králikov (spojený s oneskorenou osifikáciou). U potkanov a králikov nebol tigecyklín teratogénny. </w:t>
      </w:r>
      <w:r w:rsidR="00985750" w:rsidRPr="00121123">
        <w:rPr>
          <w:noProof w:val="0"/>
        </w:rPr>
        <w:t xml:space="preserve">Tigecyklín neovplyvňoval schopnosť párenia alebo fertilitu u potkanov pri </w:t>
      </w:r>
      <w:r w:rsidR="00A50174" w:rsidRPr="00121123">
        <w:rPr>
          <w:noProof w:val="0"/>
        </w:rPr>
        <w:t xml:space="preserve">expozíciách vyšších ako </w:t>
      </w:r>
      <w:r w:rsidR="00985750" w:rsidRPr="00121123">
        <w:rPr>
          <w:noProof w:val="0"/>
        </w:rPr>
        <w:t>4,7-násobok dennej dávky u ľudí založenej na AUC. U samíc potkanov</w:t>
      </w:r>
      <w:r w:rsidR="00A50174" w:rsidRPr="00121123">
        <w:rPr>
          <w:noProof w:val="0"/>
        </w:rPr>
        <w:t xml:space="preserve"> sa pri expozíciách vyšších ako 4,7-násobok denne dávky u ľudí založenej na AUC nezistili žiadne účinky</w:t>
      </w:r>
      <w:r w:rsidR="00985750" w:rsidRPr="00121123">
        <w:rPr>
          <w:noProof w:val="0"/>
        </w:rPr>
        <w:t xml:space="preserve"> na vaječníky alebo </w:t>
      </w:r>
      <w:r w:rsidR="00A50174" w:rsidRPr="00121123">
        <w:rPr>
          <w:noProof w:val="0"/>
        </w:rPr>
        <w:t>estrálne c</w:t>
      </w:r>
      <w:r w:rsidR="00985750" w:rsidRPr="00121123">
        <w:rPr>
          <w:noProof w:val="0"/>
        </w:rPr>
        <w:t>ykly</w:t>
      </w:r>
      <w:r w:rsidR="00A50174" w:rsidRPr="00121123">
        <w:rPr>
          <w:noProof w:val="0"/>
        </w:rPr>
        <w:t>, ktoré by súviseli so zlúčeninou</w:t>
      </w:r>
      <w:r w:rsidR="00581782" w:rsidRPr="00121123">
        <w:rPr>
          <w:noProof w:val="0"/>
        </w:rPr>
        <w:t>.</w:t>
      </w:r>
    </w:p>
    <w:p w14:paraId="54214E24" w14:textId="77777777" w:rsidR="00870248" w:rsidRPr="00121123" w:rsidRDefault="00870248" w:rsidP="007A3A03">
      <w:pPr>
        <w:keepLines w:val="0"/>
        <w:tabs>
          <w:tab w:val="clear" w:pos="567"/>
        </w:tabs>
        <w:rPr>
          <w:noProof w:val="0"/>
        </w:rPr>
      </w:pPr>
    </w:p>
    <w:p w14:paraId="1CBFA4F4" w14:textId="77777777" w:rsidR="00870248" w:rsidRPr="00121123" w:rsidRDefault="00870248" w:rsidP="007A3A03">
      <w:pPr>
        <w:keepLines w:val="0"/>
        <w:tabs>
          <w:tab w:val="clear" w:pos="567"/>
        </w:tabs>
        <w:rPr>
          <w:noProof w:val="0"/>
        </w:rPr>
      </w:pPr>
      <w:r w:rsidRPr="00121123">
        <w:rPr>
          <w:noProof w:val="0"/>
        </w:rPr>
        <w:t xml:space="preserve">Výsledky zo štúdií na zvieratách s použitím </w:t>
      </w:r>
      <w:r w:rsidRPr="00121123">
        <w:rPr>
          <w:noProof w:val="0"/>
          <w:vertAlign w:val="superscript"/>
        </w:rPr>
        <w:t>14</w:t>
      </w:r>
      <w:r w:rsidRPr="00121123">
        <w:rPr>
          <w:noProof w:val="0"/>
        </w:rPr>
        <w:t xml:space="preserve">C-označeného tigecyklínu naznačujú, že sa tigecyklín rýchlo vylučuje </w:t>
      </w:r>
      <w:r w:rsidR="00F2089A" w:rsidRPr="00121123">
        <w:rPr>
          <w:noProof w:val="0"/>
        </w:rPr>
        <w:t xml:space="preserve">do </w:t>
      </w:r>
      <w:r w:rsidRPr="00121123">
        <w:rPr>
          <w:noProof w:val="0"/>
        </w:rPr>
        <w:t>mliek</w:t>
      </w:r>
      <w:r w:rsidR="00F2089A" w:rsidRPr="00121123">
        <w:rPr>
          <w:noProof w:val="0"/>
        </w:rPr>
        <w:t>a</w:t>
      </w:r>
      <w:r w:rsidRPr="00121123">
        <w:rPr>
          <w:noProof w:val="0"/>
        </w:rPr>
        <w:t xml:space="preserve"> dojčiacich potkanov. V zhode s limitovanou perorálnou biodostupnosťou tigecyklínu sa u dojčených mláďat zaznamenala len nízka alebo žiadna systémová expozícia tigecyklínu ako následok expozície cestou materského mlieka.</w:t>
      </w:r>
    </w:p>
    <w:p w14:paraId="7F27F15D" w14:textId="77777777" w:rsidR="00870248" w:rsidRPr="00121123" w:rsidRDefault="00870248" w:rsidP="007A3A03">
      <w:pPr>
        <w:keepLines w:val="0"/>
        <w:tabs>
          <w:tab w:val="clear" w:pos="567"/>
        </w:tabs>
        <w:rPr>
          <w:noProof w:val="0"/>
        </w:rPr>
      </w:pPr>
    </w:p>
    <w:p w14:paraId="3A637CFD" w14:textId="77777777" w:rsidR="00870248" w:rsidRPr="00121123" w:rsidRDefault="00A96D8B" w:rsidP="007A3A03">
      <w:pPr>
        <w:keepLines w:val="0"/>
        <w:tabs>
          <w:tab w:val="clear" w:pos="567"/>
        </w:tabs>
        <w:rPr>
          <w:noProof w:val="0"/>
        </w:rPr>
      </w:pPr>
      <w:r w:rsidRPr="00121123">
        <w:rPr>
          <w:noProof w:val="0"/>
        </w:rPr>
        <w:t>Celož</w:t>
      </w:r>
      <w:r w:rsidR="00870248" w:rsidRPr="00121123">
        <w:rPr>
          <w:noProof w:val="0"/>
        </w:rPr>
        <w:t>ivotné štúdie na zvieratách za účelom hodnotenia karcinogénneho potenciálu tigecyklínu sa neuskutočnili, ale krátkodobé štúdie genotoxicity tigecyklínu boli negatívne.</w:t>
      </w:r>
    </w:p>
    <w:p w14:paraId="15BEC7A9" w14:textId="77777777" w:rsidR="00870248" w:rsidRPr="00121123" w:rsidRDefault="00870248" w:rsidP="007A3A03">
      <w:pPr>
        <w:keepLines w:val="0"/>
        <w:tabs>
          <w:tab w:val="clear" w:pos="567"/>
        </w:tabs>
        <w:rPr>
          <w:noProof w:val="0"/>
        </w:rPr>
      </w:pPr>
    </w:p>
    <w:p w14:paraId="52FE5863" w14:textId="77777777" w:rsidR="00870248" w:rsidRPr="00121123" w:rsidRDefault="00870248" w:rsidP="007A3A03">
      <w:pPr>
        <w:keepLines w:val="0"/>
        <w:tabs>
          <w:tab w:val="clear" w:pos="567"/>
        </w:tabs>
        <w:rPr>
          <w:noProof w:val="0"/>
        </w:rPr>
      </w:pPr>
      <w:r w:rsidRPr="00121123">
        <w:rPr>
          <w:noProof w:val="0"/>
        </w:rPr>
        <w:t>V štúdiách na zvieratách bolo bolusové intravenózne podanie tigecyklínu spojené s histamínovou odpoveďou. Tieto účinky sa pozorovali pri expozíciách 14- a 3-násobne vyšších ako je ľudská denná dávka, založených na AUC potkanov a psov.</w:t>
      </w:r>
    </w:p>
    <w:p w14:paraId="0291BE70" w14:textId="77777777" w:rsidR="00870248" w:rsidRPr="00121123" w:rsidRDefault="00870248" w:rsidP="007A3A03">
      <w:pPr>
        <w:keepLines w:val="0"/>
        <w:tabs>
          <w:tab w:val="clear" w:pos="567"/>
        </w:tabs>
        <w:rPr>
          <w:noProof w:val="0"/>
        </w:rPr>
      </w:pPr>
    </w:p>
    <w:p w14:paraId="2C437474" w14:textId="77777777" w:rsidR="00870248" w:rsidRPr="00121123" w:rsidRDefault="00870248" w:rsidP="007A3A03">
      <w:pPr>
        <w:keepLines w:val="0"/>
        <w:tabs>
          <w:tab w:val="clear" w:pos="567"/>
        </w:tabs>
        <w:rPr>
          <w:noProof w:val="0"/>
        </w:rPr>
      </w:pPr>
      <w:r w:rsidRPr="00121123">
        <w:rPr>
          <w:noProof w:val="0"/>
        </w:rPr>
        <w:t>U potkanov, ktorým sa podal tigecyklín, sa nepozorovala fotosenzitivita.</w:t>
      </w:r>
    </w:p>
    <w:p w14:paraId="32D74E9A" w14:textId="77777777" w:rsidR="00AA459D" w:rsidRPr="00121123" w:rsidRDefault="00AA459D" w:rsidP="007A3A03">
      <w:pPr>
        <w:keepLines w:val="0"/>
        <w:tabs>
          <w:tab w:val="clear" w:pos="567"/>
        </w:tabs>
        <w:rPr>
          <w:noProof w:val="0"/>
        </w:rPr>
      </w:pPr>
    </w:p>
    <w:p w14:paraId="08EF26DE" w14:textId="77777777" w:rsidR="00AA459D" w:rsidRPr="00121123" w:rsidRDefault="00AA459D" w:rsidP="007A3A03">
      <w:pPr>
        <w:keepLines w:val="0"/>
        <w:tabs>
          <w:tab w:val="clear" w:pos="567"/>
        </w:tabs>
        <w:rPr>
          <w:noProof w:val="0"/>
        </w:rPr>
      </w:pPr>
    </w:p>
    <w:p w14:paraId="59B2B99C" w14:textId="77777777" w:rsidR="00870248" w:rsidRPr="00121123" w:rsidRDefault="00870248" w:rsidP="007A3A03">
      <w:pPr>
        <w:keepNext/>
        <w:rPr>
          <w:b/>
          <w:noProof w:val="0"/>
        </w:rPr>
      </w:pPr>
      <w:r w:rsidRPr="00121123">
        <w:rPr>
          <w:b/>
          <w:noProof w:val="0"/>
        </w:rPr>
        <w:t>6.</w:t>
      </w:r>
      <w:r w:rsidRPr="00121123">
        <w:rPr>
          <w:b/>
          <w:noProof w:val="0"/>
        </w:rPr>
        <w:tab/>
        <w:t>FARMACEUTICKÉ INFORMÁCIE</w:t>
      </w:r>
    </w:p>
    <w:p w14:paraId="388780E5" w14:textId="77777777" w:rsidR="00870248" w:rsidRPr="00121123" w:rsidRDefault="00870248" w:rsidP="007A3A03">
      <w:pPr>
        <w:keepNext/>
        <w:tabs>
          <w:tab w:val="clear" w:pos="567"/>
        </w:tabs>
        <w:rPr>
          <w:noProof w:val="0"/>
        </w:rPr>
      </w:pPr>
    </w:p>
    <w:p w14:paraId="4168A842" w14:textId="77777777" w:rsidR="00870248" w:rsidRPr="00121123" w:rsidRDefault="00870248" w:rsidP="007A3A03">
      <w:pPr>
        <w:keepNext/>
        <w:rPr>
          <w:b/>
          <w:noProof w:val="0"/>
        </w:rPr>
      </w:pPr>
      <w:bookmarkStart w:id="8" w:name="_6_1_List_of"/>
      <w:bookmarkEnd w:id="8"/>
      <w:r w:rsidRPr="00121123">
        <w:rPr>
          <w:b/>
          <w:noProof w:val="0"/>
        </w:rPr>
        <w:t>6.1</w:t>
      </w:r>
      <w:r w:rsidRPr="00121123">
        <w:rPr>
          <w:b/>
          <w:noProof w:val="0"/>
        </w:rPr>
        <w:tab/>
        <w:t>Zoznam pomocných látok</w:t>
      </w:r>
    </w:p>
    <w:p w14:paraId="670BC85C" w14:textId="77777777" w:rsidR="00870248" w:rsidRPr="00121123" w:rsidRDefault="00870248" w:rsidP="007A3A03">
      <w:pPr>
        <w:keepNext/>
        <w:tabs>
          <w:tab w:val="clear" w:pos="567"/>
        </w:tabs>
        <w:rPr>
          <w:noProof w:val="0"/>
        </w:rPr>
      </w:pPr>
    </w:p>
    <w:p w14:paraId="4A127033" w14:textId="77777777" w:rsidR="00870248" w:rsidRPr="00121123" w:rsidRDefault="008E6C0B" w:rsidP="007A3A03">
      <w:pPr>
        <w:keepNext/>
        <w:tabs>
          <w:tab w:val="clear" w:pos="567"/>
        </w:tabs>
        <w:rPr>
          <w:noProof w:val="0"/>
        </w:rPr>
      </w:pPr>
      <w:r w:rsidRPr="00121123">
        <w:rPr>
          <w:noProof w:val="0"/>
        </w:rPr>
        <w:t xml:space="preserve">Monohydrát </w:t>
      </w:r>
      <w:r w:rsidR="000101AA">
        <w:rPr>
          <w:noProof w:val="0"/>
        </w:rPr>
        <w:t>maltózy</w:t>
      </w:r>
    </w:p>
    <w:p w14:paraId="40673B41" w14:textId="77777777" w:rsidR="008E6C0B" w:rsidRPr="00121123" w:rsidRDefault="008E6C0B" w:rsidP="007A3A03">
      <w:pPr>
        <w:keepNext/>
        <w:tabs>
          <w:tab w:val="clear" w:pos="567"/>
        </w:tabs>
        <w:rPr>
          <w:noProof w:val="0"/>
        </w:rPr>
      </w:pPr>
      <w:r w:rsidRPr="00121123">
        <w:rPr>
          <w:noProof w:val="0"/>
        </w:rPr>
        <w:t xml:space="preserve">Kyselina </w:t>
      </w:r>
      <w:r w:rsidR="00870248" w:rsidRPr="00121123">
        <w:rPr>
          <w:noProof w:val="0"/>
        </w:rPr>
        <w:t>chlorovodíková</w:t>
      </w:r>
      <w:r w:rsidR="000101AA">
        <w:rPr>
          <w:noProof w:val="0"/>
        </w:rPr>
        <w:t xml:space="preserve"> </w:t>
      </w:r>
      <w:r w:rsidR="000101AA" w:rsidRPr="000101AA">
        <w:rPr>
          <w:noProof w:val="0"/>
        </w:rPr>
        <w:t>(na úpravu pH)</w:t>
      </w:r>
    </w:p>
    <w:p w14:paraId="53590793" w14:textId="77777777" w:rsidR="00870248" w:rsidRPr="00121123" w:rsidRDefault="008E6C0B" w:rsidP="007A3A03">
      <w:pPr>
        <w:keepNext/>
        <w:tabs>
          <w:tab w:val="clear" w:pos="567"/>
        </w:tabs>
        <w:rPr>
          <w:noProof w:val="0"/>
        </w:rPr>
      </w:pPr>
      <w:r w:rsidRPr="00121123">
        <w:rPr>
          <w:noProof w:val="0"/>
        </w:rPr>
        <w:t>H</w:t>
      </w:r>
      <w:r w:rsidR="00870248" w:rsidRPr="00121123">
        <w:rPr>
          <w:noProof w:val="0"/>
        </w:rPr>
        <w:t xml:space="preserve">ydroxid sodný (na </w:t>
      </w:r>
      <w:r w:rsidR="003A29FF" w:rsidRPr="00121123">
        <w:rPr>
          <w:noProof w:val="0"/>
        </w:rPr>
        <w:t xml:space="preserve">úpravu </w:t>
      </w:r>
      <w:r w:rsidR="00870248" w:rsidRPr="00121123">
        <w:rPr>
          <w:noProof w:val="0"/>
        </w:rPr>
        <w:t>pH)</w:t>
      </w:r>
    </w:p>
    <w:p w14:paraId="19847FE0" w14:textId="77777777" w:rsidR="00870248" w:rsidRPr="00121123" w:rsidRDefault="00870248" w:rsidP="007A3A03">
      <w:pPr>
        <w:keepLines w:val="0"/>
        <w:tabs>
          <w:tab w:val="clear" w:pos="567"/>
        </w:tabs>
        <w:ind w:left="567" w:hanging="567"/>
        <w:rPr>
          <w:noProof w:val="0"/>
        </w:rPr>
      </w:pPr>
    </w:p>
    <w:p w14:paraId="0B2A7651" w14:textId="77777777" w:rsidR="00870248" w:rsidRPr="00121123" w:rsidRDefault="00870248" w:rsidP="007A3A03">
      <w:pPr>
        <w:keepNext/>
        <w:rPr>
          <w:b/>
          <w:noProof w:val="0"/>
        </w:rPr>
      </w:pPr>
      <w:bookmarkStart w:id="9" w:name="_6_2_Incompatibilities"/>
      <w:bookmarkEnd w:id="9"/>
      <w:r w:rsidRPr="00121123">
        <w:rPr>
          <w:b/>
          <w:noProof w:val="0"/>
        </w:rPr>
        <w:t>6.2</w:t>
      </w:r>
      <w:r w:rsidRPr="00121123">
        <w:rPr>
          <w:b/>
          <w:noProof w:val="0"/>
        </w:rPr>
        <w:tab/>
        <w:t>Inkompatibility</w:t>
      </w:r>
    </w:p>
    <w:p w14:paraId="7709AEE7" w14:textId="77777777" w:rsidR="00870248" w:rsidRPr="00121123" w:rsidRDefault="00870248" w:rsidP="007A3A03">
      <w:pPr>
        <w:keepNext/>
        <w:keepLines w:val="0"/>
        <w:tabs>
          <w:tab w:val="clear" w:pos="567"/>
        </w:tabs>
        <w:rPr>
          <w:noProof w:val="0"/>
        </w:rPr>
      </w:pPr>
    </w:p>
    <w:p w14:paraId="4987DDF0" w14:textId="77777777" w:rsidR="00870248" w:rsidRPr="00121123" w:rsidRDefault="00870248" w:rsidP="007A3A03">
      <w:pPr>
        <w:keepNext/>
        <w:keepLines w:val="0"/>
        <w:tabs>
          <w:tab w:val="clear" w:pos="567"/>
        </w:tabs>
        <w:rPr>
          <w:noProof w:val="0"/>
        </w:rPr>
      </w:pPr>
      <w:r w:rsidRPr="00121123">
        <w:rPr>
          <w:noProof w:val="0"/>
        </w:rPr>
        <w:t>Nasledujúce liečivá sa ne</w:t>
      </w:r>
      <w:r w:rsidR="008D52AC" w:rsidRPr="00121123">
        <w:rPr>
          <w:noProof w:val="0"/>
        </w:rPr>
        <w:t>majú</w:t>
      </w:r>
      <w:r w:rsidRPr="00121123">
        <w:rPr>
          <w:noProof w:val="0"/>
        </w:rPr>
        <w:t xml:space="preserve"> podávať sú</w:t>
      </w:r>
      <w:r w:rsidR="00A50174" w:rsidRPr="00121123">
        <w:rPr>
          <w:noProof w:val="0"/>
        </w:rPr>
        <w:t>bežne</w:t>
      </w:r>
      <w:r w:rsidRPr="00121123">
        <w:rPr>
          <w:noProof w:val="0"/>
        </w:rPr>
        <w:t xml:space="preserve"> </w:t>
      </w:r>
      <w:r w:rsidR="0063750B" w:rsidRPr="00121123">
        <w:rPr>
          <w:noProof w:val="0"/>
        </w:rPr>
        <w:t>s </w:t>
      </w:r>
      <w:r w:rsidR="008E6C0B" w:rsidRPr="00121123">
        <w:rPr>
          <w:noProof w:val="0"/>
        </w:rPr>
        <w:t xml:space="preserve">tigecyklínom </w:t>
      </w:r>
      <w:r w:rsidRPr="00121123">
        <w:rPr>
          <w:noProof w:val="0"/>
        </w:rPr>
        <w:t>cez rovnaké</w:t>
      </w:r>
      <w:r w:rsidR="00364ECC" w:rsidRPr="00121123">
        <w:rPr>
          <w:noProof w:val="0"/>
        </w:rPr>
        <w:t xml:space="preserve"> r</w:t>
      </w:r>
      <w:r w:rsidRPr="00121123">
        <w:rPr>
          <w:noProof w:val="0"/>
        </w:rPr>
        <w:t xml:space="preserve">ameno </w:t>
      </w:r>
      <w:r w:rsidR="00364ECC" w:rsidRPr="00121123">
        <w:rPr>
          <w:noProof w:val="0"/>
        </w:rPr>
        <w:t>trojcestného kohútika</w:t>
      </w:r>
      <w:r w:rsidRPr="00121123">
        <w:rPr>
          <w:noProof w:val="0"/>
        </w:rPr>
        <w:t xml:space="preserve">: amfotericín B, </w:t>
      </w:r>
      <w:r w:rsidR="00A50174" w:rsidRPr="00121123">
        <w:rPr>
          <w:noProof w:val="0"/>
        </w:rPr>
        <w:t>l</w:t>
      </w:r>
      <w:r w:rsidRPr="00121123">
        <w:rPr>
          <w:noProof w:val="0"/>
        </w:rPr>
        <w:t xml:space="preserve">ipidový </w:t>
      </w:r>
      <w:r w:rsidR="0049528C" w:rsidRPr="00121123">
        <w:rPr>
          <w:noProof w:val="0"/>
        </w:rPr>
        <w:t xml:space="preserve">komplex </w:t>
      </w:r>
      <w:r w:rsidR="00A50174" w:rsidRPr="00121123">
        <w:rPr>
          <w:noProof w:val="0"/>
        </w:rPr>
        <w:t>amfotericínu B</w:t>
      </w:r>
      <w:r w:rsidR="0052217A" w:rsidRPr="00121123">
        <w:rPr>
          <w:noProof w:val="0"/>
        </w:rPr>
        <w:t>, diazepam, e</w:t>
      </w:r>
      <w:r w:rsidR="00A50174" w:rsidRPr="00121123">
        <w:rPr>
          <w:noProof w:val="0"/>
        </w:rPr>
        <w:t>z</w:t>
      </w:r>
      <w:r w:rsidR="0052217A" w:rsidRPr="00121123">
        <w:rPr>
          <w:noProof w:val="0"/>
        </w:rPr>
        <w:t>omeprazol, omeprazol a intravenózne roztoky, ktoré môžu zvýšiť pH na</w:t>
      </w:r>
      <w:r w:rsidR="00A50174" w:rsidRPr="00121123">
        <w:rPr>
          <w:noProof w:val="0"/>
        </w:rPr>
        <w:t xml:space="preserve"> viac </w:t>
      </w:r>
      <w:r w:rsidR="00236237" w:rsidRPr="00121123">
        <w:rPr>
          <w:noProof w:val="0"/>
        </w:rPr>
        <w:t>ako 7</w:t>
      </w:r>
      <w:r w:rsidR="0052217A" w:rsidRPr="00121123">
        <w:rPr>
          <w:noProof w:val="0"/>
        </w:rPr>
        <w:t>.</w:t>
      </w:r>
    </w:p>
    <w:p w14:paraId="7C5A0A23" w14:textId="77777777" w:rsidR="00870248" w:rsidRPr="00121123" w:rsidRDefault="00870248" w:rsidP="007A3A03">
      <w:pPr>
        <w:keepLines w:val="0"/>
        <w:tabs>
          <w:tab w:val="clear" w:pos="567"/>
        </w:tabs>
        <w:rPr>
          <w:noProof w:val="0"/>
        </w:rPr>
      </w:pPr>
    </w:p>
    <w:p w14:paraId="2543EBA2" w14:textId="77777777" w:rsidR="00870248" w:rsidRPr="00121123" w:rsidRDefault="0063750B" w:rsidP="007A3A03">
      <w:pPr>
        <w:keepLines w:val="0"/>
        <w:tabs>
          <w:tab w:val="clear" w:pos="567"/>
        </w:tabs>
        <w:rPr>
          <w:noProof w:val="0"/>
        </w:rPr>
      </w:pPr>
      <w:r w:rsidRPr="00121123">
        <w:rPr>
          <w:noProof w:val="0"/>
        </w:rPr>
        <w:t xml:space="preserve">Tento liek sa </w:t>
      </w:r>
      <w:r w:rsidR="00870248" w:rsidRPr="00121123">
        <w:rPr>
          <w:noProof w:val="0"/>
        </w:rPr>
        <w:t>nesmie miešať s inými liekmi</w:t>
      </w:r>
      <w:r w:rsidRPr="00121123">
        <w:rPr>
          <w:noProof w:val="0"/>
        </w:rPr>
        <w:t xml:space="preserve"> okrem tých</w:t>
      </w:r>
      <w:r w:rsidR="00870248" w:rsidRPr="00121123">
        <w:rPr>
          <w:noProof w:val="0"/>
        </w:rPr>
        <w:t>, ktoré sú</w:t>
      </w:r>
      <w:r w:rsidRPr="00121123">
        <w:rPr>
          <w:noProof w:val="0"/>
        </w:rPr>
        <w:t xml:space="preserve"> uvedené v </w:t>
      </w:r>
      <w:r w:rsidR="00870248" w:rsidRPr="00121123">
        <w:rPr>
          <w:noProof w:val="0"/>
        </w:rPr>
        <w:t>čas</w:t>
      </w:r>
      <w:r w:rsidRPr="00121123">
        <w:rPr>
          <w:noProof w:val="0"/>
        </w:rPr>
        <w:t>ti</w:t>
      </w:r>
      <w:r w:rsidR="00870248" w:rsidRPr="00121123">
        <w:rPr>
          <w:noProof w:val="0"/>
        </w:rPr>
        <w:t xml:space="preserve"> 6.6.</w:t>
      </w:r>
    </w:p>
    <w:p w14:paraId="39B376B3" w14:textId="77777777" w:rsidR="00870248" w:rsidRPr="00121123" w:rsidRDefault="00870248" w:rsidP="007A3A03">
      <w:pPr>
        <w:keepLines w:val="0"/>
        <w:tabs>
          <w:tab w:val="clear" w:pos="567"/>
        </w:tabs>
        <w:rPr>
          <w:noProof w:val="0"/>
        </w:rPr>
      </w:pPr>
    </w:p>
    <w:p w14:paraId="34DD8A7E" w14:textId="77777777" w:rsidR="00870248" w:rsidRPr="00121123" w:rsidRDefault="00870248" w:rsidP="007A3A03">
      <w:pPr>
        <w:keepNext/>
        <w:rPr>
          <w:b/>
          <w:noProof w:val="0"/>
        </w:rPr>
      </w:pPr>
      <w:bookmarkStart w:id="10" w:name="_6_3_Shelf_life"/>
      <w:bookmarkEnd w:id="10"/>
      <w:r w:rsidRPr="00121123">
        <w:rPr>
          <w:b/>
          <w:noProof w:val="0"/>
        </w:rPr>
        <w:lastRenderedPageBreak/>
        <w:t>6.3</w:t>
      </w:r>
      <w:r w:rsidRPr="00121123">
        <w:rPr>
          <w:b/>
          <w:noProof w:val="0"/>
        </w:rPr>
        <w:tab/>
        <w:t>Čas použiteľnosti</w:t>
      </w:r>
    </w:p>
    <w:p w14:paraId="3216D8F8" w14:textId="77777777" w:rsidR="00870248" w:rsidRPr="00121123" w:rsidRDefault="00870248" w:rsidP="007A3A03">
      <w:pPr>
        <w:keepNext/>
        <w:keepLines w:val="0"/>
        <w:rPr>
          <w:noProof w:val="0"/>
        </w:rPr>
      </w:pPr>
    </w:p>
    <w:p w14:paraId="318E69BA" w14:textId="77777777" w:rsidR="00870248" w:rsidRPr="00121123" w:rsidRDefault="00ED0A13" w:rsidP="007A3A03">
      <w:pPr>
        <w:keepNext/>
        <w:keepLines w:val="0"/>
        <w:tabs>
          <w:tab w:val="clear" w:pos="567"/>
        </w:tabs>
        <w:rPr>
          <w:noProof w:val="0"/>
        </w:rPr>
      </w:pPr>
      <w:r>
        <w:rPr>
          <w:noProof w:val="0"/>
        </w:rPr>
        <w:t>3</w:t>
      </w:r>
      <w:r w:rsidR="00F6424B">
        <w:rPr>
          <w:noProof w:val="0"/>
        </w:rPr>
        <w:t xml:space="preserve"> roky</w:t>
      </w:r>
      <w:r w:rsidR="000101AA">
        <w:rPr>
          <w:noProof w:val="0"/>
        </w:rPr>
        <w:t>.</w:t>
      </w:r>
    </w:p>
    <w:p w14:paraId="3F7AD0EC" w14:textId="77777777" w:rsidR="00870248" w:rsidRPr="00121123" w:rsidRDefault="00870248" w:rsidP="007A3A03">
      <w:pPr>
        <w:pStyle w:val="Header"/>
        <w:keepLines w:val="0"/>
        <w:tabs>
          <w:tab w:val="clear" w:pos="4320"/>
          <w:tab w:val="clear" w:pos="8640"/>
        </w:tabs>
        <w:rPr>
          <w:noProof w:val="0"/>
        </w:rPr>
      </w:pPr>
    </w:p>
    <w:p w14:paraId="65ADCB18" w14:textId="77777777" w:rsidR="00475DB7" w:rsidRDefault="000101AA" w:rsidP="000101AA">
      <w:pPr>
        <w:keepLines w:val="0"/>
        <w:tabs>
          <w:tab w:val="clear" w:pos="567"/>
        </w:tabs>
        <w:rPr>
          <w:noProof w:val="0"/>
        </w:rPr>
      </w:pPr>
      <w:r w:rsidRPr="000101AA">
        <w:rPr>
          <w:noProof w:val="0"/>
        </w:rPr>
        <w:t>Rekonštituovaný roztok</w:t>
      </w:r>
      <w:r>
        <w:rPr>
          <w:noProof w:val="0"/>
        </w:rPr>
        <w:t xml:space="preserve">: Chemická a fyzikálna stabilita </w:t>
      </w:r>
      <w:r w:rsidR="00A45A61">
        <w:rPr>
          <w:noProof w:val="0"/>
        </w:rPr>
        <w:t>po otvorení</w:t>
      </w:r>
      <w:r>
        <w:rPr>
          <w:noProof w:val="0"/>
        </w:rPr>
        <w:t xml:space="preserve"> bola preukázaná počas 6 hodín pri teplote 20–25 °C. Z mikrobiologického hľadiska </w:t>
      </w:r>
      <w:r w:rsidR="00E708FC">
        <w:rPr>
          <w:noProof w:val="0"/>
        </w:rPr>
        <w:t xml:space="preserve">sa má </w:t>
      </w:r>
      <w:r>
        <w:rPr>
          <w:noProof w:val="0"/>
        </w:rPr>
        <w:t>liek použiť okamžite. Ak sa nepoužije okamžite, za čas a podmienky uchovávania pred použitím zodpovedá používateľ</w:t>
      </w:r>
      <w:r w:rsidR="008C08FC">
        <w:rPr>
          <w:noProof w:val="0"/>
        </w:rPr>
        <w:t>.</w:t>
      </w:r>
      <w:r>
        <w:rPr>
          <w:noProof w:val="0"/>
        </w:rPr>
        <w:t xml:space="preserve"> </w:t>
      </w:r>
      <w:r w:rsidR="008C08FC" w:rsidRPr="008C08FC">
        <w:rPr>
          <w:noProof w:val="0"/>
        </w:rPr>
        <w:t>Spravidla sa nesmie uchovávať dlhšie ako</w:t>
      </w:r>
      <w:r>
        <w:rPr>
          <w:noProof w:val="0"/>
        </w:rPr>
        <w:t xml:space="preserve"> </w:t>
      </w:r>
      <w:r w:rsidRPr="000101AA">
        <w:rPr>
          <w:noProof w:val="0"/>
        </w:rPr>
        <w:t>vyššie uveden</w:t>
      </w:r>
      <w:r>
        <w:rPr>
          <w:noProof w:val="0"/>
        </w:rPr>
        <w:t>á</w:t>
      </w:r>
      <w:r w:rsidRPr="000101AA">
        <w:rPr>
          <w:noProof w:val="0"/>
        </w:rPr>
        <w:t xml:space="preserve"> doba chemick</w:t>
      </w:r>
      <w:r>
        <w:rPr>
          <w:noProof w:val="0"/>
        </w:rPr>
        <w:t>ej</w:t>
      </w:r>
      <w:r w:rsidRPr="000101AA">
        <w:rPr>
          <w:noProof w:val="0"/>
        </w:rPr>
        <w:t xml:space="preserve"> a fyzikáln</w:t>
      </w:r>
      <w:r>
        <w:rPr>
          <w:noProof w:val="0"/>
        </w:rPr>
        <w:t>ej</w:t>
      </w:r>
      <w:r w:rsidRPr="000101AA">
        <w:rPr>
          <w:noProof w:val="0"/>
        </w:rPr>
        <w:t xml:space="preserve"> stability po otvorení</w:t>
      </w:r>
      <w:r>
        <w:rPr>
          <w:noProof w:val="0"/>
        </w:rPr>
        <w:t>.</w:t>
      </w:r>
      <w:r w:rsidRPr="00121123" w:rsidDel="000101AA">
        <w:rPr>
          <w:noProof w:val="0"/>
        </w:rPr>
        <w:t xml:space="preserve"> </w:t>
      </w:r>
    </w:p>
    <w:p w14:paraId="57553DFF" w14:textId="77777777" w:rsidR="00475DB7" w:rsidRDefault="00475DB7" w:rsidP="000101AA">
      <w:pPr>
        <w:keepLines w:val="0"/>
        <w:tabs>
          <w:tab w:val="clear" w:pos="567"/>
        </w:tabs>
        <w:rPr>
          <w:noProof w:val="0"/>
        </w:rPr>
      </w:pPr>
    </w:p>
    <w:p w14:paraId="7C383726" w14:textId="77777777" w:rsidR="00870248" w:rsidRPr="00121123" w:rsidRDefault="00475DB7" w:rsidP="000101AA">
      <w:pPr>
        <w:keepLines w:val="0"/>
        <w:tabs>
          <w:tab w:val="clear" w:pos="567"/>
        </w:tabs>
        <w:rPr>
          <w:noProof w:val="0"/>
        </w:rPr>
      </w:pPr>
      <w:r>
        <w:rPr>
          <w:noProof w:val="0"/>
        </w:rPr>
        <w:t>Z</w:t>
      </w:r>
      <w:r w:rsidRPr="00475DB7">
        <w:rPr>
          <w:noProof w:val="0"/>
        </w:rPr>
        <w:t>riedený roztok</w:t>
      </w:r>
      <w:r>
        <w:rPr>
          <w:noProof w:val="0"/>
        </w:rPr>
        <w:t xml:space="preserve">: Chemická a fyzikálna stabilita </w:t>
      </w:r>
      <w:r w:rsidR="00A45A61" w:rsidRPr="00A45A61">
        <w:rPr>
          <w:noProof w:val="0"/>
        </w:rPr>
        <w:t xml:space="preserve">po otvorení </w:t>
      </w:r>
      <w:r>
        <w:rPr>
          <w:noProof w:val="0"/>
        </w:rPr>
        <w:t xml:space="preserve">bola preukázaná počas 24 hodín pri teplote 20–25 °C a 48 hodín pri teplote 2–8 °C. Z mikrobiologického hľadiska </w:t>
      </w:r>
      <w:r w:rsidR="00E708FC">
        <w:rPr>
          <w:noProof w:val="0"/>
        </w:rPr>
        <w:t>sa má</w:t>
      </w:r>
      <w:r>
        <w:rPr>
          <w:noProof w:val="0"/>
        </w:rPr>
        <w:t xml:space="preserve"> liek použiť okamžite. Ak sa nepoužije okamžite, za čas a podmienky uchovávania pred použitím zodpovedá používateľ. </w:t>
      </w:r>
      <w:r w:rsidRPr="008C08FC">
        <w:rPr>
          <w:noProof w:val="0"/>
        </w:rPr>
        <w:t>Spravidla sa nesmie uchovávať dlhšie ako</w:t>
      </w:r>
      <w:r>
        <w:rPr>
          <w:noProof w:val="0"/>
        </w:rPr>
        <w:t xml:space="preserve"> </w:t>
      </w:r>
      <w:r w:rsidRPr="000101AA">
        <w:rPr>
          <w:noProof w:val="0"/>
        </w:rPr>
        <w:t>vyššie uveden</w:t>
      </w:r>
      <w:r>
        <w:rPr>
          <w:noProof w:val="0"/>
        </w:rPr>
        <w:t>á</w:t>
      </w:r>
      <w:r w:rsidRPr="000101AA">
        <w:rPr>
          <w:noProof w:val="0"/>
        </w:rPr>
        <w:t xml:space="preserve"> doba chemick</w:t>
      </w:r>
      <w:r>
        <w:rPr>
          <w:noProof w:val="0"/>
        </w:rPr>
        <w:t>ej</w:t>
      </w:r>
      <w:r w:rsidRPr="000101AA">
        <w:rPr>
          <w:noProof w:val="0"/>
        </w:rPr>
        <w:t xml:space="preserve"> a fyzikáln</w:t>
      </w:r>
      <w:r>
        <w:rPr>
          <w:noProof w:val="0"/>
        </w:rPr>
        <w:t>ej</w:t>
      </w:r>
      <w:r w:rsidRPr="000101AA">
        <w:rPr>
          <w:noProof w:val="0"/>
        </w:rPr>
        <w:t xml:space="preserve"> stability po otvorení</w:t>
      </w:r>
      <w:r>
        <w:rPr>
          <w:noProof w:val="0"/>
        </w:rPr>
        <w:t>.</w:t>
      </w:r>
      <w:r w:rsidRPr="00121123" w:rsidDel="000101AA">
        <w:rPr>
          <w:noProof w:val="0"/>
        </w:rPr>
        <w:t xml:space="preserve"> </w:t>
      </w:r>
      <w:r w:rsidR="00870248" w:rsidRPr="00121123">
        <w:rPr>
          <w:noProof w:val="0"/>
        </w:rPr>
        <w:t xml:space="preserve"> </w:t>
      </w:r>
    </w:p>
    <w:p w14:paraId="13A8B301" w14:textId="77777777" w:rsidR="00870248" w:rsidRPr="00121123" w:rsidRDefault="00870248" w:rsidP="007A3A03">
      <w:pPr>
        <w:keepLines w:val="0"/>
        <w:tabs>
          <w:tab w:val="clear" w:pos="567"/>
        </w:tabs>
        <w:rPr>
          <w:noProof w:val="0"/>
        </w:rPr>
      </w:pPr>
    </w:p>
    <w:p w14:paraId="49E7ED21" w14:textId="77777777" w:rsidR="00870248" w:rsidRPr="00121123" w:rsidRDefault="00870248" w:rsidP="007A3A03">
      <w:pPr>
        <w:rPr>
          <w:b/>
          <w:noProof w:val="0"/>
        </w:rPr>
      </w:pPr>
      <w:r w:rsidRPr="00121123">
        <w:rPr>
          <w:b/>
          <w:noProof w:val="0"/>
        </w:rPr>
        <w:t>6.4</w:t>
      </w:r>
      <w:r w:rsidRPr="00121123">
        <w:rPr>
          <w:b/>
          <w:noProof w:val="0"/>
        </w:rPr>
        <w:tab/>
        <w:t>Špeciálne upozornenia na uchovávanie</w:t>
      </w:r>
    </w:p>
    <w:p w14:paraId="6180D491" w14:textId="77777777" w:rsidR="00870248" w:rsidRPr="00121123" w:rsidRDefault="00870248" w:rsidP="007A3A03">
      <w:pPr>
        <w:keepLines w:val="0"/>
        <w:tabs>
          <w:tab w:val="clear" w:pos="567"/>
        </w:tabs>
        <w:ind w:left="567" w:hanging="567"/>
        <w:rPr>
          <w:noProof w:val="0"/>
        </w:rPr>
      </w:pPr>
    </w:p>
    <w:p w14:paraId="2667A6C1" w14:textId="77777777" w:rsidR="00364ECC" w:rsidRPr="00121123" w:rsidRDefault="00E558A6" w:rsidP="007A3A03">
      <w:pPr>
        <w:tabs>
          <w:tab w:val="clear" w:pos="567"/>
        </w:tabs>
        <w:rPr>
          <w:noProof w:val="0"/>
        </w:rPr>
      </w:pPr>
      <w:r w:rsidRPr="00E558A6">
        <w:rPr>
          <w:noProof w:val="0"/>
        </w:rPr>
        <w:t>Tento liek nevyžaduje žiadne zvláštne podmienky na uchovávanie</w:t>
      </w:r>
      <w:r w:rsidR="00364ECC" w:rsidRPr="00121123">
        <w:rPr>
          <w:noProof w:val="0"/>
        </w:rPr>
        <w:t>.</w:t>
      </w:r>
    </w:p>
    <w:p w14:paraId="7174F90D" w14:textId="77777777" w:rsidR="008E6C0B" w:rsidRPr="00121123" w:rsidRDefault="008E6C0B" w:rsidP="007A3A03">
      <w:pPr>
        <w:keepLines w:val="0"/>
        <w:tabs>
          <w:tab w:val="clear" w:pos="567"/>
        </w:tabs>
        <w:ind w:left="567" w:hanging="567"/>
        <w:rPr>
          <w:noProof w:val="0"/>
        </w:rPr>
      </w:pPr>
    </w:p>
    <w:p w14:paraId="2F8357BE" w14:textId="77777777" w:rsidR="00870248" w:rsidRPr="00121123" w:rsidRDefault="00870248" w:rsidP="007A3A03">
      <w:pPr>
        <w:keepLines w:val="0"/>
        <w:tabs>
          <w:tab w:val="clear" w:pos="567"/>
        </w:tabs>
        <w:ind w:left="567" w:hanging="567"/>
        <w:rPr>
          <w:noProof w:val="0"/>
        </w:rPr>
      </w:pPr>
      <w:r w:rsidRPr="00121123">
        <w:rPr>
          <w:noProof w:val="0"/>
        </w:rPr>
        <w:t xml:space="preserve">Podmienky na uchovávanie </w:t>
      </w:r>
      <w:r w:rsidR="002E2908" w:rsidRPr="00121123">
        <w:rPr>
          <w:noProof w:val="0"/>
        </w:rPr>
        <w:t xml:space="preserve">po </w:t>
      </w:r>
      <w:r w:rsidR="005B7025" w:rsidRPr="00121123">
        <w:rPr>
          <w:noProof w:val="0"/>
        </w:rPr>
        <w:t>rekonštit</w:t>
      </w:r>
      <w:r w:rsidR="002E2908" w:rsidRPr="00121123">
        <w:rPr>
          <w:noProof w:val="0"/>
        </w:rPr>
        <w:t>úcii</w:t>
      </w:r>
      <w:r w:rsidR="005B7025" w:rsidRPr="00121123">
        <w:rPr>
          <w:noProof w:val="0"/>
        </w:rPr>
        <w:t xml:space="preserve"> </w:t>
      </w:r>
      <w:r w:rsidRPr="00121123">
        <w:rPr>
          <w:noProof w:val="0"/>
        </w:rPr>
        <w:t>lieku</w:t>
      </w:r>
      <w:r w:rsidR="0063750B" w:rsidRPr="00121123">
        <w:rPr>
          <w:noProof w:val="0"/>
        </w:rPr>
        <w:t xml:space="preserve">, pozri </w:t>
      </w:r>
      <w:r w:rsidRPr="00121123">
        <w:rPr>
          <w:noProof w:val="0"/>
        </w:rPr>
        <w:t>čas</w:t>
      </w:r>
      <w:r w:rsidR="0063750B" w:rsidRPr="00121123">
        <w:rPr>
          <w:noProof w:val="0"/>
        </w:rPr>
        <w:t>ť</w:t>
      </w:r>
      <w:r w:rsidRPr="00121123">
        <w:rPr>
          <w:noProof w:val="0"/>
        </w:rPr>
        <w:t xml:space="preserve"> 6.3.</w:t>
      </w:r>
    </w:p>
    <w:p w14:paraId="5CC9DCC7" w14:textId="77777777" w:rsidR="00870248" w:rsidRPr="00121123" w:rsidRDefault="00870248" w:rsidP="007A3A03">
      <w:pPr>
        <w:keepLines w:val="0"/>
        <w:tabs>
          <w:tab w:val="clear" w:pos="567"/>
        </w:tabs>
        <w:rPr>
          <w:noProof w:val="0"/>
        </w:rPr>
      </w:pPr>
    </w:p>
    <w:p w14:paraId="4727A671" w14:textId="77777777" w:rsidR="00870248" w:rsidRPr="00121123" w:rsidRDefault="00870248" w:rsidP="007A3A03">
      <w:pPr>
        <w:keepNext/>
        <w:rPr>
          <w:b/>
          <w:noProof w:val="0"/>
        </w:rPr>
      </w:pPr>
      <w:r w:rsidRPr="00121123">
        <w:rPr>
          <w:b/>
          <w:noProof w:val="0"/>
        </w:rPr>
        <w:t>6.5</w:t>
      </w:r>
      <w:r w:rsidRPr="00121123">
        <w:rPr>
          <w:b/>
          <w:noProof w:val="0"/>
        </w:rPr>
        <w:tab/>
        <w:t>Druh obalu a obsah balenia</w:t>
      </w:r>
      <w:r w:rsidR="00D3455C" w:rsidRPr="00121123">
        <w:rPr>
          <w:b/>
          <w:noProof w:val="0"/>
        </w:rPr>
        <w:t xml:space="preserve"> </w:t>
      </w:r>
    </w:p>
    <w:p w14:paraId="57292952" w14:textId="77777777" w:rsidR="00870248" w:rsidRPr="00121123" w:rsidRDefault="00870248" w:rsidP="007A3A03">
      <w:pPr>
        <w:keepNext/>
        <w:tabs>
          <w:tab w:val="clear" w:pos="567"/>
        </w:tabs>
        <w:rPr>
          <w:noProof w:val="0"/>
        </w:rPr>
      </w:pPr>
    </w:p>
    <w:p w14:paraId="61231AAF" w14:textId="77777777" w:rsidR="00BC0617" w:rsidRDefault="00CE458C" w:rsidP="007A3A03">
      <w:pPr>
        <w:keepNext/>
        <w:tabs>
          <w:tab w:val="clear" w:pos="567"/>
        </w:tabs>
        <w:rPr>
          <w:noProof w:val="0"/>
        </w:rPr>
      </w:pPr>
      <w:r w:rsidRPr="00121123">
        <w:rPr>
          <w:noProof w:val="0"/>
        </w:rPr>
        <w:t xml:space="preserve">Číre sklené injekčné liekovky typu I s objemom </w:t>
      </w:r>
      <w:r>
        <w:rPr>
          <w:noProof w:val="0"/>
        </w:rPr>
        <w:t>10</w:t>
      </w:r>
      <w:r w:rsidRPr="00121123">
        <w:rPr>
          <w:noProof w:val="0"/>
        </w:rPr>
        <w:t> ml uzavreté siv</w:t>
      </w:r>
      <w:r w:rsidR="00E708FC">
        <w:rPr>
          <w:noProof w:val="0"/>
        </w:rPr>
        <w:t>ou</w:t>
      </w:r>
      <w:r w:rsidRPr="00121123">
        <w:rPr>
          <w:noProof w:val="0"/>
        </w:rPr>
        <w:t xml:space="preserve"> zátk</w:t>
      </w:r>
      <w:r w:rsidR="00E708FC">
        <w:rPr>
          <w:noProof w:val="0"/>
        </w:rPr>
        <w:t>ou</w:t>
      </w:r>
      <w:r w:rsidRPr="00121123">
        <w:rPr>
          <w:noProof w:val="0"/>
        </w:rPr>
        <w:t xml:space="preserve"> z </w:t>
      </w:r>
      <w:r>
        <w:rPr>
          <w:noProof w:val="0"/>
        </w:rPr>
        <w:t>bromo</w:t>
      </w:r>
      <w:r w:rsidRPr="00121123">
        <w:rPr>
          <w:noProof w:val="0"/>
        </w:rPr>
        <w:t>butylovej gumy a</w:t>
      </w:r>
      <w:r>
        <w:rPr>
          <w:noProof w:val="0"/>
        </w:rPr>
        <w:t> </w:t>
      </w:r>
      <w:r w:rsidRPr="00CE458C">
        <w:rPr>
          <w:noProof w:val="0"/>
        </w:rPr>
        <w:t>vyklápacím</w:t>
      </w:r>
      <w:r>
        <w:rPr>
          <w:noProof w:val="0"/>
        </w:rPr>
        <w:t xml:space="preserve"> </w:t>
      </w:r>
      <w:r w:rsidRPr="00121123">
        <w:rPr>
          <w:noProof w:val="0"/>
        </w:rPr>
        <w:t>hliníkovým uzáver</w:t>
      </w:r>
      <w:r w:rsidR="00E708FC">
        <w:rPr>
          <w:noProof w:val="0"/>
        </w:rPr>
        <w:t>o</w:t>
      </w:r>
      <w:r w:rsidRPr="00121123">
        <w:rPr>
          <w:noProof w:val="0"/>
        </w:rPr>
        <w:t>m.</w:t>
      </w:r>
    </w:p>
    <w:p w14:paraId="1AC39AFF" w14:textId="77777777" w:rsidR="00BC0617" w:rsidRDefault="00BC0617" w:rsidP="007A3A03">
      <w:pPr>
        <w:keepNext/>
        <w:tabs>
          <w:tab w:val="clear" w:pos="567"/>
        </w:tabs>
      </w:pPr>
      <w:r>
        <w:rPr>
          <w:noProof w:val="0"/>
        </w:rPr>
        <w:t>Balenie obsahujúce jednu alebo desať injekčných liekoviek</w:t>
      </w:r>
      <w:r w:rsidR="00CE458C" w:rsidRPr="00121123">
        <w:rPr>
          <w:noProof w:val="0"/>
        </w:rPr>
        <w:t>.</w:t>
      </w:r>
      <w:r w:rsidR="009A7A6C" w:rsidRPr="009A7A6C">
        <w:t xml:space="preserve"> </w:t>
      </w:r>
    </w:p>
    <w:p w14:paraId="5D1DDFEF" w14:textId="77777777" w:rsidR="00CE458C" w:rsidRPr="00121123" w:rsidRDefault="009A7A6C" w:rsidP="007A3A03">
      <w:pPr>
        <w:keepNext/>
        <w:tabs>
          <w:tab w:val="clear" w:pos="567"/>
        </w:tabs>
        <w:rPr>
          <w:noProof w:val="0"/>
        </w:rPr>
      </w:pPr>
      <w:r w:rsidRPr="009A7A6C">
        <w:rPr>
          <w:noProof w:val="0"/>
        </w:rPr>
        <w:t>Na trh nemusia byť všetky veľkosti balenia.</w:t>
      </w:r>
      <w:r>
        <w:rPr>
          <w:noProof w:val="0"/>
        </w:rPr>
        <w:t xml:space="preserve"> </w:t>
      </w:r>
    </w:p>
    <w:p w14:paraId="5E24AF9C" w14:textId="77777777" w:rsidR="00870248" w:rsidRPr="00121123" w:rsidRDefault="00870248" w:rsidP="007A3A03">
      <w:pPr>
        <w:pStyle w:val="Header"/>
        <w:keepLines w:val="0"/>
        <w:tabs>
          <w:tab w:val="clear" w:pos="4320"/>
          <w:tab w:val="clear" w:pos="8640"/>
        </w:tabs>
        <w:rPr>
          <w:noProof w:val="0"/>
        </w:rPr>
      </w:pPr>
    </w:p>
    <w:p w14:paraId="4071E111" w14:textId="77777777" w:rsidR="00870248" w:rsidRPr="00121123" w:rsidRDefault="00870248" w:rsidP="007A3A03">
      <w:pPr>
        <w:rPr>
          <w:b/>
          <w:noProof w:val="0"/>
        </w:rPr>
      </w:pPr>
      <w:bookmarkStart w:id="11" w:name="_6_6_Instructions_for"/>
      <w:bookmarkEnd w:id="11"/>
      <w:r w:rsidRPr="00121123">
        <w:rPr>
          <w:b/>
          <w:noProof w:val="0"/>
        </w:rPr>
        <w:t>6.6</w:t>
      </w:r>
      <w:r w:rsidRPr="00121123">
        <w:rPr>
          <w:b/>
          <w:noProof w:val="0"/>
        </w:rPr>
        <w:tab/>
        <w:t>Špeciálne opatrenia na likvidáciu a iné zaobchádzanie s liekom</w:t>
      </w:r>
    </w:p>
    <w:p w14:paraId="6BD42A81" w14:textId="77777777" w:rsidR="00870248" w:rsidRPr="00121123" w:rsidRDefault="00870248" w:rsidP="007A3A03">
      <w:pPr>
        <w:keepNext/>
        <w:keepLines w:val="0"/>
        <w:tabs>
          <w:tab w:val="clear" w:pos="567"/>
        </w:tabs>
        <w:rPr>
          <w:noProof w:val="0"/>
        </w:rPr>
      </w:pPr>
    </w:p>
    <w:p w14:paraId="456F9531" w14:textId="77777777" w:rsidR="00870248" w:rsidRPr="00121123" w:rsidRDefault="008E6C0B" w:rsidP="007A3A03">
      <w:pPr>
        <w:keepLines w:val="0"/>
        <w:tabs>
          <w:tab w:val="clear" w:pos="567"/>
        </w:tabs>
        <w:rPr>
          <w:noProof w:val="0"/>
        </w:rPr>
      </w:pPr>
      <w:r w:rsidRPr="00121123">
        <w:rPr>
          <w:noProof w:val="0"/>
        </w:rPr>
        <w:t>P</w:t>
      </w:r>
      <w:r w:rsidR="00870248" w:rsidRPr="00121123">
        <w:rPr>
          <w:noProof w:val="0"/>
        </w:rPr>
        <w:t xml:space="preserve">rášok sa má </w:t>
      </w:r>
      <w:r w:rsidR="009C6EB7" w:rsidRPr="00121123">
        <w:rPr>
          <w:noProof w:val="0"/>
        </w:rPr>
        <w:t>pripraviť</w:t>
      </w:r>
      <w:r w:rsidR="00870248" w:rsidRPr="00121123">
        <w:rPr>
          <w:noProof w:val="0"/>
        </w:rPr>
        <w:t xml:space="preserve"> pomocou 5,3 ml injekčného roztoku </w:t>
      </w:r>
      <w:r w:rsidR="009C6EB7" w:rsidRPr="00121123">
        <w:rPr>
          <w:noProof w:val="0"/>
        </w:rPr>
        <w:t xml:space="preserve">chloridu sodného </w:t>
      </w:r>
      <w:r w:rsidR="00870248" w:rsidRPr="00121123">
        <w:rPr>
          <w:noProof w:val="0"/>
        </w:rPr>
        <w:t xml:space="preserve">9 mg/ml </w:t>
      </w:r>
      <w:r w:rsidR="00D77D0B" w:rsidRPr="00121123">
        <w:rPr>
          <w:noProof w:val="0"/>
        </w:rPr>
        <w:t>(0,9 %)</w:t>
      </w:r>
      <w:r w:rsidR="00E56F2D" w:rsidRPr="00121123">
        <w:rPr>
          <w:noProof w:val="0"/>
        </w:rPr>
        <w:t xml:space="preserve">, </w:t>
      </w:r>
      <w:r w:rsidR="00870248" w:rsidRPr="00121123">
        <w:rPr>
          <w:noProof w:val="0"/>
        </w:rPr>
        <w:t xml:space="preserve">injekčného roztoku </w:t>
      </w:r>
      <w:r w:rsidR="009C6EB7" w:rsidRPr="00121123">
        <w:rPr>
          <w:noProof w:val="0"/>
        </w:rPr>
        <w:t xml:space="preserve">glukózy </w:t>
      </w:r>
      <w:r w:rsidR="00870248" w:rsidRPr="00121123">
        <w:rPr>
          <w:noProof w:val="0"/>
        </w:rPr>
        <w:t xml:space="preserve">50 mg/ml </w:t>
      </w:r>
      <w:r w:rsidR="00B95B27" w:rsidRPr="00121123">
        <w:rPr>
          <w:noProof w:val="0"/>
        </w:rPr>
        <w:t>(5 %)</w:t>
      </w:r>
      <w:r w:rsidR="009C6EB7" w:rsidRPr="00121123">
        <w:rPr>
          <w:noProof w:val="0"/>
        </w:rPr>
        <w:t xml:space="preserve"> </w:t>
      </w:r>
      <w:r w:rsidR="003D3FA2" w:rsidRPr="00121123">
        <w:rPr>
          <w:noProof w:val="0"/>
        </w:rPr>
        <w:t xml:space="preserve">alebo </w:t>
      </w:r>
      <w:r w:rsidR="00174573" w:rsidRPr="00121123">
        <w:rPr>
          <w:noProof w:val="0"/>
        </w:rPr>
        <w:t xml:space="preserve">injekčného </w:t>
      </w:r>
      <w:r w:rsidR="003D3FA2" w:rsidRPr="00121123">
        <w:rPr>
          <w:noProof w:val="0"/>
        </w:rPr>
        <w:t>Ringerovho roztoku s laktátom</w:t>
      </w:r>
      <w:r w:rsidR="00870248" w:rsidRPr="00121123">
        <w:rPr>
          <w:noProof w:val="0"/>
        </w:rPr>
        <w:t>, aby sa dosiahla koncentrácia 10 mg/ml tigecyklínu. Injekčn</w:t>
      </w:r>
      <w:r w:rsidR="00157742" w:rsidRPr="00121123">
        <w:rPr>
          <w:noProof w:val="0"/>
        </w:rPr>
        <w:t>ou</w:t>
      </w:r>
      <w:r w:rsidR="00870248" w:rsidRPr="00121123">
        <w:rPr>
          <w:noProof w:val="0"/>
        </w:rPr>
        <w:t xml:space="preserve"> liekovk</w:t>
      </w:r>
      <w:r w:rsidR="00157742" w:rsidRPr="00121123">
        <w:rPr>
          <w:noProof w:val="0"/>
        </w:rPr>
        <w:t>ou</w:t>
      </w:r>
      <w:r w:rsidR="00870248" w:rsidRPr="00121123">
        <w:rPr>
          <w:noProof w:val="0"/>
        </w:rPr>
        <w:t xml:space="preserve"> sa má jemne </w:t>
      </w:r>
      <w:r w:rsidR="00157742" w:rsidRPr="00121123">
        <w:rPr>
          <w:noProof w:val="0"/>
        </w:rPr>
        <w:t>otáčať</w:t>
      </w:r>
      <w:r w:rsidR="00870248" w:rsidRPr="00121123">
        <w:rPr>
          <w:noProof w:val="0"/>
        </w:rPr>
        <w:t xml:space="preserve">, kým sa liek nerozpustí. Následne sa má ihneď odobrať z injekčnej liekovky 5 ml pripraveného roztoku a pridať do 100 ml </w:t>
      </w:r>
      <w:r w:rsidR="00581782" w:rsidRPr="00121123">
        <w:rPr>
          <w:noProof w:val="0"/>
        </w:rPr>
        <w:t xml:space="preserve">vaku </w:t>
      </w:r>
      <w:r w:rsidR="00870248" w:rsidRPr="00121123">
        <w:rPr>
          <w:noProof w:val="0"/>
        </w:rPr>
        <w:t xml:space="preserve">na </w:t>
      </w:r>
      <w:r w:rsidR="004C5A6E" w:rsidRPr="00121123">
        <w:rPr>
          <w:noProof w:val="0"/>
        </w:rPr>
        <w:t xml:space="preserve">intravenóznu </w:t>
      </w:r>
      <w:r w:rsidR="00870248" w:rsidRPr="00121123">
        <w:rPr>
          <w:noProof w:val="0"/>
        </w:rPr>
        <w:t>infúziu alebo do inej vhodnej infúznej nádoby (napr. sklenej fľaše).</w:t>
      </w:r>
    </w:p>
    <w:p w14:paraId="64BB5C3B" w14:textId="77777777" w:rsidR="00870248" w:rsidRPr="00121123" w:rsidRDefault="00870248" w:rsidP="007A3A03">
      <w:pPr>
        <w:keepLines w:val="0"/>
        <w:tabs>
          <w:tab w:val="clear" w:pos="567"/>
        </w:tabs>
        <w:rPr>
          <w:noProof w:val="0"/>
        </w:rPr>
      </w:pPr>
    </w:p>
    <w:p w14:paraId="02CE1EB3" w14:textId="77777777" w:rsidR="00870248" w:rsidRPr="00121123" w:rsidRDefault="00870248" w:rsidP="007A3A03">
      <w:pPr>
        <w:keepLines w:val="0"/>
        <w:tabs>
          <w:tab w:val="clear" w:pos="567"/>
        </w:tabs>
        <w:rPr>
          <w:noProof w:val="0"/>
        </w:rPr>
      </w:pPr>
      <w:r w:rsidRPr="00121123">
        <w:rPr>
          <w:noProof w:val="0"/>
        </w:rPr>
        <w:t>Na prípravu dávky 100 mg rozpustite dve injekčné liekovky do 100 ml v</w:t>
      </w:r>
      <w:r w:rsidR="00581782" w:rsidRPr="00121123">
        <w:rPr>
          <w:noProof w:val="0"/>
        </w:rPr>
        <w:t>aku</w:t>
      </w:r>
      <w:r w:rsidR="004C5A6E" w:rsidRPr="00121123">
        <w:rPr>
          <w:noProof w:val="0"/>
        </w:rPr>
        <w:t xml:space="preserve"> na intravenóznu infúziu</w:t>
      </w:r>
      <w:r w:rsidRPr="00121123">
        <w:rPr>
          <w:noProof w:val="0"/>
        </w:rPr>
        <w:t xml:space="preserve"> alebo do inej vhodnej infúznej nádoby (napr. sklenej fľaše). Upozornenie: Injekčná liekovka obsahuje 6 % prebytok. Preto je 5 ml </w:t>
      </w:r>
      <w:r w:rsidR="004C5A6E" w:rsidRPr="00121123">
        <w:rPr>
          <w:noProof w:val="0"/>
        </w:rPr>
        <w:t xml:space="preserve">pripraveného </w:t>
      </w:r>
      <w:r w:rsidRPr="00121123">
        <w:rPr>
          <w:noProof w:val="0"/>
        </w:rPr>
        <w:t>roztoku</w:t>
      </w:r>
      <w:r w:rsidR="004C5A6E" w:rsidRPr="00121123">
        <w:rPr>
          <w:noProof w:val="0"/>
        </w:rPr>
        <w:t xml:space="preserve"> zodpovedá</w:t>
      </w:r>
      <w:r w:rsidRPr="00121123">
        <w:rPr>
          <w:noProof w:val="0"/>
        </w:rPr>
        <w:t xml:space="preserve"> 50 mg liečiva. Pripravený roztok má byť žltej až oranžovej farby</w:t>
      </w:r>
      <w:r w:rsidR="004C5A6E" w:rsidRPr="00121123">
        <w:rPr>
          <w:noProof w:val="0"/>
        </w:rPr>
        <w:t>. A</w:t>
      </w:r>
      <w:r w:rsidRPr="00121123">
        <w:rPr>
          <w:noProof w:val="0"/>
        </w:rPr>
        <w:t xml:space="preserve">k </w:t>
      </w:r>
      <w:r w:rsidR="00D77D0B" w:rsidRPr="00121123">
        <w:rPr>
          <w:noProof w:val="0"/>
        </w:rPr>
        <w:t xml:space="preserve">taký </w:t>
      </w:r>
      <w:r w:rsidRPr="00121123">
        <w:rPr>
          <w:noProof w:val="0"/>
        </w:rPr>
        <w:t xml:space="preserve">nie je, </w:t>
      </w:r>
      <w:r w:rsidR="004C5A6E" w:rsidRPr="00121123">
        <w:rPr>
          <w:noProof w:val="0"/>
        </w:rPr>
        <w:t xml:space="preserve">má </w:t>
      </w:r>
      <w:r w:rsidRPr="00121123">
        <w:rPr>
          <w:noProof w:val="0"/>
        </w:rPr>
        <w:t xml:space="preserve">sa zlikvidovať. Parenterálne </w:t>
      </w:r>
      <w:r w:rsidR="00581782" w:rsidRPr="00121123">
        <w:rPr>
          <w:noProof w:val="0"/>
        </w:rPr>
        <w:t>lieky</w:t>
      </w:r>
      <w:r w:rsidRPr="00121123">
        <w:rPr>
          <w:noProof w:val="0"/>
        </w:rPr>
        <w:t xml:space="preserve"> </w:t>
      </w:r>
      <w:r w:rsidR="00D77D0B" w:rsidRPr="00121123">
        <w:rPr>
          <w:noProof w:val="0"/>
        </w:rPr>
        <w:t xml:space="preserve">sa </w:t>
      </w:r>
      <w:r w:rsidRPr="00121123">
        <w:rPr>
          <w:noProof w:val="0"/>
        </w:rPr>
        <w:t>majú pred podaním vizuálne skontrolova</w:t>
      </w:r>
      <w:r w:rsidR="00D77D0B" w:rsidRPr="00121123">
        <w:rPr>
          <w:noProof w:val="0"/>
        </w:rPr>
        <w:t xml:space="preserve">ť na </w:t>
      </w:r>
      <w:r w:rsidRPr="00121123">
        <w:rPr>
          <w:noProof w:val="0"/>
        </w:rPr>
        <w:t>prítomnosť častíc a</w:t>
      </w:r>
      <w:r w:rsidR="004C5A6E" w:rsidRPr="00121123">
        <w:rPr>
          <w:noProof w:val="0"/>
        </w:rPr>
        <w:t> </w:t>
      </w:r>
      <w:r w:rsidRPr="00121123">
        <w:rPr>
          <w:noProof w:val="0"/>
        </w:rPr>
        <w:t>zmenu farby (napr. zelená alebo čierna).</w:t>
      </w:r>
    </w:p>
    <w:p w14:paraId="387C75A5" w14:textId="77777777" w:rsidR="00870248" w:rsidRPr="00121123" w:rsidRDefault="00870248" w:rsidP="007A3A03">
      <w:pPr>
        <w:keepLines w:val="0"/>
        <w:tabs>
          <w:tab w:val="clear" w:pos="567"/>
        </w:tabs>
        <w:rPr>
          <w:noProof w:val="0"/>
        </w:rPr>
      </w:pPr>
    </w:p>
    <w:p w14:paraId="19BA12C3" w14:textId="77777777" w:rsidR="00870248" w:rsidRPr="00121123" w:rsidRDefault="008E6C0B" w:rsidP="007A3A03">
      <w:pPr>
        <w:keepLines w:val="0"/>
        <w:tabs>
          <w:tab w:val="clear" w:pos="567"/>
        </w:tabs>
        <w:rPr>
          <w:noProof w:val="0"/>
        </w:rPr>
      </w:pPr>
      <w:r w:rsidRPr="00121123">
        <w:rPr>
          <w:noProof w:val="0"/>
        </w:rPr>
        <w:t>Tigecyklín sa má podávať</w:t>
      </w:r>
      <w:r w:rsidR="00870248" w:rsidRPr="00121123">
        <w:rPr>
          <w:noProof w:val="0"/>
        </w:rPr>
        <w:t xml:space="preserve"> intravenózne cez samostatnú </w:t>
      </w:r>
      <w:r w:rsidR="004C5A6E" w:rsidRPr="00121123">
        <w:rPr>
          <w:noProof w:val="0"/>
        </w:rPr>
        <w:t xml:space="preserve">linku </w:t>
      </w:r>
      <w:r w:rsidR="00870248" w:rsidRPr="00121123">
        <w:rPr>
          <w:noProof w:val="0"/>
        </w:rPr>
        <w:t>alebo cez rameno</w:t>
      </w:r>
      <w:r w:rsidR="00E77888" w:rsidRPr="00121123">
        <w:rPr>
          <w:noProof w:val="0"/>
        </w:rPr>
        <w:t xml:space="preserve"> trojcestného kohútika</w:t>
      </w:r>
      <w:r w:rsidR="00870248" w:rsidRPr="00121123">
        <w:rPr>
          <w:noProof w:val="0"/>
        </w:rPr>
        <w:t xml:space="preserve">. Ak sa použije rovnaká intravenózna </w:t>
      </w:r>
      <w:r w:rsidR="004C5A6E" w:rsidRPr="00121123">
        <w:rPr>
          <w:noProof w:val="0"/>
        </w:rPr>
        <w:t>linka</w:t>
      </w:r>
      <w:r w:rsidR="00870248" w:rsidRPr="00121123">
        <w:rPr>
          <w:noProof w:val="0"/>
        </w:rPr>
        <w:t xml:space="preserve"> pre sekvenčnú infúziu niekoľkých liečiv, m</w:t>
      </w:r>
      <w:r w:rsidR="00A90262" w:rsidRPr="00121123">
        <w:rPr>
          <w:noProof w:val="0"/>
        </w:rPr>
        <w:t>á</w:t>
      </w:r>
      <w:r w:rsidR="00870248" w:rsidRPr="00121123">
        <w:rPr>
          <w:noProof w:val="0"/>
        </w:rPr>
        <w:t xml:space="preserve"> sa pred </w:t>
      </w:r>
      <w:r w:rsidR="004C5A6E" w:rsidRPr="00121123">
        <w:rPr>
          <w:noProof w:val="0"/>
        </w:rPr>
        <w:t xml:space="preserve">infúziou </w:t>
      </w:r>
      <w:r w:rsidRPr="00121123">
        <w:rPr>
          <w:noProof w:val="0"/>
        </w:rPr>
        <w:t xml:space="preserve">tigecyklínu </w:t>
      </w:r>
      <w:r w:rsidR="00870248" w:rsidRPr="00121123">
        <w:rPr>
          <w:noProof w:val="0"/>
        </w:rPr>
        <w:t xml:space="preserve">a po </w:t>
      </w:r>
      <w:r w:rsidR="004C5A6E" w:rsidRPr="00121123">
        <w:rPr>
          <w:noProof w:val="0"/>
        </w:rPr>
        <w:t>nej</w:t>
      </w:r>
      <w:r w:rsidR="00870248" w:rsidRPr="00121123">
        <w:rPr>
          <w:noProof w:val="0"/>
        </w:rPr>
        <w:t xml:space="preserve"> prepláchnuť buď injekčným roztokom </w:t>
      </w:r>
      <w:r w:rsidR="009C6EB7" w:rsidRPr="00121123">
        <w:rPr>
          <w:noProof w:val="0"/>
        </w:rPr>
        <w:t xml:space="preserve">chloridu sodného </w:t>
      </w:r>
      <w:r w:rsidR="00870248" w:rsidRPr="00121123">
        <w:rPr>
          <w:noProof w:val="0"/>
        </w:rPr>
        <w:t xml:space="preserve">9 mg/ml </w:t>
      </w:r>
      <w:r w:rsidR="00D77D0B" w:rsidRPr="00121123">
        <w:rPr>
          <w:noProof w:val="0"/>
        </w:rPr>
        <w:t xml:space="preserve">(0,9%) </w:t>
      </w:r>
      <w:r w:rsidR="00870248" w:rsidRPr="00121123">
        <w:rPr>
          <w:noProof w:val="0"/>
        </w:rPr>
        <w:t xml:space="preserve">alebo injekčným roztokom </w:t>
      </w:r>
      <w:r w:rsidR="009C6EB7" w:rsidRPr="00121123">
        <w:rPr>
          <w:noProof w:val="0"/>
        </w:rPr>
        <w:t xml:space="preserve">glukózy </w:t>
      </w:r>
      <w:r w:rsidR="00870248" w:rsidRPr="00121123">
        <w:rPr>
          <w:noProof w:val="0"/>
        </w:rPr>
        <w:t xml:space="preserve">50 mg/ml </w:t>
      </w:r>
      <w:r w:rsidR="00B95B27" w:rsidRPr="00121123">
        <w:rPr>
          <w:noProof w:val="0"/>
        </w:rPr>
        <w:t>(5 %).</w:t>
      </w:r>
      <w:r w:rsidR="00870248" w:rsidRPr="00121123">
        <w:rPr>
          <w:noProof w:val="0"/>
        </w:rPr>
        <w:t xml:space="preserve"> Injekcia sa m</w:t>
      </w:r>
      <w:r w:rsidR="00A90262" w:rsidRPr="00121123">
        <w:rPr>
          <w:noProof w:val="0"/>
        </w:rPr>
        <w:t>á</w:t>
      </w:r>
      <w:r w:rsidR="00870248" w:rsidRPr="00121123">
        <w:rPr>
          <w:noProof w:val="0"/>
        </w:rPr>
        <w:t xml:space="preserve"> podať s infúznym roztokom kompatibilným s tigecyklínom a ktorýmkoľvek iným liekom podávaným cez spoločnú </w:t>
      </w:r>
      <w:r w:rsidR="004C5A6E" w:rsidRPr="00121123">
        <w:rPr>
          <w:noProof w:val="0"/>
        </w:rPr>
        <w:t xml:space="preserve">linku </w:t>
      </w:r>
      <w:r w:rsidR="00870248" w:rsidRPr="00121123">
        <w:rPr>
          <w:noProof w:val="0"/>
        </w:rPr>
        <w:t>(pozri časť 6.2).</w:t>
      </w:r>
    </w:p>
    <w:p w14:paraId="126E88D3" w14:textId="77777777" w:rsidR="00870248" w:rsidRPr="00121123" w:rsidRDefault="00870248" w:rsidP="007A3A03">
      <w:pPr>
        <w:keepLines w:val="0"/>
        <w:tabs>
          <w:tab w:val="clear" w:pos="567"/>
        </w:tabs>
        <w:rPr>
          <w:noProof w:val="0"/>
        </w:rPr>
      </w:pPr>
    </w:p>
    <w:p w14:paraId="3583D328" w14:textId="77777777" w:rsidR="00870248" w:rsidRPr="00121123" w:rsidRDefault="00870248" w:rsidP="007A3A03">
      <w:pPr>
        <w:keepLines w:val="0"/>
        <w:rPr>
          <w:noProof w:val="0"/>
        </w:rPr>
      </w:pPr>
      <w:r w:rsidRPr="00121123">
        <w:rPr>
          <w:noProof w:val="0"/>
        </w:rPr>
        <w:t>Roztok je len na jedno použitie; nepoužitý</w:t>
      </w:r>
      <w:r w:rsidR="00965D1D" w:rsidRPr="00121123">
        <w:rPr>
          <w:noProof w:val="0"/>
        </w:rPr>
        <w:t xml:space="preserve"> liek alebo odpad vzniknutý z lieku treba vrátiť do lekárne.&gt;</w:t>
      </w:r>
    </w:p>
    <w:p w14:paraId="1D486A78" w14:textId="77777777" w:rsidR="00870248" w:rsidRPr="00121123" w:rsidRDefault="00870248" w:rsidP="007A3A03">
      <w:pPr>
        <w:keepLines w:val="0"/>
        <w:tabs>
          <w:tab w:val="clear" w:pos="567"/>
        </w:tabs>
        <w:rPr>
          <w:noProof w:val="0"/>
        </w:rPr>
      </w:pPr>
      <w:r w:rsidRPr="00121123">
        <w:rPr>
          <w:noProof w:val="0"/>
        </w:rPr>
        <w:t xml:space="preserve">Kompatibilné intravenózne roztoky zahŕňajú: injekčný roztok </w:t>
      </w:r>
      <w:r w:rsidR="009C6EB7" w:rsidRPr="00121123">
        <w:rPr>
          <w:noProof w:val="0"/>
        </w:rPr>
        <w:t xml:space="preserve">chloridu sodného </w:t>
      </w:r>
      <w:r w:rsidRPr="00121123">
        <w:rPr>
          <w:noProof w:val="0"/>
        </w:rPr>
        <w:t xml:space="preserve">9 mg/ml </w:t>
      </w:r>
      <w:r w:rsidR="00D77D0B" w:rsidRPr="00121123">
        <w:rPr>
          <w:noProof w:val="0"/>
        </w:rPr>
        <w:t>(0,9 %)</w:t>
      </w:r>
      <w:r w:rsidR="003D3FA2" w:rsidRPr="00121123">
        <w:rPr>
          <w:noProof w:val="0"/>
        </w:rPr>
        <w:t xml:space="preserve">, </w:t>
      </w:r>
      <w:r w:rsidRPr="00121123">
        <w:rPr>
          <w:noProof w:val="0"/>
        </w:rPr>
        <w:t xml:space="preserve">injekčný roztok </w:t>
      </w:r>
      <w:r w:rsidR="009C6EB7" w:rsidRPr="00121123">
        <w:rPr>
          <w:noProof w:val="0"/>
        </w:rPr>
        <w:t xml:space="preserve">glukózy </w:t>
      </w:r>
      <w:r w:rsidRPr="00121123">
        <w:rPr>
          <w:noProof w:val="0"/>
        </w:rPr>
        <w:t xml:space="preserve">50 mg/ml </w:t>
      </w:r>
      <w:r w:rsidR="00B95B27" w:rsidRPr="00121123">
        <w:rPr>
          <w:noProof w:val="0"/>
        </w:rPr>
        <w:t xml:space="preserve">(5 %) </w:t>
      </w:r>
      <w:r w:rsidR="003D3FA2" w:rsidRPr="00121123">
        <w:rPr>
          <w:noProof w:val="0"/>
        </w:rPr>
        <w:t>a</w:t>
      </w:r>
      <w:r w:rsidR="00174573" w:rsidRPr="00121123">
        <w:rPr>
          <w:noProof w:val="0"/>
        </w:rPr>
        <w:t> </w:t>
      </w:r>
      <w:r w:rsidR="003D3FA2" w:rsidRPr="00121123">
        <w:rPr>
          <w:noProof w:val="0"/>
        </w:rPr>
        <w:t>Ringerov roztok s laktátom</w:t>
      </w:r>
      <w:r w:rsidRPr="00121123">
        <w:rPr>
          <w:noProof w:val="0"/>
        </w:rPr>
        <w:t>.</w:t>
      </w:r>
    </w:p>
    <w:p w14:paraId="7E293543" w14:textId="77777777" w:rsidR="00870248" w:rsidRPr="00121123" w:rsidRDefault="00870248" w:rsidP="007A3A03">
      <w:pPr>
        <w:keepLines w:val="0"/>
        <w:rPr>
          <w:noProof w:val="0"/>
        </w:rPr>
      </w:pPr>
    </w:p>
    <w:p w14:paraId="0DED49F9" w14:textId="639C7663" w:rsidR="004C5A6E" w:rsidRPr="00121123" w:rsidRDefault="00870248" w:rsidP="007A3A03">
      <w:pPr>
        <w:keepLines w:val="0"/>
        <w:tabs>
          <w:tab w:val="clear" w:pos="567"/>
        </w:tabs>
        <w:rPr>
          <w:noProof w:val="0"/>
        </w:rPr>
      </w:pPr>
      <w:r w:rsidRPr="00121123">
        <w:rPr>
          <w:noProof w:val="0"/>
        </w:rPr>
        <w:t>Ak sa podáva cez rameno</w:t>
      </w:r>
      <w:r w:rsidR="00364ECC" w:rsidRPr="00121123">
        <w:rPr>
          <w:noProof w:val="0"/>
        </w:rPr>
        <w:t xml:space="preserve"> trojcestného kohútika</w:t>
      </w:r>
      <w:r w:rsidRPr="00121123">
        <w:rPr>
          <w:noProof w:val="0"/>
        </w:rPr>
        <w:t xml:space="preserve">, kompatibilita tigecyklínu </w:t>
      </w:r>
      <w:r w:rsidR="009C6EB7" w:rsidRPr="00121123">
        <w:rPr>
          <w:noProof w:val="0"/>
        </w:rPr>
        <w:t xml:space="preserve">zriedeného </w:t>
      </w:r>
      <w:r w:rsidRPr="00121123">
        <w:rPr>
          <w:noProof w:val="0"/>
        </w:rPr>
        <w:t xml:space="preserve">0,9 % </w:t>
      </w:r>
      <w:r w:rsidR="009C6EB7" w:rsidRPr="00121123">
        <w:rPr>
          <w:noProof w:val="0"/>
        </w:rPr>
        <w:t xml:space="preserve">injekčným </w:t>
      </w:r>
      <w:r w:rsidRPr="00121123">
        <w:rPr>
          <w:noProof w:val="0"/>
        </w:rPr>
        <w:t>roztok</w:t>
      </w:r>
      <w:r w:rsidR="009C6EB7" w:rsidRPr="00121123">
        <w:rPr>
          <w:noProof w:val="0"/>
        </w:rPr>
        <w:t>om</w:t>
      </w:r>
      <w:r w:rsidRPr="00121123">
        <w:rPr>
          <w:noProof w:val="0"/>
        </w:rPr>
        <w:t xml:space="preserve"> chloridu sodného sa </w:t>
      </w:r>
      <w:r w:rsidR="00A90262" w:rsidRPr="00121123">
        <w:rPr>
          <w:noProof w:val="0"/>
        </w:rPr>
        <w:t xml:space="preserve">preukázala </w:t>
      </w:r>
      <w:r w:rsidRPr="00121123">
        <w:rPr>
          <w:noProof w:val="0"/>
        </w:rPr>
        <w:t xml:space="preserve">s nasledujúcimi liekmi alebo </w:t>
      </w:r>
      <w:r w:rsidR="009C6EB7" w:rsidRPr="00121123">
        <w:rPr>
          <w:noProof w:val="0"/>
        </w:rPr>
        <w:t>roztokmi na riedenie</w:t>
      </w:r>
      <w:r w:rsidRPr="00121123">
        <w:rPr>
          <w:noProof w:val="0"/>
        </w:rPr>
        <w:t>: amikacín, dobutamín, dopamín</w:t>
      </w:r>
      <w:r w:rsidR="009C6EB7" w:rsidRPr="00121123">
        <w:rPr>
          <w:noProof w:val="0"/>
        </w:rPr>
        <w:t>ium</w:t>
      </w:r>
      <w:r w:rsidR="00724DD5">
        <w:rPr>
          <w:noProof w:val="0"/>
        </w:rPr>
        <w:t>-</w:t>
      </w:r>
      <w:r w:rsidR="009C6EB7" w:rsidRPr="00121123">
        <w:rPr>
          <w:noProof w:val="0"/>
        </w:rPr>
        <w:t>chlorid</w:t>
      </w:r>
      <w:r w:rsidRPr="00121123">
        <w:rPr>
          <w:noProof w:val="0"/>
        </w:rPr>
        <w:t>, gentamicín, haloperidol, Ringerov roztok</w:t>
      </w:r>
      <w:r w:rsidR="00D77D0B" w:rsidRPr="00121123">
        <w:rPr>
          <w:noProof w:val="0"/>
        </w:rPr>
        <w:t xml:space="preserve"> s</w:t>
      </w:r>
      <w:r w:rsidR="009C6EB7" w:rsidRPr="00121123">
        <w:rPr>
          <w:noProof w:val="0"/>
        </w:rPr>
        <w:t> </w:t>
      </w:r>
      <w:r w:rsidR="00D77D0B" w:rsidRPr="00121123">
        <w:rPr>
          <w:noProof w:val="0"/>
        </w:rPr>
        <w:t>laktátom</w:t>
      </w:r>
      <w:r w:rsidRPr="00121123">
        <w:rPr>
          <w:noProof w:val="0"/>
        </w:rPr>
        <w:t>, lidokaín</w:t>
      </w:r>
      <w:r w:rsidR="009C6EB7" w:rsidRPr="00121123">
        <w:rPr>
          <w:noProof w:val="0"/>
        </w:rPr>
        <w:t>ium</w:t>
      </w:r>
      <w:r w:rsidR="00801FC1">
        <w:rPr>
          <w:noProof w:val="0"/>
        </w:rPr>
        <w:t>-</w:t>
      </w:r>
      <w:r w:rsidR="009C6EB7" w:rsidRPr="00121123">
        <w:rPr>
          <w:noProof w:val="0"/>
        </w:rPr>
        <w:t>chlorid</w:t>
      </w:r>
      <w:r w:rsidRPr="00121123">
        <w:rPr>
          <w:noProof w:val="0"/>
        </w:rPr>
        <w:t xml:space="preserve">, </w:t>
      </w:r>
      <w:r w:rsidR="0052217A" w:rsidRPr="00121123">
        <w:rPr>
          <w:noProof w:val="0"/>
        </w:rPr>
        <w:t xml:space="preserve">metoklopramid, </w:t>
      </w:r>
      <w:r w:rsidRPr="00121123">
        <w:rPr>
          <w:noProof w:val="0"/>
        </w:rPr>
        <w:t xml:space="preserve">morfín, noradrenalín, piperacilín/tazobaktám </w:t>
      </w:r>
    </w:p>
    <w:p w14:paraId="633B8808" w14:textId="0200A924" w:rsidR="00870248" w:rsidRPr="00121123" w:rsidRDefault="00870248" w:rsidP="007A3A03">
      <w:pPr>
        <w:keepLines w:val="0"/>
        <w:tabs>
          <w:tab w:val="clear" w:pos="567"/>
        </w:tabs>
        <w:rPr>
          <w:noProof w:val="0"/>
        </w:rPr>
      </w:pPr>
      <w:r w:rsidRPr="00121123">
        <w:rPr>
          <w:noProof w:val="0"/>
        </w:rPr>
        <w:lastRenderedPageBreak/>
        <w:t>(</w:t>
      </w:r>
      <w:r w:rsidR="009C6EB7" w:rsidRPr="00121123">
        <w:rPr>
          <w:noProof w:val="0"/>
        </w:rPr>
        <w:t>s</w:t>
      </w:r>
      <w:r w:rsidR="004C5A6E" w:rsidRPr="00121123">
        <w:rPr>
          <w:noProof w:val="0"/>
        </w:rPr>
        <w:t> </w:t>
      </w:r>
      <w:r w:rsidR="009C6EB7" w:rsidRPr="00121123">
        <w:rPr>
          <w:noProof w:val="0"/>
        </w:rPr>
        <w:t xml:space="preserve">obsahom </w:t>
      </w:r>
      <w:r w:rsidRPr="00121123">
        <w:rPr>
          <w:noProof w:val="0"/>
        </w:rPr>
        <w:t>EDTA), chlorid draselný, propofol, ranitidín</w:t>
      </w:r>
      <w:r w:rsidR="009C6EB7" w:rsidRPr="00121123">
        <w:rPr>
          <w:noProof w:val="0"/>
        </w:rPr>
        <w:t>ium</w:t>
      </w:r>
      <w:r w:rsidR="00801FC1">
        <w:rPr>
          <w:noProof w:val="0"/>
        </w:rPr>
        <w:t>-</w:t>
      </w:r>
      <w:r w:rsidR="009C6EB7" w:rsidRPr="00121123">
        <w:rPr>
          <w:noProof w:val="0"/>
        </w:rPr>
        <w:t>chlorid</w:t>
      </w:r>
      <w:r w:rsidRPr="00121123">
        <w:rPr>
          <w:noProof w:val="0"/>
        </w:rPr>
        <w:t>, teofylín a tobramycín.</w:t>
      </w:r>
    </w:p>
    <w:p w14:paraId="7DDE8C0B" w14:textId="77777777" w:rsidR="00870248" w:rsidRPr="00121123" w:rsidRDefault="00870248" w:rsidP="007A3A03">
      <w:pPr>
        <w:keepLines w:val="0"/>
        <w:tabs>
          <w:tab w:val="clear" w:pos="567"/>
        </w:tabs>
        <w:rPr>
          <w:noProof w:val="0"/>
        </w:rPr>
      </w:pPr>
    </w:p>
    <w:p w14:paraId="5DAF8CD6" w14:textId="77777777" w:rsidR="00870248" w:rsidRPr="00121123" w:rsidRDefault="00870248" w:rsidP="007A3A03">
      <w:pPr>
        <w:keepLines w:val="0"/>
        <w:tabs>
          <w:tab w:val="clear" w:pos="567"/>
        </w:tabs>
        <w:rPr>
          <w:noProof w:val="0"/>
        </w:rPr>
      </w:pPr>
    </w:p>
    <w:p w14:paraId="32BADDE9" w14:textId="77777777" w:rsidR="00870248" w:rsidRPr="00121123" w:rsidRDefault="00870248" w:rsidP="007A3A03">
      <w:pPr>
        <w:keepNext/>
        <w:rPr>
          <w:b/>
          <w:noProof w:val="0"/>
        </w:rPr>
      </w:pPr>
      <w:r w:rsidRPr="00121123">
        <w:rPr>
          <w:b/>
          <w:noProof w:val="0"/>
        </w:rPr>
        <w:t>7.</w:t>
      </w:r>
      <w:r w:rsidRPr="00121123">
        <w:rPr>
          <w:b/>
          <w:noProof w:val="0"/>
        </w:rPr>
        <w:tab/>
        <w:t>DRŽITEĽ ROZHODNUTIA O REGISTRÁCII</w:t>
      </w:r>
    </w:p>
    <w:p w14:paraId="45E00A43" w14:textId="77777777" w:rsidR="00870248" w:rsidRPr="00121123" w:rsidRDefault="00870248" w:rsidP="007A3A03">
      <w:pPr>
        <w:keepNext/>
        <w:keepLines w:val="0"/>
        <w:tabs>
          <w:tab w:val="clear" w:pos="567"/>
        </w:tabs>
        <w:rPr>
          <w:noProof w:val="0"/>
        </w:rPr>
      </w:pPr>
    </w:p>
    <w:p w14:paraId="3EF68548" w14:textId="77777777" w:rsidR="006E44C9" w:rsidRDefault="006E44C9" w:rsidP="006E44C9">
      <w:pPr>
        <w:keepNext/>
        <w:keepLines w:val="0"/>
        <w:tabs>
          <w:tab w:val="clear" w:pos="567"/>
        </w:tabs>
        <w:rPr>
          <w:noProof w:val="0"/>
        </w:rPr>
      </w:pPr>
      <w:r>
        <w:rPr>
          <w:noProof w:val="0"/>
        </w:rPr>
        <w:t xml:space="preserve">Accord Healthcare S.L.U. </w:t>
      </w:r>
    </w:p>
    <w:p w14:paraId="1263E5F0" w14:textId="77777777" w:rsidR="006E44C9" w:rsidRDefault="006E44C9" w:rsidP="006E44C9">
      <w:pPr>
        <w:keepNext/>
        <w:keepLines w:val="0"/>
        <w:tabs>
          <w:tab w:val="clear" w:pos="567"/>
        </w:tabs>
        <w:rPr>
          <w:noProof w:val="0"/>
        </w:rPr>
      </w:pPr>
      <w:r>
        <w:rPr>
          <w:noProof w:val="0"/>
        </w:rPr>
        <w:t xml:space="preserve">World Trade Center, </w:t>
      </w:r>
    </w:p>
    <w:p w14:paraId="1D78E64E" w14:textId="77777777" w:rsidR="006E44C9" w:rsidRDefault="006E44C9" w:rsidP="006E44C9">
      <w:pPr>
        <w:keepNext/>
        <w:keepLines w:val="0"/>
        <w:tabs>
          <w:tab w:val="clear" w:pos="567"/>
        </w:tabs>
        <w:rPr>
          <w:noProof w:val="0"/>
        </w:rPr>
      </w:pPr>
      <w:r>
        <w:rPr>
          <w:noProof w:val="0"/>
        </w:rPr>
        <w:t xml:space="preserve">Moll de Barcelona, s/n, </w:t>
      </w:r>
    </w:p>
    <w:p w14:paraId="42280811" w14:textId="77777777" w:rsidR="006E44C9" w:rsidRDefault="006E44C9" w:rsidP="006E44C9">
      <w:pPr>
        <w:keepNext/>
        <w:keepLines w:val="0"/>
        <w:tabs>
          <w:tab w:val="clear" w:pos="567"/>
        </w:tabs>
        <w:rPr>
          <w:noProof w:val="0"/>
        </w:rPr>
      </w:pPr>
      <w:r>
        <w:rPr>
          <w:noProof w:val="0"/>
        </w:rPr>
        <w:t xml:space="preserve">Edifici Est 6ª planta, </w:t>
      </w:r>
    </w:p>
    <w:p w14:paraId="14CA43D4" w14:textId="77777777" w:rsidR="004417F5" w:rsidRDefault="006E44C9" w:rsidP="004417F5">
      <w:pPr>
        <w:keepNext/>
        <w:keepLines w:val="0"/>
        <w:tabs>
          <w:tab w:val="clear" w:pos="567"/>
        </w:tabs>
        <w:rPr>
          <w:noProof w:val="0"/>
        </w:rPr>
      </w:pPr>
      <w:r>
        <w:rPr>
          <w:noProof w:val="0"/>
        </w:rPr>
        <w:t>08039 Barcelona, Španielsko</w:t>
      </w:r>
    </w:p>
    <w:p w14:paraId="2E98D2B7" w14:textId="77777777" w:rsidR="00870248" w:rsidRPr="00121123" w:rsidRDefault="00870248" w:rsidP="007A3A03">
      <w:pPr>
        <w:keepLines w:val="0"/>
        <w:tabs>
          <w:tab w:val="clear" w:pos="567"/>
        </w:tabs>
        <w:rPr>
          <w:noProof w:val="0"/>
        </w:rPr>
      </w:pPr>
    </w:p>
    <w:p w14:paraId="37D880E3" w14:textId="77777777" w:rsidR="00870248" w:rsidRPr="00121123" w:rsidRDefault="00870248" w:rsidP="007A3A03">
      <w:pPr>
        <w:keepLines w:val="0"/>
        <w:tabs>
          <w:tab w:val="clear" w:pos="567"/>
        </w:tabs>
        <w:rPr>
          <w:noProof w:val="0"/>
        </w:rPr>
      </w:pPr>
    </w:p>
    <w:p w14:paraId="07D5461B" w14:textId="77777777" w:rsidR="00870248" w:rsidRPr="00121123" w:rsidRDefault="00870248" w:rsidP="007A3A03">
      <w:pPr>
        <w:rPr>
          <w:b/>
          <w:noProof w:val="0"/>
        </w:rPr>
      </w:pPr>
      <w:r w:rsidRPr="00121123">
        <w:rPr>
          <w:b/>
          <w:noProof w:val="0"/>
        </w:rPr>
        <w:t>8.</w:t>
      </w:r>
      <w:r w:rsidRPr="00121123">
        <w:rPr>
          <w:b/>
          <w:noProof w:val="0"/>
        </w:rPr>
        <w:tab/>
        <w:t>REGISTRAČNÉ ČÍSLO</w:t>
      </w:r>
    </w:p>
    <w:p w14:paraId="1BEF31C8" w14:textId="77777777" w:rsidR="00870248" w:rsidRPr="00121123" w:rsidRDefault="00870248" w:rsidP="007A3A03">
      <w:pPr>
        <w:keepLines w:val="0"/>
        <w:tabs>
          <w:tab w:val="clear" w:pos="567"/>
        </w:tabs>
        <w:rPr>
          <w:noProof w:val="0"/>
        </w:rPr>
      </w:pPr>
    </w:p>
    <w:p w14:paraId="4255936F" w14:textId="77777777" w:rsidR="00ED2183" w:rsidRDefault="00372ACF" w:rsidP="007A3A03">
      <w:pPr>
        <w:keepLines w:val="0"/>
        <w:tabs>
          <w:tab w:val="clear" w:pos="567"/>
        </w:tabs>
        <w:rPr>
          <w:noProof w:val="0"/>
        </w:rPr>
      </w:pPr>
      <w:r w:rsidRPr="00372ACF">
        <w:rPr>
          <w:noProof w:val="0"/>
        </w:rPr>
        <w:t>EU/1/19/1394/001</w:t>
      </w:r>
      <w:r w:rsidR="00ED2183">
        <w:rPr>
          <w:noProof w:val="0"/>
        </w:rPr>
        <w:t xml:space="preserve"> (10 injekčných </w:t>
      </w:r>
      <w:r w:rsidR="00ED2183" w:rsidRPr="00ED2183">
        <w:rPr>
          <w:noProof w:val="0"/>
        </w:rPr>
        <w:t>liekoviek</w:t>
      </w:r>
      <w:r w:rsidR="00ED2183">
        <w:rPr>
          <w:noProof w:val="0"/>
        </w:rPr>
        <w:t>)</w:t>
      </w:r>
    </w:p>
    <w:p w14:paraId="6805D1A1" w14:textId="77777777" w:rsidR="00870248" w:rsidRDefault="00ED2183" w:rsidP="007A3A03">
      <w:pPr>
        <w:keepLines w:val="0"/>
        <w:tabs>
          <w:tab w:val="clear" w:pos="567"/>
        </w:tabs>
        <w:rPr>
          <w:noProof w:val="0"/>
        </w:rPr>
      </w:pPr>
      <w:r w:rsidRPr="00ED2183">
        <w:rPr>
          <w:noProof w:val="0"/>
        </w:rPr>
        <w:t>EU/1/19/1394/00</w:t>
      </w:r>
      <w:r>
        <w:rPr>
          <w:noProof w:val="0"/>
        </w:rPr>
        <w:t>2 (1 injekčná liekovka)</w:t>
      </w:r>
      <w:r w:rsidRPr="00ED2183">
        <w:rPr>
          <w:noProof w:val="0"/>
        </w:rPr>
        <w:t xml:space="preserve"> </w:t>
      </w:r>
    </w:p>
    <w:p w14:paraId="4247F231" w14:textId="77777777" w:rsidR="00301D5C" w:rsidRDefault="00301D5C" w:rsidP="007A3A03">
      <w:pPr>
        <w:keepLines w:val="0"/>
        <w:tabs>
          <w:tab w:val="clear" w:pos="567"/>
        </w:tabs>
        <w:rPr>
          <w:noProof w:val="0"/>
        </w:rPr>
      </w:pPr>
    </w:p>
    <w:p w14:paraId="5D23206F" w14:textId="77777777" w:rsidR="00301D5C" w:rsidRPr="00121123" w:rsidRDefault="00301D5C" w:rsidP="007A3A03">
      <w:pPr>
        <w:keepLines w:val="0"/>
        <w:tabs>
          <w:tab w:val="clear" w:pos="567"/>
        </w:tabs>
        <w:rPr>
          <w:noProof w:val="0"/>
        </w:rPr>
      </w:pPr>
    </w:p>
    <w:p w14:paraId="27A02BFA" w14:textId="77777777" w:rsidR="00870248" w:rsidRPr="00121123" w:rsidRDefault="00870248" w:rsidP="007A3A03">
      <w:pPr>
        <w:rPr>
          <w:b/>
          <w:noProof w:val="0"/>
        </w:rPr>
      </w:pPr>
      <w:r w:rsidRPr="00121123">
        <w:rPr>
          <w:b/>
          <w:noProof w:val="0"/>
        </w:rPr>
        <w:t>9.</w:t>
      </w:r>
      <w:r w:rsidRPr="00121123">
        <w:rPr>
          <w:b/>
          <w:noProof w:val="0"/>
        </w:rPr>
        <w:tab/>
        <w:t>DÁTUM PRVEJ REGISTRÁCIE/ PREDĹŽENIA REGISTRÁCIE</w:t>
      </w:r>
    </w:p>
    <w:p w14:paraId="46C3CDA4" w14:textId="77777777" w:rsidR="00870248" w:rsidRPr="00121123" w:rsidRDefault="00870248" w:rsidP="007A3A03">
      <w:pPr>
        <w:keepLines w:val="0"/>
        <w:tabs>
          <w:tab w:val="clear" w:pos="567"/>
        </w:tabs>
        <w:rPr>
          <w:noProof w:val="0"/>
        </w:rPr>
      </w:pPr>
    </w:p>
    <w:p w14:paraId="60B4F2C7" w14:textId="761EDA78" w:rsidR="00870248" w:rsidRDefault="00870248" w:rsidP="006533F9">
      <w:pPr>
        <w:keepLines w:val="0"/>
        <w:tabs>
          <w:tab w:val="clear" w:pos="567"/>
        </w:tabs>
        <w:rPr>
          <w:noProof w:val="0"/>
        </w:rPr>
      </w:pPr>
      <w:r w:rsidRPr="00121123">
        <w:rPr>
          <w:noProof w:val="0"/>
        </w:rPr>
        <w:t>Dátum prvej registrácie:</w:t>
      </w:r>
      <w:r w:rsidR="00140262" w:rsidRPr="00121123">
        <w:rPr>
          <w:noProof w:val="0"/>
        </w:rPr>
        <w:t xml:space="preserve"> </w:t>
      </w:r>
      <w:r w:rsidR="009F620D" w:rsidRPr="009F620D">
        <w:rPr>
          <w:noProof w:val="0"/>
        </w:rPr>
        <w:t>17. apríla 2020</w:t>
      </w:r>
    </w:p>
    <w:p w14:paraId="18B011A0" w14:textId="2DB8B42C" w:rsidR="00056882" w:rsidRPr="00056882" w:rsidRDefault="00056882" w:rsidP="00056882">
      <w:pPr>
        <w:widowControl w:val="0"/>
        <w:tabs>
          <w:tab w:val="clear" w:pos="567"/>
          <w:tab w:val="left" w:pos="720"/>
        </w:tabs>
        <w:rPr>
          <w:noProof w:val="0"/>
          <w:color w:val="000000"/>
        </w:rPr>
      </w:pPr>
      <w:r>
        <w:rPr>
          <w:color w:val="000000"/>
        </w:rPr>
        <w:t>Dátum posledného predĺženia registrácie:</w:t>
      </w:r>
      <w:r>
        <w:rPr>
          <w:noProof w:val="0"/>
          <w:color w:val="000000"/>
        </w:rPr>
        <w:t xml:space="preserve"> </w:t>
      </w:r>
      <w:r w:rsidRPr="00056882">
        <w:rPr>
          <w:noProof w:val="0"/>
          <w:color w:val="000000"/>
        </w:rPr>
        <w:t>25. novembra 2024</w:t>
      </w:r>
    </w:p>
    <w:p w14:paraId="18D2B335" w14:textId="77777777" w:rsidR="0041494A" w:rsidRPr="00121123" w:rsidRDefault="0041494A" w:rsidP="007A3A03">
      <w:pPr>
        <w:keepLines w:val="0"/>
        <w:tabs>
          <w:tab w:val="clear" w:pos="567"/>
        </w:tabs>
        <w:rPr>
          <w:noProof w:val="0"/>
        </w:rPr>
      </w:pPr>
    </w:p>
    <w:p w14:paraId="6631B5D8" w14:textId="77777777" w:rsidR="00FE22A4" w:rsidRPr="00121123" w:rsidRDefault="00FE22A4" w:rsidP="007A3A03">
      <w:pPr>
        <w:keepLines w:val="0"/>
        <w:tabs>
          <w:tab w:val="clear" w:pos="567"/>
        </w:tabs>
        <w:rPr>
          <w:noProof w:val="0"/>
        </w:rPr>
      </w:pPr>
    </w:p>
    <w:p w14:paraId="1C1A0526" w14:textId="77777777" w:rsidR="00870248" w:rsidRPr="00121123" w:rsidRDefault="002012B4" w:rsidP="007A3A03">
      <w:pPr>
        <w:keepNext/>
        <w:rPr>
          <w:b/>
          <w:noProof w:val="0"/>
        </w:rPr>
      </w:pPr>
      <w:r w:rsidRPr="00121123">
        <w:rPr>
          <w:b/>
          <w:noProof w:val="0"/>
        </w:rPr>
        <w:t xml:space="preserve">10.      </w:t>
      </w:r>
      <w:r w:rsidR="00870248" w:rsidRPr="00121123">
        <w:rPr>
          <w:b/>
          <w:noProof w:val="0"/>
        </w:rPr>
        <w:t>DÁTUM REVÍZIE TEXTU</w:t>
      </w:r>
    </w:p>
    <w:p w14:paraId="2D4448F0" w14:textId="77777777" w:rsidR="002012B4" w:rsidRPr="00121123" w:rsidRDefault="002012B4" w:rsidP="007A3A03">
      <w:pPr>
        <w:keepNext/>
        <w:rPr>
          <w:noProof w:val="0"/>
        </w:rPr>
      </w:pPr>
    </w:p>
    <w:p w14:paraId="2FAEF9A1" w14:textId="3CD32085" w:rsidR="002012B4" w:rsidRPr="00121123" w:rsidRDefault="002012B4" w:rsidP="007A3A03">
      <w:pPr>
        <w:keepNext/>
        <w:tabs>
          <w:tab w:val="clear" w:pos="567"/>
        </w:tabs>
        <w:rPr>
          <w:noProof w:val="0"/>
        </w:rPr>
      </w:pPr>
      <w:r w:rsidRPr="00121123">
        <w:rPr>
          <w:noProof w:val="0"/>
        </w:rPr>
        <w:t xml:space="preserve">Podrobné informácie o tomto lieku sú dostupné na internetovej stránke Európskej liekovej agentúry </w:t>
      </w:r>
      <w:hyperlink r:id="rId13" w:history="1">
        <w:r w:rsidR="004630CB" w:rsidRPr="004630CB">
          <w:rPr>
            <w:rStyle w:val="Hyperlink"/>
            <w:noProof w:val="0"/>
          </w:rPr>
          <w:t>https://www.ema.europa.eu</w:t>
        </w:r>
      </w:hyperlink>
      <w:r w:rsidRPr="00B6612A">
        <w:rPr>
          <w:noProof w:val="0"/>
          <w:color w:val="0000FF"/>
        </w:rPr>
        <w:t>.</w:t>
      </w:r>
    </w:p>
    <w:p w14:paraId="66AB522E" w14:textId="77777777" w:rsidR="002012B4" w:rsidRPr="00121123" w:rsidRDefault="002012B4" w:rsidP="007A3A03">
      <w:pPr>
        <w:keepNext/>
        <w:rPr>
          <w:noProof w:val="0"/>
        </w:rPr>
      </w:pPr>
    </w:p>
    <w:p w14:paraId="557C8D7F" w14:textId="77777777" w:rsidR="00870248" w:rsidRPr="00121123" w:rsidRDefault="00870248" w:rsidP="007A3A03">
      <w:pPr>
        <w:keepNext/>
        <w:tabs>
          <w:tab w:val="clear" w:pos="567"/>
        </w:tabs>
        <w:rPr>
          <w:b/>
          <w:bCs/>
          <w:noProof w:val="0"/>
        </w:rPr>
      </w:pPr>
    </w:p>
    <w:p w14:paraId="264D125C" w14:textId="77777777" w:rsidR="00870248" w:rsidRPr="00121123" w:rsidRDefault="00870248" w:rsidP="007A3A03">
      <w:pPr>
        <w:rPr>
          <w:b/>
          <w:bCs/>
          <w:noProof w:val="0"/>
        </w:rPr>
      </w:pPr>
      <w:r w:rsidRPr="00121123">
        <w:rPr>
          <w:b/>
          <w:bCs/>
          <w:noProof w:val="0"/>
        </w:rPr>
        <w:br w:type="page"/>
      </w:r>
    </w:p>
    <w:p w14:paraId="75C6295D" w14:textId="77777777" w:rsidR="00870248" w:rsidRPr="00121123" w:rsidRDefault="00870248" w:rsidP="007A3A03">
      <w:pPr>
        <w:jc w:val="center"/>
        <w:rPr>
          <w:b/>
          <w:bCs/>
          <w:noProof w:val="0"/>
        </w:rPr>
      </w:pPr>
    </w:p>
    <w:p w14:paraId="4E2DBBBC" w14:textId="77777777" w:rsidR="00870248" w:rsidRPr="00121123" w:rsidRDefault="00870248" w:rsidP="007A3A03">
      <w:pPr>
        <w:jc w:val="center"/>
        <w:rPr>
          <w:b/>
          <w:bCs/>
          <w:noProof w:val="0"/>
        </w:rPr>
      </w:pPr>
    </w:p>
    <w:p w14:paraId="4B880B50" w14:textId="77777777" w:rsidR="00870248" w:rsidRPr="00121123" w:rsidRDefault="00870248" w:rsidP="007A3A03">
      <w:pPr>
        <w:jc w:val="center"/>
        <w:rPr>
          <w:b/>
          <w:bCs/>
          <w:noProof w:val="0"/>
        </w:rPr>
      </w:pPr>
    </w:p>
    <w:p w14:paraId="3D26EB1B" w14:textId="77777777" w:rsidR="00870248" w:rsidRPr="00121123" w:rsidRDefault="00870248" w:rsidP="007A3A03">
      <w:pPr>
        <w:jc w:val="center"/>
        <w:rPr>
          <w:b/>
          <w:bCs/>
          <w:noProof w:val="0"/>
        </w:rPr>
      </w:pPr>
    </w:p>
    <w:p w14:paraId="19164BFE" w14:textId="77777777" w:rsidR="00870248" w:rsidRPr="00121123" w:rsidRDefault="00870248" w:rsidP="007A3A03">
      <w:pPr>
        <w:jc w:val="center"/>
        <w:rPr>
          <w:b/>
          <w:bCs/>
          <w:noProof w:val="0"/>
        </w:rPr>
      </w:pPr>
    </w:p>
    <w:p w14:paraId="076E194E" w14:textId="77777777" w:rsidR="00870248" w:rsidRPr="00121123" w:rsidRDefault="00870248" w:rsidP="007A3A03">
      <w:pPr>
        <w:jc w:val="center"/>
        <w:rPr>
          <w:b/>
          <w:bCs/>
          <w:noProof w:val="0"/>
        </w:rPr>
      </w:pPr>
    </w:p>
    <w:p w14:paraId="25CD8A7F" w14:textId="77777777" w:rsidR="00870248" w:rsidRPr="00121123" w:rsidRDefault="00870248" w:rsidP="007A3A03">
      <w:pPr>
        <w:jc w:val="center"/>
        <w:rPr>
          <w:b/>
          <w:bCs/>
          <w:noProof w:val="0"/>
        </w:rPr>
      </w:pPr>
    </w:p>
    <w:p w14:paraId="5946F6B6" w14:textId="77777777" w:rsidR="00870248" w:rsidRPr="00121123" w:rsidRDefault="00870248" w:rsidP="007A3A03">
      <w:pPr>
        <w:jc w:val="center"/>
        <w:rPr>
          <w:b/>
          <w:bCs/>
          <w:noProof w:val="0"/>
        </w:rPr>
      </w:pPr>
    </w:p>
    <w:p w14:paraId="12739663" w14:textId="77777777" w:rsidR="00870248" w:rsidRPr="00121123" w:rsidRDefault="00870248" w:rsidP="007A3A03">
      <w:pPr>
        <w:jc w:val="center"/>
        <w:rPr>
          <w:b/>
          <w:bCs/>
          <w:noProof w:val="0"/>
        </w:rPr>
      </w:pPr>
    </w:p>
    <w:p w14:paraId="775D0783" w14:textId="77777777" w:rsidR="00870248" w:rsidRPr="00121123" w:rsidRDefault="00870248" w:rsidP="007A3A03">
      <w:pPr>
        <w:jc w:val="center"/>
        <w:rPr>
          <w:b/>
          <w:bCs/>
          <w:noProof w:val="0"/>
        </w:rPr>
      </w:pPr>
    </w:p>
    <w:p w14:paraId="46F62B98" w14:textId="77777777" w:rsidR="00870248" w:rsidRPr="00121123" w:rsidRDefault="00870248" w:rsidP="007A3A03">
      <w:pPr>
        <w:jc w:val="center"/>
        <w:rPr>
          <w:b/>
          <w:bCs/>
          <w:noProof w:val="0"/>
        </w:rPr>
      </w:pPr>
    </w:p>
    <w:p w14:paraId="6CF33B8F" w14:textId="77777777" w:rsidR="00870248" w:rsidRPr="00121123" w:rsidRDefault="00870248" w:rsidP="007A3A03">
      <w:pPr>
        <w:jc w:val="center"/>
        <w:rPr>
          <w:b/>
          <w:bCs/>
          <w:noProof w:val="0"/>
        </w:rPr>
      </w:pPr>
    </w:p>
    <w:p w14:paraId="4A40D8E1" w14:textId="77777777" w:rsidR="00870248" w:rsidRPr="00121123" w:rsidRDefault="00870248" w:rsidP="007A3A03">
      <w:pPr>
        <w:jc w:val="center"/>
        <w:rPr>
          <w:b/>
          <w:bCs/>
          <w:noProof w:val="0"/>
        </w:rPr>
      </w:pPr>
    </w:p>
    <w:p w14:paraId="34CD1A5D" w14:textId="77777777" w:rsidR="00870248" w:rsidRPr="00121123" w:rsidRDefault="00870248" w:rsidP="007A3A03">
      <w:pPr>
        <w:jc w:val="center"/>
        <w:rPr>
          <w:noProof w:val="0"/>
        </w:rPr>
      </w:pPr>
    </w:p>
    <w:p w14:paraId="3B792778" w14:textId="77777777" w:rsidR="00870248" w:rsidRPr="00121123" w:rsidRDefault="00870248" w:rsidP="007A3A03">
      <w:pPr>
        <w:jc w:val="center"/>
        <w:rPr>
          <w:noProof w:val="0"/>
        </w:rPr>
      </w:pPr>
    </w:p>
    <w:p w14:paraId="31EBFD96" w14:textId="77777777" w:rsidR="00870248" w:rsidRPr="00121123" w:rsidRDefault="00870248" w:rsidP="007A3A03">
      <w:pPr>
        <w:jc w:val="center"/>
        <w:rPr>
          <w:noProof w:val="0"/>
        </w:rPr>
      </w:pPr>
    </w:p>
    <w:p w14:paraId="456C38E9" w14:textId="77777777" w:rsidR="00870248" w:rsidRPr="00121123" w:rsidRDefault="00870248" w:rsidP="007A3A03">
      <w:pPr>
        <w:jc w:val="center"/>
        <w:rPr>
          <w:noProof w:val="0"/>
        </w:rPr>
      </w:pPr>
    </w:p>
    <w:p w14:paraId="63D01F2E" w14:textId="77777777" w:rsidR="00870248" w:rsidRPr="00121123" w:rsidRDefault="00870248" w:rsidP="007A3A03">
      <w:pPr>
        <w:jc w:val="center"/>
        <w:rPr>
          <w:noProof w:val="0"/>
        </w:rPr>
      </w:pPr>
    </w:p>
    <w:p w14:paraId="42490E10" w14:textId="77777777" w:rsidR="00870248" w:rsidRPr="00121123" w:rsidRDefault="00870248" w:rsidP="007A3A03">
      <w:pPr>
        <w:jc w:val="center"/>
        <w:rPr>
          <w:noProof w:val="0"/>
        </w:rPr>
      </w:pPr>
    </w:p>
    <w:p w14:paraId="07AD5A4D" w14:textId="77777777" w:rsidR="00870248" w:rsidRPr="00121123" w:rsidRDefault="00870248" w:rsidP="007A3A03">
      <w:pPr>
        <w:jc w:val="center"/>
        <w:rPr>
          <w:noProof w:val="0"/>
        </w:rPr>
      </w:pPr>
    </w:p>
    <w:p w14:paraId="206DF153" w14:textId="77777777" w:rsidR="00870248" w:rsidRPr="00121123" w:rsidRDefault="00870248" w:rsidP="007A3A03">
      <w:pPr>
        <w:jc w:val="center"/>
        <w:rPr>
          <w:noProof w:val="0"/>
        </w:rPr>
      </w:pPr>
    </w:p>
    <w:p w14:paraId="34CFBD38" w14:textId="77777777" w:rsidR="00870248" w:rsidRPr="00121123" w:rsidRDefault="00870248" w:rsidP="007A3A03">
      <w:pPr>
        <w:jc w:val="center"/>
        <w:rPr>
          <w:noProof w:val="0"/>
        </w:rPr>
      </w:pPr>
    </w:p>
    <w:p w14:paraId="209ACC70" w14:textId="77777777" w:rsidR="00870248" w:rsidRPr="00121123" w:rsidRDefault="00870248" w:rsidP="007A3A03">
      <w:pPr>
        <w:jc w:val="center"/>
        <w:rPr>
          <w:noProof w:val="0"/>
        </w:rPr>
      </w:pPr>
      <w:r w:rsidRPr="00121123">
        <w:rPr>
          <w:b/>
          <w:bCs/>
          <w:noProof w:val="0"/>
        </w:rPr>
        <w:t>PRÍLOHA II</w:t>
      </w:r>
    </w:p>
    <w:p w14:paraId="6DA195EA" w14:textId="77777777" w:rsidR="00870248" w:rsidRPr="00121123" w:rsidRDefault="00870248" w:rsidP="007A3A03">
      <w:pPr>
        <w:ind w:left="1701" w:right="1416" w:hanging="567"/>
        <w:rPr>
          <w:noProof w:val="0"/>
        </w:rPr>
      </w:pPr>
    </w:p>
    <w:p w14:paraId="6B0118CF" w14:textId="77777777" w:rsidR="00870248" w:rsidRPr="00121123" w:rsidRDefault="00870248" w:rsidP="007A3A03">
      <w:pPr>
        <w:ind w:left="1701" w:right="1416" w:hanging="708"/>
        <w:rPr>
          <w:b/>
          <w:bCs/>
          <w:noProof w:val="0"/>
        </w:rPr>
      </w:pPr>
      <w:r w:rsidRPr="00121123">
        <w:rPr>
          <w:b/>
          <w:bCs/>
          <w:noProof w:val="0"/>
        </w:rPr>
        <w:t>A.</w:t>
      </w:r>
      <w:r w:rsidRPr="00121123">
        <w:rPr>
          <w:b/>
          <w:bCs/>
          <w:noProof w:val="0"/>
        </w:rPr>
        <w:tab/>
      </w:r>
      <w:r w:rsidR="00F714AA" w:rsidRPr="00F714AA">
        <w:rPr>
          <w:b/>
          <w:noProof w:val="0"/>
          <w:szCs w:val="24"/>
        </w:rPr>
        <w:t>VÝROBCA (VÝROBCOVIA) ZODPOVEDNÝ (ZODPOVEDNÍ)</w:t>
      </w:r>
      <w:r w:rsidRPr="00121123">
        <w:rPr>
          <w:b/>
          <w:bCs/>
          <w:noProof w:val="0"/>
        </w:rPr>
        <w:t xml:space="preserve"> ZA UVOĽNENIE ŠARŽE</w:t>
      </w:r>
    </w:p>
    <w:p w14:paraId="24219F22" w14:textId="77777777" w:rsidR="00870248" w:rsidRPr="00121123" w:rsidRDefault="00870248" w:rsidP="007A3A03">
      <w:pPr>
        <w:ind w:left="567" w:hanging="567"/>
        <w:rPr>
          <w:b/>
          <w:noProof w:val="0"/>
        </w:rPr>
      </w:pPr>
    </w:p>
    <w:p w14:paraId="38E29E6A" w14:textId="77777777" w:rsidR="00D46F62" w:rsidRPr="00121123" w:rsidRDefault="00870248" w:rsidP="007A3A03">
      <w:pPr>
        <w:suppressLineNumbers/>
        <w:ind w:left="1701" w:right="1418" w:hanging="709"/>
        <w:rPr>
          <w:b/>
          <w:noProof w:val="0"/>
          <w:szCs w:val="24"/>
        </w:rPr>
      </w:pPr>
      <w:r w:rsidRPr="00121123">
        <w:rPr>
          <w:b/>
          <w:bCs/>
          <w:noProof w:val="0"/>
        </w:rPr>
        <w:t>B.</w:t>
      </w:r>
      <w:r w:rsidRPr="00121123">
        <w:rPr>
          <w:b/>
          <w:bCs/>
          <w:noProof w:val="0"/>
        </w:rPr>
        <w:tab/>
        <w:t xml:space="preserve">PODMIENKY </w:t>
      </w:r>
      <w:r w:rsidR="00D46F62" w:rsidRPr="00121123">
        <w:rPr>
          <w:b/>
          <w:noProof w:val="0"/>
          <w:szCs w:val="24"/>
        </w:rPr>
        <w:t>ALEBO OBMEDZENIA TÝKAJÚCE SA VÝDAJA A POUŽITIA</w:t>
      </w:r>
    </w:p>
    <w:p w14:paraId="68E411C9" w14:textId="77777777" w:rsidR="00C90B66" w:rsidRPr="00121123" w:rsidRDefault="00C90B66" w:rsidP="007A3A03">
      <w:pPr>
        <w:ind w:left="1134" w:right="1416" w:hanging="141"/>
        <w:rPr>
          <w:b/>
          <w:bCs/>
          <w:noProof w:val="0"/>
        </w:rPr>
      </w:pPr>
    </w:p>
    <w:p w14:paraId="108B3E97" w14:textId="77777777" w:rsidR="00D46F62" w:rsidRPr="00121123" w:rsidRDefault="00C90B66" w:rsidP="007A3A03">
      <w:pPr>
        <w:pStyle w:val="TitleB"/>
        <w:numPr>
          <w:ilvl w:val="0"/>
          <w:numId w:val="38"/>
        </w:numPr>
        <w:ind w:left="1701" w:hanging="708"/>
      </w:pPr>
      <w:r w:rsidRPr="00121123">
        <w:t>ĎALŠIE PODMIENKY</w:t>
      </w:r>
      <w:r w:rsidR="00D46F62" w:rsidRPr="00121123">
        <w:t xml:space="preserve"> </w:t>
      </w:r>
      <w:r w:rsidR="00D46F62" w:rsidRPr="00121123">
        <w:rPr>
          <w:szCs w:val="24"/>
        </w:rPr>
        <w:t>A POŽIADAVKY REGISTRÁCIE</w:t>
      </w:r>
    </w:p>
    <w:p w14:paraId="48ECCFEA" w14:textId="77777777" w:rsidR="00D46F62" w:rsidRPr="00121123" w:rsidRDefault="00D46F62" w:rsidP="007A3A03">
      <w:pPr>
        <w:pStyle w:val="TitleB"/>
        <w:ind w:left="1701"/>
      </w:pPr>
    </w:p>
    <w:p w14:paraId="3FF13287" w14:textId="77777777" w:rsidR="00D46F62" w:rsidRPr="00121123" w:rsidRDefault="00D46F62" w:rsidP="007A3A03">
      <w:pPr>
        <w:numPr>
          <w:ilvl w:val="0"/>
          <w:numId w:val="38"/>
        </w:numPr>
        <w:suppressLineNumbers/>
        <w:ind w:left="1701" w:right="1416" w:hanging="708"/>
        <w:rPr>
          <w:b/>
          <w:noProof w:val="0"/>
          <w:szCs w:val="24"/>
        </w:rPr>
      </w:pPr>
      <w:r w:rsidRPr="00121123">
        <w:rPr>
          <w:b/>
          <w:caps/>
          <w:noProof w:val="0"/>
          <w:szCs w:val="24"/>
        </w:rPr>
        <w:t>PODMIENKY ALEBO OBMEDZENIA tÝkajúce sa BEZPEČNÉho A ÚČINNÉho POUŽÍVANIA LIEKU</w:t>
      </w:r>
    </w:p>
    <w:p w14:paraId="232C3BD0" w14:textId="77777777" w:rsidR="00D46F62" w:rsidRPr="00121123" w:rsidRDefault="00D46F62" w:rsidP="007A3A03">
      <w:pPr>
        <w:pStyle w:val="TitleB"/>
        <w:ind w:left="1701"/>
      </w:pPr>
    </w:p>
    <w:p w14:paraId="72FF5B13" w14:textId="77777777" w:rsidR="002B7563" w:rsidRPr="00121123" w:rsidRDefault="002B7563" w:rsidP="007A3A03">
      <w:pPr>
        <w:ind w:left="1134" w:right="1416" w:hanging="141"/>
        <w:rPr>
          <w:b/>
          <w:bCs/>
          <w:noProof w:val="0"/>
        </w:rPr>
      </w:pPr>
    </w:p>
    <w:p w14:paraId="4955D0CD" w14:textId="77777777" w:rsidR="00870248" w:rsidRPr="00121123" w:rsidRDefault="00870248" w:rsidP="007A3A03">
      <w:pPr>
        <w:pStyle w:val="TitleB"/>
      </w:pPr>
      <w:r w:rsidRPr="00121123">
        <w:br w:type="page"/>
      </w:r>
      <w:r w:rsidRPr="00121123">
        <w:lastRenderedPageBreak/>
        <w:t>A.</w:t>
      </w:r>
      <w:r w:rsidRPr="00121123">
        <w:tab/>
      </w:r>
      <w:r w:rsidR="003859D9" w:rsidRPr="003859D9">
        <w:rPr>
          <w:szCs w:val="24"/>
        </w:rPr>
        <w:t>VÝROBCA (VÝROBCOVIA) ZODPOVEDNÝ (ZODPOVEDNÍ)</w:t>
      </w:r>
      <w:r w:rsidRPr="00121123">
        <w:t xml:space="preserve"> ZA UVOĽNENIE ŠARŽE</w:t>
      </w:r>
    </w:p>
    <w:p w14:paraId="7C382DB3" w14:textId="77777777" w:rsidR="00870248" w:rsidRPr="00121123" w:rsidRDefault="00870248" w:rsidP="007A3A03">
      <w:pPr>
        <w:ind w:right="1416"/>
        <w:rPr>
          <w:noProof w:val="0"/>
        </w:rPr>
      </w:pPr>
    </w:p>
    <w:p w14:paraId="123E1514" w14:textId="77777777" w:rsidR="00870248" w:rsidRPr="00121123" w:rsidRDefault="006B2CF1" w:rsidP="007A3A03">
      <w:pPr>
        <w:rPr>
          <w:noProof w:val="0"/>
        </w:rPr>
      </w:pPr>
      <w:r w:rsidRPr="00121123">
        <w:rPr>
          <w:noProof w:val="0"/>
          <w:u w:val="single"/>
        </w:rPr>
        <w:t xml:space="preserve">Názov </w:t>
      </w:r>
      <w:r w:rsidR="00870248" w:rsidRPr="00121123">
        <w:rPr>
          <w:noProof w:val="0"/>
          <w:u w:val="single"/>
        </w:rPr>
        <w:t xml:space="preserve">a adresa výrobcu </w:t>
      </w:r>
      <w:r w:rsidR="003859D9" w:rsidRPr="003859D9">
        <w:rPr>
          <w:noProof w:val="0"/>
          <w:u w:val="single"/>
        </w:rPr>
        <w:t xml:space="preserve">(výrobcov) </w:t>
      </w:r>
      <w:r w:rsidR="00870248" w:rsidRPr="00121123">
        <w:rPr>
          <w:noProof w:val="0"/>
          <w:u w:val="single"/>
        </w:rPr>
        <w:t xml:space="preserve">zodpovedného </w:t>
      </w:r>
      <w:r w:rsidR="003859D9" w:rsidRPr="003859D9">
        <w:rPr>
          <w:noProof w:val="0"/>
          <w:u w:val="single"/>
        </w:rPr>
        <w:t>(zodpovedných)</w:t>
      </w:r>
      <w:r w:rsidR="003859D9">
        <w:rPr>
          <w:noProof w:val="0"/>
          <w:u w:val="single"/>
        </w:rPr>
        <w:t xml:space="preserve"> </w:t>
      </w:r>
      <w:r w:rsidR="00870248" w:rsidRPr="00121123">
        <w:rPr>
          <w:noProof w:val="0"/>
          <w:u w:val="single"/>
        </w:rPr>
        <w:t>za uvoľnenie šarže</w:t>
      </w:r>
    </w:p>
    <w:p w14:paraId="20C3DDBD" w14:textId="77777777" w:rsidR="00CB3019" w:rsidRPr="00CB3019" w:rsidRDefault="00CB3019" w:rsidP="00CB3019">
      <w:pPr>
        <w:numPr>
          <w:ilvl w:val="12"/>
          <w:numId w:val="0"/>
        </w:numPr>
        <w:rPr>
          <w:rFonts w:eastAsia="Times New Roman"/>
          <w:noProof w:val="0"/>
          <w:snapToGrid w:val="0"/>
        </w:rPr>
      </w:pPr>
    </w:p>
    <w:p w14:paraId="151E525D" w14:textId="77777777" w:rsidR="00CB3019" w:rsidRPr="00CB3019" w:rsidRDefault="00CB3019" w:rsidP="00CB3019">
      <w:pPr>
        <w:numPr>
          <w:ilvl w:val="12"/>
          <w:numId w:val="0"/>
        </w:numPr>
        <w:rPr>
          <w:rFonts w:eastAsia="Times New Roman"/>
          <w:noProof w:val="0"/>
          <w:snapToGrid w:val="0"/>
        </w:rPr>
      </w:pPr>
      <w:r w:rsidRPr="00CB3019">
        <w:rPr>
          <w:rFonts w:eastAsia="Times New Roman"/>
          <w:noProof w:val="0"/>
          <w:snapToGrid w:val="0"/>
        </w:rPr>
        <w:t>Accord Healthcare Polska Sp.z.o.o.</w:t>
      </w:r>
    </w:p>
    <w:p w14:paraId="474A74D4" w14:textId="77777777" w:rsidR="00CB3019" w:rsidRPr="00CB3019" w:rsidRDefault="00CB3019" w:rsidP="00CB3019">
      <w:pPr>
        <w:numPr>
          <w:ilvl w:val="12"/>
          <w:numId w:val="0"/>
        </w:numPr>
        <w:rPr>
          <w:rFonts w:eastAsia="Times New Roman"/>
          <w:noProof w:val="0"/>
          <w:snapToGrid w:val="0"/>
        </w:rPr>
      </w:pPr>
      <w:r w:rsidRPr="00CB3019">
        <w:rPr>
          <w:rFonts w:eastAsia="Times New Roman"/>
          <w:noProof w:val="0"/>
          <w:snapToGrid w:val="0"/>
        </w:rPr>
        <w:t xml:space="preserve">Ul. Lutomierska 50, </w:t>
      </w:r>
    </w:p>
    <w:p w14:paraId="0E70C7F4" w14:textId="77777777" w:rsidR="00CB3019" w:rsidRPr="00CB3019" w:rsidRDefault="00CB3019" w:rsidP="00CB3019">
      <w:pPr>
        <w:numPr>
          <w:ilvl w:val="12"/>
          <w:numId w:val="0"/>
        </w:numPr>
        <w:rPr>
          <w:rFonts w:eastAsia="Times New Roman"/>
          <w:noProof w:val="0"/>
          <w:snapToGrid w:val="0"/>
        </w:rPr>
      </w:pPr>
      <w:r w:rsidRPr="00CB3019">
        <w:rPr>
          <w:rFonts w:eastAsia="Times New Roman"/>
          <w:noProof w:val="0"/>
          <w:snapToGrid w:val="0"/>
        </w:rPr>
        <w:t xml:space="preserve">95-200, Pabianice, </w:t>
      </w:r>
      <w:r>
        <w:rPr>
          <w:rFonts w:eastAsia="Times New Roman"/>
          <w:noProof w:val="0"/>
          <w:snapToGrid w:val="0"/>
        </w:rPr>
        <w:t>Poľsko</w:t>
      </w:r>
    </w:p>
    <w:p w14:paraId="17B39470" w14:textId="77777777" w:rsidR="00CB3019" w:rsidRPr="00CB3019" w:rsidRDefault="00CB3019" w:rsidP="00CB3019">
      <w:pPr>
        <w:numPr>
          <w:ilvl w:val="12"/>
          <w:numId w:val="0"/>
        </w:numPr>
        <w:rPr>
          <w:rFonts w:eastAsia="Times New Roman"/>
          <w:noProof w:val="0"/>
          <w:snapToGrid w:val="0"/>
        </w:rPr>
      </w:pPr>
    </w:p>
    <w:p w14:paraId="5F525A63" w14:textId="77777777" w:rsidR="00CB3019" w:rsidRPr="00CB3019" w:rsidRDefault="00CB3019" w:rsidP="00CB3019">
      <w:pPr>
        <w:numPr>
          <w:ilvl w:val="12"/>
          <w:numId w:val="0"/>
        </w:numPr>
        <w:rPr>
          <w:rFonts w:eastAsia="Times New Roman"/>
          <w:noProof w:val="0"/>
          <w:snapToGrid w:val="0"/>
        </w:rPr>
      </w:pPr>
      <w:r w:rsidRPr="00CB3019">
        <w:rPr>
          <w:rFonts w:eastAsia="Times New Roman"/>
          <w:noProof w:val="0"/>
          <w:snapToGrid w:val="0"/>
        </w:rPr>
        <w:t>Laboratori Fundació Dau</w:t>
      </w:r>
    </w:p>
    <w:p w14:paraId="75626FAA" w14:textId="77777777" w:rsidR="00CB3019" w:rsidRPr="00CB3019" w:rsidRDefault="00CB3019" w:rsidP="00CB3019">
      <w:pPr>
        <w:numPr>
          <w:ilvl w:val="12"/>
          <w:numId w:val="0"/>
        </w:numPr>
        <w:rPr>
          <w:rFonts w:eastAsia="Times New Roman"/>
          <w:noProof w:val="0"/>
          <w:snapToGrid w:val="0"/>
        </w:rPr>
      </w:pPr>
      <w:r w:rsidRPr="00CB3019">
        <w:rPr>
          <w:rFonts w:eastAsia="Times New Roman"/>
          <w:noProof w:val="0"/>
          <w:snapToGrid w:val="0"/>
        </w:rPr>
        <w:t>C/ C, 12-14 Pol. Ind.</w:t>
      </w:r>
    </w:p>
    <w:p w14:paraId="5C62B595" w14:textId="77777777" w:rsidR="007C451C" w:rsidRDefault="00CB3019" w:rsidP="007A3A03">
      <w:pPr>
        <w:rPr>
          <w:noProof w:val="0"/>
        </w:rPr>
      </w:pPr>
      <w:r w:rsidRPr="00CB3019">
        <w:rPr>
          <w:rFonts w:eastAsia="Times New Roman"/>
          <w:noProof w:val="0"/>
          <w:snapToGrid w:val="0"/>
        </w:rPr>
        <w:t xml:space="preserve">Zona Franca, Barcelona, 08040, </w:t>
      </w:r>
      <w:r>
        <w:rPr>
          <w:rFonts w:eastAsia="Times New Roman"/>
          <w:noProof w:val="0"/>
          <w:snapToGrid w:val="0"/>
        </w:rPr>
        <w:t>Španielsko</w:t>
      </w:r>
    </w:p>
    <w:p w14:paraId="51DCF376" w14:textId="50DC8EEF" w:rsidR="00FB031B" w:rsidRDefault="00FB031B" w:rsidP="007A3A03">
      <w:pPr>
        <w:rPr>
          <w:noProof w:val="0"/>
        </w:rPr>
      </w:pPr>
    </w:p>
    <w:p w14:paraId="57C4ADE6" w14:textId="77777777" w:rsidR="00C23C08" w:rsidRDefault="00C23C08" w:rsidP="00C23C08">
      <w:pPr>
        <w:widowControl w:val="0"/>
        <w:tabs>
          <w:tab w:val="clear" w:pos="567"/>
          <w:tab w:val="left" w:pos="720"/>
        </w:tabs>
        <w:ind w:right="-2"/>
        <w:rPr>
          <w:noProof w:val="0"/>
          <w:color w:val="000000"/>
        </w:rPr>
      </w:pPr>
      <w:r>
        <w:rPr>
          <w:color w:val="000000"/>
        </w:rPr>
        <w:t xml:space="preserve">Accord Healthcare Single Member S.A. </w:t>
      </w:r>
    </w:p>
    <w:p w14:paraId="2F50284C" w14:textId="77777777" w:rsidR="00C23C08" w:rsidRDefault="00C23C08" w:rsidP="00C23C08">
      <w:pPr>
        <w:widowControl w:val="0"/>
        <w:tabs>
          <w:tab w:val="clear" w:pos="567"/>
          <w:tab w:val="left" w:pos="720"/>
        </w:tabs>
        <w:ind w:right="-2"/>
        <w:rPr>
          <w:color w:val="000000"/>
        </w:rPr>
      </w:pPr>
      <w:r>
        <w:rPr>
          <w:color w:val="000000"/>
        </w:rPr>
        <w:t xml:space="preserve">64th Km National Road Athens, </w:t>
      </w:r>
    </w:p>
    <w:p w14:paraId="3126B9FC" w14:textId="77777777" w:rsidR="00C23C08" w:rsidRDefault="00C23C08" w:rsidP="00C23C08">
      <w:pPr>
        <w:widowControl w:val="0"/>
        <w:tabs>
          <w:tab w:val="clear" w:pos="567"/>
          <w:tab w:val="left" w:pos="720"/>
        </w:tabs>
        <w:ind w:right="-2"/>
        <w:rPr>
          <w:color w:val="000000"/>
        </w:rPr>
      </w:pPr>
      <w:r>
        <w:rPr>
          <w:color w:val="000000"/>
        </w:rPr>
        <w:t>Lamia, Schimatari, 32009, Grécko</w:t>
      </w:r>
    </w:p>
    <w:p w14:paraId="38643666" w14:textId="77777777" w:rsidR="00C23C08" w:rsidRDefault="00C23C08" w:rsidP="007A3A03">
      <w:pPr>
        <w:rPr>
          <w:noProof w:val="0"/>
        </w:rPr>
      </w:pPr>
    </w:p>
    <w:p w14:paraId="2474EA02" w14:textId="77777777" w:rsidR="00FB031B" w:rsidRPr="00121123" w:rsidRDefault="00FB031B" w:rsidP="007A3A03">
      <w:pPr>
        <w:rPr>
          <w:noProof w:val="0"/>
        </w:rPr>
      </w:pPr>
      <w:r w:rsidRPr="00FB031B">
        <w:rPr>
          <w:noProof w:val="0"/>
        </w:rPr>
        <w:t>Tlačená písomná informácia pre používateľa lieku musí obsahovať názov a adresu výrobcu zodpovedného za uvoľnenie príslušnej šarže</w:t>
      </w:r>
      <w:r>
        <w:rPr>
          <w:noProof w:val="0"/>
        </w:rPr>
        <w:t>.</w:t>
      </w:r>
    </w:p>
    <w:p w14:paraId="34421709" w14:textId="77777777" w:rsidR="007C451C" w:rsidRPr="00121123" w:rsidRDefault="007C451C" w:rsidP="007A3A03">
      <w:pPr>
        <w:rPr>
          <w:noProof w:val="0"/>
        </w:rPr>
      </w:pPr>
    </w:p>
    <w:p w14:paraId="667A729C" w14:textId="77777777" w:rsidR="00870248" w:rsidRPr="00121123" w:rsidRDefault="00870248" w:rsidP="007A3A03">
      <w:pPr>
        <w:rPr>
          <w:noProof w:val="0"/>
        </w:rPr>
      </w:pPr>
    </w:p>
    <w:p w14:paraId="028BA94F" w14:textId="77777777" w:rsidR="00870248" w:rsidRPr="00121123" w:rsidRDefault="00870248" w:rsidP="007A3A03">
      <w:pPr>
        <w:pStyle w:val="TitleB"/>
        <w:ind w:left="567" w:hanging="567"/>
      </w:pPr>
      <w:r w:rsidRPr="00121123">
        <w:t>B.</w:t>
      </w:r>
      <w:r w:rsidRPr="00121123">
        <w:tab/>
        <w:t>PODMIENKY REGISTRÁCIE</w:t>
      </w:r>
      <w:r w:rsidR="00D46F62" w:rsidRPr="00121123">
        <w:t xml:space="preserve"> </w:t>
      </w:r>
      <w:r w:rsidR="00D46F62" w:rsidRPr="00121123">
        <w:rPr>
          <w:szCs w:val="24"/>
        </w:rPr>
        <w:t>ALEBO OBMEDZENIA TÝKAJÚCE SA VÝDAJA A POUŽITIA</w:t>
      </w:r>
    </w:p>
    <w:p w14:paraId="42EAFEFC" w14:textId="77777777" w:rsidR="00870248" w:rsidRPr="00121123" w:rsidRDefault="00870248" w:rsidP="007A3A03">
      <w:pPr>
        <w:rPr>
          <w:noProof w:val="0"/>
        </w:rPr>
      </w:pPr>
    </w:p>
    <w:p w14:paraId="4C44E7BC" w14:textId="77777777" w:rsidR="00870248" w:rsidRPr="00121123" w:rsidRDefault="005A3319" w:rsidP="007A3A03">
      <w:pPr>
        <w:numPr>
          <w:ilvl w:val="12"/>
          <w:numId w:val="0"/>
        </w:numPr>
        <w:rPr>
          <w:noProof w:val="0"/>
        </w:rPr>
      </w:pPr>
      <w:r w:rsidRPr="005A3319">
        <w:rPr>
          <w:noProof w:val="0"/>
        </w:rPr>
        <w:t>Výdaj lieku je viazaný na lekársky predpis s obmedzením predpisovania (pozri Prílohu I: Súhrn charakteristických vlastností lieku, časť 4.2).</w:t>
      </w:r>
    </w:p>
    <w:p w14:paraId="0A7AEE24" w14:textId="77777777" w:rsidR="00870248" w:rsidRPr="00121123" w:rsidRDefault="00870248" w:rsidP="007A3A03">
      <w:pPr>
        <w:ind w:right="567"/>
        <w:rPr>
          <w:noProof w:val="0"/>
        </w:rPr>
      </w:pPr>
    </w:p>
    <w:p w14:paraId="290EA290" w14:textId="77777777" w:rsidR="00836D54" w:rsidRPr="00121123" w:rsidRDefault="00836D54" w:rsidP="007A3A03">
      <w:pPr>
        <w:ind w:right="567"/>
        <w:rPr>
          <w:noProof w:val="0"/>
        </w:rPr>
      </w:pPr>
    </w:p>
    <w:p w14:paraId="317F2CBB" w14:textId="77777777" w:rsidR="00870248" w:rsidRPr="00121123" w:rsidRDefault="00C90B66" w:rsidP="007A3A03">
      <w:pPr>
        <w:pStyle w:val="TitleB"/>
      </w:pPr>
      <w:r w:rsidRPr="00121123">
        <w:t>C.</w:t>
      </w:r>
      <w:r w:rsidRPr="00121123">
        <w:tab/>
      </w:r>
      <w:r w:rsidR="00870248" w:rsidRPr="00121123">
        <w:t>ĎALŠIE PODMIENKY</w:t>
      </w:r>
      <w:r w:rsidR="00D46F62" w:rsidRPr="00121123">
        <w:t xml:space="preserve"> </w:t>
      </w:r>
      <w:r w:rsidR="00D46F62" w:rsidRPr="00121123">
        <w:rPr>
          <w:szCs w:val="24"/>
        </w:rPr>
        <w:t>A POŽIADAVKY REGISTRÁCIE</w:t>
      </w:r>
    </w:p>
    <w:p w14:paraId="76E3C12C" w14:textId="77777777" w:rsidR="00D46F62" w:rsidRPr="00121123" w:rsidRDefault="00D46F62" w:rsidP="007A3A03">
      <w:pPr>
        <w:ind w:right="-1"/>
        <w:rPr>
          <w:noProof w:val="0"/>
        </w:rPr>
      </w:pPr>
    </w:p>
    <w:p w14:paraId="1A769A84" w14:textId="77777777" w:rsidR="00D46F62" w:rsidRPr="00121123" w:rsidRDefault="00393A6E" w:rsidP="007A3A03">
      <w:pPr>
        <w:keepLines w:val="0"/>
        <w:numPr>
          <w:ilvl w:val="0"/>
          <w:numId w:val="41"/>
        </w:numPr>
        <w:ind w:right="567"/>
        <w:rPr>
          <w:b/>
          <w:noProof w:val="0"/>
        </w:rPr>
      </w:pPr>
      <w:r w:rsidRPr="00121123">
        <w:rPr>
          <w:b/>
          <w:bCs/>
          <w:noProof w:val="0"/>
        </w:rPr>
        <w:t>Periodicky aktualizované správy o</w:t>
      </w:r>
      <w:r w:rsidR="009B6DDB">
        <w:rPr>
          <w:b/>
          <w:bCs/>
          <w:noProof w:val="0"/>
        </w:rPr>
        <w:t> </w:t>
      </w:r>
      <w:r w:rsidRPr="00121123">
        <w:rPr>
          <w:b/>
          <w:bCs/>
          <w:noProof w:val="0"/>
        </w:rPr>
        <w:t>bezpečnosti</w:t>
      </w:r>
      <w:r w:rsidR="009B6DDB">
        <w:rPr>
          <w:b/>
          <w:bCs/>
          <w:noProof w:val="0"/>
        </w:rPr>
        <w:t xml:space="preserve"> </w:t>
      </w:r>
      <w:r w:rsidR="009B6DDB" w:rsidRPr="009B6DDB">
        <w:rPr>
          <w:b/>
          <w:bCs/>
          <w:noProof w:val="0"/>
        </w:rPr>
        <w:t>(Periodic safety update reports, PSUR)</w:t>
      </w:r>
    </w:p>
    <w:p w14:paraId="53127239" w14:textId="77777777" w:rsidR="00D46F62" w:rsidRPr="00121123" w:rsidRDefault="00D46F62" w:rsidP="007A3A03">
      <w:pPr>
        <w:keepLines w:val="0"/>
        <w:ind w:right="567"/>
        <w:rPr>
          <w:b/>
          <w:bCs/>
          <w:noProof w:val="0"/>
        </w:rPr>
      </w:pPr>
    </w:p>
    <w:p w14:paraId="05B4DE5C" w14:textId="77777777" w:rsidR="00D46F62" w:rsidRPr="00121123" w:rsidRDefault="008E6C0B" w:rsidP="007A3A03">
      <w:pPr>
        <w:keepLines w:val="0"/>
        <w:ind w:right="567"/>
        <w:rPr>
          <w:noProof w:val="0"/>
        </w:rPr>
      </w:pPr>
      <w:r w:rsidRPr="00121123">
        <w:t xml:space="preserve">Požiadavky na predloženie </w:t>
      </w:r>
      <w:r w:rsidR="009B6DDB">
        <w:t>PSUR</w:t>
      </w:r>
      <w:r w:rsidRPr="00121123">
        <w:t xml:space="preserve"> tohto lieku sú stanovené </w:t>
      </w:r>
      <w:r w:rsidR="0006739D" w:rsidRPr="00121123">
        <w:rPr>
          <w:noProof w:val="0"/>
          <w:szCs w:val="24"/>
        </w:rPr>
        <w:t xml:space="preserve">v zozname referenčných dátumov Únie (zoznam EURD) </w:t>
      </w:r>
      <w:r w:rsidR="00E3739E" w:rsidRPr="00121123">
        <w:rPr>
          <w:noProof w:val="0"/>
          <w:szCs w:val="24"/>
        </w:rPr>
        <w:t xml:space="preserve">v súlade s článkom </w:t>
      </w:r>
      <w:r w:rsidR="0006739D" w:rsidRPr="00121123">
        <w:rPr>
          <w:noProof w:val="0"/>
          <w:szCs w:val="24"/>
        </w:rPr>
        <w:t xml:space="preserve">107c </w:t>
      </w:r>
      <w:r w:rsidR="00E3739E" w:rsidRPr="00121123">
        <w:rPr>
          <w:noProof w:val="0"/>
          <w:szCs w:val="24"/>
        </w:rPr>
        <w:t xml:space="preserve">ods. 7 </w:t>
      </w:r>
      <w:r w:rsidR="0006739D" w:rsidRPr="00121123">
        <w:rPr>
          <w:noProof w:val="0"/>
          <w:szCs w:val="24"/>
        </w:rPr>
        <w:t xml:space="preserve">smernice 2001/83/ES a </w:t>
      </w:r>
      <w:r w:rsidRPr="00121123">
        <w:t>a všetkých následných aktualizácií uverejnených</w:t>
      </w:r>
      <w:r w:rsidR="0006739D" w:rsidRPr="00121123">
        <w:rPr>
          <w:noProof w:val="0"/>
          <w:szCs w:val="24"/>
        </w:rPr>
        <w:t xml:space="preserve"> na európskom internetovom portáli pre lieky</w:t>
      </w:r>
      <w:r w:rsidR="00D46F62" w:rsidRPr="00121123">
        <w:rPr>
          <w:bCs/>
          <w:noProof w:val="0"/>
        </w:rPr>
        <w:t>.</w:t>
      </w:r>
    </w:p>
    <w:p w14:paraId="06C3273F" w14:textId="77777777" w:rsidR="00D46F62" w:rsidRPr="00121123" w:rsidRDefault="00D46F62" w:rsidP="007A3A03">
      <w:pPr>
        <w:keepLines w:val="0"/>
        <w:ind w:right="-1"/>
        <w:rPr>
          <w:noProof w:val="0"/>
        </w:rPr>
      </w:pPr>
    </w:p>
    <w:p w14:paraId="07C55BBB" w14:textId="77777777" w:rsidR="00D46F62" w:rsidRPr="00121123" w:rsidRDefault="00D46F62" w:rsidP="007A3A03">
      <w:pPr>
        <w:keepLines w:val="0"/>
        <w:tabs>
          <w:tab w:val="clear" w:pos="567"/>
        </w:tabs>
        <w:rPr>
          <w:noProof w:val="0"/>
        </w:rPr>
      </w:pPr>
    </w:p>
    <w:p w14:paraId="395CBF1E" w14:textId="77777777" w:rsidR="00D46F62" w:rsidRPr="00121123" w:rsidRDefault="00D46F62" w:rsidP="007A3A03">
      <w:pPr>
        <w:keepNext/>
        <w:suppressLineNumbers/>
        <w:ind w:left="567" w:hanging="567"/>
        <w:rPr>
          <w:noProof w:val="0"/>
          <w:szCs w:val="24"/>
        </w:rPr>
      </w:pPr>
      <w:r w:rsidRPr="00121123">
        <w:rPr>
          <w:b/>
          <w:noProof w:val="0"/>
        </w:rPr>
        <w:t>D.</w:t>
      </w:r>
      <w:r w:rsidRPr="00121123">
        <w:rPr>
          <w:b/>
          <w:noProof w:val="0"/>
        </w:rPr>
        <w:tab/>
      </w:r>
      <w:r w:rsidR="0006739D" w:rsidRPr="00121123">
        <w:rPr>
          <w:b/>
          <w:noProof w:val="0"/>
          <w:szCs w:val="24"/>
        </w:rPr>
        <w:t>PODMIENKY ALEBO OBMEDZENIA TÝKAJÚCE SA BEZPEČNÉHO A ÚČINNÉHO POUŽÍVANIA LIEKU</w:t>
      </w:r>
    </w:p>
    <w:p w14:paraId="361CC5DB" w14:textId="77777777" w:rsidR="00D46F62" w:rsidRPr="00121123" w:rsidRDefault="00D46F62" w:rsidP="007A3A03">
      <w:pPr>
        <w:keepLines w:val="0"/>
        <w:tabs>
          <w:tab w:val="clear" w:pos="567"/>
        </w:tabs>
        <w:rPr>
          <w:noProof w:val="0"/>
        </w:rPr>
      </w:pPr>
    </w:p>
    <w:p w14:paraId="08DF21E0" w14:textId="77777777" w:rsidR="00D46F62" w:rsidRPr="00121123" w:rsidRDefault="00D46F62" w:rsidP="007A3A03">
      <w:pPr>
        <w:keepLines w:val="0"/>
        <w:numPr>
          <w:ilvl w:val="0"/>
          <w:numId w:val="43"/>
        </w:numPr>
        <w:suppressLineNumbers/>
        <w:ind w:right="-1" w:hanging="720"/>
        <w:rPr>
          <w:b/>
          <w:noProof w:val="0"/>
          <w:szCs w:val="24"/>
        </w:rPr>
      </w:pPr>
      <w:r w:rsidRPr="00121123">
        <w:rPr>
          <w:b/>
          <w:noProof w:val="0"/>
          <w:szCs w:val="24"/>
        </w:rPr>
        <w:t>Plán riadenia rizík (</w:t>
      </w:r>
      <w:r w:rsidR="00E708FC">
        <w:rPr>
          <w:b/>
          <w:noProof w:val="0"/>
          <w:szCs w:val="24"/>
        </w:rPr>
        <w:t xml:space="preserve">Risk Management Plan, </w:t>
      </w:r>
      <w:r w:rsidRPr="00121123">
        <w:rPr>
          <w:b/>
          <w:noProof w:val="0"/>
          <w:szCs w:val="24"/>
        </w:rPr>
        <w:t>RMP)</w:t>
      </w:r>
    </w:p>
    <w:p w14:paraId="73235481" w14:textId="77777777" w:rsidR="00D46F62" w:rsidRPr="00121123" w:rsidRDefault="00D46F62" w:rsidP="007A3A03">
      <w:pPr>
        <w:keepLines w:val="0"/>
        <w:tabs>
          <w:tab w:val="clear" w:pos="567"/>
        </w:tabs>
        <w:rPr>
          <w:b/>
          <w:noProof w:val="0"/>
        </w:rPr>
      </w:pPr>
    </w:p>
    <w:p w14:paraId="2D6DD9AB" w14:textId="77777777" w:rsidR="00D46F62" w:rsidRPr="00121123" w:rsidRDefault="00D46F62" w:rsidP="007A3A03">
      <w:pPr>
        <w:suppressLineNumbers/>
        <w:tabs>
          <w:tab w:val="left" w:pos="0"/>
        </w:tabs>
        <w:ind w:right="567"/>
        <w:rPr>
          <w:noProof w:val="0"/>
          <w:szCs w:val="24"/>
        </w:rPr>
      </w:pPr>
      <w:r w:rsidRPr="00121123">
        <w:rPr>
          <w:noProof w:val="0"/>
          <w:szCs w:val="24"/>
        </w:rPr>
        <w:t>Držiteľ rozhodnutia o registrácii vykoná požadované činnosti a zásahy v rámci dohľadu nad liekmi, ktoré sú podrobne opísané v odsúhlasenom pláne riadenia rizík predloženom v module 1.8.2 registračnej dokumentácie a v rámci všetkých ďalších aktualizácií plánu riadenia rizík.</w:t>
      </w:r>
    </w:p>
    <w:p w14:paraId="6A4431E3" w14:textId="77777777" w:rsidR="00D46F62" w:rsidRPr="00121123" w:rsidRDefault="00D46F62" w:rsidP="007A3A03">
      <w:pPr>
        <w:keepLines w:val="0"/>
        <w:tabs>
          <w:tab w:val="clear" w:pos="567"/>
        </w:tabs>
        <w:rPr>
          <w:noProof w:val="0"/>
        </w:rPr>
      </w:pPr>
    </w:p>
    <w:p w14:paraId="553AB737" w14:textId="77777777" w:rsidR="00D46F62" w:rsidRPr="00121123" w:rsidRDefault="00965D1D" w:rsidP="007A3A03">
      <w:pPr>
        <w:suppressLineNumbers/>
        <w:ind w:right="-1"/>
        <w:rPr>
          <w:i/>
          <w:noProof w:val="0"/>
          <w:szCs w:val="24"/>
        </w:rPr>
      </w:pPr>
      <w:r w:rsidRPr="00121123">
        <w:rPr>
          <w:noProof w:val="0"/>
        </w:rPr>
        <w:t>Aktualizovaný RMP je potre</w:t>
      </w:r>
      <w:r w:rsidR="006B1261" w:rsidRPr="00121123">
        <w:rPr>
          <w:noProof w:val="0"/>
        </w:rPr>
        <w:t>b</w:t>
      </w:r>
      <w:r w:rsidRPr="00121123">
        <w:rPr>
          <w:noProof w:val="0"/>
        </w:rPr>
        <w:t>né predložiť</w:t>
      </w:r>
      <w:r w:rsidRPr="00121123" w:rsidDel="00965D1D">
        <w:rPr>
          <w:noProof w:val="0"/>
          <w:szCs w:val="24"/>
        </w:rPr>
        <w:t xml:space="preserve"> </w:t>
      </w:r>
      <w:r w:rsidR="00D46F62" w:rsidRPr="00121123">
        <w:rPr>
          <w:noProof w:val="0"/>
          <w:szCs w:val="24"/>
        </w:rPr>
        <w:t>:</w:t>
      </w:r>
    </w:p>
    <w:p w14:paraId="4893AC72" w14:textId="77777777" w:rsidR="00D46F62" w:rsidRPr="00121123" w:rsidRDefault="00D46F62" w:rsidP="007A3A03">
      <w:pPr>
        <w:keepLines w:val="0"/>
        <w:numPr>
          <w:ilvl w:val="0"/>
          <w:numId w:val="40"/>
        </w:numPr>
        <w:suppressLineNumbers/>
        <w:tabs>
          <w:tab w:val="clear" w:pos="720"/>
          <w:tab w:val="num" w:pos="567"/>
        </w:tabs>
        <w:ind w:left="567" w:right="-1" w:hanging="567"/>
        <w:rPr>
          <w:i/>
          <w:noProof w:val="0"/>
          <w:szCs w:val="24"/>
        </w:rPr>
      </w:pPr>
      <w:r w:rsidRPr="00121123">
        <w:rPr>
          <w:noProof w:val="0"/>
          <w:szCs w:val="24"/>
        </w:rPr>
        <w:t>na žiadosť Európskej agentúry pre lieky,</w:t>
      </w:r>
    </w:p>
    <w:p w14:paraId="644B67BB" w14:textId="77777777" w:rsidR="00D46F62" w:rsidRPr="00121123" w:rsidRDefault="00D46F62" w:rsidP="007A3A03">
      <w:pPr>
        <w:keepLines w:val="0"/>
        <w:numPr>
          <w:ilvl w:val="0"/>
          <w:numId w:val="40"/>
        </w:numPr>
        <w:suppressLineNumbers/>
        <w:tabs>
          <w:tab w:val="clear" w:pos="720"/>
          <w:tab w:val="num" w:pos="567"/>
        </w:tabs>
        <w:ind w:left="567" w:right="-1" w:hanging="567"/>
        <w:rPr>
          <w:i/>
          <w:noProof w:val="0"/>
          <w:szCs w:val="24"/>
        </w:rPr>
      </w:pPr>
      <w:r w:rsidRPr="00121123">
        <w:rPr>
          <w:noProof w:val="0"/>
          <w:szCs w:val="24"/>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3BD7545D" w14:textId="77777777" w:rsidR="003823D3" w:rsidRPr="00121123" w:rsidRDefault="003823D3" w:rsidP="007A3A03">
      <w:pPr>
        <w:keepLines w:val="0"/>
        <w:tabs>
          <w:tab w:val="clear" w:pos="567"/>
        </w:tabs>
        <w:rPr>
          <w:b/>
          <w:noProof w:val="0"/>
          <w:szCs w:val="24"/>
        </w:rPr>
      </w:pPr>
    </w:p>
    <w:p w14:paraId="4ECC4F0C" w14:textId="77777777" w:rsidR="003823D3" w:rsidRPr="00121123" w:rsidRDefault="003823D3" w:rsidP="007A3A03">
      <w:pPr>
        <w:suppressLineNumbers/>
        <w:ind w:right="-1"/>
        <w:rPr>
          <w:noProof w:val="0"/>
          <w:szCs w:val="24"/>
        </w:rPr>
      </w:pPr>
    </w:p>
    <w:p w14:paraId="0F016258" w14:textId="77777777" w:rsidR="00870248" w:rsidRPr="00121123" w:rsidRDefault="00870248" w:rsidP="007A3A03">
      <w:pPr>
        <w:rPr>
          <w:b/>
          <w:bCs/>
          <w:noProof w:val="0"/>
        </w:rPr>
      </w:pPr>
      <w:bookmarkStart w:id="12" w:name="WfSource"/>
      <w:r w:rsidRPr="00121123">
        <w:rPr>
          <w:b/>
          <w:bCs/>
          <w:noProof w:val="0"/>
        </w:rPr>
        <w:br w:type="page"/>
      </w:r>
    </w:p>
    <w:p w14:paraId="43267B6C" w14:textId="77777777" w:rsidR="00870248" w:rsidRPr="00121123" w:rsidRDefault="00870248" w:rsidP="007A3A03">
      <w:pPr>
        <w:jc w:val="center"/>
        <w:rPr>
          <w:b/>
          <w:bCs/>
          <w:noProof w:val="0"/>
        </w:rPr>
      </w:pPr>
    </w:p>
    <w:p w14:paraId="3659B394" w14:textId="77777777" w:rsidR="00870248" w:rsidRPr="00121123" w:rsidRDefault="00870248" w:rsidP="007A3A03">
      <w:pPr>
        <w:jc w:val="center"/>
        <w:rPr>
          <w:b/>
          <w:bCs/>
          <w:noProof w:val="0"/>
        </w:rPr>
      </w:pPr>
    </w:p>
    <w:p w14:paraId="2A4B0A56" w14:textId="77777777" w:rsidR="00870248" w:rsidRPr="00121123" w:rsidRDefault="00870248" w:rsidP="007A3A03">
      <w:pPr>
        <w:jc w:val="center"/>
        <w:rPr>
          <w:b/>
          <w:bCs/>
          <w:noProof w:val="0"/>
        </w:rPr>
      </w:pPr>
    </w:p>
    <w:p w14:paraId="1BD8495B" w14:textId="77777777" w:rsidR="00870248" w:rsidRPr="00121123" w:rsidRDefault="00870248" w:rsidP="007A3A03">
      <w:pPr>
        <w:jc w:val="center"/>
        <w:rPr>
          <w:b/>
          <w:bCs/>
          <w:noProof w:val="0"/>
        </w:rPr>
      </w:pPr>
    </w:p>
    <w:p w14:paraId="5382DFCE" w14:textId="77777777" w:rsidR="00870248" w:rsidRPr="00121123" w:rsidRDefault="00870248" w:rsidP="007A3A03">
      <w:pPr>
        <w:jc w:val="center"/>
        <w:rPr>
          <w:b/>
          <w:bCs/>
          <w:noProof w:val="0"/>
        </w:rPr>
      </w:pPr>
    </w:p>
    <w:p w14:paraId="5ED0C111" w14:textId="77777777" w:rsidR="00870248" w:rsidRPr="00121123" w:rsidRDefault="00870248" w:rsidP="007A3A03">
      <w:pPr>
        <w:jc w:val="center"/>
        <w:rPr>
          <w:b/>
          <w:bCs/>
          <w:noProof w:val="0"/>
        </w:rPr>
      </w:pPr>
    </w:p>
    <w:p w14:paraId="098BA436" w14:textId="77777777" w:rsidR="00870248" w:rsidRPr="00121123" w:rsidRDefault="00870248" w:rsidP="007A3A03">
      <w:pPr>
        <w:jc w:val="center"/>
        <w:rPr>
          <w:b/>
          <w:bCs/>
          <w:noProof w:val="0"/>
        </w:rPr>
      </w:pPr>
    </w:p>
    <w:p w14:paraId="4D2768D5" w14:textId="77777777" w:rsidR="00870248" w:rsidRPr="00121123" w:rsidRDefault="00870248" w:rsidP="007A3A03">
      <w:pPr>
        <w:jc w:val="center"/>
        <w:rPr>
          <w:b/>
          <w:bCs/>
          <w:noProof w:val="0"/>
        </w:rPr>
      </w:pPr>
    </w:p>
    <w:p w14:paraId="7BED9C93" w14:textId="77777777" w:rsidR="00870248" w:rsidRPr="00121123" w:rsidRDefault="00870248" w:rsidP="007A3A03">
      <w:pPr>
        <w:jc w:val="center"/>
        <w:rPr>
          <w:b/>
          <w:bCs/>
          <w:noProof w:val="0"/>
        </w:rPr>
      </w:pPr>
    </w:p>
    <w:p w14:paraId="659CB480" w14:textId="77777777" w:rsidR="00870248" w:rsidRPr="00121123" w:rsidRDefault="00870248" w:rsidP="007A3A03">
      <w:pPr>
        <w:jc w:val="center"/>
        <w:rPr>
          <w:b/>
          <w:bCs/>
          <w:noProof w:val="0"/>
        </w:rPr>
      </w:pPr>
    </w:p>
    <w:p w14:paraId="47C59181" w14:textId="77777777" w:rsidR="00870248" w:rsidRPr="00121123" w:rsidRDefault="00870248" w:rsidP="007A3A03">
      <w:pPr>
        <w:jc w:val="center"/>
        <w:rPr>
          <w:b/>
          <w:bCs/>
          <w:noProof w:val="0"/>
        </w:rPr>
      </w:pPr>
    </w:p>
    <w:p w14:paraId="016BD723" w14:textId="77777777" w:rsidR="00870248" w:rsidRPr="00121123" w:rsidRDefault="00870248" w:rsidP="007A3A03">
      <w:pPr>
        <w:jc w:val="center"/>
        <w:rPr>
          <w:b/>
          <w:bCs/>
          <w:noProof w:val="0"/>
        </w:rPr>
      </w:pPr>
    </w:p>
    <w:p w14:paraId="212901F4" w14:textId="77777777" w:rsidR="00870248" w:rsidRPr="00121123" w:rsidRDefault="00870248" w:rsidP="007A3A03">
      <w:pPr>
        <w:jc w:val="center"/>
        <w:rPr>
          <w:b/>
          <w:bCs/>
          <w:noProof w:val="0"/>
        </w:rPr>
      </w:pPr>
    </w:p>
    <w:p w14:paraId="3D3CB5E0" w14:textId="77777777" w:rsidR="00870248" w:rsidRPr="00121123" w:rsidRDefault="00870248" w:rsidP="007A3A03">
      <w:pPr>
        <w:jc w:val="center"/>
        <w:rPr>
          <w:b/>
          <w:bCs/>
          <w:noProof w:val="0"/>
        </w:rPr>
      </w:pPr>
    </w:p>
    <w:p w14:paraId="5D1A153F" w14:textId="77777777" w:rsidR="00870248" w:rsidRPr="00121123" w:rsidRDefault="00870248" w:rsidP="007A3A03">
      <w:pPr>
        <w:jc w:val="center"/>
        <w:rPr>
          <w:b/>
          <w:bCs/>
          <w:noProof w:val="0"/>
        </w:rPr>
      </w:pPr>
    </w:p>
    <w:p w14:paraId="4CAE0354" w14:textId="77777777" w:rsidR="00870248" w:rsidRPr="00121123" w:rsidRDefault="00870248" w:rsidP="007A3A03">
      <w:pPr>
        <w:jc w:val="center"/>
        <w:rPr>
          <w:b/>
          <w:bCs/>
          <w:noProof w:val="0"/>
        </w:rPr>
      </w:pPr>
    </w:p>
    <w:p w14:paraId="4AC28781" w14:textId="77777777" w:rsidR="00870248" w:rsidRPr="00121123" w:rsidRDefault="00870248" w:rsidP="007A3A03">
      <w:pPr>
        <w:jc w:val="center"/>
        <w:rPr>
          <w:b/>
          <w:bCs/>
          <w:noProof w:val="0"/>
        </w:rPr>
      </w:pPr>
    </w:p>
    <w:p w14:paraId="23D53F79" w14:textId="77777777" w:rsidR="00870248" w:rsidRPr="00121123" w:rsidRDefault="00870248" w:rsidP="007A3A03">
      <w:pPr>
        <w:jc w:val="center"/>
        <w:rPr>
          <w:b/>
          <w:bCs/>
          <w:noProof w:val="0"/>
        </w:rPr>
      </w:pPr>
    </w:p>
    <w:p w14:paraId="46F0D61B" w14:textId="77777777" w:rsidR="00870248" w:rsidRPr="00121123" w:rsidRDefault="00870248" w:rsidP="007A3A03">
      <w:pPr>
        <w:jc w:val="center"/>
        <w:rPr>
          <w:b/>
          <w:bCs/>
          <w:noProof w:val="0"/>
        </w:rPr>
      </w:pPr>
    </w:p>
    <w:p w14:paraId="205298C9" w14:textId="77777777" w:rsidR="00870248" w:rsidRPr="00121123" w:rsidRDefault="00870248" w:rsidP="007A3A03">
      <w:pPr>
        <w:jc w:val="center"/>
        <w:rPr>
          <w:b/>
          <w:bCs/>
          <w:noProof w:val="0"/>
        </w:rPr>
      </w:pPr>
    </w:p>
    <w:p w14:paraId="1BBC1BBB" w14:textId="77777777" w:rsidR="00870248" w:rsidRPr="00121123" w:rsidRDefault="00870248" w:rsidP="007A3A03">
      <w:pPr>
        <w:jc w:val="center"/>
        <w:rPr>
          <w:b/>
          <w:bCs/>
          <w:noProof w:val="0"/>
        </w:rPr>
      </w:pPr>
    </w:p>
    <w:p w14:paraId="1A809E11" w14:textId="77777777" w:rsidR="00870248" w:rsidRPr="00121123" w:rsidRDefault="00870248" w:rsidP="007A3A03">
      <w:pPr>
        <w:jc w:val="center"/>
        <w:rPr>
          <w:b/>
          <w:bCs/>
          <w:noProof w:val="0"/>
        </w:rPr>
      </w:pPr>
    </w:p>
    <w:p w14:paraId="533CB071" w14:textId="77777777" w:rsidR="00870248" w:rsidRPr="00121123" w:rsidRDefault="00870248" w:rsidP="007A3A03">
      <w:pPr>
        <w:jc w:val="center"/>
        <w:rPr>
          <w:b/>
          <w:bCs/>
          <w:noProof w:val="0"/>
        </w:rPr>
      </w:pPr>
      <w:r w:rsidRPr="00121123">
        <w:rPr>
          <w:b/>
          <w:bCs/>
          <w:noProof w:val="0"/>
        </w:rPr>
        <w:t>PRÍLOHA III</w:t>
      </w:r>
    </w:p>
    <w:p w14:paraId="5A49B6B7" w14:textId="77777777" w:rsidR="00870248" w:rsidRPr="00121123" w:rsidRDefault="00870248" w:rsidP="007A3A03">
      <w:pPr>
        <w:jc w:val="center"/>
        <w:rPr>
          <w:noProof w:val="0"/>
        </w:rPr>
      </w:pPr>
    </w:p>
    <w:bookmarkEnd w:id="12"/>
    <w:p w14:paraId="58F37840" w14:textId="77777777" w:rsidR="00870248" w:rsidRPr="00121123" w:rsidRDefault="00870248" w:rsidP="007A3A03">
      <w:pPr>
        <w:pStyle w:val="Heading2"/>
        <w:spacing w:before="0" w:after="0"/>
        <w:jc w:val="center"/>
        <w:rPr>
          <w:rFonts w:ascii="Times New Roman" w:hAnsi="Times New Roman" w:cs="Times New Roman"/>
          <w:i w:val="0"/>
          <w:iCs w:val="0"/>
          <w:noProof w:val="0"/>
          <w:sz w:val="22"/>
          <w:szCs w:val="22"/>
        </w:rPr>
      </w:pPr>
      <w:r w:rsidRPr="00121123">
        <w:rPr>
          <w:rFonts w:ascii="Times New Roman" w:hAnsi="Times New Roman" w:cs="Times New Roman"/>
          <w:i w:val="0"/>
          <w:iCs w:val="0"/>
          <w:noProof w:val="0"/>
          <w:sz w:val="22"/>
          <w:szCs w:val="22"/>
        </w:rPr>
        <w:t xml:space="preserve">OZNAČENIE OBALU A PÍSOMNÁ INFORMÁCIA PRE </w:t>
      </w:r>
      <w:r w:rsidR="00916125" w:rsidRPr="00121123">
        <w:rPr>
          <w:rFonts w:ascii="Times New Roman" w:hAnsi="Times New Roman" w:cs="Times New Roman"/>
          <w:i w:val="0"/>
          <w:iCs w:val="0"/>
          <w:noProof w:val="0"/>
          <w:sz w:val="22"/>
          <w:szCs w:val="22"/>
        </w:rPr>
        <w:t>POUŽÍVATEĽA</w:t>
      </w:r>
    </w:p>
    <w:p w14:paraId="0F590D10" w14:textId="77777777" w:rsidR="00870248" w:rsidRPr="00121123" w:rsidRDefault="00870248" w:rsidP="007A3A03">
      <w:pPr>
        <w:tabs>
          <w:tab w:val="clear" w:pos="567"/>
        </w:tabs>
        <w:rPr>
          <w:noProof w:val="0"/>
        </w:rPr>
      </w:pPr>
      <w:r w:rsidRPr="00121123">
        <w:rPr>
          <w:noProof w:val="0"/>
        </w:rPr>
        <w:br w:type="page"/>
      </w:r>
    </w:p>
    <w:p w14:paraId="6656E22C" w14:textId="77777777" w:rsidR="00870248" w:rsidRPr="00121123" w:rsidRDefault="00870248" w:rsidP="007A3A03">
      <w:pPr>
        <w:tabs>
          <w:tab w:val="clear" w:pos="567"/>
        </w:tabs>
        <w:rPr>
          <w:noProof w:val="0"/>
        </w:rPr>
      </w:pPr>
    </w:p>
    <w:p w14:paraId="2E2F9724" w14:textId="77777777" w:rsidR="00870248" w:rsidRPr="00121123" w:rsidRDefault="00870248" w:rsidP="007A3A03">
      <w:pPr>
        <w:tabs>
          <w:tab w:val="clear" w:pos="567"/>
        </w:tabs>
        <w:rPr>
          <w:noProof w:val="0"/>
        </w:rPr>
      </w:pPr>
    </w:p>
    <w:p w14:paraId="72C5FBCB" w14:textId="77777777" w:rsidR="00870248" w:rsidRPr="00121123" w:rsidRDefault="00870248" w:rsidP="007A3A03">
      <w:pPr>
        <w:tabs>
          <w:tab w:val="clear" w:pos="567"/>
        </w:tabs>
        <w:rPr>
          <w:noProof w:val="0"/>
        </w:rPr>
      </w:pPr>
    </w:p>
    <w:p w14:paraId="30599209" w14:textId="77777777" w:rsidR="00870248" w:rsidRPr="00121123" w:rsidRDefault="00870248" w:rsidP="007A3A03">
      <w:pPr>
        <w:tabs>
          <w:tab w:val="clear" w:pos="567"/>
        </w:tabs>
        <w:rPr>
          <w:noProof w:val="0"/>
        </w:rPr>
      </w:pPr>
    </w:p>
    <w:p w14:paraId="77441D56" w14:textId="77777777" w:rsidR="00870248" w:rsidRPr="00121123" w:rsidRDefault="00870248" w:rsidP="007A3A03">
      <w:pPr>
        <w:tabs>
          <w:tab w:val="clear" w:pos="567"/>
        </w:tabs>
        <w:rPr>
          <w:noProof w:val="0"/>
        </w:rPr>
      </w:pPr>
    </w:p>
    <w:p w14:paraId="0B2663AE" w14:textId="77777777" w:rsidR="00870248" w:rsidRPr="00121123" w:rsidRDefault="00870248" w:rsidP="007A3A03">
      <w:pPr>
        <w:tabs>
          <w:tab w:val="clear" w:pos="567"/>
        </w:tabs>
        <w:rPr>
          <w:noProof w:val="0"/>
        </w:rPr>
      </w:pPr>
    </w:p>
    <w:p w14:paraId="5ACAD25E" w14:textId="77777777" w:rsidR="00870248" w:rsidRPr="00121123" w:rsidRDefault="00870248" w:rsidP="007A3A03">
      <w:pPr>
        <w:tabs>
          <w:tab w:val="clear" w:pos="567"/>
        </w:tabs>
        <w:rPr>
          <w:noProof w:val="0"/>
        </w:rPr>
      </w:pPr>
    </w:p>
    <w:p w14:paraId="31F536EB" w14:textId="77777777" w:rsidR="00870248" w:rsidRPr="00121123" w:rsidRDefault="00870248" w:rsidP="007A3A03">
      <w:pPr>
        <w:tabs>
          <w:tab w:val="clear" w:pos="567"/>
        </w:tabs>
        <w:rPr>
          <w:noProof w:val="0"/>
        </w:rPr>
      </w:pPr>
    </w:p>
    <w:p w14:paraId="274895E3" w14:textId="77777777" w:rsidR="00870248" w:rsidRPr="00121123" w:rsidRDefault="00870248" w:rsidP="007A3A03">
      <w:pPr>
        <w:tabs>
          <w:tab w:val="clear" w:pos="567"/>
        </w:tabs>
        <w:rPr>
          <w:noProof w:val="0"/>
        </w:rPr>
      </w:pPr>
    </w:p>
    <w:p w14:paraId="26AAE801" w14:textId="77777777" w:rsidR="00870248" w:rsidRPr="00121123" w:rsidRDefault="00870248" w:rsidP="007A3A03">
      <w:pPr>
        <w:tabs>
          <w:tab w:val="clear" w:pos="567"/>
        </w:tabs>
        <w:rPr>
          <w:noProof w:val="0"/>
        </w:rPr>
      </w:pPr>
    </w:p>
    <w:p w14:paraId="05932D3B" w14:textId="77777777" w:rsidR="00870248" w:rsidRPr="00121123" w:rsidRDefault="00870248" w:rsidP="007A3A03">
      <w:pPr>
        <w:tabs>
          <w:tab w:val="clear" w:pos="567"/>
        </w:tabs>
        <w:rPr>
          <w:noProof w:val="0"/>
        </w:rPr>
      </w:pPr>
    </w:p>
    <w:p w14:paraId="7A3AF31E" w14:textId="77777777" w:rsidR="00870248" w:rsidRPr="00121123" w:rsidRDefault="00870248" w:rsidP="007A3A03">
      <w:pPr>
        <w:tabs>
          <w:tab w:val="clear" w:pos="567"/>
        </w:tabs>
        <w:rPr>
          <w:noProof w:val="0"/>
        </w:rPr>
      </w:pPr>
    </w:p>
    <w:p w14:paraId="428DB910" w14:textId="77777777" w:rsidR="00870248" w:rsidRPr="00121123" w:rsidRDefault="00870248" w:rsidP="007A3A03">
      <w:pPr>
        <w:tabs>
          <w:tab w:val="clear" w:pos="567"/>
        </w:tabs>
        <w:rPr>
          <w:noProof w:val="0"/>
        </w:rPr>
      </w:pPr>
    </w:p>
    <w:p w14:paraId="52017BB2" w14:textId="77777777" w:rsidR="00870248" w:rsidRPr="00121123" w:rsidRDefault="00870248" w:rsidP="007A3A03">
      <w:pPr>
        <w:tabs>
          <w:tab w:val="clear" w:pos="567"/>
        </w:tabs>
        <w:rPr>
          <w:noProof w:val="0"/>
        </w:rPr>
      </w:pPr>
    </w:p>
    <w:p w14:paraId="1DF33030" w14:textId="77777777" w:rsidR="00870248" w:rsidRPr="00121123" w:rsidRDefault="00870248" w:rsidP="007A3A03">
      <w:pPr>
        <w:tabs>
          <w:tab w:val="clear" w:pos="567"/>
        </w:tabs>
        <w:rPr>
          <w:noProof w:val="0"/>
        </w:rPr>
      </w:pPr>
    </w:p>
    <w:p w14:paraId="158C50B8" w14:textId="77777777" w:rsidR="00870248" w:rsidRPr="00121123" w:rsidRDefault="00870248" w:rsidP="007A3A03">
      <w:pPr>
        <w:tabs>
          <w:tab w:val="clear" w:pos="567"/>
        </w:tabs>
        <w:rPr>
          <w:noProof w:val="0"/>
        </w:rPr>
      </w:pPr>
    </w:p>
    <w:p w14:paraId="43016DEC" w14:textId="77777777" w:rsidR="00870248" w:rsidRPr="00121123" w:rsidRDefault="00870248" w:rsidP="007A3A03">
      <w:pPr>
        <w:tabs>
          <w:tab w:val="clear" w:pos="567"/>
        </w:tabs>
        <w:rPr>
          <w:noProof w:val="0"/>
        </w:rPr>
      </w:pPr>
    </w:p>
    <w:p w14:paraId="28E2D0BA" w14:textId="77777777" w:rsidR="00870248" w:rsidRPr="00121123" w:rsidRDefault="00870248" w:rsidP="007A3A03">
      <w:pPr>
        <w:tabs>
          <w:tab w:val="clear" w:pos="567"/>
        </w:tabs>
        <w:rPr>
          <w:noProof w:val="0"/>
        </w:rPr>
      </w:pPr>
    </w:p>
    <w:p w14:paraId="206E28D1" w14:textId="77777777" w:rsidR="00870248" w:rsidRPr="00121123" w:rsidRDefault="00870248" w:rsidP="007A3A03">
      <w:pPr>
        <w:tabs>
          <w:tab w:val="clear" w:pos="567"/>
        </w:tabs>
        <w:rPr>
          <w:noProof w:val="0"/>
        </w:rPr>
      </w:pPr>
    </w:p>
    <w:p w14:paraId="3D20AB13" w14:textId="77777777" w:rsidR="00870248" w:rsidRPr="00121123" w:rsidRDefault="00870248" w:rsidP="007A3A03">
      <w:pPr>
        <w:tabs>
          <w:tab w:val="clear" w:pos="567"/>
        </w:tabs>
        <w:rPr>
          <w:noProof w:val="0"/>
        </w:rPr>
      </w:pPr>
    </w:p>
    <w:p w14:paraId="294FC6E1" w14:textId="77777777" w:rsidR="00870248" w:rsidRPr="00121123" w:rsidRDefault="00870248" w:rsidP="007A3A03">
      <w:pPr>
        <w:tabs>
          <w:tab w:val="clear" w:pos="567"/>
        </w:tabs>
        <w:rPr>
          <w:noProof w:val="0"/>
        </w:rPr>
      </w:pPr>
    </w:p>
    <w:p w14:paraId="748D6A72" w14:textId="77777777" w:rsidR="00870248" w:rsidRPr="00121123" w:rsidRDefault="00870248" w:rsidP="007A3A03">
      <w:pPr>
        <w:tabs>
          <w:tab w:val="clear" w:pos="567"/>
        </w:tabs>
        <w:rPr>
          <w:noProof w:val="0"/>
        </w:rPr>
      </w:pPr>
    </w:p>
    <w:p w14:paraId="703986E8" w14:textId="77777777" w:rsidR="00870248" w:rsidRPr="00121123" w:rsidRDefault="00870248" w:rsidP="007A3A03">
      <w:pPr>
        <w:pStyle w:val="TitleA"/>
        <w:rPr>
          <w:rFonts w:cs="Times New Roman"/>
          <w:noProof w:val="0"/>
        </w:rPr>
      </w:pPr>
      <w:r w:rsidRPr="00121123">
        <w:rPr>
          <w:rFonts w:cs="Times New Roman"/>
          <w:noProof w:val="0"/>
        </w:rPr>
        <w:t>A. OZNAČENIE OBALU</w:t>
      </w:r>
    </w:p>
    <w:p w14:paraId="69F956E8" w14:textId="77777777" w:rsidR="00870248" w:rsidRPr="00121123" w:rsidRDefault="00870248" w:rsidP="007A3A03">
      <w:pPr>
        <w:tabs>
          <w:tab w:val="clear" w:pos="567"/>
        </w:tabs>
        <w:rPr>
          <w:noProof w:val="0"/>
        </w:rPr>
      </w:pPr>
      <w:r w:rsidRPr="00121123">
        <w:rPr>
          <w:noProof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2BA16259" w14:textId="77777777">
        <w:tc>
          <w:tcPr>
            <w:tcW w:w="9287" w:type="dxa"/>
            <w:tcBorders>
              <w:top w:val="single" w:sz="4" w:space="0" w:color="auto"/>
              <w:left w:val="single" w:sz="4" w:space="0" w:color="auto"/>
              <w:bottom w:val="single" w:sz="4" w:space="0" w:color="auto"/>
              <w:right w:val="single" w:sz="4" w:space="0" w:color="auto"/>
            </w:tcBorders>
          </w:tcPr>
          <w:p w14:paraId="1D880063" w14:textId="77777777" w:rsidR="00870248" w:rsidRPr="00121123" w:rsidRDefault="00870248" w:rsidP="00121123">
            <w:pPr>
              <w:keepLines w:val="0"/>
              <w:tabs>
                <w:tab w:val="clear" w:pos="567"/>
              </w:tabs>
              <w:rPr>
                <w:b/>
                <w:bCs/>
                <w:noProof w:val="0"/>
              </w:rPr>
            </w:pPr>
            <w:r w:rsidRPr="00121123">
              <w:rPr>
                <w:b/>
                <w:bCs/>
                <w:noProof w:val="0"/>
              </w:rPr>
              <w:lastRenderedPageBreak/>
              <w:t xml:space="preserve">ÚDAJE, KTORÉ MAJÚ BYŤ UVEDENÉ NA VONKAJŠOM OBALE </w:t>
            </w:r>
          </w:p>
          <w:p w14:paraId="0583A458" w14:textId="77777777" w:rsidR="00870248" w:rsidRPr="00121123" w:rsidRDefault="00870248" w:rsidP="00121123">
            <w:pPr>
              <w:pStyle w:val="Heading1"/>
              <w:keepNext w:val="0"/>
              <w:keepLines w:val="0"/>
              <w:rPr>
                <w:caps w:val="0"/>
                <w:noProof w:val="0"/>
                <w:lang w:val="sk-SK"/>
              </w:rPr>
            </w:pPr>
          </w:p>
          <w:p w14:paraId="2644774C" w14:textId="77777777" w:rsidR="00870248" w:rsidRPr="00121123" w:rsidRDefault="00870248" w:rsidP="00121123">
            <w:pPr>
              <w:pStyle w:val="Heading1"/>
              <w:keepNext w:val="0"/>
              <w:keepLines w:val="0"/>
              <w:rPr>
                <w:noProof w:val="0"/>
                <w:lang w:val="sk-SK"/>
              </w:rPr>
            </w:pPr>
            <w:r w:rsidRPr="00121123">
              <w:rPr>
                <w:noProof w:val="0"/>
                <w:lang w:val="sk-SK"/>
              </w:rPr>
              <w:t>ŠKATUĽKA</w:t>
            </w:r>
          </w:p>
        </w:tc>
      </w:tr>
    </w:tbl>
    <w:p w14:paraId="6946AB99" w14:textId="77777777" w:rsidR="00870248" w:rsidRPr="00121123" w:rsidRDefault="00870248" w:rsidP="00121123">
      <w:pPr>
        <w:keepLines w:val="0"/>
        <w:tabs>
          <w:tab w:val="clear" w:pos="567"/>
        </w:tabs>
        <w:rPr>
          <w:noProof w:val="0"/>
        </w:rPr>
      </w:pPr>
    </w:p>
    <w:p w14:paraId="5732006C"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2325BBBC" w14:textId="77777777">
        <w:tc>
          <w:tcPr>
            <w:tcW w:w="9287" w:type="dxa"/>
            <w:tcBorders>
              <w:top w:val="single" w:sz="4" w:space="0" w:color="auto"/>
              <w:left w:val="single" w:sz="4" w:space="0" w:color="auto"/>
              <w:bottom w:val="single" w:sz="4" w:space="0" w:color="auto"/>
              <w:right w:val="single" w:sz="4" w:space="0" w:color="auto"/>
            </w:tcBorders>
          </w:tcPr>
          <w:p w14:paraId="34470208"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w:t>
            </w:r>
            <w:r w:rsidRPr="00121123">
              <w:rPr>
                <w:b/>
                <w:bCs/>
                <w:noProof w:val="0"/>
              </w:rPr>
              <w:tab/>
              <w:t>NÁZOV LIEKU</w:t>
            </w:r>
          </w:p>
        </w:tc>
      </w:tr>
    </w:tbl>
    <w:p w14:paraId="799FD211" w14:textId="77777777" w:rsidR="00870248" w:rsidRPr="00121123" w:rsidRDefault="00870248" w:rsidP="00121123">
      <w:pPr>
        <w:keepLines w:val="0"/>
        <w:tabs>
          <w:tab w:val="clear" w:pos="567"/>
        </w:tabs>
        <w:rPr>
          <w:noProof w:val="0"/>
        </w:rPr>
      </w:pPr>
    </w:p>
    <w:p w14:paraId="034ACDEA" w14:textId="77777777" w:rsidR="00870248" w:rsidRPr="00121123" w:rsidRDefault="00964F97" w:rsidP="00121123">
      <w:pPr>
        <w:keepLines w:val="0"/>
        <w:tabs>
          <w:tab w:val="clear" w:pos="567"/>
        </w:tabs>
        <w:rPr>
          <w:noProof w:val="0"/>
        </w:rPr>
      </w:pPr>
      <w:r>
        <w:rPr>
          <w:noProof w:val="0"/>
        </w:rPr>
        <w:t>Tigecycline Accord</w:t>
      </w:r>
      <w:r w:rsidR="00870248" w:rsidRPr="00121123">
        <w:rPr>
          <w:noProof w:val="0"/>
        </w:rPr>
        <w:t xml:space="preserve"> 50 mg prášok na infúzny roztok </w:t>
      </w:r>
    </w:p>
    <w:p w14:paraId="67CA47AC" w14:textId="77777777" w:rsidR="00870248" w:rsidRPr="00121123" w:rsidRDefault="00D3455C" w:rsidP="00121123">
      <w:pPr>
        <w:keepLines w:val="0"/>
        <w:tabs>
          <w:tab w:val="clear" w:pos="567"/>
        </w:tabs>
        <w:rPr>
          <w:noProof w:val="0"/>
        </w:rPr>
      </w:pPr>
      <w:r w:rsidRPr="00121123">
        <w:rPr>
          <w:noProof w:val="0"/>
        </w:rPr>
        <w:t>t</w:t>
      </w:r>
      <w:r w:rsidR="00870248" w:rsidRPr="00121123">
        <w:rPr>
          <w:noProof w:val="0"/>
        </w:rPr>
        <w:t>igecyklín</w:t>
      </w:r>
    </w:p>
    <w:p w14:paraId="562C7E22" w14:textId="77777777" w:rsidR="00870248" w:rsidRPr="00121123" w:rsidRDefault="00870248" w:rsidP="00121123">
      <w:pPr>
        <w:keepLines w:val="0"/>
        <w:tabs>
          <w:tab w:val="clear" w:pos="567"/>
        </w:tabs>
        <w:rPr>
          <w:noProof w:val="0"/>
        </w:rPr>
      </w:pPr>
    </w:p>
    <w:p w14:paraId="03EFB75F"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0C90CB8D" w14:textId="77777777">
        <w:tc>
          <w:tcPr>
            <w:tcW w:w="9287" w:type="dxa"/>
            <w:tcBorders>
              <w:top w:val="single" w:sz="4" w:space="0" w:color="auto"/>
              <w:left w:val="single" w:sz="4" w:space="0" w:color="auto"/>
              <w:bottom w:val="single" w:sz="4" w:space="0" w:color="auto"/>
              <w:right w:val="single" w:sz="4" w:space="0" w:color="auto"/>
            </w:tcBorders>
          </w:tcPr>
          <w:p w14:paraId="1E5A62E6"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2.</w:t>
            </w:r>
            <w:r w:rsidRPr="00121123">
              <w:rPr>
                <w:b/>
                <w:bCs/>
                <w:noProof w:val="0"/>
              </w:rPr>
              <w:tab/>
              <w:t>LIEČIVO</w:t>
            </w:r>
          </w:p>
        </w:tc>
      </w:tr>
    </w:tbl>
    <w:p w14:paraId="29DDAA54" w14:textId="77777777" w:rsidR="00870248" w:rsidRPr="00121123" w:rsidRDefault="00870248" w:rsidP="00121123">
      <w:pPr>
        <w:keepLines w:val="0"/>
        <w:tabs>
          <w:tab w:val="clear" w:pos="567"/>
        </w:tabs>
        <w:rPr>
          <w:noProof w:val="0"/>
        </w:rPr>
      </w:pPr>
    </w:p>
    <w:p w14:paraId="37DC24A5" w14:textId="77777777" w:rsidR="00870248" w:rsidRPr="00121123" w:rsidRDefault="00870248" w:rsidP="00121123">
      <w:pPr>
        <w:keepLines w:val="0"/>
        <w:tabs>
          <w:tab w:val="clear" w:pos="567"/>
        </w:tabs>
        <w:rPr>
          <w:noProof w:val="0"/>
        </w:rPr>
      </w:pPr>
      <w:r w:rsidRPr="00121123">
        <w:rPr>
          <w:noProof w:val="0"/>
        </w:rPr>
        <w:t>Každá injekčná liekovka obsahuje 50 mg tigecyklínu.</w:t>
      </w:r>
    </w:p>
    <w:p w14:paraId="13769666" w14:textId="77777777" w:rsidR="00870248" w:rsidRPr="00121123" w:rsidRDefault="00870248" w:rsidP="00121123">
      <w:pPr>
        <w:keepLines w:val="0"/>
        <w:tabs>
          <w:tab w:val="clear" w:pos="567"/>
        </w:tabs>
        <w:rPr>
          <w:noProof w:val="0"/>
        </w:rPr>
      </w:pPr>
    </w:p>
    <w:p w14:paraId="47749355"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17421378" w14:textId="77777777">
        <w:tc>
          <w:tcPr>
            <w:tcW w:w="9287" w:type="dxa"/>
            <w:tcBorders>
              <w:top w:val="single" w:sz="4" w:space="0" w:color="auto"/>
              <w:left w:val="single" w:sz="4" w:space="0" w:color="auto"/>
              <w:bottom w:val="single" w:sz="4" w:space="0" w:color="auto"/>
              <w:right w:val="single" w:sz="4" w:space="0" w:color="auto"/>
            </w:tcBorders>
          </w:tcPr>
          <w:p w14:paraId="5E44FA45"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3.</w:t>
            </w:r>
            <w:r w:rsidRPr="00121123">
              <w:rPr>
                <w:b/>
                <w:bCs/>
                <w:noProof w:val="0"/>
              </w:rPr>
              <w:tab/>
              <w:t>ZOZNAM POMOCNÝCH LÁTOK</w:t>
            </w:r>
          </w:p>
        </w:tc>
      </w:tr>
    </w:tbl>
    <w:p w14:paraId="5CF1935F" w14:textId="77777777" w:rsidR="00870248" w:rsidRPr="00121123" w:rsidRDefault="00870248" w:rsidP="00121123">
      <w:pPr>
        <w:keepLines w:val="0"/>
        <w:tabs>
          <w:tab w:val="clear" w:pos="567"/>
        </w:tabs>
        <w:rPr>
          <w:noProof w:val="0"/>
        </w:rPr>
      </w:pPr>
    </w:p>
    <w:p w14:paraId="3AAF86DE" w14:textId="77777777" w:rsidR="00870248" w:rsidRPr="00121123" w:rsidRDefault="00870248" w:rsidP="00121123">
      <w:pPr>
        <w:keepLines w:val="0"/>
        <w:tabs>
          <w:tab w:val="clear" w:pos="567"/>
        </w:tabs>
        <w:rPr>
          <w:noProof w:val="0"/>
        </w:rPr>
      </w:pPr>
      <w:r w:rsidRPr="00121123">
        <w:rPr>
          <w:noProof w:val="0"/>
        </w:rPr>
        <w:t xml:space="preserve">Každá injekčná liekovka </w:t>
      </w:r>
      <w:r w:rsidR="00F3767F" w:rsidRPr="00121123">
        <w:rPr>
          <w:noProof w:val="0"/>
        </w:rPr>
        <w:t xml:space="preserve">obsahuje </w:t>
      </w:r>
      <w:r w:rsidRPr="00121123">
        <w:rPr>
          <w:noProof w:val="0"/>
        </w:rPr>
        <w:t xml:space="preserve">monohydrát </w:t>
      </w:r>
      <w:r w:rsidR="006533F9">
        <w:rPr>
          <w:noProof w:val="0"/>
        </w:rPr>
        <w:t>maltózy</w:t>
      </w:r>
      <w:r w:rsidRPr="00121123">
        <w:rPr>
          <w:noProof w:val="0"/>
        </w:rPr>
        <w:t xml:space="preserve">. </w:t>
      </w:r>
      <w:r w:rsidR="00F3767F" w:rsidRPr="00121123">
        <w:rPr>
          <w:noProof w:val="0"/>
        </w:rPr>
        <w:t>p</w:t>
      </w:r>
      <w:r w:rsidRPr="00121123">
        <w:rPr>
          <w:noProof w:val="0"/>
        </w:rPr>
        <w:t xml:space="preserve">H </w:t>
      </w:r>
      <w:r w:rsidR="0001688A" w:rsidRPr="00121123">
        <w:rPr>
          <w:noProof w:val="0"/>
        </w:rPr>
        <w:t xml:space="preserve">sa </w:t>
      </w:r>
      <w:r w:rsidR="00F3767F" w:rsidRPr="00121123">
        <w:rPr>
          <w:noProof w:val="0"/>
        </w:rPr>
        <w:t>uprav</w:t>
      </w:r>
      <w:r w:rsidR="0001688A" w:rsidRPr="00121123">
        <w:rPr>
          <w:noProof w:val="0"/>
        </w:rPr>
        <w:t>uje</w:t>
      </w:r>
      <w:r w:rsidR="00F3767F" w:rsidRPr="00121123">
        <w:rPr>
          <w:noProof w:val="0"/>
        </w:rPr>
        <w:t xml:space="preserve"> </w:t>
      </w:r>
      <w:r w:rsidRPr="00121123">
        <w:rPr>
          <w:noProof w:val="0"/>
        </w:rPr>
        <w:t>kyselinou chlorovodíkovou a</w:t>
      </w:r>
      <w:r w:rsidR="00F3767F" w:rsidRPr="00121123">
        <w:rPr>
          <w:noProof w:val="0"/>
        </w:rPr>
        <w:t> ak je</w:t>
      </w:r>
      <w:r w:rsidR="0001688A" w:rsidRPr="00121123">
        <w:rPr>
          <w:noProof w:val="0"/>
        </w:rPr>
        <w:t xml:space="preserve"> to </w:t>
      </w:r>
      <w:r w:rsidR="00F3767F" w:rsidRPr="00121123">
        <w:rPr>
          <w:noProof w:val="0"/>
        </w:rPr>
        <w:t>potrebné</w:t>
      </w:r>
      <w:r w:rsidR="0001688A" w:rsidRPr="00121123">
        <w:rPr>
          <w:noProof w:val="0"/>
        </w:rPr>
        <w:t>,</w:t>
      </w:r>
      <w:r w:rsidR="00F3767F" w:rsidRPr="00121123">
        <w:rPr>
          <w:noProof w:val="0"/>
        </w:rPr>
        <w:t xml:space="preserve"> </w:t>
      </w:r>
      <w:r w:rsidRPr="00121123">
        <w:rPr>
          <w:noProof w:val="0"/>
        </w:rPr>
        <w:t xml:space="preserve">hydroxidom sodným.  </w:t>
      </w:r>
    </w:p>
    <w:p w14:paraId="7AD5C6F1" w14:textId="77777777" w:rsidR="00870248" w:rsidRPr="00121123" w:rsidRDefault="00870248" w:rsidP="00121123">
      <w:pPr>
        <w:keepLines w:val="0"/>
        <w:tabs>
          <w:tab w:val="clear" w:pos="567"/>
        </w:tabs>
        <w:rPr>
          <w:noProof w:val="0"/>
        </w:rPr>
      </w:pPr>
    </w:p>
    <w:p w14:paraId="763DF2A6" w14:textId="77777777" w:rsidR="00D3455C" w:rsidRPr="00121123" w:rsidRDefault="00D3455C"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3713B31D" w14:textId="77777777">
        <w:tc>
          <w:tcPr>
            <w:tcW w:w="9287" w:type="dxa"/>
            <w:tcBorders>
              <w:top w:val="single" w:sz="4" w:space="0" w:color="auto"/>
              <w:left w:val="single" w:sz="4" w:space="0" w:color="auto"/>
              <w:bottom w:val="single" w:sz="4" w:space="0" w:color="auto"/>
              <w:right w:val="single" w:sz="4" w:space="0" w:color="auto"/>
            </w:tcBorders>
          </w:tcPr>
          <w:p w14:paraId="4192C81C"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4.</w:t>
            </w:r>
            <w:r w:rsidRPr="00121123">
              <w:rPr>
                <w:b/>
                <w:bCs/>
                <w:noProof w:val="0"/>
              </w:rPr>
              <w:tab/>
              <w:t>LIEKOVÁ FORMA A</w:t>
            </w:r>
            <w:r w:rsidR="00393A6E" w:rsidRPr="00121123">
              <w:rPr>
                <w:b/>
                <w:bCs/>
                <w:noProof w:val="0"/>
              </w:rPr>
              <w:t> </w:t>
            </w:r>
            <w:r w:rsidRPr="00121123">
              <w:rPr>
                <w:b/>
                <w:bCs/>
                <w:noProof w:val="0"/>
              </w:rPr>
              <w:t>OBSAH</w:t>
            </w:r>
          </w:p>
        </w:tc>
      </w:tr>
    </w:tbl>
    <w:p w14:paraId="09CB2A51" w14:textId="77777777" w:rsidR="00870248" w:rsidRPr="00121123" w:rsidRDefault="00870248" w:rsidP="00121123">
      <w:pPr>
        <w:keepLines w:val="0"/>
        <w:tabs>
          <w:tab w:val="clear" w:pos="567"/>
        </w:tabs>
        <w:rPr>
          <w:noProof w:val="0"/>
        </w:rPr>
      </w:pPr>
    </w:p>
    <w:p w14:paraId="5223238A" w14:textId="77777777" w:rsidR="00F3767F" w:rsidRPr="00121123" w:rsidRDefault="004E5224" w:rsidP="00121123">
      <w:pPr>
        <w:keepLines w:val="0"/>
        <w:tabs>
          <w:tab w:val="clear" w:pos="567"/>
        </w:tabs>
        <w:rPr>
          <w:noProof w:val="0"/>
        </w:rPr>
      </w:pPr>
      <w:r w:rsidRPr="00121123">
        <w:rPr>
          <w:noProof w:val="0"/>
          <w:highlight w:val="lightGray"/>
        </w:rPr>
        <w:t>P</w:t>
      </w:r>
      <w:r w:rsidR="00F3767F" w:rsidRPr="00121123">
        <w:rPr>
          <w:noProof w:val="0"/>
          <w:highlight w:val="lightGray"/>
        </w:rPr>
        <w:t>rášok na infúzny roztok</w:t>
      </w:r>
    </w:p>
    <w:p w14:paraId="2917553A" w14:textId="77777777" w:rsidR="006533F9" w:rsidRDefault="006533F9" w:rsidP="00121123">
      <w:pPr>
        <w:keepLines w:val="0"/>
        <w:tabs>
          <w:tab w:val="clear" w:pos="567"/>
        </w:tabs>
        <w:rPr>
          <w:noProof w:val="0"/>
        </w:rPr>
      </w:pPr>
      <w:r>
        <w:rPr>
          <w:noProof w:val="0"/>
        </w:rPr>
        <w:t>1 injekčná liekovka</w:t>
      </w:r>
    </w:p>
    <w:p w14:paraId="7F2D61B7" w14:textId="77777777" w:rsidR="00870248" w:rsidRPr="00121123" w:rsidRDefault="00870248" w:rsidP="00121123">
      <w:pPr>
        <w:keepLines w:val="0"/>
        <w:tabs>
          <w:tab w:val="clear" w:pos="567"/>
        </w:tabs>
        <w:rPr>
          <w:noProof w:val="0"/>
        </w:rPr>
      </w:pPr>
      <w:r w:rsidRPr="00121123">
        <w:rPr>
          <w:noProof w:val="0"/>
        </w:rPr>
        <w:t>10 injekčných liekoviek</w:t>
      </w:r>
    </w:p>
    <w:p w14:paraId="0B0AACE9" w14:textId="77777777" w:rsidR="00870248" w:rsidRPr="00121123" w:rsidRDefault="00870248" w:rsidP="00121123">
      <w:pPr>
        <w:keepLines w:val="0"/>
        <w:tabs>
          <w:tab w:val="clear" w:pos="567"/>
        </w:tabs>
        <w:rPr>
          <w:noProof w:val="0"/>
        </w:rPr>
      </w:pPr>
    </w:p>
    <w:p w14:paraId="33980AD6"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5B8E9084" w14:textId="77777777">
        <w:tc>
          <w:tcPr>
            <w:tcW w:w="9287" w:type="dxa"/>
            <w:tcBorders>
              <w:top w:val="single" w:sz="4" w:space="0" w:color="auto"/>
              <w:left w:val="single" w:sz="4" w:space="0" w:color="auto"/>
              <w:bottom w:val="single" w:sz="4" w:space="0" w:color="auto"/>
              <w:right w:val="single" w:sz="4" w:space="0" w:color="auto"/>
            </w:tcBorders>
          </w:tcPr>
          <w:p w14:paraId="6AE48350"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5.</w:t>
            </w:r>
            <w:r w:rsidRPr="00121123">
              <w:rPr>
                <w:b/>
                <w:bCs/>
                <w:noProof w:val="0"/>
              </w:rPr>
              <w:tab/>
              <w:t xml:space="preserve">SPÔSOB A CESTA </w:t>
            </w:r>
            <w:r w:rsidR="00473E2B" w:rsidRPr="00121123">
              <w:rPr>
                <w:b/>
                <w:bCs/>
                <w:noProof w:val="0"/>
              </w:rPr>
              <w:t>PODÁVANIA</w:t>
            </w:r>
          </w:p>
        </w:tc>
      </w:tr>
    </w:tbl>
    <w:p w14:paraId="074B0CEC" w14:textId="77777777" w:rsidR="00870248" w:rsidRPr="00C26AE6" w:rsidRDefault="00870248" w:rsidP="00121123">
      <w:pPr>
        <w:keepLines w:val="0"/>
        <w:tabs>
          <w:tab w:val="clear" w:pos="567"/>
        </w:tabs>
        <w:rPr>
          <w:noProof w:val="0"/>
          <w:color w:val="000000"/>
        </w:rPr>
      </w:pPr>
    </w:p>
    <w:p w14:paraId="653B5B9A" w14:textId="77777777" w:rsidR="00870248" w:rsidRPr="00C26AE6" w:rsidRDefault="00870248" w:rsidP="00121123">
      <w:pPr>
        <w:keepLines w:val="0"/>
        <w:rPr>
          <w:noProof w:val="0"/>
          <w:color w:val="000000"/>
        </w:rPr>
      </w:pPr>
      <w:r w:rsidRPr="00C26AE6">
        <w:rPr>
          <w:noProof w:val="0"/>
          <w:color w:val="000000"/>
        </w:rPr>
        <w:t xml:space="preserve">Pred použitím si prečítajte písomnú informáciu pre </w:t>
      </w:r>
      <w:r w:rsidR="00916125" w:rsidRPr="00C26AE6">
        <w:rPr>
          <w:noProof w:val="0"/>
          <w:color w:val="000000"/>
        </w:rPr>
        <w:t xml:space="preserve">používateľa </w:t>
      </w:r>
      <w:r w:rsidRPr="00C26AE6">
        <w:rPr>
          <w:noProof w:val="0"/>
          <w:color w:val="000000"/>
        </w:rPr>
        <w:t xml:space="preserve">s návodom </w:t>
      </w:r>
      <w:r w:rsidR="0001688A" w:rsidRPr="00C26AE6">
        <w:rPr>
          <w:noProof w:val="0"/>
          <w:color w:val="000000"/>
        </w:rPr>
        <w:t xml:space="preserve">na </w:t>
      </w:r>
      <w:r w:rsidR="00770789" w:rsidRPr="00C26AE6">
        <w:rPr>
          <w:noProof w:val="0"/>
          <w:color w:val="000000"/>
        </w:rPr>
        <w:t>rekonštitúciu</w:t>
      </w:r>
      <w:r w:rsidR="0001688A" w:rsidRPr="00C26AE6">
        <w:rPr>
          <w:noProof w:val="0"/>
          <w:color w:val="000000"/>
        </w:rPr>
        <w:t xml:space="preserve"> </w:t>
      </w:r>
      <w:r w:rsidRPr="00C26AE6">
        <w:rPr>
          <w:noProof w:val="0"/>
          <w:color w:val="000000"/>
        </w:rPr>
        <w:t>a</w:t>
      </w:r>
      <w:r w:rsidR="00D3455C" w:rsidRPr="00C26AE6">
        <w:rPr>
          <w:noProof w:val="0"/>
          <w:color w:val="000000"/>
        </w:rPr>
        <w:t> </w:t>
      </w:r>
      <w:r w:rsidRPr="00C26AE6">
        <w:rPr>
          <w:noProof w:val="0"/>
          <w:color w:val="000000"/>
        </w:rPr>
        <w:t>zriedenie.</w:t>
      </w:r>
    </w:p>
    <w:p w14:paraId="313600AF" w14:textId="77777777" w:rsidR="00870248" w:rsidRPr="00121123" w:rsidRDefault="00870248" w:rsidP="00121123">
      <w:pPr>
        <w:keepLines w:val="0"/>
        <w:tabs>
          <w:tab w:val="clear" w:pos="567"/>
        </w:tabs>
        <w:rPr>
          <w:noProof w:val="0"/>
        </w:rPr>
      </w:pPr>
      <w:r w:rsidRPr="00121123">
        <w:rPr>
          <w:noProof w:val="0"/>
        </w:rPr>
        <w:t xml:space="preserve">Na intravenózne použitie po </w:t>
      </w:r>
      <w:r w:rsidR="00770789" w:rsidRPr="00121123">
        <w:rPr>
          <w:noProof w:val="0"/>
        </w:rPr>
        <w:t>rekonštitúcii</w:t>
      </w:r>
      <w:r w:rsidRPr="00121123">
        <w:rPr>
          <w:noProof w:val="0"/>
        </w:rPr>
        <w:t xml:space="preserve"> a zriedení.</w:t>
      </w:r>
    </w:p>
    <w:p w14:paraId="7FC4F5F6" w14:textId="77777777" w:rsidR="00870248" w:rsidRPr="00121123" w:rsidRDefault="00870248" w:rsidP="00121123">
      <w:pPr>
        <w:keepLines w:val="0"/>
        <w:tabs>
          <w:tab w:val="clear" w:pos="567"/>
        </w:tabs>
        <w:rPr>
          <w:noProof w:val="0"/>
        </w:rPr>
      </w:pPr>
    </w:p>
    <w:p w14:paraId="421CEE01"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346B2CDB" w14:textId="77777777">
        <w:tc>
          <w:tcPr>
            <w:tcW w:w="9287" w:type="dxa"/>
            <w:tcBorders>
              <w:top w:val="single" w:sz="4" w:space="0" w:color="auto"/>
              <w:left w:val="single" w:sz="4" w:space="0" w:color="auto"/>
              <w:bottom w:val="single" w:sz="4" w:space="0" w:color="auto"/>
              <w:right w:val="single" w:sz="4" w:space="0" w:color="auto"/>
            </w:tcBorders>
          </w:tcPr>
          <w:p w14:paraId="6AE37E24"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6.</w:t>
            </w:r>
            <w:r w:rsidRPr="00121123">
              <w:rPr>
                <w:b/>
                <w:bCs/>
                <w:noProof w:val="0"/>
              </w:rPr>
              <w:tab/>
              <w:t xml:space="preserve">ŠPECIÁLNE UPOZORNENIE, ŽE LIEK SA MUSÍ UCHOVÁVAŤ MIMO DOHĽADU </w:t>
            </w:r>
            <w:r w:rsidR="002B7563" w:rsidRPr="00121123">
              <w:rPr>
                <w:b/>
                <w:bCs/>
                <w:noProof w:val="0"/>
              </w:rPr>
              <w:t>A</w:t>
            </w:r>
            <w:r w:rsidR="002B7563" w:rsidRPr="00121123">
              <w:rPr>
                <w:noProof w:val="0"/>
              </w:rPr>
              <w:t> </w:t>
            </w:r>
            <w:r w:rsidR="002B7563" w:rsidRPr="00121123">
              <w:rPr>
                <w:b/>
                <w:bCs/>
                <w:noProof w:val="0"/>
              </w:rPr>
              <w:t xml:space="preserve">DOSAHU </w:t>
            </w:r>
            <w:r w:rsidRPr="00121123">
              <w:rPr>
                <w:b/>
                <w:bCs/>
                <w:noProof w:val="0"/>
              </w:rPr>
              <w:t>DETÍ</w:t>
            </w:r>
          </w:p>
        </w:tc>
      </w:tr>
    </w:tbl>
    <w:p w14:paraId="0EA4981E" w14:textId="77777777" w:rsidR="00870248" w:rsidRPr="00121123" w:rsidRDefault="00870248" w:rsidP="00121123">
      <w:pPr>
        <w:keepLines w:val="0"/>
        <w:tabs>
          <w:tab w:val="clear" w:pos="567"/>
        </w:tabs>
        <w:rPr>
          <w:noProof w:val="0"/>
        </w:rPr>
      </w:pPr>
    </w:p>
    <w:p w14:paraId="5B6C601C" w14:textId="77777777" w:rsidR="00870248" w:rsidRPr="00121123" w:rsidRDefault="00870248" w:rsidP="00121123">
      <w:pPr>
        <w:keepLines w:val="0"/>
        <w:tabs>
          <w:tab w:val="clear" w:pos="567"/>
        </w:tabs>
        <w:rPr>
          <w:noProof w:val="0"/>
        </w:rPr>
      </w:pPr>
      <w:r w:rsidRPr="00121123">
        <w:rPr>
          <w:noProof w:val="0"/>
        </w:rPr>
        <w:t>Uchovávajte mimo</w:t>
      </w:r>
      <w:r w:rsidR="002B7563" w:rsidRPr="00121123">
        <w:rPr>
          <w:noProof w:val="0"/>
        </w:rPr>
        <w:t> </w:t>
      </w:r>
      <w:r w:rsidRPr="00121123">
        <w:rPr>
          <w:noProof w:val="0"/>
        </w:rPr>
        <w:t>dohľadu</w:t>
      </w:r>
      <w:r w:rsidR="002B7563" w:rsidRPr="00121123">
        <w:rPr>
          <w:noProof w:val="0"/>
        </w:rPr>
        <w:t xml:space="preserve"> a dosahu</w:t>
      </w:r>
      <w:r w:rsidRPr="00121123">
        <w:rPr>
          <w:noProof w:val="0"/>
        </w:rPr>
        <w:t xml:space="preserve"> detí.</w:t>
      </w:r>
    </w:p>
    <w:p w14:paraId="67AFE843" w14:textId="77777777" w:rsidR="00870248" w:rsidRPr="00121123" w:rsidRDefault="00870248" w:rsidP="00121123">
      <w:pPr>
        <w:keepLines w:val="0"/>
        <w:tabs>
          <w:tab w:val="clear" w:pos="567"/>
        </w:tabs>
        <w:rPr>
          <w:noProof w:val="0"/>
        </w:rPr>
      </w:pPr>
    </w:p>
    <w:p w14:paraId="626E473A"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52908585" w14:textId="77777777">
        <w:tc>
          <w:tcPr>
            <w:tcW w:w="9287" w:type="dxa"/>
            <w:tcBorders>
              <w:top w:val="single" w:sz="4" w:space="0" w:color="auto"/>
              <w:left w:val="single" w:sz="4" w:space="0" w:color="auto"/>
              <w:bottom w:val="single" w:sz="4" w:space="0" w:color="auto"/>
              <w:right w:val="single" w:sz="4" w:space="0" w:color="auto"/>
            </w:tcBorders>
          </w:tcPr>
          <w:p w14:paraId="3BAF63B2"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7.</w:t>
            </w:r>
            <w:r w:rsidRPr="00121123">
              <w:rPr>
                <w:b/>
                <w:bCs/>
                <w:noProof w:val="0"/>
              </w:rPr>
              <w:tab/>
              <w:t>INÉ ŠPECIÁLNE UPOZORNENIE, AK JE TO POTREBNÉ</w:t>
            </w:r>
          </w:p>
        </w:tc>
      </w:tr>
    </w:tbl>
    <w:p w14:paraId="0D5F21B3" w14:textId="77777777" w:rsidR="007A3A03" w:rsidRPr="00121123" w:rsidRDefault="007A3A03" w:rsidP="00121123">
      <w:pPr>
        <w:keepLines w:val="0"/>
        <w:tabs>
          <w:tab w:val="clear" w:pos="567"/>
        </w:tabs>
        <w:rPr>
          <w:noProof w:val="0"/>
        </w:rPr>
      </w:pPr>
    </w:p>
    <w:p w14:paraId="159C9676"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78A3B07E" w14:textId="77777777">
        <w:tc>
          <w:tcPr>
            <w:tcW w:w="9287" w:type="dxa"/>
            <w:tcBorders>
              <w:top w:val="single" w:sz="4" w:space="0" w:color="auto"/>
              <w:left w:val="single" w:sz="4" w:space="0" w:color="auto"/>
              <w:bottom w:val="single" w:sz="4" w:space="0" w:color="auto"/>
              <w:right w:val="single" w:sz="4" w:space="0" w:color="auto"/>
            </w:tcBorders>
          </w:tcPr>
          <w:p w14:paraId="3344FCD1"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8.</w:t>
            </w:r>
            <w:r w:rsidRPr="00121123">
              <w:rPr>
                <w:b/>
                <w:bCs/>
                <w:noProof w:val="0"/>
              </w:rPr>
              <w:tab/>
              <w:t>DÁTUM EXSPIRÁCIE</w:t>
            </w:r>
          </w:p>
        </w:tc>
      </w:tr>
    </w:tbl>
    <w:p w14:paraId="3AB6D86C" w14:textId="77777777" w:rsidR="00870248" w:rsidRPr="00121123" w:rsidRDefault="00870248" w:rsidP="00121123">
      <w:pPr>
        <w:keepLines w:val="0"/>
        <w:tabs>
          <w:tab w:val="clear" w:pos="567"/>
        </w:tabs>
        <w:rPr>
          <w:noProof w:val="0"/>
        </w:rPr>
      </w:pPr>
    </w:p>
    <w:p w14:paraId="13996A73" w14:textId="77777777" w:rsidR="00870248" w:rsidRPr="00121123" w:rsidRDefault="00870248" w:rsidP="00121123">
      <w:pPr>
        <w:keepLines w:val="0"/>
        <w:tabs>
          <w:tab w:val="clear" w:pos="567"/>
        </w:tabs>
        <w:rPr>
          <w:noProof w:val="0"/>
        </w:rPr>
      </w:pPr>
      <w:r w:rsidRPr="00121123">
        <w:rPr>
          <w:noProof w:val="0"/>
        </w:rPr>
        <w:t>EXP</w:t>
      </w:r>
    </w:p>
    <w:p w14:paraId="7F956EA1" w14:textId="77777777" w:rsidR="00870248" w:rsidRPr="00121123" w:rsidRDefault="00870248" w:rsidP="00121123">
      <w:pPr>
        <w:keepLines w:val="0"/>
        <w:tabs>
          <w:tab w:val="clear" w:pos="567"/>
        </w:tabs>
        <w:rPr>
          <w:noProof w:val="0"/>
        </w:rPr>
      </w:pPr>
    </w:p>
    <w:p w14:paraId="22C200D0"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05BA22A6" w14:textId="77777777">
        <w:tc>
          <w:tcPr>
            <w:tcW w:w="9287" w:type="dxa"/>
            <w:tcBorders>
              <w:top w:val="single" w:sz="4" w:space="0" w:color="auto"/>
              <w:left w:val="single" w:sz="4" w:space="0" w:color="auto"/>
              <w:bottom w:val="single" w:sz="4" w:space="0" w:color="auto"/>
              <w:right w:val="single" w:sz="4" w:space="0" w:color="auto"/>
            </w:tcBorders>
          </w:tcPr>
          <w:p w14:paraId="07A5FBD1" w14:textId="77777777" w:rsidR="00870248" w:rsidRPr="00121123" w:rsidRDefault="00870248" w:rsidP="00121123">
            <w:pPr>
              <w:keepLines w:val="0"/>
              <w:tabs>
                <w:tab w:val="clear" w:pos="567"/>
                <w:tab w:val="left" w:pos="142"/>
              </w:tabs>
              <w:ind w:left="567" w:hanging="567"/>
              <w:rPr>
                <w:noProof w:val="0"/>
              </w:rPr>
            </w:pPr>
            <w:r w:rsidRPr="00121123">
              <w:rPr>
                <w:b/>
                <w:bCs/>
                <w:noProof w:val="0"/>
              </w:rPr>
              <w:t>9.</w:t>
            </w:r>
            <w:r w:rsidRPr="00121123">
              <w:rPr>
                <w:b/>
                <w:bCs/>
                <w:noProof w:val="0"/>
              </w:rPr>
              <w:tab/>
              <w:t>ŠPECIÁLNE PODMIENKY NA UCHOVÁVANIE</w:t>
            </w:r>
          </w:p>
        </w:tc>
      </w:tr>
    </w:tbl>
    <w:p w14:paraId="50CFE3BD" w14:textId="77777777" w:rsidR="00870248" w:rsidRPr="00121123" w:rsidRDefault="00870248" w:rsidP="00121123">
      <w:pPr>
        <w:keepLines w:val="0"/>
        <w:tabs>
          <w:tab w:val="clear" w:pos="567"/>
        </w:tabs>
        <w:rPr>
          <w:noProof w:val="0"/>
        </w:rPr>
      </w:pPr>
    </w:p>
    <w:p w14:paraId="5260B4A8" w14:textId="77777777" w:rsidR="00364ECC" w:rsidRPr="00121123" w:rsidRDefault="00364ECC" w:rsidP="00121123">
      <w:pPr>
        <w:keepLines w:val="0"/>
        <w:tabs>
          <w:tab w:val="clear" w:pos="567"/>
        </w:tabs>
        <w:rPr>
          <w:noProof w:val="0"/>
        </w:rPr>
      </w:pPr>
    </w:p>
    <w:p w14:paraId="62FF798E" w14:textId="77777777" w:rsidR="00870248" w:rsidRPr="00121123" w:rsidRDefault="00870248" w:rsidP="00121123">
      <w:pPr>
        <w:keepLines w:val="0"/>
        <w:tabs>
          <w:tab w:val="clear" w:pos="567"/>
        </w:tabs>
        <w:rPr>
          <w:noProof w:val="0"/>
        </w:rPr>
      </w:pPr>
    </w:p>
    <w:p w14:paraId="7DE72555"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60E2F1C5" w14:textId="77777777">
        <w:tc>
          <w:tcPr>
            <w:tcW w:w="9287" w:type="dxa"/>
            <w:tcBorders>
              <w:top w:val="single" w:sz="4" w:space="0" w:color="auto"/>
              <w:left w:val="single" w:sz="4" w:space="0" w:color="auto"/>
              <w:bottom w:val="single" w:sz="4" w:space="0" w:color="auto"/>
              <w:right w:val="single" w:sz="4" w:space="0" w:color="auto"/>
            </w:tcBorders>
          </w:tcPr>
          <w:p w14:paraId="27902B89" w14:textId="77777777" w:rsidR="00870248" w:rsidRPr="00121123" w:rsidRDefault="00870248" w:rsidP="00121123">
            <w:pPr>
              <w:keepNext/>
              <w:tabs>
                <w:tab w:val="clear" w:pos="567"/>
                <w:tab w:val="left" w:pos="142"/>
              </w:tabs>
              <w:ind w:left="567" w:hanging="567"/>
              <w:rPr>
                <w:b/>
                <w:bCs/>
                <w:noProof w:val="0"/>
              </w:rPr>
            </w:pPr>
            <w:r w:rsidRPr="00121123">
              <w:rPr>
                <w:b/>
                <w:bCs/>
                <w:noProof w:val="0"/>
              </w:rPr>
              <w:lastRenderedPageBreak/>
              <w:t>10.</w:t>
            </w:r>
            <w:r w:rsidRPr="00121123">
              <w:rPr>
                <w:b/>
                <w:bCs/>
                <w:noProof w:val="0"/>
              </w:rPr>
              <w:tab/>
              <w:t>ŠPECIÁLNE UPOZORNENIA NA LIKVIDÁCIU NEPOUŽITÝCH LIEKOV ALEBO ODPADOV Z NICH VZNIKNUTÝCH, AK JE TO VHODNÉ</w:t>
            </w:r>
          </w:p>
        </w:tc>
      </w:tr>
    </w:tbl>
    <w:p w14:paraId="7D620BF2" w14:textId="77777777" w:rsidR="00245817" w:rsidRPr="00121123" w:rsidRDefault="00245817" w:rsidP="00121123">
      <w:pPr>
        <w:keepLines w:val="0"/>
        <w:tabs>
          <w:tab w:val="clear" w:pos="567"/>
        </w:tabs>
        <w:rPr>
          <w:noProof w:val="0"/>
        </w:rPr>
      </w:pPr>
    </w:p>
    <w:p w14:paraId="35714D02" w14:textId="77777777" w:rsidR="007A3A03" w:rsidRPr="00121123" w:rsidRDefault="007A3A03"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7002DEDD" w14:textId="77777777">
        <w:tc>
          <w:tcPr>
            <w:tcW w:w="9287" w:type="dxa"/>
            <w:tcBorders>
              <w:top w:val="single" w:sz="4" w:space="0" w:color="auto"/>
              <w:left w:val="single" w:sz="4" w:space="0" w:color="auto"/>
              <w:bottom w:val="single" w:sz="4" w:space="0" w:color="auto"/>
              <w:right w:val="single" w:sz="4" w:space="0" w:color="auto"/>
            </w:tcBorders>
          </w:tcPr>
          <w:p w14:paraId="56A41693"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11.</w:t>
            </w:r>
            <w:r w:rsidRPr="00121123">
              <w:rPr>
                <w:b/>
                <w:bCs/>
                <w:noProof w:val="0"/>
              </w:rPr>
              <w:tab/>
              <w:t>NÁZOV A ADRESA DRŽITEĽA ROZHODNUTIA O REGISTRÁCII</w:t>
            </w:r>
          </w:p>
        </w:tc>
      </w:tr>
    </w:tbl>
    <w:p w14:paraId="392CBFD8" w14:textId="77777777" w:rsidR="00870248" w:rsidRPr="00121123" w:rsidRDefault="00870248" w:rsidP="00121123">
      <w:pPr>
        <w:keepLines w:val="0"/>
        <w:tabs>
          <w:tab w:val="clear" w:pos="567"/>
        </w:tabs>
        <w:rPr>
          <w:noProof w:val="0"/>
        </w:rPr>
      </w:pPr>
    </w:p>
    <w:p w14:paraId="04C8892E" w14:textId="77777777" w:rsidR="006533F9" w:rsidRDefault="006533F9" w:rsidP="006533F9">
      <w:pPr>
        <w:keepLines w:val="0"/>
        <w:rPr>
          <w:noProof w:val="0"/>
        </w:rPr>
      </w:pPr>
      <w:r>
        <w:rPr>
          <w:noProof w:val="0"/>
        </w:rPr>
        <w:t xml:space="preserve">Accord Healthcare S.L.U. </w:t>
      </w:r>
    </w:p>
    <w:p w14:paraId="1C4356AC" w14:textId="77777777" w:rsidR="006533F9" w:rsidRDefault="006533F9" w:rsidP="006533F9">
      <w:pPr>
        <w:keepLines w:val="0"/>
        <w:rPr>
          <w:noProof w:val="0"/>
        </w:rPr>
      </w:pPr>
      <w:r>
        <w:rPr>
          <w:noProof w:val="0"/>
        </w:rPr>
        <w:t xml:space="preserve">World Trade Center, </w:t>
      </w:r>
    </w:p>
    <w:p w14:paraId="5E60B75C" w14:textId="77777777" w:rsidR="006533F9" w:rsidRDefault="006533F9" w:rsidP="006533F9">
      <w:pPr>
        <w:keepLines w:val="0"/>
        <w:rPr>
          <w:noProof w:val="0"/>
        </w:rPr>
      </w:pPr>
      <w:r>
        <w:rPr>
          <w:noProof w:val="0"/>
        </w:rPr>
        <w:t xml:space="preserve">Moll de Barcelona, s/n, </w:t>
      </w:r>
    </w:p>
    <w:p w14:paraId="3F672B13" w14:textId="77777777" w:rsidR="006533F9" w:rsidRDefault="006533F9" w:rsidP="006533F9">
      <w:pPr>
        <w:keepLines w:val="0"/>
        <w:rPr>
          <w:noProof w:val="0"/>
        </w:rPr>
      </w:pPr>
      <w:r>
        <w:rPr>
          <w:noProof w:val="0"/>
        </w:rPr>
        <w:t xml:space="preserve">Edifici Est 6ª planta, </w:t>
      </w:r>
    </w:p>
    <w:p w14:paraId="73EC4BE5" w14:textId="77777777" w:rsidR="00874257" w:rsidRDefault="006533F9" w:rsidP="00874257">
      <w:pPr>
        <w:keepLines w:val="0"/>
        <w:rPr>
          <w:noProof w:val="0"/>
        </w:rPr>
      </w:pPr>
      <w:r>
        <w:rPr>
          <w:noProof w:val="0"/>
        </w:rPr>
        <w:t>08039 Barcelona, Španielsko</w:t>
      </w:r>
    </w:p>
    <w:p w14:paraId="4B2881C8" w14:textId="77777777" w:rsidR="00870248" w:rsidRPr="00121123" w:rsidRDefault="00870248" w:rsidP="00121123">
      <w:pPr>
        <w:keepLines w:val="0"/>
        <w:tabs>
          <w:tab w:val="clear" w:pos="567"/>
        </w:tabs>
        <w:rPr>
          <w:noProof w:val="0"/>
        </w:rPr>
      </w:pPr>
    </w:p>
    <w:p w14:paraId="6C07BD94"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3AE4DE2F" w14:textId="77777777">
        <w:tc>
          <w:tcPr>
            <w:tcW w:w="9287" w:type="dxa"/>
            <w:tcBorders>
              <w:top w:val="single" w:sz="4" w:space="0" w:color="auto"/>
              <w:left w:val="single" w:sz="4" w:space="0" w:color="auto"/>
              <w:bottom w:val="single" w:sz="4" w:space="0" w:color="auto"/>
              <w:right w:val="single" w:sz="4" w:space="0" w:color="auto"/>
            </w:tcBorders>
          </w:tcPr>
          <w:p w14:paraId="0000D480"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12.</w:t>
            </w:r>
            <w:r w:rsidRPr="00121123">
              <w:rPr>
                <w:b/>
                <w:bCs/>
                <w:noProof w:val="0"/>
              </w:rPr>
              <w:tab/>
              <w:t>REGISTRAČNÉ ČÍSLO</w:t>
            </w:r>
          </w:p>
        </w:tc>
      </w:tr>
    </w:tbl>
    <w:p w14:paraId="792C86F1" w14:textId="77777777" w:rsidR="00870248" w:rsidRPr="00121123" w:rsidRDefault="00870248" w:rsidP="00121123">
      <w:pPr>
        <w:keepLines w:val="0"/>
        <w:tabs>
          <w:tab w:val="clear" w:pos="567"/>
        </w:tabs>
        <w:rPr>
          <w:noProof w:val="0"/>
        </w:rPr>
      </w:pPr>
    </w:p>
    <w:p w14:paraId="3C41B952" w14:textId="77777777" w:rsidR="00DE02C2" w:rsidRDefault="0096744E" w:rsidP="00DE02C2">
      <w:pPr>
        <w:keepLines w:val="0"/>
        <w:tabs>
          <w:tab w:val="clear" w:pos="567"/>
        </w:tabs>
        <w:rPr>
          <w:noProof w:val="0"/>
        </w:rPr>
      </w:pPr>
      <w:r w:rsidRPr="0096744E">
        <w:rPr>
          <w:noProof w:val="0"/>
        </w:rPr>
        <w:t>EU/1/19/1394/001</w:t>
      </w:r>
      <w:r w:rsidR="00DE02C2" w:rsidRPr="00DE02C2">
        <w:rPr>
          <w:noProof w:val="0"/>
        </w:rPr>
        <w:t xml:space="preserve"> </w:t>
      </w:r>
      <w:r w:rsidR="00DE02C2">
        <w:rPr>
          <w:noProof w:val="0"/>
        </w:rPr>
        <w:t xml:space="preserve">(10 injekčných </w:t>
      </w:r>
      <w:r w:rsidR="00DE02C2" w:rsidRPr="00ED2183">
        <w:rPr>
          <w:noProof w:val="0"/>
        </w:rPr>
        <w:t>liekoviek</w:t>
      </w:r>
      <w:r w:rsidR="00DE02C2">
        <w:rPr>
          <w:noProof w:val="0"/>
        </w:rPr>
        <w:t>)</w:t>
      </w:r>
    </w:p>
    <w:p w14:paraId="406F5CAD" w14:textId="77777777" w:rsidR="00870248" w:rsidRPr="00121123" w:rsidRDefault="00DE02C2" w:rsidP="00DE02C2">
      <w:pPr>
        <w:keepLines w:val="0"/>
        <w:tabs>
          <w:tab w:val="clear" w:pos="567"/>
        </w:tabs>
        <w:rPr>
          <w:noProof w:val="0"/>
        </w:rPr>
      </w:pPr>
      <w:r w:rsidRPr="00ED2183">
        <w:rPr>
          <w:noProof w:val="0"/>
        </w:rPr>
        <w:t>EU/1/19/1394/00</w:t>
      </w:r>
      <w:r>
        <w:rPr>
          <w:noProof w:val="0"/>
        </w:rPr>
        <w:t>2 (1 injekčná liekovka)</w:t>
      </w:r>
    </w:p>
    <w:p w14:paraId="0B43232E" w14:textId="77777777" w:rsidR="00870248" w:rsidRPr="00121123" w:rsidRDefault="00870248" w:rsidP="00121123">
      <w:pPr>
        <w:keepLines w:val="0"/>
        <w:tabs>
          <w:tab w:val="clear" w:pos="567"/>
        </w:tabs>
        <w:rPr>
          <w:noProof w:val="0"/>
        </w:rPr>
      </w:pPr>
    </w:p>
    <w:p w14:paraId="29A95662"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6A71DF10" w14:textId="77777777">
        <w:tc>
          <w:tcPr>
            <w:tcW w:w="9287" w:type="dxa"/>
            <w:tcBorders>
              <w:top w:val="single" w:sz="4" w:space="0" w:color="auto"/>
              <w:left w:val="single" w:sz="4" w:space="0" w:color="auto"/>
              <w:bottom w:val="single" w:sz="4" w:space="0" w:color="auto"/>
              <w:right w:val="single" w:sz="4" w:space="0" w:color="auto"/>
            </w:tcBorders>
          </w:tcPr>
          <w:p w14:paraId="6063A9B1"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13.</w:t>
            </w:r>
            <w:r w:rsidRPr="00121123">
              <w:rPr>
                <w:b/>
                <w:bCs/>
                <w:noProof w:val="0"/>
              </w:rPr>
              <w:tab/>
              <w:t>ČÍSLO VÝROBNEJ ŠARŽE</w:t>
            </w:r>
          </w:p>
        </w:tc>
      </w:tr>
    </w:tbl>
    <w:p w14:paraId="2D875B01" w14:textId="77777777" w:rsidR="00870248" w:rsidRPr="00121123" w:rsidRDefault="00870248" w:rsidP="00121123">
      <w:pPr>
        <w:keepLines w:val="0"/>
        <w:tabs>
          <w:tab w:val="clear" w:pos="567"/>
        </w:tabs>
        <w:rPr>
          <w:noProof w:val="0"/>
        </w:rPr>
      </w:pPr>
    </w:p>
    <w:p w14:paraId="3CBB084F" w14:textId="77777777" w:rsidR="00870248" w:rsidRDefault="00301D5C" w:rsidP="00121123">
      <w:pPr>
        <w:keepLines w:val="0"/>
        <w:tabs>
          <w:tab w:val="clear" w:pos="567"/>
        </w:tabs>
        <w:rPr>
          <w:noProof w:val="0"/>
        </w:rPr>
      </w:pPr>
      <w:r>
        <w:rPr>
          <w:noProof w:val="0"/>
        </w:rPr>
        <w:t>Lot</w:t>
      </w:r>
    </w:p>
    <w:p w14:paraId="6E3A9B75" w14:textId="77777777" w:rsidR="00301D5C" w:rsidRPr="00121123" w:rsidRDefault="00301D5C" w:rsidP="00121123">
      <w:pPr>
        <w:keepLines w:val="0"/>
        <w:tabs>
          <w:tab w:val="clear" w:pos="567"/>
        </w:tabs>
        <w:rPr>
          <w:noProof w:val="0"/>
        </w:rPr>
      </w:pPr>
    </w:p>
    <w:p w14:paraId="596AD2C2"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76DF1E12" w14:textId="77777777">
        <w:tc>
          <w:tcPr>
            <w:tcW w:w="9287" w:type="dxa"/>
            <w:tcBorders>
              <w:top w:val="single" w:sz="4" w:space="0" w:color="auto"/>
              <w:left w:val="single" w:sz="4" w:space="0" w:color="auto"/>
              <w:bottom w:val="single" w:sz="4" w:space="0" w:color="auto"/>
              <w:right w:val="single" w:sz="4" w:space="0" w:color="auto"/>
            </w:tcBorders>
          </w:tcPr>
          <w:p w14:paraId="72245509"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14.</w:t>
            </w:r>
            <w:r w:rsidRPr="00121123">
              <w:rPr>
                <w:b/>
                <w:bCs/>
                <w:noProof w:val="0"/>
              </w:rPr>
              <w:tab/>
              <w:t>ZATRIEDENIE LIEKU PODĽA SPÔSOBU VÝDAJA</w:t>
            </w:r>
          </w:p>
        </w:tc>
      </w:tr>
    </w:tbl>
    <w:p w14:paraId="689196A4" w14:textId="77777777" w:rsidR="00870248" w:rsidRPr="00121123" w:rsidRDefault="00870248" w:rsidP="00121123">
      <w:pPr>
        <w:keepLines w:val="0"/>
        <w:tabs>
          <w:tab w:val="clear" w:pos="567"/>
        </w:tabs>
        <w:rPr>
          <w:noProof w:val="0"/>
        </w:rPr>
      </w:pPr>
    </w:p>
    <w:p w14:paraId="344D0664"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7EE14B85" w14:textId="77777777">
        <w:tc>
          <w:tcPr>
            <w:tcW w:w="9287" w:type="dxa"/>
            <w:tcBorders>
              <w:top w:val="single" w:sz="4" w:space="0" w:color="auto"/>
              <w:left w:val="single" w:sz="4" w:space="0" w:color="auto"/>
              <w:bottom w:val="single" w:sz="4" w:space="0" w:color="auto"/>
              <w:right w:val="single" w:sz="4" w:space="0" w:color="auto"/>
            </w:tcBorders>
          </w:tcPr>
          <w:p w14:paraId="09FB0AFD"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15.</w:t>
            </w:r>
            <w:r w:rsidRPr="00121123">
              <w:rPr>
                <w:b/>
                <w:bCs/>
                <w:noProof w:val="0"/>
              </w:rPr>
              <w:tab/>
              <w:t>POKYNY NA POUŽITIE</w:t>
            </w:r>
          </w:p>
        </w:tc>
      </w:tr>
    </w:tbl>
    <w:p w14:paraId="241B35B0" w14:textId="77777777" w:rsidR="00870248" w:rsidRPr="00121123" w:rsidRDefault="00870248" w:rsidP="00121123">
      <w:pPr>
        <w:keepLines w:val="0"/>
        <w:rPr>
          <w:b/>
          <w:bCs/>
          <w:noProof w:val="0"/>
          <w:u w:val="single"/>
        </w:rPr>
      </w:pPr>
    </w:p>
    <w:p w14:paraId="42E76AE4" w14:textId="77777777" w:rsidR="007A3A03" w:rsidRPr="00121123" w:rsidRDefault="007A3A03" w:rsidP="00121123">
      <w:pPr>
        <w:keepLines w:val="0"/>
        <w:rPr>
          <w:b/>
          <w:bCs/>
          <w:noProof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6E622D4C" w14:textId="77777777">
        <w:tc>
          <w:tcPr>
            <w:tcW w:w="9287" w:type="dxa"/>
            <w:tcBorders>
              <w:top w:val="single" w:sz="4" w:space="0" w:color="auto"/>
              <w:left w:val="single" w:sz="4" w:space="0" w:color="auto"/>
              <w:bottom w:val="single" w:sz="4" w:space="0" w:color="auto"/>
              <w:right w:val="single" w:sz="4" w:space="0" w:color="auto"/>
            </w:tcBorders>
          </w:tcPr>
          <w:p w14:paraId="42FC9162"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16.</w:t>
            </w:r>
            <w:r w:rsidRPr="00121123">
              <w:rPr>
                <w:b/>
                <w:bCs/>
                <w:noProof w:val="0"/>
              </w:rPr>
              <w:tab/>
              <w:t>INFORMÁCIE V BRAILLOVOM PÍSME</w:t>
            </w:r>
          </w:p>
        </w:tc>
      </w:tr>
    </w:tbl>
    <w:p w14:paraId="4770AE80" w14:textId="77777777" w:rsidR="00870248" w:rsidRPr="00121123" w:rsidRDefault="00870248" w:rsidP="00121123">
      <w:pPr>
        <w:keepLines w:val="0"/>
        <w:rPr>
          <w:b/>
          <w:bCs/>
          <w:noProof w:val="0"/>
          <w:u w:val="double"/>
        </w:rPr>
      </w:pPr>
    </w:p>
    <w:p w14:paraId="48E341EF" w14:textId="77777777" w:rsidR="00870248" w:rsidRPr="00121123" w:rsidRDefault="00870248" w:rsidP="00121123">
      <w:pPr>
        <w:pStyle w:val="Header"/>
        <w:keepLines w:val="0"/>
        <w:tabs>
          <w:tab w:val="clear" w:pos="4320"/>
          <w:tab w:val="clear" w:pos="8640"/>
          <w:tab w:val="left" w:pos="567"/>
        </w:tabs>
        <w:rPr>
          <w:noProof w:val="0"/>
        </w:rPr>
      </w:pPr>
      <w:r w:rsidRPr="00121123">
        <w:rPr>
          <w:noProof w:val="0"/>
          <w:highlight w:val="lightGray"/>
        </w:rPr>
        <w:t>Zdôvodnenie neuvádzať infomáciu v Braillovom písme sa akceptuje</w:t>
      </w:r>
      <w:r w:rsidR="0022731E" w:rsidRPr="00121123">
        <w:rPr>
          <w:noProof w:val="0"/>
        </w:rPr>
        <w:t>.</w:t>
      </w:r>
    </w:p>
    <w:p w14:paraId="51655B12" w14:textId="77777777" w:rsidR="00121123" w:rsidRDefault="00121123" w:rsidP="007A3A03">
      <w:pPr>
        <w:rPr>
          <w:b/>
          <w:bCs/>
          <w:noProof w:val="0"/>
          <w:u w:val="single"/>
        </w:rPr>
      </w:pPr>
    </w:p>
    <w:p w14:paraId="386394EF" w14:textId="77777777" w:rsidR="00971DEB" w:rsidRDefault="00971DEB" w:rsidP="00971DEB">
      <w:pPr>
        <w:rPr>
          <w:shd w:val="clear" w:color="auto" w:fill="CCCCCC"/>
        </w:rPr>
      </w:pPr>
    </w:p>
    <w:p w14:paraId="5F557508" w14:textId="77777777" w:rsidR="00971DEB" w:rsidRDefault="00971DEB" w:rsidP="00971DEB">
      <w:pPr>
        <w:keepNext/>
        <w:keepLines w:val="0"/>
        <w:pBdr>
          <w:top w:val="single" w:sz="4" w:space="1" w:color="auto"/>
          <w:left w:val="single" w:sz="4" w:space="4" w:color="auto"/>
          <w:bottom w:val="single" w:sz="4" w:space="1" w:color="auto"/>
          <w:right w:val="single" w:sz="4" w:space="4" w:color="auto"/>
        </w:pBdr>
        <w:outlineLvl w:val="0"/>
        <w:rPr>
          <w:i/>
          <w:szCs w:val="20"/>
        </w:rPr>
      </w:pPr>
      <w:r>
        <w:rPr>
          <w:b/>
        </w:rPr>
        <w:t>17.     ŠPECIFICKÝ IDENTIFIKÁTOR – DVOJROZMERNÝ ČIAROVÝ KÓD</w:t>
      </w:r>
    </w:p>
    <w:p w14:paraId="6C77966F" w14:textId="77777777" w:rsidR="00971DEB" w:rsidRDefault="00971DEB" w:rsidP="00971DEB">
      <w:pPr>
        <w:tabs>
          <w:tab w:val="clear" w:pos="567"/>
          <w:tab w:val="left" w:pos="720"/>
        </w:tabs>
      </w:pPr>
    </w:p>
    <w:p w14:paraId="42D31B0F" w14:textId="77777777" w:rsidR="00971DEB" w:rsidRDefault="00971DEB" w:rsidP="00971DEB">
      <w:pPr>
        <w:rPr>
          <w:shd w:val="clear" w:color="auto" w:fill="CCCCCC"/>
        </w:rPr>
      </w:pPr>
      <w:r>
        <w:rPr>
          <w:highlight w:val="lightGray"/>
        </w:rPr>
        <w:t>Dvojrozmerný čiarový kód so špecifickým identifikátorom.</w:t>
      </w:r>
    </w:p>
    <w:p w14:paraId="37C1D64E" w14:textId="77777777" w:rsidR="00971DEB" w:rsidRDefault="00971DEB" w:rsidP="00971DEB">
      <w:pPr>
        <w:rPr>
          <w:shd w:val="clear" w:color="auto" w:fill="CCCCCC"/>
        </w:rPr>
      </w:pPr>
    </w:p>
    <w:p w14:paraId="22474F98" w14:textId="77777777" w:rsidR="00971DEB" w:rsidRDefault="00971DEB" w:rsidP="00971DEB">
      <w:pPr>
        <w:tabs>
          <w:tab w:val="clear" w:pos="567"/>
          <w:tab w:val="left" w:pos="720"/>
        </w:tabs>
      </w:pPr>
    </w:p>
    <w:p w14:paraId="24C54B38" w14:textId="77777777" w:rsidR="00971DEB" w:rsidRDefault="00971DEB" w:rsidP="00971DEB">
      <w:pPr>
        <w:keepNext/>
        <w:keepLines w:val="0"/>
        <w:pBdr>
          <w:top w:val="single" w:sz="4" w:space="1" w:color="auto"/>
          <w:left w:val="single" w:sz="4" w:space="4" w:color="auto"/>
          <w:bottom w:val="single" w:sz="4" w:space="1" w:color="auto"/>
          <w:right w:val="single" w:sz="4" w:space="4" w:color="auto"/>
        </w:pBdr>
        <w:outlineLvl w:val="0"/>
        <w:rPr>
          <w:i/>
        </w:rPr>
      </w:pPr>
      <w:r>
        <w:rPr>
          <w:b/>
        </w:rPr>
        <w:t>18.     ŠPECIFICKÝ IDENTIFIKÁTOR  – ÚDAJE ČITATEĽNÉ ĽUDSKÝM OKOM</w:t>
      </w:r>
    </w:p>
    <w:p w14:paraId="3FE36462" w14:textId="77777777" w:rsidR="00971DEB" w:rsidRDefault="00971DEB" w:rsidP="00971DEB">
      <w:pPr>
        <w:tabs>
          <w:tab w:val="clear" w:pos="567"/>
          <w:tab w:val="left" w:pos="720"/>
        </w:tabs>
      </w:pPr>
    </w:p>
    <w:p w14:paraId="118ED08E" w14:textId="77777777" w:rsidR="00971DEB" w:rsidRPr="00B6612A" w:rsidRDefault="00971DEB" w:rsidP="00971DEB">
      <w:pPr>
        <w:rPr>
          <w:noProof w:val="0"/>
          <w:color w:val="000000"/>
        </w:rPr>
      </w:pPr>
      <w:r>
        <w:t xml:space="preserve">PC: </w:t>
      </w:r>
    </w:p>
    <w:p w14:paraId="2EE39FF8" w14:textId="77777777" w:rsidR="00971DEB" w:rsidRDefault="00971DEB" w:rsidP="00971DEB">
      <w:r>
        <w:t xml:space="preserve">SN: </w:t>
      </w:r>
    </w:p>
    <w:p w14:paraId="6D7CB266" w14:textId="77777777" w:rsidR="00971DEB" w:rsidRDefault="00971DEB" w:rsidP="00971DEB">
      <w:r>
        <w:t xml:space="preserve">NN: </w:t>
      </w:r>
    </w:p>
    <w:p w14:paraId="63D4F3EE" w14:textId="77777777" w:rsidR="00121123" w:rsidRDefault="00121123" w:rsidP="007A3A03">
      <w:pPr>
        <w:rPr>
          <w:b/>
          <w:bCs/>
          <w:noProof w:val="0"/>
          <w:u w:val="single"/>
        </w:rPr>
      </w:pPr>
    </w:p>
    <w:p w14:paraId="7B9EDB7B" w14:textId="77777777" w:rsidR="00870248" w:rsidRPr="00121123" w:rsidRDefault="00870248" w:rsidP="007A3A03">
      <w:pPr>
        <w:rPr>
          <w:noProof w:val="0"/>
        </w:rPr>
      </w:pPr>
      <w:r w:rsidRPr="00121123">
        <w:rPr>
          <w:b/>
          <w:bCs/>
          <w:noProof w:val="0"/>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2D26CF0C" w14:textId="77777777">
        <w:trPr>
          <w:trHeight w:val="240"/>
        </w:trPr>
        <w:tc>
          <w:tcPr>
            <w:tcW w:w="9287" w:type="dxa"/>
            <w:tcBorders>
              <w:top w:val="single" w:sz="4" w:space="0" w:color="auto"/>
              <w:left w:val="single" w:sz="4" w:space="0" w:color="auto"/>
              <w:bottom w:val="single" w:sz="4" w:space="0" w:color="auto"/>
              <w:right w:val="single" w:sz="4" w:space="0" w:color="auto"/>
            </w:tcBorders>
          </w:tcPr>
          <w:p w14:paraId="1856FEB6" w14:textId="77777777" w:rsidR="00870248" w:rsidRPr="00121123" w:rsidRDefault="00870248" w:rsidP="00121123">
            <w:pPr>
              <w:keepLines w:val="0"/>
              <w:rPr>
                <w:b/>
                <w:bCs/>
                <w:noProof w:val="0"/>
              </w:rPr>
            </w:pPr>
            <w:r w:rsidRPr="00121123">
              <w:rPr>
                <w:b/>
                <w:bCs/>
                <w:noProof w:val="0"/>
              </w:rPr>
              <w:lastRenderedPageBreak/>
              <w:t xml:space="preserve">MINIMÁLNE ÚDAJE, KTORÉ MAJÚ BYŤ UVEDENÉ NA MALOM VNÚTORNOM OBALE </w:t>
            </w:r>
          </w:p>
          <w:p w14:paraId="5C765DDD" w14:textId="77777777" w:rsidR="00870248" w:rsidRPr="00121123" w:rsidRDefault="00870248" w:rsidP="00121123">
            <w:pPr>
              <w:keepLines w:val="0"/>
              <w:rPr>
                <w:b/>
                <w:bCs/>
                <w:noProof w:val="0"/>
              </w:rPr>
            </w:pPr>
          </w:p>
          <w:p w14:paraId="43FBC7A5" w14:textId="77777777" w:rsidR="00870248" w:rsidRPr="00121123" w:rsidRDefault="00870248" w:rsidP="00121123">
            <w:pPr>
              <w:keepLines w:val="0"/>
              <w:rPr>
                <w:b/>
                <w:bCs/>
                <w:noProof w:val="0"/>
              </w:rPr>
            </w:pPr>
            <w:r w:rsidRPr="00121123">
              <w:rPr>
                <w:b/>
                <w:bCs/>
                <w:noProof w:val="0"/>
              </w:rPr>
              <w:t>INJEKČNÁ LIEKOVKA</w:t>
            </w:r>
          </w:p>
        </w:tc>
      </w:tr>
    </w:tbl>
    <w:p w14:paraId="44E1CB7D" w14:textId="77777777" w:rsidR="00870248" w:rsidRPr="00121123" w:rsidRDefault="00870248" w:rsidP="00121123">
      <w:pPr>
        <w:keepLines w:val="0"/>
        <w:tabs>
          <w:tab w:val="clear" w:pos="567"/>
        </w:tabs>
        <w:rPr>
          <w:b/>
          <w:bCs/>
          <w:noProof w:val="0"/>
        </w:rPr>
      </w:pPr>
    </w:p>
    <w:p w14:paraId="254842DE" w14:textId="77777777" w:rsidR="00870248" w:rsidRPr="00121123" w:rsidRDefault="00870248" w:rsidP="00121123">
      <w:pPr>
        <w:keepLines w:val="0"/>
        <w:tabs>
          <w:tab w:val="clear" w:pos="567"/>
        </w:tabs>
        <w:rPr>
          <w:b/>
          <w:bCs/>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2DC1FC7E" w14:textId="77777777">
        <w:tc>
          <w:tcPr>
            <w:tcW w:w="9287" w:type="dxa"/>
            <w:tcBorders>
              <w:top w:val="single" w:sz="4" w:space="0" w:color="auto"/>
              <w:left w:val="single" w:sz="4" w:space="0" w:color="auto"/>
              <w:bottom w:val="single" w:sz="4" w:space="0" w:color="auto"/>
              <w:right w:val="single" w:sz="4" w:space="0" w:color="auto"/>
            </w:tcBorders>
          </w:tcPr>
          <w:p w14:paraId="603A0AEC"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1.</w:t>
            </w:r>
            <w:r w:rsidRPr="00121123">
              <w:rPr>
                <w:b/>
                <w:bCs/>
                <w:noProof w:val="0"/>
              </w:rPr>
              <w:tab/>
              <w:t xml:space="preserve">NÁZOV LIEKU A CESTA </w:t>
            </w:r>
            <w:r w:rsidR="00473E2B" w:rsidRPr="00121123">
              <w:rPr>
                <w:b/>
                <w:bCs/>
                <w:noProof w:val="0"/>
              </w:rPr>
              <w:t>PODÁVANIA</w:t>
            </w:r>
          </w:p>
        </w:tc>
      </w:tr>
    </w:tbl>
    <w:p w14:paraId="060031D0" w14:textId="77777777" w:rsidR="00870248" w:rsidRPr="00121123" w:rsidRDefault="00870248" w:rsidP="00121123">
      <w:pPr>
        <w:keepLines w:val="0"/>
        <w:tabs>
          <w:tab w:val="clear" w:pos="567"/>
        </w:tabs>
        <w:rPr>
          <w:b/>
          <w:bCs/>
          <w:noProof w:val="0"/>
        </w:rPr>
      </w:pPr>
    </w:p>
    <w:p w14:paraId="5083A957" w14:textId="77777777" w:rsidR="00870248" w:rsidRPr="00121123" w:rsidRDefault="00964F97" w:rsidP="00121123">
      <w:pPr>
        <w:keepLines w:val="0"/>
        <w:tabs>
          <w:tab w:val="clear" w:pos="567"/>
        </w:tabs>
        <w:rPr>
          <w:noProof w:val="0"/>
        </w:rPr>
      </w:pPr>
      <w:r>
        <w:rPr>
          <w:noProof w:val="0"/>
        </w:rPr>
        <w:t>Tigecycline Accord</w:t>
      </w:r>
      <w:r w:rsidR="00870248" w:rsidRPr="00121123">
        <w:rPr>
          <w:noProof w:val="0"/>
        </w:rPr>
        <w:t xml:space="preserve"> 50 mg prášok na infúziu</w:t>
      </w:r>
    </w:p>
    <w:p w14:paraId="660451F5" w14:textId="77777777" w:rsidR="00870248" w:rsidRPr="00121123" w:rsidRDefault="00D3455C" w:rsidP="00121123">
      <w:pPr>
        <w:keepLines w:val="0"/>
        <w:tabs>
          <w:tab w:val="clear" w:pos="567"/>
        </w:tabs>
        <w:rPr>
          <w:noProof w:val="0"/>
        </w:rPr>
      </w:pPr>
      <w:r w:rsidRPr="00121123">
        <w:rPr>
          <w:noProof w:val="0"/>
        </w:rPr>
        <w:t>t</w:t>
      </w:r>
      <w:r w:rsidR="00870248" w:rsidRPr="00121123">
        <w:rPr>
          <w:noProof w:val="0"/>
        </w:rPr>
        <w:t>igecyklín</w:t>
      </w:r>
    </w:p>
    <w:p w14:paraId="4EC91EA9" w14:textId="77777777" w:rsidR="00870248" w:rsidRPr="00121123" w:rsidRDefault="00A75B7B" w:rsidP="00121123">
      <w:pPr>
        <w:keepLines w:val="0"/>
        <w:tabs>
          <w:tab w:val="clear" w:pos="567"/>
        </w:tabs>
        <w:rPr>
          <w:b/>
          <w:bCs/>
          <w:noProof w:val="0"/>
        </w:rPr>
      </w:pPr>
      <w:r>
        <w:rPr>
          <w:noProof w:val="0"/>
        </w:rPr>
        <w:t>Intravenózne</w:t>
      </w:r>
      <w:r w:rsidR="00870248" w:rsidRPr="00121123">
        <w:rPr>
          <w:noProof w:val="0"/>
        </w:rPr>
        <w:t xml:space="preserve"> použitie</w:t>
      </w:r>
    </w:p>
    <w:p w14:paraId="14AA2080" w14:textId="77777777" w:rsidR="00870248" w:rsidRPr="00121123" w:rsidRDefault="00870248" w:rsidP="00121123">
      <w:pPr>
        <w:pStyle w:val="Header"/>
        <w:keepLines w:val="0"/>
        <w:tabs>
          <w:tab w:val="clear" w:pos="4320"/>
          <w:tab w:val="clear" w:pos="8640"/>
        </w:tabs>
        <w:rPr>
          <w:noProof w:val="0"/>
        </w:rPr>
      </w:pPr>
    </w:p>
    <w:p w14:paraId="5DAD7F94"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0EBDEFAA" w14:textId="77777777">
        <w:tc>
          <w:tcPr>
            <w:tcW w:w="9287" w:type="dxa"/>
            <w:tcBorders>
              <w:top w:val="single" w:sz="4" w:space="0" w:color="auto"/>
              <w:left w:val="single" w:sz="4" w:space="0" w:color="auto"/>
              <w:bottom w:val="single" w:sz="4" w:space="0" w:color="auto"/>
              <w:right w:val="single" w:sz="4" w:space="0" w:color="auto"/>
            </w:tcBorders>
          </w:tcPr>
          <w:p w14:paraId="640429A1"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2.</w:t>
            </w:r>
            <w:r w:rsidRPr="00121123">
              <w:rPr>
                <w:b/>
                <w:bCs/>
                <w:noProof w:val="0"/>
              </w:rPr>
              <w:tab/>
              <w:t>SPÔSOB PODÁVANIA</w:t>
            </w:r>
          </w:p>
        </w:tc>
      </w:tr>
    </w:tbl>
    <w:p w14:paraId="27A00EFF" w14:textId="77777777" w:rsidR="00870248" w:rsidRPr="00121123" w:rsidRDefault="00870248" w:rsidP="00121123">
      <w:pPr>
        <w:keepLines w:val="0"/>
        <w:tabs>
          <w:tab w:val="clear" w:pos="567"/>
        </w:tabs>
        <w:rPr>
          <w:b/>
          <w:bCs/>
          <w:noProof w:val="0"/>
        </w:rPr>
      </w:pPr>
    </w:p>
    <w:p w14:paraId="426C15FE" w14:textId="77777777" w:rsidR="00870248" w:rsidRPr="00121123" w:rsidRDefault="00870248" w:rsidP="00121123">
      <w:pPr>
        <w:keepLines w:val="0"/>
        <w:tabs>
          <w:tab w:val="clear" w:pos="567"/>
        </w:tabs>
        <w:rPr>
          <w:b/>
          <w:bCs/>
          <w:noProof w:val="0"/>
        </w:rPr>
      </w:pPr>
    </w:p>
    <w:p w14:paraId="47948472" w14:textId="77777777" w:rsidR="000847F4" w:rsidRPr="00121123" w:rsidRDefault="000847F4" w:rsidP="00121123">
      <w:pPr>
        <w:keepLines w:val="0"/>
        <w:tabs>
          <w:tab w:val="clear" w:pos="567"/>
        </w:tabs>
        <w:rPr>
          <w:b/>
          <w:bCs/>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39525F60" w14:textId="77777777">
        <w:tc>
          <w:tcPr>
            <w:tcW w:w="9287" w:type="dxa"/>
            <w:tcBorders>
              <w:top w:val="single" w:sz="4" w:space="0" w:color="auto"/>
              <w:left w:val="single" w:sz="4" w:space="0" w:color="auto"/>
              <w:bottom w:val="single" w:sz="4" w:space="0" w:color="auto"/>
              <w:right w:val="single" w:sz="4" w:space="0" w:color="auto"/>
            </w:tcBorders>
          </w:tcPr>
          <w:p w14:paraId="27A9D4B8"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3.</w:t>
            </w:r>
            <w:r w:rsidRPr="00121123">
              <w:rPr>
                <w:b/>
                <w:bCs/>
                <w:noProof w:val="0"/>
              </w:rPr>
              <w:tab/>
              <w:t>DÁTUM EXSPIRÁCIE</w:t>
            </w:r>
          </w:p>
        </w:tc>
      </w:tr>
    </w:tbl>
    <w:p w14:paraId="2821B91F" w14:textId="77777777" w:rsidR="00870248" w:rsidRPr="00121123" w:rsidRDefault="00870248" w:rsidP="00121123">
      <w:pPr>
        <w:keepLines w:val="0"/>
        <w:tabs>
          <w:tab w:val="clear" w:pos="567"/>
        </w:tabs>
        <w:rPr>
          <w:noProof w:val="0"/>
        </w:rPr>
      </w:pPr>
    </w:p>
    <w:p w14:paraId="30C7AC89" w14:textId="77777777" w:rsidR="00870248" w:rsidRPr="00121123" w:rsidRDefault="00870248" w:rsidP="00121123">
      <w:pPr>
        <w:keepLines w:val="0"/>
        <w:tabs>
          <w:tab w:val="clear" w:pos="567"/>
        </w:tabs>
        <w:rPr>
          <w:b/>
          <w:bCs/>
          <w:noProof w:val="0"/>
        </w:rPr>
      </w:pPr>
      <w:r w:rsidRPr="00121123">
        <w:rPr>
          <w:noProof w:val="0"/>
        </w:rPr>
        <w:t>EXP</w:t>
      </w:r>
    </w:p>
    <w:p w14:paraId="7732C82D" w14:textId="77777777" w:rsidR="00870248" w:rsidRPr="00121123" w:rsidRDefault="00870248" w:rsidP="00121123">
      <w:pPr>
        <w:keepLines w:val="0"/>
        <w:tabs>
          <w:tab w:val="clear" w:pos="567"/>
        </w:tabs>
        <w:rPr>
          <w:noProof w:val="0"/>
        </w:rPr>
      </w:pPr>
    </w:p>
    <w:p w14:paraId="72366054" w14:textId="77777777" w:rsidR="00870248" w:rsidRPr="00121123" w:rsidRDefault="00870248" w:rsidP="00121123">
      <w:pPr>
        <w:keepLines w:val="0"/>
        <w:tabs>
          <w:tab w:val="clear" w:pos="567"/>
        </w:tabs>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2F9FD5BB" w14:textId="77777777">
        <w:tc>
          <w:tcPr>
            <w:tcW w:w="9287" w:type="dxa"/>
            <w:tcBorders>
              <w:top w:val="single" w:sz="4" w:space="0" w:color="auto"/>
              <w:left w:val="single" w:sz="4" w:space="0" w:color="auto"/>
              <w:bottom w:val="single" w:sz="4" w:space="0" w:color="auto"/>
              <w:right w:val="single" w:sz="4" w:space="0" w:color="auto"/>
            </w:tcBorders>
          </w:tcPr>
          <w:p w14:paraId="2B1A6BA1"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4.</w:t>
            </w:r>
            <w:r w:rsidRPr="00121123">
              <w:rPr>
                <w:b/>
                <w:bCs/>
                <w:noProof w:val="0"/>
              </w:rPr>
              <w:tab/>
              <w:t>ČÍSLO VÝROBNEJ ŠARŽE</w:t>
            </w:r>
          </w:p>
        </w:tc>
      </w:tr>
    </w:tbl>
    <w:p w14:paraId="21D74366" w14:textId="77777777" w:rsidR="00870248" w:rsidRPr="00121123" w:rsidRDefault="00870248" w:rsidP="00121123">
      <w:pPr>
        <w:keepLines w:val="0"/>
        <w:tabs>
          <w:tab w:val="clear" w:pos="567"/>
        </w:tabs>
        <w:ind w:right="113"/>
        <w:rPr>
          <w:noProof w:val="0"/>
        </w:rPr>
      </w:pPr>
    </w:p>
    <w:p w14:paraId="5A415913" w14:textId="77777777" w:rsidR="00870248" w:rsidRDefault="00301D5C" w:rsidP="00121123">
      <w:pPr>
        <w:keepLines w:val="0"/>
        <w:tabs>
          <w:tab w:val="clear" w:pos="567"/>
        </w:tabs>
        <w:ind w:right="113"/>
        <w:rPr>
          <w:noProof w:val="0"/>
        </w:rPr>
      </w:pPr>
      <w:r>
        <w:rPr>
          <w:noProof w:val="0"/>
        </w:rPr>
        <w:t>Lot</w:t>
      </w:r>
    </w:p>
    <w:p w14:paraId="18031083" w14:textId="77777777" w:rsidR="00301D5C" w:rsidRPr="00121123" w:rsidRDefault="00301D5C" w:rsidP="00121123">
      <w:pPr>
        <w:keepLines w:val="0"/>
        <w:tabs>
          <w:tab w:val="clear" w:pos="567"/>
        </w:tabs>
        <w:ind w:right="113"/>
        <w:rPr>
          <w:noProof w:val="0"/>
        </w:rPr>
      </w:pPr>
    </w:p>
    <w:p w14:paraId="489D2690" w14:textId="77777777" w:rsidR="00870248" w:rsidRPr="00121123" w:rsidRDefault="00870248" w:rsidP="00121123">
      <w:pPr>
        <w:keepLines w:val="0"/>
        <w:tabs>
          <w:tab w:val="clear" w:pos="567"/>
        </w:tabs>
        <w:ind w:right="113"/>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0248" w:rsidRPr="00121123" w14:paraId="77C37A08" w14:textId="77777777">
        <w:tc>
          <w:tcPr>
            <w:tcW w:w="9287" w:type="dxa"/>
            <w:tcBorders>
              <w:top w:val="single" w:sz="4" w:space="0" w:color="auto"/>
              <w:left w:val="single" w:sz="4" w:space="0" w:color="auto"/>
              <w:bottom w:val="single" w:sz="4" w:space="0" w:color="auto"/>
              <w:right w:val="single" w:sz="4" w:space="0" w:color="auto"/>
            </w:tcBorders>
          </w:tcPr>
          <w:p w14:paraId="4FDD4C43" w14:textId="77777777" w:rsidR="00870248" w:rsidRPr="00121123" w:rsidRDefault="00870248" w:rsidP="00121123">
            <w:pPr>
              <w:keepLines w:val="0"/>
              <w:tabs>
                <w:tab w:val="clear" w:pos="567"/>
                <w:tab w:val="left" w:pos="142"/>
              </w:tabs>
              <w:ind w:left="567" w:hanging="567"/>
              <w:rPr>
                <w:b/>
                <w:bCs/>
                <w:noProof w:val="0"/>
              </w:rPr>
            </w:pPr>
            <w:r w:rsidRPr="00121123">
              <w:rPr>
                <w:b/>
                <w:bCs/>
                <w:noProof w:val="0"/>
              </w:rPr>
              <w:t>5.</w:t>
            </w:r>
            <w:r w:rsidRPr="00121123">
              <w:rPr>
                <w:b/>
                <w:bCs/>
                <w:noProof w:val="0"/>
              </w:rPr>
              <w:tab/>
              <w:t>OBSAH V HMOTNOSTNÝCH, OBJEMOVÝCH ALEBO V KUSOVÝCH JEDNOTKÁCH</w:t>
            </w:r>
          </w:p>
        </w:tc>
      </w:tr>
    </w:tbl>
    <w:p w14:paraId="212D80FD" w14:textId="77777777" w:rsidR="007A3A03" w:rsidRDefault="007A3A03" w:rsidP="00121123">
      <w:pPr>
        <w:keepLines w:val="0"/>
        <w:tabs>
          <w:tab w:val="clear" w:pos="567"/>
        </w:tabs>
        <w:rPr>
          <w:noProof w:val="0"/>
        </w:rPr>
      </w:pPr>
    </w:p>
    <w:p w14:paraId="69BA3BF4" w14:textId="77777777" w:rsidR="009E6B1F" w:rsidRPr="00121123" w:rsidRDefault="009E6B1F" w:rsidP="00121123">
      <w:pPr>
        <w:keepLines w:val="0"/>
        <w:tabs>
          <w:tab w:val="clear" w:pos="567"/>
        </w:tabs>
        <w:rPr>
          <w:noProof w:val="0"/>
        </w:rPr>
      </w:pPr>
      <w:r>
        <w:rPr>
          <w:noProof w:val="0"/>
        </w:rPr>
        <w:t>50 mg</w:t>
      </w:r>
    </w:p>
    <w:p w14:paraId="289AFBE0" w14:textId="77777777" w:rsidR="00245817" w:rsidRDefault="00245817" w:rsidP="00121123">
      <w:pPr>
        <w:keepLines w:val="0"/>
        <w:tabs>
          <w:tab w:val="clear" w:pos="567"/>
        </w:tabs>
        <w:rPr>
          <w:noProof w:val="0"/>
          <w:color w:val="000000"/>
        </w:rPr>
      </w:pPr>
    </w:p>
    <w:p w14:paraId="5CBD79FE" w14:textId="77777777" w:rsidR="00301D5C" w:rsidRPr="00C26AE6" w:rsidRDefault="00301D5C" w:rsidP="00121123">
      <w:pPr>
        <w:keepLines w:val="0"/>
        <w:tabs>
          <w:tab w:val="clear" w:pos="567"/>
        </w:tabs>
        <w:rPr>
          <w:noProof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612A" w:rsidRPr="00C26AE6" w14:paraId="09506013" w14:textId="77777777">
        <w:tc>
          <w:tcPr>
            <w:tcW w:w="9287" w:type="dxa"/>
            <w:tcBorders>
              <w:top w:val="single" w:sz="4" w:space="0" w:color="auto"/>
              <w:left w:val="single" w:sz="4" w:space="0" w:color="auto"/>
              <w:bottom w:val="single" w:sz="4" w:space="0" w:color="auto"/>
              <w:right w:val="single" w:sz="4" w:space="0" w:color="auto"/>
            </w:tcBorders>
          </w:tcPr>
          <w:p w14:paraId="6BFDF943" w14:textId="77777777" w:rsidR="00870248" w:rsidRPr="00C26AE6" w:rsidRDefault="00870248" w:rsidP="00121123">
            <w:pPr>
              <w:keepLines w:val="0"/>
              <w:tabs>
                <w:tab w:val="clear" w:pos="567"/>
                <w:tab w:val="left" w:pos="142"/>
              </w:tabs>
              <w:ind w:left="567" w:hanging="567"/>
              <w:rPr>
                <w:b/>
                <w:bCs/>
                <w:noProof w:val="0"/>
                <w:color w:val="000000"/>
              </w:rPr>
            </w:pPr>
            <w:r w:rsidRPr="00C26AE6">
              <w:rPr>
                <w:b/>
                <w:bCs/>
                <w:noProof w:val="0"/>
                <w:color w:val="000000"/>
              </w:rPr>
              <w:t>6.</w:t>
            </w:r>
            <w:r w:rsidRPr="00C26AE6">
              <w:rPr>
                <w:b/>
                <w:bCs/>
                <w:noProof w:val="0"/>
                <w:color w:val="000000"/>
              </w:rPr>
              <w:tab/>
              <w:t>INÉ</w:t>
            </w:r>
          </w:p>
        </w:tc>
      </w:tr>
    </w:tbl>
    <w:p w14:paraId="6B827F8F" w14:textId="77777777" w:rsidR="00870248" w:rsidRPr="00121123" w:rsidRDefault="00870248" w:rsidP="00121123">
      <w:pPr>
        <w:keepLines w:val="0"/>
        <w:tabs>
          <w:tab w:val="clear" w:pos="567"/>
        </w:tabs>
        <w:rPr>
          <w:noProof w:val="0"/>
        </w:rPr>
      </w:pPr>
    </w:p>
    <w:p w14:paraId="086475CE" w14:textId="77777777" w:rsidR="00870248" w:rsidRPr="00121123" w:rsidRDefault="00870248" w:rsidP="00121123">
      <w:pPr>
        <w:keepLines w:val="0"/>
        <w:tabs>
          <w:tab w:val="clear" w:pos="567"/>
        </w:tabs>
        <w:rPr>
          <w:noProof w:val="0"/>
        </w:rPr>
      </w:pPr>
    </w:p>
    <w:p w14:paraId="11082632" w14:textId="77777777" w:rsidR="00870248" w:rsidRPr="00121123" w:rsidRDefault="00870248" w:rsidP="007A3A03">
      <w:pPr>
        <w:pStyle w:val="Header"/>
        <w:tabs>
          <w:tab w:val="clear" w:pos="4320"/>
          <w:tab w:val="clear" w:pos="8640"/>
        </w:tabs>
        <w:rPr>
          <w:noProof w:val="0"/>
        </w:rPr>
      </w:pPr>
      <w:r w:rsidRPr="00121123">
        <w:rPr>
          <w:noProof w:val="0"/>
        </w:rPr>
        <w:br w:type="page"/>
      </w:r>
    </w:p>
    <w:p w14:paraId="00AE1526" w14:textId="77777777" w:rsidR="00870248" w:rsidRPr="00121123" w:rsidRDefault="00870248" w:rsidP="007A3A03">
      <w:pPr>
        <w:tabs>
          <w:tab w:val="clear" w:pos="567"/>
        </w:tabs>
        <w:rPr>
          <w:noProof w:val="0"/>
        </w:rPr>
      </w:pPr>
    </w:p>
    <w:p w14:paraId="316E0322" w14:textId="77777777" w:rsidR="00870248" w:rsidRPr="00121123" w:rsidRDefault="00870248" w:rsidP="007A3A03">
      <w:pPr>
        <w:tabs>
          <w:tab w:val="clear" w:pos="567"/>
        </w:tabs>
        <w:rPr>
          <w:noProof w:val="0"/>
        </w:rPr>
      </w:pPr>
    </w:p>
    <w:p w14:paraId="647B0F42" w14:textId="77777777" w:rsidR="00870248" w:rsidRPr="00121123" w:rsidRDefault="00870248" w:rsidP="007A3A03">
      <w:pPr>
        <w:tabs>
          <w:tab w:val="clear" w:pos="567"/>
        </w:tabs>
        <w:rPr>
          <w:noProof w:val="0"/>
        </w:rPr>
      </w:pPr>
    </w:p>
    <w:p w14:paraId="60054F7F" w14:textId="77777777" w:rsidR="00870248" w:rsidRPr="00121123" w:rsidRDefault="00870248" w:rsidP="007A3A03">
      <w:pPr>
        <w:tabs>
          <w:tab w:val="clear" w:pos="567"/>
        </w:tabs>
        <w:rPr>
          <w:noProof w:val="0"/>
        </w:rPr>
      </w:pPr>
    </w:p>
    <w:p w14:paraId="46C7AEAD" w14:textId="77777777" w:rsidR="00870248" w:rsidRPr="00121123" w:rsidRDefault="00870248" w:rsidP="007A3A03">
      <w:pPr>
        <w:tabs>
          <w:tab w:val="clear" w:pos="567"/>
        </w:tabs>
        <w:rPr>
          <w:noProof w:val="0"/>
        </w:rPr>
      </w:pPr>
    </w:p>
    <w:p w14:paraId="75850021" w14:textId="77777777" w:rsidR="00870248" w:rsidRPr="00121123" w:rsidRDefault="00870248" w:rsidP="007A3A03">
      <w:pPr>
        <w:tabs>
          <w:tab w:val="clear" w:pos="567"/>
        </w:tabs>
        <w:rPr>
          <w:noProof w:val="0"/>
        </w:rPr>
      </w:pPr>
    </w:p>
    <w:p w14:paraId="0A62F7AA" w14:textId="77777777" w:rsidR="00870248" w:rsidRPr="00121123" w:rsidRDefault="00870248" w:rsidP="007A3A03">
      <w:pPr>
        <w:tabs>
          <w:tab w:val="clear" w:pos="567"/>
        </w:tabs>
        <w:rPr>
          <w:noProof w:val="0"/>
        </w:rPr>
      </w:pPr>
    </w:p>
    <w:p w14:paraId="11C3EA09" w14:textId="77777777" w:rsidR="00870248" w:rsidRPr="00121123" w:rsidRDefault="00870248" w:rsidP="007A3A03">
      <w:pPr>
        <w:tabs>
          <w:tab w:val="clear" w:pos="567"/>
        </w:tabs>
        <w:rPr>
          <w:noProof w:val="0"/>
        </w:rPr>
      </w:pPr>
    </w:p>
    <w:p w14:paraId="23F6145E" w14:textId="77777777" w:rsidR="00870248" w:rsidRPr="00121123" w:rsidRDefault="00870248" w:rsidP="007A3A03">
      <w:pPr>
        <w:tabs>
          <w:tab w:val="clear" w:pos="567"/>
        </w:tabs>
        <w:rPr>
          <w:noProof w:val="0"/>
        </w:rPr>
      </w:pPr>
    </w:p>
    <w:p w14:paraId="32781D5C" w14:textId="77777777" w:rsidR="00870248" w:rsidRPr="00121123" w:rsidRDefault="00870248" w:rsidP="007A3A03">
      <w:pPr>
        <w:tabs>
          <w:tab w:val="clear" w:pos="567"/>
        </w:tabs>
        <w:rPr>
          <w:noProof w:val="0"/>
        </w:rPr>
      </w:pPr>
    </w:p>
    <w:p w14:paraId="450B29A3" w14:textId="77777777" w:rsidR="00870248" w:rsidRPr="00121123" w:rsidRDefault="00870248" w:rsidP="007A3A03">
      <w:pPr>
        <w:tabs>
          <w:tab w:val="clear" w:pos="567"/>
        </w:tabs>
        <w:rPr>
          <w:noProof w:val="0"/>
        </w:rPr>
      </w:pPr>
    </w:p>
    <w:p w14:paraId="58493C89" w14:textId="77777777" w:rsidR="00870248" w:rsidRPr="00121123" w:rsidRDefault="00870248" w:rsidP="007A3A03">
      <w:pPr>
        <w:tabs>
          <w:tab w:val="clear" w:pos="567"/>
        </w:tabs>
        <w:rPr>
          <w:noProof w:val="0"/>
        </w:rPr>
      </w:pPr>
    </w:p>
    <w:p w14:paraId="0CA44A4F" w14:textId="77777777" w:rsidR="00870248" w:rsidRPr="00121123" w:rsidRDefault="00870248" w:rsidP="007A3A03">
      <w:pPr>
        <w:tabs>
          <w:tab w:val="clear" w:pos="567"/>
        </w:tabs>
        <w:rPr>
          <w:noProof w:val="0"/>
        </w:rPr>
      </w:pPr>
    </w:p>
    <w:p w14:paraId="15C379D1" w14:textId="77777777" w:rsidR="00870248" w:rsidRPr="00121123" w:rsidRDefault="00870248" w:rsidP="007A3A03">
      <w:pPr>
        <w:tabs>
          <w:tab w:val="clear" w:pos="567"/>
        </w:tabs>
        <w:rPr>
          <w:noProof w:val="0"/>
        </w:rPr>
      </w:pPr>
    </w:p>
    <w:p w14:paraId="0724F47C" w14:textId="77777777" w:rsidR="00870248" w:rsidRPr="00121123" w:rsidRDefault="00870248" w:rsidP="007A3A03">
      <w:pPr>
        <w:tabs>
          <w:tab w:val="clear" w:pos="567"/>
        </w:tabs>
        <w:rPr>
          <w:noProof w:val="0"/>
        </w:rPr>
      </w:pPr>
    </w:p>
    <w:p w14:paraId="2FC3FD4F" w14:textId="77777777" w:rsidR="00870248" w:rsidRPr="00121123" w:rsidRDefault="00870248" w:rsidP="007A3A03">
      <w:pPr>
        <w:tabs>
          <w:tab w:val="clear" w:pos="567"/>
        </w:tabs>
        <w:rPr>
          <w:noProof w:val="0"/>
        </w:rPr>
      </w:pPr>
    </w:p>
    <w:p w14:paraId="0CD98563" w14:textId="77777777" w:rsidR="00870248" w:rsidRPr="00121123" w:rsidRDefault="00870248" w:rsidP="007A3A03">
      <w:pPr>
        <w:tabs>
          <w:tab w:val="clear" w:pos="567"/>
        </w:tabs>
        <w:rPr>
          <w:noProof w:val="0"/>
        </w:rPr>
      </w:pPr>
    </w:p>
    <w:p w14:paraId="0FDED799" w14:textId="77777777" w:rsidR="00870248" w:rsidRPr="00121123" w:rsidRDefault="00870248" w:rsidP="007A3A03">
      <w:pPr>
        <w:tabs>
          <w:tab w:val="clear" w:pos="567"/>
        </w:tabs>
        <w:rPr>
          <w:noProof w:val="0"/>
        </w:rPr>
      </w:pPr>
    </w:p>
    <w:p w14:paraId="7301B7A2" w14:textId="77777777" w:rsidR="00870248" w:rsidRPr="00121123" w:rsidRDefault="00870248" w:rsidP="007A3A03">
      <w:pPr>
        <w:tabs>
          <w:tab w:val="clear" w:pos="567"/>
        </w:tabs>
        <w:rPr>
          <w:noProof w:val="0"/>
        </w:rPr>
      </w:pPr>
    </w:p>
    <w:p w14:paraId="23EEC4C1" w14:textId="77777777" w:rsidR="00870248" w:rsidRPr="00121123" w:rsidRDefault="00870248" w:rsidP="007A3A03">
      <w:pPr>
        <w:tabs>
          <w:tab w:val="clear" w:pos="567"/>
        </w:tabs>
        <w:rPr>
          <w:noProof w:val="0"/>
        </w:rPr>
      </w:pPr>
    </w:p>
    <w:p w14:paraId="19FEE02E" w14:textId="77777777" w:rsidR="00870248" w:rsidRPr="00121123" w:rsidRDefault="00870248" w:rsidP="007A3A03">
      <w:pPr>
        <w:pStyle w:val="Heading1"/>
        <w:jc w:val="center"/>
        <w:rPr>
          <w:noProof w:val="0"/>
          <w:lang w:val="sk-SK"/>
        </w:rPr>
      </w:pPr>
    </w:p>
    <w:p w14:paraId="61EB03CC" w14:textId="77777777" w:rsidR="00870248" w:rsidRPr="00121123" w:rsidRDefault="00870248" w:rsidP="007A3A03">
      <w:pPr>
        <w:pStyle w:val="Heading1"/>
        <w:jc w:val="center"/>
        <w:rPr>
          <w:noProof w:val="0"/>
          <w:lang w:val="sk-SK"/>
        </w:rPr>
      </w:pPr>
    </w:p>
    <w:p w14:paraId="0FFDA711" w14:textId="77777777" w:rsidR="00870248" w:rsidRPr="00121123" w:rsidRDefault="00870248" w:rsidP="007A3A03">
      <w:pPr>
        <w:pStyle w:val="TitleA"/>
        <w:rPr>
          <w:rFonts w:cs="Times New Roman"/>
          <w:noProof w:val="0"/>
        </w:rPr>
      </w:pPr>
      <w:r w:rsidRPr="00121123">
        <w:rPr>
          <w:rFonts w:cs="Times New Roman"/>
          <w:noProof w:val="0"/>
        </w:rPr>
        <w:t xml:space="preserve">B. PÍSOMNÁ INFORMÁCIA PRE </w:t>
      </w:r>
      <w:r w:rsidR="00916125" w:rsidRPr="00121123">
        <w:rPr>
          <w:rFonts w:cs="Times New Roman"/>
          <w:noProof w:val="0"/>
        </w:rPr>
        <w:t>POUŽÍVATEĽA</w:t>
      </w:r>
    </w:p>
    <w:p w14:paraId="10FEF79E" w14:textId="77777777" w:rsidR="00870248" w:rsidRPr="00121123" w:rsidRDefault="00870248" w:rsidP="007A3A03">
      <w:pPr>
        <w:jc w:val="center"/>
        <w:rPr>
          <w:b/>
          <w:bCs/>
          <w:noProof w:val="0"/>
        </w:rPr>
      </w:pPr>
      <w:r w:rsidRPr="00121123">
        <w:rPr>
          <w:noProof w:val="0"/>
        </w:rPr>
        <w:br w:type="page"/>
      </w:r>
      <w:r w:rsidR="004E5224" w:rsidRPr="00121123">
        <w:rPr>
          <w:b/>
          <w:bCs/>
          <w:noProof w:val="0"/>
        </w:rPr>
        <w:lastRenderedPageBreak/>
        <w:t>Písomná informácia pre používateľ</w:t>
      </w:r>
      <w:r w:rsidR="005E095B" w:rsidRPr="00121123">
        <w:rPr>
          <w:b/>
          <w:bCs/>
          <w:noProof w:val="0"/>
        </w:rPr>
        <w:t>a</w:t>
      </w:r>
    </w:p>
    <w:p w14:paraId="206E23F8" w14:textId="77777777" w:rsidR="00870248" w:rsidRPr="00121123" w:rsidRDefault="00870248" w:rsidP="007A3A03">
      <w:pPr>
        <w:keepLines w:val="0"/>
        <w:rPr>
          <w:noProof w:val="0"/>
        </w:rPr>
      </w:pPr>
    </w:p>
    <w:p w14:paraId="3C66A415" w14:textId="77777777" w:rsidR="00870248" w:rsidRPr="00121123" w:rsidRDefault="00964F97" w:rsidP="007A3A03">
      <w:pPr>
        <w:keepLines w:val="0"/>
        <w:numPr>
          <w:ilvl w:val="12"/>
          <w:numId w:val="0"/>
        </w:numPr>
        <w:tabs>
          <w:tab w:val="clear" w:pos="567"/>
        </w:tabs>
        <w:jc w:val="center"/>
        <w:rPr>
          <w:noProof w:val="0"/>
        </w:rPr>
      </w:pPr>
      <w:r>
        <w:rPr>
          <w:b/>
          <w:bCs/>
          <w:noProof w:val="0"/>
        </w:rPr>
        <w:t>Tigecycline Accord</w:t>
      </w:r>
      <w:r w:rsidR="00870248" w:rsidRPr="00121123">
        <w:rPr>
          <w:b/>
          <w:bCs/>
          <w:noProof w:val="0"/>
        </w:rPr>
        <w:t xml:space="preserve"> 50 mg prášok na infúzny roztok</w:t>
      </w:r>
    </w:p>
    <w:p w14:paraId="48B17BF1" w14:textId="77777777" w:rsidR="00870248" w:rsidRPr="00121123" w:rsidRDefault="00187B08" w:rsidP="007A3A03">
      <w:pPr>
        <w:keepLines w:val="0"/>
        <w:jc w:val="center"/>
        <w:rPr>
          <w:noProof w:val="0"/>
        </w:rPr>
      </w:pPr>
      <w:r w:rsidRPr="00121123">
        <w:rPr>
          <w:bCs/>
          <w:noProof w:val="0"/>
        </w:rPr>
        <w:t>t</w:t>
      </w:r>
      <w:r w:rsidR="00870248" w:rsidRPr="00121123">
        <w:rPr>
          <w:bCs/>
          <w:noProof w:val="0"/>
        </w:rPr>
        <w:t>igecyklín</w:t>
      </w:r>
    </w:p>
    <w:p w14:paraId="5BEC9CDF" w14:textId="77777777" w:rsidR="00965D1D" w:rsidRPr="00121123" w:rsidRDefault="00965D1D" w:rsidP="007A3A03">
      <w:pPr>
        <w:keepLines w:val="0"/>
        <w:tabs>
          <w:tab w:val="clear" w:pos="567"/>
        </w:tabs>
        <w:rPr>
          <w:b/>
          <w:bCs/>
          <w:noProof w:val="0"/>
        </w:rPr>
      </w:pPr>
    </w:p>
    <w:p w14:paraId="1F4B0C6D" w14:textId="77777777" w:rsidR="006F74E5" w:rsidRPr="00121123" w:rsidRDefault="006F74E5" w:rsidP="007A3A03">
      <w:pPr>
        <w:keepLines w:val="0"/>
        <w:tabs>
          <w:tab w:val="clear" w:pos="567"/>
        </w:tabs>
        <w:rPr>
          <w:b/>
          <w:bCs/>
          <w:noProof w:val="0"/>
        </w:rPr>
      </w:pPr>
      <w:r w:rsidRPr="00121123">
        <w:rPr>
          <w:b/>
          <w:bCs/>
          <w:noProof w:val="0"/>
        </w:rPr>
        <w:t xml:space="preserve">Pozorne si prečítajte celú písomnú informáciu </w:t>
      </w:r>
      <w:r w:rsidR="004E5224" w:rsidRPr="00121123">
        <w:rPr>
          <w:b/>
          <w:bCs/>
          <w:noProof w:val="0"/>
        </w:rPr>
        <w:t>predtým</w:t>
      </w:r>
      <w:r w:rsidRPr="00121123">
        <w:rPr>
          <w:b/>
          <w:bCs/>
          <w:noProof w:val="0"/>
        </w:rPr>
        <w:t xml:space="preserve">, ako začnete užívať </w:t>
      </w:r>
      <w:r w:rsidR="004E5224" w:rsidRPr="00121123">
        <w:rPr>
          <w:b/>
          <w:bCs/>
          <w:noProof w:val="0"/>
        </w:rPr>
        <w:t xml:space="preserve">tento liek, pretože obsahuje pre vás </w:t>
      </w:r>
      <w:r w:rsidR="00AD5A31" w:rsidRPr="00121123">
        <w:rPr>
          <w:b/>
          <w:bCs/>
          <w:noProof w:val="0"/>
        </w:rPr>
        <w:t xml:space="preserve">a vaše dieťa </w:t>
      </w:r>
      <w:r w:rsidR="004E5224" w:rsidRPr="00121123">
        <w:rPr>
          <w:b/>
          <w:bCs/>
          <w:noProof w:val="0"/>
        </w:rPr>
        <w:t>dôležité informácie</w:t>
      </w:r>
      <w:r w:rsidRPr="00121123">
        <w:rPr>
          <w:b/>
          <w:bCs/>
          <w:noProof w:val="0"/>
        </w:rPr>
        <w:t>.</w:t>
      </w:r>
    </w:p>
    <w:p w14:paraId="1D287D47" w14:textId="77777777" w:rsidR="00427E3C" w:rsidRPr="00121123" w:rsidRDefault="00427E3C" w:rsidP="007A3A03">
      <w:pPr>
        <w:keepLines w:val="0"/>
        <w:tabs>
          <w:tab w:val="clear" w:pos="567"/>
        </w:tabs>
        <w:rPr>
          <w:b/>
          <w:bCs/>
          <w:noProof w:val="0"/>
        </w:rPr>
      </w:pPr>
    </w:p>
    <w:p w14:paraId="355AD1CE" w14:textId="77777777" w:rsidR="006F74E5" w:rsidRPr="00121123" w:rsidRDefault="006F74E5" w:rsidP="007A3A03">
      <w:pPr>
        <w:keepLines w:val="0"/>
        <w:tabs>
          <w:tab w:val="clear" w:pos="567"/>
        </w:tabs>
        <w:ind w:left="567" w:hanging="567"/>
        <w:jc w:val="both"/>
        <w:rPr>
          <w:noProof w:val="0"/>
        </w:rPr>
      </w:pPr>
      <w:r w:rsidRPr="00121123">
        <w:rPr>
          <w:noProof w:val="0"/>
        </w:rPr>
        <w:t>-</w:t>
      </w:r>
      <w:r w:rsidRPr="00121123">
        <w:rPr>
          <w:noProof w:val="0"/>
        </w:rPr>
        <w:tab/>
        <w:t>Túto písomnú informáciu si uschovajte. Možno bude potrebné, aby ste si ju znovu prečítali.</w:t>
      </w:r>
    </w:p>
    <w:p w14:paraId="782F8A79" w14:textId="77777777" w:rsidR="006F74E5" w:rsidRPr="00121123" w:rsidRDefault="006F74E5" w:rsidP="007A3A03">
      <w:pPr>
        <w:keepLines w:val="0"/>
        <w:numPr>
          <w:ilvl w:val="12"/>
          <w:numId w:val="0"/>
        </w:numPr>
        <w:tabs>
          <w:tab w:val="clear" w:pos="567"/>
        </w:tabs>
        <w:jc w:val="both"/>
        <w:rPr>
          <w:noProof w:val="0"/>
        </w:rPr>
      </w:pPr>
      <w:r w:rsidRPr="00121123">
        <w:rPr>
          <w:noProof w:val="0"/>
        </w:rPr>
        <w:t>-</w:t>
      </w:r>
      <w:r w:rsidRPr="00121123">
        <w:rPr>
          <w:noProof w:val="0"/>
        </w:rPr>
        <w:tab/>
        <w:t xml:space="preserve">Ak máte akékoľvek ďalšie otázky, obráťte sa na svojho lekára alebo </w:t>
      </w:r>
      <w:r w:rsidR="00FA299E" w:rsidRPr="00121123">
        <w:rPr>
          <w:noProof w:val="0"/>
          <w:szCs w:val="24"/>
        </w:rPr>
        <w:t>zdravotnú sestru</w:t>
      </w:r>
      <w:r w:rsidR="00031B3A" w:rsidRPr="00121123">
        <w:rPr>
          <w:noProof w:val="0"/>
        </w:rPr>
        <w:t>.</w:t>
      </w:r>
      <w:r w:rsidRPr="00121123">
        <w:rPr>
          <w:noProof w:val="0"/>
        </w:rPr>
        <w:t>.</w:t>
      </w:r>
    </w:p>
    <w:p w14:paraId="52E03E77" w14:textId="77777777" w:rsidR="006F74E5" w:rsidRPr="00121123" w:rsidRDefault="006F74E5" w:rsidP="007A3A03">
      <w:pPr>
        <w:keepLines w:val="0"/>
        <w:tabs>
          <w:tab w:val="clear" w:pos="567"/>
        </w:tabs>
        <w:ind w:left="562" w:hanging="562"/>
        <w:jc w:val="both"/>
        <w:rPr>
          <w:noProof w:val="0"/>
        </w:rPr>
      </w:pPr>
      <w:r w:rsidRPr="00121123">
        <w:rPr>
          <w:noProof w:val="0"/>
        </w:rPr>
        <w:t>-</w:t>
      </w:r>
      <w:r w:rsidR="004E5224" w:rsidRPr="00121123">
        <w:rPr>
          <w:noProof w:val="0"/>
        </w:rPr>
        <w:tab/>
        <w:t>Ak sa u vás vyskytne akýkoľvek vedľajší účinok, obráťte sa na svojho lekára</w:t>
      </w:r>
      <w:r w:rsidR="00790747" w:rsidRPr="00121123">
        <w:rPr>
          <w:noProof w:val="0"/>
        </w:rPr>
        <w:t xml:space="preserve"> alebo zdravotnú sestru</w:t>
      </w:r>
      <w:r w:rsidR="004E5224" w:rsidRPr="00121123">
        <w:rPr>
          <w:noProof w:val="0"/>
        </w:rPr>
        <w:t>. To sa týka aj akýchkoľvek vedľajších účinkov, ktoré nie sú uvedené v tejto písomnej informácii</w:t>
      </w:r>
      <w:r w:rsidR="00965D1D" w:rsidRPr="00121123">
        <w:rPr>
          <w:noProof w:val="0"/>
        </w:rPr>
        <w:t>. Pozri časť 4.</w:t>
      </w:r>
    </w:p>
    <w:p w14:paraId="7FC93477" w14:textId="77777777" w:rsidR="006F74E5" w:rsidRPr="00121123" w:rsidRDefault="006F74E5" w:rsidP="007A3A03">
      <w:pPr>
        <w:keepLines w:val="0"/>
        <w:rPr>
          <w:noProof w:val="0"/>
        </w:rPr>
      </w:pPr>
    </w:p>
    <w:p w14:paraId="64EEC63E" w14:textId="77777777" w:rsidR="00870248" w:rsidRPr="00121123" w:rsidRDefault="00870248" w:rsidP="007A3A03">
      <w:pPr>
        <w:keepLines w:val="0"/>
        <w:rPr>
          <w:b/>
          <w:bCs/>
          <w:noProof w:val="0"/>
        </w:rPr>
      </w:pPr>
      <w:r w:rsidRPr="00121123">
        <w:rPr>
          <w:b/>
          <w:bCs/>
          <w:noProof w:val="0"/>
        </w:rPr>
        <w:t>V tejto písomnej informácii</w:t>
      </w:r>
      <w:r w:rsidR="00156FE1" w:rsidRPr="00121123">
        <w:rPr>
          <w:b/>
          <w:bCs/>
          <w:noProof w:val="0"/>
        </w:rPr>
        <w:t xml:space="preserve"> sa dozviete</w:t>
      </w:r>
      <w:r w:rsidRPr="00121123">
        <w:rPr>
          <w:b/>
          <w:bCs/>
          <w:noProof w:val="0"/>
        </w:rPr>
        <w:t>:</w:t>
      </w:r>
    </w:p>
    <w:p w14:paraId="37383308" w14:textId="77777777" w:rsidR="00427E3C" w:rsidRPr="00121123" w:rsidRDefault="00427E3C" w:rsidP="007A3A03">
      <w:pPr>
        <w:keepLines w:val="0"/>
        <w:rPr>
          <w:b/>
          <w:bCs/>
          <w:noProof w:val="0"/>
        </w:rPr>
      </w:pPr>
    </w:p>
    <w:p w14:paraId="020A9313" w14:textId="77777777" w:rsidR="00870248" w:rsidRPr="00121123" w:rsidRDefault="00870248" w:rsidP="007A3A03">
      <w:pPr>
        <w:keepLines w:val="0"/>
        <w:numPr>
          <w:ilvl w:val="12"/>
          <w:numId w:val="0"/>
        </w:numPr>
        <w:tabs>
          <w:tab w:val="clear" w:pos="567"/>
        </w:tabs>
        <w:rPr>
          <w:noProof w:val="0"/>
        </w:rPr>
      </w:pPr>
      <w:r w:rsidRPr="00121123">
        <w:rPr>
          <w:noProof w:val="0"/>
        </w:rPr>
        <w:t xml:space="preserve">1. </w:t>
      </w:r>
      <w:r w:rsidR="00362C42" w:rsidRPr="00121123">
        <w:rPr>
          <w:noProof w:val="0"/>
        </w:rPr>
        <w:tab/>
      </w:r>
      <w:r w:rsidRPr="00121123">
        <w:rPr>
          <w:noProof w:val="0"/>
        </w:rPr>
        <w:t xml:space="preserve">Čo je </w:t>
      </w:r>
      <w:r w:rsidR="00964F97">
        <w:rPr>
          <w:noProof w:val="0"/>
        </w:rPr>
        <w:t>Tigecycline Accord</w:t>
      </w:r>
      <w:r w:rsidRPr="00121123">
        <w:rPr>
          <w:noProof w:val="0"/>
        </w:rPr>
        <w:t xml:space="preserve"> a na čo sa používa</w:t>
      </w:r>
    </w:p>
    <w:p w14:paraId="6AB8F938" w14:textId="77777777" w:rsidR="00870248" w:rsidRPr="00121123" w:rsidRDefault="00870248" w:rsidP="007A3A03">
      <w:pPr>
        <w:keepLines w:val="0"/>
        <w:numPr>
          <w:ilvl w:val="12"/>
          <w:numId w:val="0"/>
        </w:numPr>
        <w:tabs>
          <w:tab w:val="clear" w:pos="567"/>
        </w:tabs>
        <w:rPr>
          <w:noProof w:val="0"/>
        </w:rPr>
      </w:pPr>
      <w:r w:rsidRPr="00121123">
        <w:rPr>
          <w:noProof w:val="0"/>
        </w:rPr>
        <w:t>2.</w:t>
      </w:r>
      <w:r w:rsidR="00362C42" w:rsidRPr="00121123">
        <w:rPr>
          <w:noProof w:val="0"/>
        </w:rPr>
        <w:tab/>
      </w:r>
      <w:r w:rsidR="004E5224" w:rsidRPr="00121123">
        <w:rPr>
          <w:noProof w:val="0"/>
        </w:rPr>
        <w:t xml:space="preserve">Čo potrebujete vedieť </w:t>
      </w:r>
      <w:r w:rsidR="00393A6E" w:rsidRPr="00121123">
        <w:rPr>
          <w:noProof w:val="0"/>
        </w:rPr>
        <w:t>predtým</w:t>
      </w:r>
      <w:r w:rsidRPr="00121123">
        <w:rPr>
          <w:noProof w:val="0"/>
        </w:rPr>
        <w:t xml:space="preserve"> ako </w:t>
      </w:r>
      <w:r w:rsidR="0001688A" w:rsidRPr="00121123">
        <w:rPr>
          <w:noProof w:val="0"/>
        </w:rPr>
        <w:t>po</w:t>
      </w:r>
      <w:r w:rsidRPr="00121123">
        <w:rPr>
          <w:noProof w:val="0"/>
        </w:rPr>
        <w:t xml:space="preserve">užijete </w:t>
      </w:r>
      <w:r w:rsidR="00964F97">
        <w:rPr>
          <w:noProof w:val="0"/>
        </w:rPr>
        <w:t>Tigecycline Accord</w:t>
      </w:r>
      <w:r w:rsidRPr="00121123">
        <w:rPr>
          <w:noProof w:val="0"/>
        </w:rPr>
        <w:t xml:space="preserve"> </w:t>
      </w:r>
    </w:p>
    <w:p w14:paraId="553DD7D3" w14:textId="77777777" w:rsidR="00870248" w:rsidRPr="00121123" w:rsidRDefault="00870248" w:rsidP="007A3A03">
      <w:pPr>
        <w:keepLines w:val="0"/>
        <w:numPr>
          <w:ilvl w:val="12"/>
          <w:numId w:val="0"/>
        </w:numPr>
        <w:tabs>
          <w:tab w:val="clear" w:pos="567"/>
        </w:tabs>
        <w:rPr>
          <w:noProof w:val="0"/>
        </w:rPr>
      </w:pPr>
      <w:r w:rsidRPr="00121123">
        <w:rPr>
          <w:noProof w:val="0"/>
        </w:rPr>
        <w:t xml:space="preserve">3. </w:t>
      </w:r>
      <w:r w:rsidR="00362C42" w:rsidRPr="00121123">
        <w:rPr>
          <w:noProof w:val="0"/>
        </w:rPr>
        <w:tab/>
      </w:r>
      <w:r w:rsidRPr="00121123">
        <w:rPr>
          <w:noProof w:val="0"/>
        </w:rPr>
        <w:t xml:space="preserve">Ako používať </w:t>
      </w:r>
      <w:r w:rsidR="00964F97">
        <w:rPr>
          <w:noProof w:val="0"/>
        </w:rPr>
        <w:t>Tigecycline Accord</w:t>
      </w:r>
      <w:r w:rsidRPr="00121123">
        <w:rPr>
          <w:noProof w:val="0"/>
        </w:rPr>
        <w:t xml:space="preserve"> </w:t>
      </w:r>
    </w:p>
    <w:p w14:paraId="408D9B82" w14:textId="77777777" w:rsidR="00870248" w:rsidRPr="00121123" w:rsidRDefault="00870248" w:rsidP="007A3A03">
      <w:pPr>
        <w:keepLines w:val="0"/>
        <w:numPr>
          <w:ilvl w:val="12"/>
          <w:numId w:val="0"/>
        </w:numPr>
        <w:tabs>
          <w:tab w:val="clear" w:pos="567"/>
        </w:tabs>
        <w:rPr>
          <w:noProof w:val="0"/>
        </w:rPr>
      </w:pPr>
      <w:r w:rsidRPr="00121123">
        <w:rPr>
          <w:noProof w:val="0"/>
        </w:rPr>
        <w:t xml:space="preserve">4. </w:t>
      </w:r>
      <w:r w:rsidR="00362C42" w:rsidRPr="00121123">
        <w:rPr>
          <w:noProof w:val="0"/>
        </w:rPr>
        <w:tab/>
      </w:r>
      <w:r w:rsidRPr="00121123">
        <w:rPr>
          <w:noProof w:val="0"/>
        </w:rPr>
        <w:t>Možné vedľajšie účinky</w:t>
      </w:r>
    </w:p>
    <w:p w14:paraId="1393AC9C" w14:textId="77777777" w:rsidR="00870248" w:rsidRPr="00121123" w:rsidRDefault="00870248" w:rsidP="007A3A03">
      <w:pPr>
        <w:keepLines w:val="0"/>
        <w:numPr>
          <w:ilvl w:val="12"/>
          <w:numId w:val="0"/>
        </w:numPr>
        <w:tabs>
          <w:tab w:val="clear" w:pos="567"/>
        </w:tabs>
        <w:rPr>
          <w:noProof w:val="0"/>
        </w:rPr>
      </w:pPr>
      <w:r w:rsidRPr="00121123">
        <w:rPr>
          <w:noProof w:val="0"/>
        </w:rPr>
        <w:t xml:space="preserve">5. </w:t>
      </w:r>
      <w:r w:rsidR="00362C42" w:rsidRPr="00121123">
        <w:rPr>
          <w:noProof w:val="0"/>
        </w:rPr>
        <w:tab/>
      </w:r>
      <w:r w:rsidRPr="00121123">
        <w:rPr>
          <w:noProof w:val="0"/>
        </w:rPr>
        <w:t xml:space="preserve">Ako uchovávať </w:t>
      </w:r>
      <w:r w:rsidR="00964F97">
        <w:rPr>
          <w:noProof w:val="0"/>
        </w:rPr>
        <w:t>Tigecycline Accord</w:t>
      </w:r>
    </w:p>
    <w:p w14:paraId="2351A31B" w14:textId="77777777" w:rsidR="00870248" w:rsidRPr="00121123" w:rsidRDefault="00870248" w:rsidP="007A3A03">
      <w:pPr>
        <w:keepLines w:val="0"/>
        <w:numPr>
          <w:ilvl w:val="12"/>
          <w:numId w:val="0"/>
        </w:numPr>
        <w:tabs>
          <w:tab w:val="clear" w:pos="567"/>
        </w:tabs>
        <w:rPr>
          <w:noProof w:val="0"/>
        </w:rPr>
      </w:pPr>
      <w:r w:rsidRPr="00121123">
        <w:rPr>
          <w:noProof w:val="0"/>
        </w:rPr>
        <w:t xml:space="preserve">6. </w:t>
      </w:r>
      <w:r w:rsidR="00362C42" w:rsidRPr="00121123">
        <w:rPr>
          <w:noProof w:val="0"/>
        </w:rPr>
        <w:tab/>
      </w:r>
      <w:r w:rsidR="004E5224" w:rsidRPr="00121123">
        <w:rPr>
          <w:bCs/>
          <w:noProof w:val="0"/>
        </w:rPr>
        <w:t>Obsah balenia a </w:t>
      </w:r>
      <w:r w:rsidR="004E5224" w:rsidRPr="00121123">
        <w:rPr>
          <w:noProof w:val="0"/>
        </w:rPr>
        <w:t>ď</w:t>
      </w:r>
      <w:r w:rsidRPr="00121123">
        <w:rPr>
          <w:noProof w:val="0"/>
        </w:rPr>
        <w:t>alšie informácie</w:t>
      </w:r>
    </w:p>
    <w:p w14:paraId="0DEB12C3" w14:textId="77777777" w:rsidR="00870248" w:rsidRPr="00121123" w:rsidRDefault="00870248" w:rsidP="007A3A03">
      <w:pPr>
        <w:keepLines w:val="0"/>
        <w:numPr>
          <w:ilvl w:val="12"/>
          <w:numId w:val="0"/>
        </w:numPr>
        <w:tabs>
          <w:tab w:val="clear" w:pos="567"/>
        </w:tabs>
        <w:rPr>
          <w:noProof w:val="0"/>
        </w:rPr>
      </w:pPr>
    </w:p>
    <w:p w14:paraId="0E3B6F0D" w14:textId="77777777" w:rsidR="004E5224" w:rsidRPr="00121123" w:rsidRDefault="004E5224" w:rsidP="007A3A03">
      <w:pPr>
        <w:keepLines w:val="0"/>
        <w:numPr>
          <w:ilvl w:val="12"/>
          <w:numId w:val="0"/>
        </w:numPr>
        <w:tabs>
          <w:tab w:val="clear" w:pos="567"/>
        </w:tabs>
        <w:rPr>
          <w:noProof w:val="0"/>
        </w:rPr>
      </w:pPr>
    </w:p>
    <w:p w14:paraId="191FFFA5" w14:textId="77777777" w:rsidR="004E5224" w:rsidRPr="00121123" w:rsidRDefault="004E5224" w:rsidP="007A3A03">
      <w:pPr>
        <w:keepLines w:val="0"/>
        <w:numPr>
          <w:ilvl w:val="0"/>
          <w:numId w:val="37"/>
        </w:numPr>
        <w:tabs>
          <w:tab w:val="clear" w:pos="567"/>
        </w:tabs>
        <w:ind w:left="567" w:hanging="567"/>
        <w:rPr>
          <w:b/>
          <w:noProof w:val="0"/>
        </w:rPr>
      </w:pPr>
      <w:r w:rsidRPr="00121123">
        <w:rPr>
          <w:b/>
          <w:noProof w:val="0"/>
        </w:rPr>
        <w:t xml:space="preserve">Čo je </w:t>
      </w:r>
      <w:r w:rsidR="00964F97">
        <w:rPr>
          <w:b/>
          <w:noProof w:val="0"/>
        </w:rPr>
        <w:t>Tigecycline Accord</w:t>
      </w:r>
      <w:r w:rsidRPr="00121123">
        <w:rPr>
          <w:b/>
          <w:noProof w:val="0"/>
        </w:rPr>
        <w:t xml:space="preserve"> a na čo sa používa</w:t>
      </w:r>
    </w:p>
    <w:p w14:paraId="7B9F2013" w14:textId="77777777" w:rsidR="00870248" w:rsidRPr="00121123" w:rsidRDefault="00870248" w:rsidP="007A3A03">
      <w:pPr>
        <w:rPr>
          <w:b/>
          <w:noProof w:val="0"/>
        </w:rPr>
      </w:pPr>
    </w:p>
    <w:p w14:paraId="229E6F84" w14:textId="77777777" w:rsidR="00870248" w:rsidRPr="00121123" w:rsidRDefault="00964F97" w:rsidP="007A3A03">
      <w:pPr>
        <w:keepLines w:val="0"/>
        <w:tabs>
          <w:tab w:val="clear" w:pos="567"/>
        </w:tabs>
        <w:ind w:right="-29"/>
        <w:rPr>
          <w:noProof w:val="0"/>
        </w:rPr>
      </w:pPr>
      <w:r>
        <w:rPr>
          <w:noProof w:val="0"/>
        </w:rPr>
        <w:t>Tigecycline Accord</w:t>
      </w:r>
      <w:r w:rsidR="00870248" w:rsidRPr="00121123">
        <w:rPr>
          <w:noProof w:val="0"/>
        </w:rPr>
        <w:t xml:space="preserve"> je antibiotikum glycylcyklínovej skupiny, ktoré účinkuje tak, že zastavuje rast baktérií zapríčiňujúcich infekcie.</w:t>
      </w:r>
    </w:p>
    <w:p w14:paraId="3328E31C" w14:textId="77777777" w:rsidR="00870248" w:rsidRPr="00121123" w:rsidRDefault="00870248" w:rsidP="007A3A03">
      <w:pPr>
        <w:keepLines w:val="0"/>
        <w:tabs>
          <w:tab w:val="clear" w:pos="567"/>
        </w:tabs>
        <w:ind w:right="-29"/>
        <w:rPr>
          <w:noProof w:val="0"/>
        </w:rPr>
      </w:pPr>
    </w:p>
    <w:p w14:paraId="429D7FF0" w14:textId="77777777" w:rsidR="00870248" w:rsidRPr="00121123" w:rsidRDefault="00870248" w:rsidP="007A3A03">
      <w:pPr>
        <w:keepLines w:val="0"/>
        <w:tabs>
          <w:tab w:val="clear" w:pos="567"/>
        </w:tabs>
        <w:ind w:right="-29"/>
        <w:rPr>
          <w:noProof w:val="0"/>
        </w:rPr>
      </w:pPr>
      <w:r w:rsidRPr="00121123">
        <w:rPr>
          <w:noProof w:val="0"/>
        </w:rPr>
        <w:t xml:space="preserve">Váš lekár </w:t>
      </w:r>
      <w:r w:rsidR="00B7628D" w:rsidRPr="00121123">
        <w:rPr>
          <w:noProof w:val="0"/>
        </w:rPr>
        <w:t xml:space="preserve">vám </w:t>
      </w:r>
      <w:r w:rsidRPr="00121123">
        <w:rPr>
          <w:noProof w:val="0"/>
        </w:rPr>
        <w:t xml:space="preserve">predpísal </w:t>
      </w:r>
      <w:r w:rsidR="00964F97">
        <w:rPr>
          <w:noProof w:val="0"/>
        </w:rPr>
        <w:t>Tigecycline Accord</w:t>
      </w:r>
      <w:r w:rsidRPr="00121123">
        <w:rPr>
          <w:noProof w:val="0"/>
        </w:rPr>
        <w:t xml:space="preserve">, pretože </w:t>
      </w:r>
      <w:r w:rsidR="00AD5A31" w:rsidRPr="00121123">
        <w:rPr>
          <w:noProof w:val="0"/>
        </w:rPr>
        <w:t xml:space="preserve">vy alebo vaše dieťa vo veku </w:t>
      </w:r>
      <w:r w:rsidR="00731897" w:rsidRPr="00121123">
        <w:rPr>
          <w:noProof w:val="0"/>
        </w:rPr>
        <w:t>aspoň</w:t>
      </w:r>
      <w:r w:rsidR="00AD5A31" w:rsidRPr="00121123">
        <w:rPr>
          <w:noProof w:val="0"/>
        </w:rPr>
        <w:t xml:space="preserve"> 8 rokov</w:t>
      </w:r>
      <w:r w:rsidR="00731897" w:rsidRPr="00121123">
        <w:rPr>
          <w:noProof w:val="0"/>
        </w:rPr>
        <w:t xml:space="preserve"> </w:t>
      </w:r>
      <w:r w:rsidRPr="00121123">
        <w:rPr>
          <w:noProof w:val="0"/>
        </w:rPr>
        <w:t>máte jeden z nasledujúcich druhov závažných infekcií:</w:t>
      </w:r>
    </w:p>
    <w:p w14:paraId="2F420111" w14:textId="77777777" w:rsidR="00870248" w:rsidRPr="00121123" w:rsidRDefault="00870248" w:rsidP="007A3A03">
      <w:pPr>
        <w:keepLines w:val="0"/>
        <w:tabs>
          <w:tab w:val="clear" w:pos="567"/>
        </w:tabs>
        <w:ind w:right="-29"/>
        <w:rPr>
          <w:noProof w:val="0"/>
        </w:rPr>
      </w:pPr>
    </w:p>
    <w:p w14:paraId="122FABB7" w14:textId="77777777" w:rsidR="00870248" w:rsidRPr="00121123" w:rsidRDefault="00870248" w:rsidP="007A3A03">
      <w:pPr>
        <w:keepLines w:val="0"/>
        <w:numPr>
          <w:ilvl w:val="0"/>
          <w:numId w:val="27"/>
        </w:numPr>
        <w:ind w:right="-29"/>
        <w:rPr>
          <w:noProof w:val="0"/>
        </w:rPr>
      </w:pPr>
      <w:r w:rsidRPr="00121123">
        <w:rPr>
          <w:noProof w:val="0"/>
        </w:rPr>
        <w:t>Komplikované infekcie kože a mäkkých tkanív</w:t>
      </w:r>
      <w:r w:rsidR="006F74E5" w:rsidRPr="00121123">
        <w:rPr>
          <w:noProof w:val="0"/>
        </w:rPr>
        <w:t xml:space="preserve"> (tkanivo pod kožou)</w:t>
      </w:r>
      <w:r w:rsidR="00031B3A" w:rsidRPr="00121123">
        <w:rPr>
          <w:noProof w:val="0"/>
        </w:rPr>
        <w:t xml:space="preserve"> </w:t>
      </w:r>
      <w:r w:rsidR="008D4791" w:rsidRPr="00121123">
        <w:rPr>
          <w:noProof w:val="0"/>
        </w:rPr>
        <w:t>okrem infekcií diabetickej nohy</w:t>
      </w:r>
      <w:r w:rsidR="00031B3A" w:rsidRPr="00121123">
        <w:rPr>
          <w:noProof w:val="0"/>
        </w:rPr>
        <w:t>.</w:t>
      </w:r>
    </w:p>
    <w:p w14:paraId="49DB4A58" w14:textId="77777777" w:rsidR="00CF4AAA" w:rsidRPr="00121123" w:rsidRDefault="00CF4AAA" w:rsidP="007A3A03">
      <w:pPr>
        <w:keepLines w:val="0"/>
        <w:tabs>
          <w:tab w:val="clear" w:pos="567"/>
        </w:tabs>
        <w:ind w:right="-29"/>
        <w:rPr>
          <w:noProof w:val="0"/>
        </w:rPr>
      </w:pPr>
    </w:p>
    <w:p w14:paraId="7CBFFB04" w14:textId="77777777" w:rsidR="00870248" w:rsidRPr="00121123" w:rsidRDefault="00870248" w:rsidP="007A3A03">
      <w:pPr>
        <w:keepLines w:val="0"/>
        <w:numPr>
          <w:ilvl w:val="0"/>
          <w:numId w:val="27"/>
        </w:numPr>
        <w:ind w:right="-29"/>
        <w:rPr>
          <w:noProof w:val="0"/>
        </w:rPr>
      </w:pPr>
      <w:r w:rsidRPr="00121123">
        <w:rPr>
          <w:noProof w:val="0"/>
        </w:rPr>
        <w:t>Komplikované brušné infekcie</w:t>
      </w:r>
      <w:r w:rsidR="0049528C" w:rsidRPr="00121123">
        <w:rPr>
          <w:noProof w:val="0"/>
        </w:rPr>
        <w:t>.</w:t>
      </w:r>
      <w:r w:rsidRPr="00121123">
        <w:rPr>
          <w:noProof w:val="0"/>
        </w:rPr>
        <w:t xml:space="preserve"> </w:t>
      </w:r>
    </w:p>
    <w:p w14:paraId="6C0DBB9E" w14:textId="77777777" w:rsidR="00870248" w:rsidRPr="00121123" w:rsidRDefault="00870248" w:rsidP="007A3A03">
      <w:pPr>
        <w:keepLines w:val="0"/>
        <w:tabs>
          <w:tab w:val="clear" w:pos="567"/>
        </w:tabs>
        <w:ind w:right="-29"/>
        <w:rPr>
          <w:noProof w:val="0"/>
        </w:rPr>
      </w:pPr>
    </w:p>
    <w:p w14:paraId="65E37D47" w14:textId="77777777" w:rsidR="006F74E5" w:rsidRPr="00121123" w:rsidRDefault="00964F97" w:rsidP="007A3A03">
      <w:pPr>
        <w:keepLines w:val="0"/>
        <w:tabs>
          <w:tab w:val="clear" w:pos="567"/>
        </w:tabs>
        <w:rPr>
          <w:noProof w:val="0"/>
        </w:rPr>
      </w:pPr>
      <w:r>
        <w:rPr>
          <w:noProof w:val="0"/>
        </w:rPr>
        <w:t>Tigecycline Accord</w:t>
      </w:r>
      <w:r w:rsidR="006F74E5" w:rsidRPr="00121123">
        <w:rPr>
          <w:noProof w:val="0"/>
        </w:rPr>
        <w:t xml:space="preserve"> sa používa iba </w:t>
      </w:r>
      <w:r w:rsidR="00731897" w:rsidRPr="00121123">
        <w:rPr>
          <w:noProof w:val="0"/>
        </w:rPr>
        <w:t xml:space="preserve">v prípade, ak si váš lekár myslí, </w:t>
      </w:r>
      <w:r w:rsidR="006F74E5" w:rsidRPr="00121123">
        <w:rPr>
          <w:noProof w:val="0"/>
        </w:rPr>
        <w:t xml:space="preserve">že </w:t>
      </w:r>
      <w:r w:rsidR="0001688A" w:rsidRPr="00121123">
        <w:rPr>
          <w:noProof w:val="0"/>
        </w:rPr>
        <w:t xml:space="preserve">použitie iných antibiotík </w:t>
      </w:r>
      <w:r w:rsidR="006F74E5" w:rsidRPr="00121123">
        <w:rPr>
          <w:noProof w:val="0"/>
        </w:rPr>
        <w:t xml:space="preserve">nie </w:t>
      </w:r>
      <w:r w:rsidR="0001688A" w:rsidRPr="00121123">
        <w:rPr>
          <w:noProof w:val="0"/>
        </w:rPr>
        <w:t>je vhodné</w:t>
      </w:r>
      <w:r w:rsidR="006F74E5" w:rsidRPr="00121123">
        <w:rPr>
          <w:noProof w:val="0"/>
        </w:rPr>
        <w:t>.</w:t>
      </w:r>
    </w:p>
    <w:p w14:paraId="634A07C0" w14:textId="77777777" w:rsidR="006F74E5" w:rsidRPr="00121123" w:rsidRDefault="006F74E5" w:rsidP="007A3A03">
      <w:pPr>
        <w:rPr>
          <w:b/>
          <w:caps/>
          <w:noProof w:val="0"/>
        </w:rPr>
      </w:pPr>
    </w:p>
    <w:p w14:paraId="2A182D5D" w14:textId="77777777" w:rsidR="006F74E5" w:rsidRPr="00121123" w:rsidRDefault="006F74E5" w:rsidP="007A3A03">
      <w:pPr>
        <w:rPr>
          <w:b/>
          <w:caps/>
          <w:noProof w:val="0"/>
        </w:rPr>
      </w:pPr>
    </w:p>
    <w:p w14:paraId="7C910FBD" w14:textId="77777777" w:rsidR="00870248" w:rsidRPr="00121123" w:rsidRDefault="00870248" w:rsidP="007A3A03">
      <w:pPr>
        <w:rPr>
          <w:b/>
          <w:caps/>
          <w:noProof w:val="0"/>
        </w:rPr>
      </w:pPr>
      <w:r w:rsidRPr="00121123">
        <w:rPr>
          <w:b/>
          <w:caps/>
          <w:noProof w:val="0"/>
        </w:rPr>
        <w:t>2.</w:t>
      </w:r>
      <w:r w:rsidRPr="00121123">
        <w:rPr>
          <w:b/>
          <w:caps/>
          <w:noProof w:val="0"/>
        </w:rPr>
        <w:tab/>
      </w:r>
      <w:r w:rsidR="00B62F38" w:rsidRPr="00121123">
        <w:rPr>
          <w:b/>
          <w:noProof w:val="0"/>
        </w:rPr>
        <w:t xml:space="preserve">Čo potrebujete vedieť </w:t>
      </w:r>
      <w:r w:rsidR="00393A6E" w:rsidRPr="00121123">
        <w:rPr>
          <w:b/>
          <w:noProof w:val="0"/>
        </w:rPr>
        <w:t>predtým</w:t>
      </w:r>
      <w:r w:rsidR="00B62F38" w:rsidRPr="00121123">
        <w:rPr>
          <w:b/>
          <w:noProof w:val="0"/>
        </w:rPr>
        <w:t xml:space="preserve"> ako použijete </w:t>
      </w:r>
      <w:r w:rsidR="00964F97">
        <w:rPr>
          <w:b/>
          <w:noProof w:val="0"/>
        </w:rPr>
        <w:t>Tigecycline Accord</w:t>
      </w:r>
    </w:p>
    <w:p w14:paraId="6415C663" w14:textId="77777777" w:rsidR="00870248" w:rsidRPr="00121123" w:rsidRDefault="00870248" w:rsidP="007A3A03">
      <w:pPr>
        <w:keepLines w:val="0"/>
        <w:tabs>
          <w:tab w:val="clear" w:pos="567"/>
        </w:tabs>
        <w:ind w:right="-29"/>
        <w:rPr>
          <w:noProof w:val="0"/>
        </w:rPr>
      </w:pPr>
    </w:p>
    <w:p w14:paraId="3268A034" w14:textId="77777777" w:rsidR="00870248" w:rsidRPr="00121123" w:rsidRDefault="00870248" w:rsidP="007A3A03">
      <w:pPr>
        <w:rPr>
          <w:b/>
          <w:noProof w:val="0"/>
        </w:rPr>
      </w:pPr>
      <w:r w:rsidRPr="00121123">
        <w:rPr>
          <w:b/>
          <w:noProof w:val="0"/>
        </w:rPr>
        <w:t xml:space="preserve">Nepoužívajte </w:t>
      </w:r>
      <w:r w:rsidR="00964F97">
        <w:rPr>
          <w:b/>
          <w:noProof w:val="0"/>
        </w:rPr>
        <w:t>Tigecycline Accord</w:t>
      </w:r>
    </w:p>
    <w:p w14:paraId="72D6B55E" w14:textId="77777777" w:rsidR="00870248" w:rsidRPr="00121123" w:rsidRDefault="005E095B" w:rsidP="007A3A03">
      <w:pPr>
        <w:numPr>
          <w:ilvl w:val="0"/>
          <w:numId w:val="26"/>
        </w:numPr>
        <w:rPr>
          <w:noProof w:val="0"/>
        </w:rPr>
      </w:pPr>
      <w:r w:rsidRPr="00121123">
        <w:rPr>
          <w:noProof w:val="0"/>
        </w:rPr>
        <w:t xml:space="preserve">ak </w:t>
      </w:r>
      <w:r w:rsidR="00870248" w:rsidRPr="00121123">
        <w:rPr>
          <w:noProof w:val="0"/>
        </w:rPr>
        <w:t xml:space="preserve">ste alergický na tigecyklín, </w:t>
      </w:r>
      <w:r w:rsidR="00B62F38" w:rsidRPr="00121123">
        <w:rPr>
          <w:noProof w:val="0"/>
        </w:rPr>
        <w:t xml:space="preserve">alebo ktorúkoľvek </w:t>
      </w:r>
      <w:r w:rsidRPr="00121123">
        <w:rPr>
          <w:noProof w:val="0"/>
        </w:rPr>
        <w:t>z ďalších zložiek</w:t>
      </w:r>
      <w:r w:rsidR="00B62F38" w:rsidRPr="00121123">
        <w:rPr>
          <w:noProof w:val="0"/>
        </w:rPr>
        <w:t xml:space="preserve"> tohto lieku (pozri časť 6)</w:t>
      </w:r>
      <w:r w:rsidR="00870248" w:rsidRPr="00121123">
        <w:rPr>
          <w:noProof w:val="0"/>
        </w:rPr>
        <w:t>. Ak ste alergický na antibiotiká skupiny tetracyklínu (napr. minocyklín, doxycyklín)</w:t>
      </w:r>
      <w:r w:rsidR="0049528C" w:rsidRPr="00121123">
        <w:rPr>
          <w:noProof w:val="0"/>
        </w:rPr>
        <w:t>,</w:t>
      </w:r>
      <w:r w:rsidR="00870248" w:rsidRPr="00121123">
        <w:rPr>
          <w:noProof w:val="0"/>
        </w:rPr>
        <w:t xml:space="preserve"> je možné, že budete alergický na tigecyklín. </w:t>
      </w:r>
    </w:p>
    <w:p w14:paraId="31F8C61E" w14:textId="77777777" w:rsidR="00870248" w:rsidRPr="00121123" w:rsidRDefault="00870248" w:rsidP="007A3A03">
      <w:pPr>
        <w:keepNext/>
        <w:keepLines w:val="0"/>
        <w:tabs>
          <w:tab w:val="clear" w:pos="567"/>
        </w:tabs>
        <w:ind w:right="-29"/>
        <w:rPr>
          <w:noProof w:val="0"/>
        </w:rPr>
      </w:pPr>
    </w:p>
    <w:p w14:paraId="2FD54730" w14:textId="77777777" w:rsidR="00B62F38" w:rsidRPr="00121123" w:rsidRDefault="00B62F38" w:rsidP="007A3A03">
      <w:pPr>
        <w:keepNext/>
        <w:ind w:left="567" w:hanging="567"/>
        <w:rPr>
          <w:b/>
          <w:noProof w:val="0"/>
        </w:rPr>
      </w:pPr>
      <w:r w:rsidRPr="00121123">
        <w:rPr>
          <w:b/>
          <w:noProof w:val="0"/>
        </w:rPr>
        <w:t>Upozornenia a</w:t>
      </w:r>
      <w:r w:rsidR="00C556F0" w:rsidRPr="00121123">
        <w:rPr>
          <w:noProof w:val="0"/>
        </w:rPr>
        <w:t> </w:t>
      </w:r>
      <w:r w:rsidRPr="00121123">
        <w:rPr>
          <w:b/>
          <w:noProof w:val="0"/>
        </w:rPr>
        <w:t>opatrenia</w:t>
      </w:r>
    </w:p>
    <w:p w14:paraId="2418D18F" w14:textId="77777777" w:rsidR="00C556F0" w:rsidRPr="00121123" w:rsidRDefault="00C556F0" w:rsidP="007A3A03">
      <w:pPr>
        <w:keepNext/>
        <w:ind w:left="567" w:hanging="567"/>
        <w:rPr>
          <w:noProof w:val="0"/>
        </w:rPr>
      </w:pPr>
    </w:p>
    <w:p w14:paraId="672C1B9C" w14:textId="77777777" w:rsidR="00FA299E" w:rsidRPr="00121123" w:rsidRDefault="00FA299E" w:rsidP="007A3A03">
      <w:pPr>
        <w:keepNext/>
        <w:numPr>
          <w:ilvl w:val="12"/>
          <w:numId w:val="0"/>
        </w:numPr>
        <w:tabs>
          <w:tab w:val="clear" w:pos="567"/>
        </w:tabs>
        <w:rPr>
          <w:b/>
          <w:noProof w:val="0"/>
          <w:szCs w:val="24"/>
        </w:rPr>
      </w:pPr>
      <w:r w:rsidRPr="00121123">
        <w:rPr>
          <w:b/>
          <w:noProof w:val="0"/>
          <w:szCs w:val="24"/>
        </w:rPr>
        <w:t>Obráťte sa na svojho lekára alebo zdravotnú sestru predtým, ako začnete používať</w:t>
      </w:r>
      <w:r w:rsidRPr="00121123">
        <w:rPr>
          <w:b/>
          <w:noProof w:val="0"/>
        </w:rPr>
        <w:t xml:space="preserve"> </w:t>
      </w:r>
      <w:r w:rsidR="00964F97">
        <w:rPr>
          <w:b/>
          <w:noProof w:val="0"/>
        </w:rPr>
        <w:t>Tigecycline Accord</w:t>
      </w:r>
      <w:r w:rsidRPr="00121123">
        <w:rPr>
          <w:b/>
          <w:noProof w:val="0"/>
        </w:rPr>
        <w:t>:</w:t>
      </w:r>
    </w:p>
    <w:p w14:paraId="222C2683" w14:textId="77777777" w:rsidR="00C722B9" w:rsidRPr="00121123" w:rsidRDefault="00790747" w:rsidP="007A3A03">
      <w:pPr>
        <w:keepNext/>
        <w:numPr>
          <w:ilvl w:val="0"/>
          <w:numId w:val="26"/>
        </w:numPr>
        <w:tabs>
          <w:tab w:val="left" w:pos="567"/>
        </w:tabs>
        <w:rPr>
          <w:noProof w:val="0"/>
        </w:rPr>
      </w:pPr>
      <w:r w:rsidRPr="00121123">
        <w:rPr>
          <w:noProof w:val="0"/>
        </w:rPr>
        <w:t xml:space="preserve">Ak </w:t>
      </w:r>
      <w:r w:rsidR="00C722B9" w:rsidRPr="00121123">
        <w:rPr>
          <w:noProof w:val="0"/>
        </w:rPr>
        <w:t>máte zlé alebo pomalé hojenie rán.</w:t>
      </w:r>
    </w:p>
    <w:p w14:paraId="12CE2637" w14:textId="77777777" w:rsidR="00C722B9" w:rsidRPr="00121123" w:rsidRDefault="00790747" w:rsidP="007A3A03">
      <w:pPr>
        <w:numPr>
          <w:ilvl w:val="0"/>
          <w:numId w:val="26"/>
        </w:numPr>
        <w:rPr>
          <w:noProof w:val="0"/>
        </w:rPr>
      </w:pPr>
      <w:r w:rsidRPr="00121123">
        <w:rPr>
          <w:noProof w:val="0"/>
        </w:rPr>
        <w:t xml:space="preserve">Ak </w:t>
      </w:r>
      <w:r w:rsidR="00C722B9" w:rsidRPr="00121123">
        <w:rPr>
          <w:noProof w:val="0"/>
        </w:rPr>
        <w:t>trpíte hnačkou. Ak sa u vás objaví hnačka počas liečby alebo po ukončení liečby</w:t>
      </w:r>
    </w:p>
    <w:p w14:paraId="099CCF6B" w14:textId="77777777" w:rsidR="00870248" w:rsidRPr="00121123" w:rsidRDefault="00964F97" w:rsidP="007A3A03">
      <w:pPr>
        <w:tabs>
          <w:tab w:val="clear" w:pos="567"/>
        </w:tabs>
        <w:ind w:left="562"/>
        <w:rPr>
          <w:noProof w:val="0"/>
        </w:rPr>
      </w:pPr>
      <w:r>
        <w:rPr>
          <w:noProof w:val="0"/>
        </w:rPr>
        <w:t>liekom Tigecycline Accord</w:t>
      </w:r>
      <w:r w:rsidR="00870248" w:rsidRPr="00121123">
        <w:rPr>
          <w:noProof w:val="0"/>
        </w:rPr>
        <w:t xml:space="preserve">, ihneď to oznámte </w:t>
      </w:r>
      <w:r w:rsidR="00B7628D" w:rsidRPr="00121123">
        <w:rPr>
          <w:noProof w:val="0"/>
        </w:rPr>
        <w:t xml:space="preserve">vášmu </w:t>
      </w:r>
      <w:r w:rsidR="00870248" w:rsidRPr="00121123">
        <w:rPr>
          <w:noProof w:val="0"/>
        </w:rPr>
        <w:t>lekárovi. Neužívajte žiadne lieky na hnačk</w:t>
      </w:r>
      <w:r w:rsidR="006C582A" w:rsidRPr="00121123">
        <w:rPr>
          <w:noProof w:val="0"/>
        </w:rPr>
        <w:t>u</w:t>
      </w:r>
      <w:r w:rsidR="00870248" w:rsidRPr="00121123">
        <w:rPr>
          <w:noProof w:val="0"/>
        </w:rPr>
        <w:t xml:space="preserve"> bez toho, aby ste sa najprv </w:t>
      </w:r>
      <w:r w:rsidR="006F74E5" w:rsidRPr="00121123">
        <w:rPr>
          <w:noProof w:val="0"/>
        </w:rPr>
        <w:t>ne</w:t>
      </w:r>
      <w:r w:rsidR="00870248" w:rsidRPr="00121123">
        <w:rPr>
          <w:noProof w:val="0"/>
        </w:rPr>
        <w:t>poradili s </w:t>
      </w:r>
      <w:r w:rsidR="0049528C" w:rsidRPr="00121123">
        <w:rPr>
          <w:noProof w:val="0"/>
        </w:rPr>
        <w:t xml:space="preserve">vaším </w:t>
      </w:r>
      <w:r w:rsidR="00870248" w:rsidRPr="00121123">
        <w:rPr>
          <w:noProof w:val="0"/>
        </w:rPr>
        <w:t>lekárom.</w:t>
      </w:r>
    </w:p>
    <w:p w14:paraId="5FCE01A1" w14:textId="77777777" w:rsidR="00870248" w:rsidRPr="00121123" w:rsidRDefault="00790747" w:rsidP="0070438A">
      <w:pPr>
        <w:numPr>
          <w:ilvl w:val="0"/>
          <w:numId w:val="26"/>
        </w:numPr>
        <w:rPr>
          <w:noProof w:val="0"/>
        </w:rPr>
      </w:pPr>
      <w:r w:rsidRPr="00121123">
        <w:rPr>
          <w:noProof w:val="0"/>
        </w:rPr>
        <w:lastRenderedPageBreak/>
        <w:t xml:space="preserve">Ak </w:t>
      </w:r>
      <w:r w:rsidR="00870248" w:rsidRPr="00121123">
        <w:rPr>
          <w:noProof w:val="0"/>
        </w:rPr>
        <w:t xml:space="preserve">máte alebo sa u </w:t>
      </w:r>
      <w:r w:rsidR="00B7628D" w:rsidRPr="00121123">
        <w:rPr>
          <w:noProof w:val="0"/>
        </w:rPr>
        <w:t xml:space="preserve">vás </w:t>
      </w:r>
      <w:r w:rsidR="00870248" w:rsidRPr="00121123">
        <w:rPr>
          <w:noProof w:val="0"/>
        </w:rPr>
        <w:t xml:space="preserve">v minulosti vyskytli akékoľvek vedľajšie účinky spôsobené antibiotikami triedy tetracyklínu (napr. citlivosť kože na slnečné svetlo, sfarbenie rastúcich zubov, zápal pankreasu, zmeny niektorých laboratórnych hodnôt určených na hodnotenie zrážania </w:t>
      </w:r>
      <w:r w:rsidR="00B7628D" w:rsidRPr="00121123">
        <w:rPr>
          <w:noProof w:val="0"/>
        </w:rPr>
        <w:t xml:space="preserve">vašej </w:t>
      </w:r>
      <w:r w:rsidR="00870248" w:rsidRPr="00121123">
        <w:rPr>
          <w:noProof w:val="0"/>
        </w:rPr>
        <w:t>krvi).</w:t>
      </w:r>
    </w:p>
    <w:p w14:paraId="7D215B72" w14:textId="77777777" w:rsidR="00870248" w:rsidRPr="00121123" w:rsidRDefault="00790747" w:rsidP="007A3A03">
      <w:pPr>
        <w:keepLines w:val="0"/>
        <w:numPr>
          <w:ilvl w:val="0"/>
          <w:numId w:val="26"/>
        </w:numPr>
        <w:ind w:right="-29"/>
        <w:rPr>
          <w:b/>
          <w:bCs/>
          <w:i/>
          <w:iCs/>
          <w:noProof w:val="0"/>
        </w:rPr>
      </w:pPr>
      <w:r w:rsidRPr="00121123">
        <w:rPr>
          <w:noProof w:val="0"/>
        </w:rPr>
        <w:t>A</w:t>
      </w:r>
      <w:r w:rsidR="00870248" w:rsidRPr="00121123">
        <w:rPr>
          <w:noProof w:val="0"/>
        </w:rPr>
        <w:t xml:space="preserve">k máte, alebo ste v minulosti mali, problémy s pečeňou. V závislosti od stavu </w:t>
      </w:r>
      <w:r w:rsidR="004C1D91" w:rsidRPr="00121123">
        <w:rPr>
          <w:noProof w:val="0"/>
        </w:rPr>
        <w:t xml:space="preserve">vašej </w:t>
      </w:r>
      <w:r w:rsidR="00870248" w:rsidRPr="00121123">
        <w:rPr>
          <w:noProof w:val="0"/>
        </w:rPr>
        <w:t xml:space="preserve">pečene môže </w:t>
      </w:r>
      <w:r w:rsidR="004C1D91" w:rsidRPr="00121123">
        <w:rPr>
          <w:noProof w:val="0"/>
        </w:rPr>
        <w:t xml:space="preserve">váš </w:t>
      </w:r>
      <w:r w:rsidR="00870248" w:rsidRPr="00121123">
        <w:rPr>
          <w:noProof w:val="0"/>
        </w:rPr>
        <w:t>lekár znížiť dávku tak, aby sa predišlo možným vedľajším účinkom.</w:t>
      </w:r>
    </w:p>
    <w:p w14:paraId="03BE1C14" w14:textId="77777777" w:rsidR="00790747" w:rsidRPr="008E6AE3" w:rsidRDefault="00790747" w:rsidP="007A3A03">
      <w:pPr>
        <w:keepLines w:val="0"/>
        <w:numPr>
          <w:ilvl w:val="0"/>
          <w:numId w:val="26"/>
        </w:numPr>
        <w:ind w:right="-29"/>
        <w:rPr>
          <w:b/>
          <w:bCs/>
          <w:i/>
          <w:iCs/>
          <w:noProof w:val="0"/>
        </w:rPr>
      </w:pPr>
      <w:r w:rsidRPr="00121123">
        <w:rPr>
          <w:noProof w:val="0"/>
        </w:rPr>
        <w:t>Ak máte blokované žlčovody (cholestázu).</w:t>
      </w:r>
    </w:p>
    <w:p w14:paraId="2F47E1E4" w14:textId="77777777" w:rsidR="00F24C18" w:rsidRPr="008E6AE3" w:rsidRDefault="00F24C18" w:rsidP="0081661F">
      <w:pPr>
        <w:keepLines w:val="0"/>
        <w:numPr>
          <w:ilvl w:val="0"/>
          <w:numId w:val="26"/>
        </w:numPr>
        <w:ind w:right="-29"/>
        <w:rPr>
          <w:b/>
          <w:bCs/>
          <w:i/>
          <w:iCs/>
          <w:noProof w:val="0"/>
          <w:color w:val="000000"/>
        </w:rPr>
      </w:pPr>
      <w:r>
        <w:rPr>
          <w:noProof w:val="0"/>
          <w:color w:val="000000"/>
        </w:rPr>
        <w:t>A</w:t>
      </w:r>
      <w:r w:rsidRPr="00DF6976">
        <w:rPr>
          <w:noProof w:val="0"/>
          <w:color w:val="000000"/>
        </w:rPr>
        <w:t>k trpíte poruchou krvácania alebo sa liečite liekmi proti zrážaniu krvi, pretože tento liek môže ovplyvňovať zrážanlivosť krvi.</w:t>
      </w:r>
    </w:p>
    <w:p w14:paraId="73B1AB43" w14:textId="77777777" w:rsidR="00510A5A" w:rsidRPr="00121123" w:rsidRDefault="00510A5A" w:rsidP="007A3A03">
      <w:pPr>
        <w:keepLines w:val="0"/>
        <w:tabs>
          <w:tab w:val="clear" w:pos="567"/>
        </w:tabs>
        <w:ind w:left="567" w:right="-29"/>
        <w:rPr>
          <w:b/>
          <w:bCs/>
          <w:i/>
          <w:iCs/>
          <w:noProof w:val="0"/>
        </w:rPr>
      </w:pPr>
    </w:p>
    <w:p w14:paraId="02041577" w14:textId="77777777" w:rsidR="000847F4" w:rsidRPr="00121123" w:rsidRDefault="000847F4" w:rsidP="007A3A03">
      <w:pPr>
        <w:numPr>
          <w:ilvl w:val="12"/>
          <w:numId w:val="0"/>
        </w:numPr>
        <w:rPr>
          <w:b/>
          <w:bCs/>
          <w:noProof w:val="0"/>
        </w:rPr>
      </w:pPr>
      <w:r w:rsidRPr="00121123">
        <w:rPr>
          <w:b/>
          <w:bCs/>
          <w:noProof w:val="0"/>
        </w:rPr>
        <w:t xml:space="preserve">Počas liečby </w:t>
      </w:r>
      <w:r w:rsidR="00964F97">
        <w:rPr>
          <w:b/>
          <w:bCs/>
          <w:noProof w:val="0"/>
        </w:rPr>
        <w:t>liekom Tigecycline Accord</w:t>
      </w:r>
      <w:r w:rsidRPr="00121123">
        <w:rPr>
          <w:b/>
          <w:bCs/>
          <w:noProof w:val="0"/>
        </w:rPr>
        <w:t>:</w:t>
      </w:r>
    </w:p>
    <w:p w14:paraId="71B82DE6" w14:textId="77777777" w:rsidR="00A44675" w:rsidRPr="00121123" w:rsidRDefault="00A44675" w:rsidP="00D55000">
      <w:pPr>
        <w:numPr>
          <w:ilvl w:val="0"/>
          <w:numId w:val="26"/>
        </w:numPr>
        <w:rPr>
          <w:noProof w:val="0"/>
        </w:rPr>
      </w:pPr>
      <w:r w:rsidRPr="00121123">
        <w:rPr>
          <w:noProof w:val="0"/>
        </w:rPr>
        <w:t>bezodkladne oznámte vášmu lekárovi, a</w:t>
      </w:r>
      <w:r w:rsidR="000847F4" w:rsidRPr="00121123">
        <w:rPr>
          <w:noProof w:val="0"/>
        </w:rPr>
        <w:t>k sa u </w:t>
      </w:r>
      <w:r w:rsidR="00C1420C" w:rsidRPr="00121123">
        <w:rPr>
          <w:noProof w:val="0"/>
        </w:rPr>
        <w:t xml:space="preserve">vás </w:t>
      </w:r>
      <w:r w:rsidR="000847F4" w:rsidRPr="00121123">
        <w:rPr>
          <w:noProof w:val="0"/>
        </w:rPr>
        <w:t xml:space="preserve">objavia </w:t>
      </w:r>
      <w:r w:rsidR="000B0FEA" w:rsidRPr="00121123">
        <w:rPr>
          <w:noProof w:val="0"/>
        </w:rPr>
        <w:t>príznaky</w:t>
      </w:r>
      <w:r w:rsidRPr="00121123">
        <w:rPr>
          <w:noProof w:val="0"/>
        </w:rPr>
        <w:t xml:space="preserve"> alergickej reakcie</w:t>
      </w:r>
      <w:r w:rsidR="00916125" w:rsidRPr="00121123">
        <w:rPr>
          <w:noProof w:val="0"/>
        </w:rPr>
        <w:t>.</w:t>
      </w:r>
    </w:p>
    <w:p w14:paraId="41C5CF30" w14:textId="77777777" w:rsidR="000847F4" w:rsidRPr="00121123" w:rsidRDefault="00A44675" w:rsidP="00D55000">
      <w:pPr>
        <w:numPr>
          <w:ilvl w:val="0"/>
          <w:numId w:val="26"/>
        </w:numPr>
        <w:rPr>
          <w:noProof w:val="0"/>
        </w:rPr>
      </w:pPr>
      <w:r w:rsidRPr="00121123">
        <w:rPr>
          <w:noProof w:val="0"/>
        </w:rPr>
        <w:t xml:space="preserve">bezodkladne oznámte vášmu lekárovi, ak </w:t>
      </w:r>
      <w:r w:rsidR="000847F4" w:rsidRPr="00121123">
        <w:rPr>
          <w:noProof w:val="0"/>
        </w:rPr>
        <w:t>sa u </w:t>
      </w:r>
      <w:r w:rsidR="00C1420C" w:rsidRPr="00121123">
        <w:rPr>
          <w:noProof w:val="0"/>
        </w:rPr>
        <w:t xml:space="preserve">vás </w:t>
      </w:r>
      <w:r w:rsidR="000847F4" w:rsidRPr="00121123">
        <w:rPr>
          <w:noProof w:val="0"/>
        </w:rPr>
        <w:t>objaví silná bolesť brucha, nauzea alebo zvracanie</w:t>
      </w:r>
      <w:r w:rsidRPr="00121123">
        <w:rPr>
          <w:noProof w:val="0"/>
        </w:rPr>
        <w:t xml:space="preserve">. </w:t>
      </w:r>
      <w:r w:rsidR="000847F4" w:rsidRPr="00121123">
        <w:rPr>
          <w:noProof w:val="0"/>
        </w:rPr>
        <w:t xml:space="preserve">Môžu to byť </w:t>
      </w:r>
      <w:r w:rsidR="000B0FEA" w:rsidRPr="00121123">
        <w:rPr>
          <w:noProof w:val="0"/>
        </w:rPr>
        <w:t>príznaky</w:t>
      </w:r>
      <w:r w:rsidR="000847F4" w:rsidRPr="00121123">
        <w:rPr>
          <w:noProof w:val="0"/>
        </w:rPr>
        <w:t xml:space="preserve"> akútnej pankreatitídy (zápal pankreasu, ktorý môže spôsobiť silnú bolesť brucha, nauzeu alebo zvracanie).</w:t>
      </w:r>
    </w:p>
    <w:p w14:paraId="5CAA2DF1" w14:textId="77777777" w:rsidR="000847F4" w:rsidRPr="00121123" w:rsidRDefault="00A44675" w:rsidP="00D55000">
      <w:pPr>
        <w:numPr>
          <w:ilvl w:val="0"/>
          <w:numId w:val="26"/>
        </w:numPr>
        <w:rPr>
          <w:noProof w:val="0"/>
        </w:rPr>
      </w:pPr>
      <w:r w:rsidRPr="00121123">
        <w:rPr>
          <w:noProof w:val="0"/>
        </w:rPr>
        <w:t>p</w:t>
      </w:r>
      <w:r w:rsidR="000847F4" w:rsidRPr="00121123">
        <w:rPr>
          <w:noProof w:val="0"/>
        </w:rPr>
        <w:t xml:space="preserve">ri určitých závažných infekciách môže </w:t>
      </w:r>
      <w:r w:rsidRPr="00121123">
        <w:rPr>
          <w:noProof w:val="0"/>
        </w:rPr>
        <w:t>v</w:t>
      </w:r>
      <w:r w:rsidR="000847F4" w:rsidRPr="00121123">
        <w:rPr>
          <w:noProof w:val="0"/>
        </w:rPr>
        <w:t xml:space="preserve">áš lekár zvážiť použitie </w:t>
      </w:r>
      <w:r w:rsidR="00964F97">
        <w:rPr>
          <w:noProof w:val="0"/>
        </w:rPr>
        <w:t>lieku Tigecycline Accord</w:t>
      </w:r>
      <w:r w:rsidR="000847F4" w:rsidRPr="00121123">
        <w:rPr>
          <w:noProof w:val="0"/>
        </w:rPr>
        <w:t xml:space="preserve"> v kombinácii s iným antibiotikom.</w:t>
      </w:r>
      <w:r w:rsidR="00EC4698" w:rsidRPr="00121123">
        <w:rPr>
          <w:noProof w:val="0"/>
        </w:rPr>
        <w:t xml:space="preserve"> </w:t>
      </w:r>
    </w:p>
    <w:p w14:paraId="07B157A9" w14:textId="77777777" w:rsidR="000847F4" w:rsidRPr="00121123" w:rsidRDefault="000847F4" w:rsidP="00D55000">
      <w:pPr>
        <w:numPr>
          <w:ilvl w:val="0"/>
          <w:numId w:val="26"/>
        </w:numPr>
        <w:rPr>
          <w:noProof w:val="0"/>
        </w:rPr>
      </w:pPr>
      <w:r w:rsidRPr="00121123">
        <w:rPr>
          <w:noProof w:val="0"/>
        </w:rPr>
        <w:t>Váš lekár bude pozorne sledovať, či sa u </w:t>
      </w:r>
      <w:r w:rsidR="006529AE" w:rsidRPr="00121123">
        <w:rPr>
          <w:noProof w:val="0"/>
        </w:rPr>
        <w:t xml:space="preserve">vás </w:t>
      </w:r>
      <w:r w:rsidRPr="00121123">
        <w:rPr>
          <w:noProof w:val="0"/>
        </w:rPr>
        <w:t>nerozvinie iná bakteriálna infekcia. Ak sa u </w:t>
      </w:r>
      <w:r w:rsidR="006529AE" w:rsidRPr="00121123">
        <w:rPr>
          <w:noProof w:val="0"/>
        </w:rPr>
        <w:t xml:space="preserve">vás </w:t>
      </w:r>
      <w:r w:rsidRPr="00121123">
        <w:rPr>
          <w:noProof w:val="0"/>
        </w:rPr>
        <w:t xml:space="preserve">rozvinie iná bakteriálna infekcia, </w:t>
      </w:r>
      <w:r w:rsidR="006529AE" w:rsidRPr="00121123">
        <w:rPr>
          <w:noProof w:val="0"/>
        </w:rPr>
        <w:t xml:space="preserve">váš </w:t>
      </w:r>
      <w:r w:rsidRPr="00121123">
        <w:rPr>
          <w:noProof w:val="0"/>
        </w:rPr>
        <w:t>lekár môže predpísať iné antibiotikum špecifické pre daný typ infekcie.</w:t>
      </w:r>
    </w:p>
    <w:p w14:paraId="397CB175" w14:textId="77777777" w:rsidR="000847F4" w:rsidRPr="00121123" w:rsidRDefault="000847F4" w:rsidP="00D55000">
      <w:pPr>
        <w:numPr>
          <w:ilvl w:val="0"/>
          <w:numId w:val="26"/>
        </w:numPr>
        <w:rPr>
          <w:noProof w:val="0"/>
        </w:rPr>
      </w:pPr>
      <w:r w:rsidRPr="00121123">
        <w:rPr>
          <w:noProof w:val="0"/>
        </w:rPr>
        <w:t xml:space="preserve">Aj keď antibiotiká vrátane </w:t>
      </w:r>
      <w:r w:rsidR="00964F97">
        <w:rPr>
          <w:noProof w:val="0"/>
        </w:rPr>
        <w:t>lieku Tigecycline Accord</w:t>
      </w:r>
      <w:r w:rsidRPr="00121123">
        <w:rPr>
          <w:noProof w:val="0"/>
        </w:rPr>
        <w:t xml:space="preserve"> bojujú proti určitým baktériám, iné baktérie a huby môžu nadalej rásť (prerastanie). Váš lekár bude pozorne sledovať, či sa u </w:t>
      </w:r>
      <w:r w:rsidR="006529AE" w:rsidRPr="00121123">
        <w:rPr>
          <w:noProof w:val="0"/>
        </w:rPr>
        <w:t xml:space="preserve">vás </w:t>
      </w:r>
      <w:r w:rsidRPr="00121123">
        <w:rPr>
          <w:noProof w:val="0"/>
        </w:rPr>
        <w:t>nerozvinie iná infekcia a podľa potreby ju liečiť.</w:t>
      </w:r>
    </w:p>
    <w:p w14:paraId="7FB09EC8" w14:textId="77777777" w:rsidR="00B14738" w:rsidRPr="00121123" w:rsidRDefault="00B14738" w:rsidP="007A3A03">
      <w:pPr>
        <w:keepLines w:val="0"/>
        <w:numPr>
          <w:ilvl w:val="12"/>
          <w:numId w:val="0"/>
        </w:numPr>
        <w:tabs>
          <w:tab w:val="clear" w:pos="567"/>
        </w:tabs>
        <w:rPr>
          <w:b/>
          <w:bCs/>
          <w:noProof w:val="0"/>
        </w:rPr>
      </w:pPr>
    </w:p>
    <w:p w14:paraId="35C85139" w14:textId="77777777" w:rsidR="00B14738" w:rsidRPr="00121123" w:rsidRDefault="00B14738" w:rsidP="007A3A03">
      <w:pPr>
        <w:keepLines w:val="0"/>
        <w:numPr>
          <w:ilvl w:val="12"/>
          <w:numId w:val="0"/>
        </w:numPr>
        <w:tabs>
          <w:tab w:val="clear" w:pos="567"/>
        </w:tabs>
        <w:rPr>
          <w:b/>
          <w:bCs/>
          <w:noProof w:val="0"/>
        </w:rPr>
      </w:pPr>
      <w:r w:rsidRPr="00121123">
        <w:rPr>
          <w:b/>
          <w:bCs/>
          <w:noProof w:val="0"/>
        </w:rPr>
        <w:t>Deti</w:t>
      </w:r>
    </w:p>
    <w:p w14:paraId="60E0C734" w14:textId="77777777" w:rsidR="00427E3C" w:rsidRPr="00121123" w:rsidRDefault="00427E3C" w:rsidP="007A3A03">
      <w:pPr>
        <w:keepLines w:val="0"/>
        <w:numPr>
          <w:ilvl w:val="12"/>
          <w:numId w:val="0"/>
        </w:numPr>
        <w:tabs>
          <w:tab w:val="clear" w:pos="567"/>
        </w:tabs>
        <w:rPr>
          <w:b/>
          <w:bCs/>
          <w:noProof w:val="0"/>
        </w:rPr>
      </w:pPr>
    </w:p>
    <w:p w14:paraId="2A470B61" w14:textId="77777777" w:rsidR="00B62F38" w:rsidRPr="00121123" w:rsidRDefault="00964F97" w:rsidP="007A3A03">
      <w:pPr>
        <w:keepLines w:val="0"/>
        <w:numPr>
          <w:ilvl w:val="12"/>
          <w:numId w:val="0"/>
        </w:numPr>
        <w:tabs>
          <w:tab w:val="clear" w:pos="567"/>
        </w:tabs>
        <w:rPr>
          <w:bCs/>
          <w:noProof w:val="0"/>
        </w:rPr>
      </w:pPr>
      <w:r>
        <w:rPr>
          <w:bCs/>
          <w:noProof w:val="0"/>
        </w:rPr>
        <w:t>Tigecycline Accord</w:t>
      </w:r>
      <w:r w:rsidR="00B62F38" w:rsidRPr="00121123">
        <w:rPr>
          <w:bCs/>
          <w:noProof w:val="0"/>
        </w:rPr>
        <w:t xml:space="preserve"> sa nemá používať u detí mladších ako 8 rokov</w:t>
      </w:r>
      <w:r w:rsidR="00731897" w:rsidRPr="00121123">
        <w:rPr>
          <w:bCs/>
          <w:noProof w:val="0"/>
        </w:rPr>
        <w:t xml:space="preserve"> z dôvodu nedostatočných údajov týkajúcich sa bezpečnosti a účinnosti v tejto vekovej skupine a</w:t>
      </w:r>
      <w:r w:rsidR="00B62F38" w:rsidRPr="00121123">
        <w:rPr>
          <w:bCs/>
          <w:noProof w:val="0"/>
        </w:rPr>
        <w:t xml:space="preserve"> </w:t>
      </w:r>
      <w:r w:rsidR="00A44675" w:rsidRPr="00121123">
        <w:rPr>
          <w:bCs/>
          <w:noProof w:val="0"/>
        </w:rPr>
        <w:t>pretože</w:t>
      </w:r>
      <w:r w:rsidR="00510A5A" w:rsidRPr="00121123">
        <w:rPr>
          <w:noProof w:val="0"/>
        </w:rPr>
        <w:t xml:space="preserve"> </w:t>
      </w:r>
      <w:r w:rsidR="00B62F38" w:rsidRPr="00121123">
        <w:rPr>
          <w:bCs/>
          <w:noProof w:val="0"/>
        </w:rPr>
        <w:t xml:space="preserve">môže vyvolať trvalé poškodenie zubov, ako je zmena farby rastúcich zubov.   </w:t>
      </w:r>
    </w:p>
    <w:p w14:paraId="028C5AE3" w14:textId="77777777" w:rsidR="00870248" w:rsidRPr="00121123" w:rsidRDefault="00870248" w:rsidP="007A3A03">
      <w:pPr>
        <w:keepLines w:val="0"/>
        <w:numPr>
          <w:ilvl w:val="12"/>
          <w:numId w:val="0"/>
        </w:numPr>
        <w:tabs>
          <w:tab w:val="clear" w:pos="567"/>
        </w:tabs>
        <w:rPr>
          <w:noProof w:val="0"/>
        </w:rPr>
      </w:pPr>
    </w:p>
    <w:p w14:paraId="5D87775A" w14:textId="77777777" w:rsidR="00870248" w:rsidRPr="00121123" w:rsidRDefault="006B1261" w:rsidP="007A3A03">
      <w:pPr>
        <w:pStyle w:val="Heading3"/>
        <w:keepNext w:val="0"/>
        <w:keepLines w:val="0"/>
        <w:spacing w:before="0" w:after="0"/>
        <w:rPr>
          <w:noProof w:val="0"/>
          <w:lang w:val="sk-SK"/>
        </w:rPr>
      </w:pPr>
      <w:r w:rsidRPr="00121123">
        <w:rPr>
          <w:bCs w:val="0"/>
          <w:noProof w:val="0"/>
          <w:lang w:val="sk-SK"/>
        </w:rPr>
        <w:t xml:space="preserve">Používanie iných liekov a </w:t>
      </w:r>
      <w:r w:rsidR="00964F97">
        <w:rPr>
          <w:noProof w:val="0"/>
          <w:lang w:val="sk-SK"/>
        </w:rPr>
        <w:t>lieku Tigecycline Accord</w:t>
      </w:r>
    </w:p>
    <w:p w14:paraId="30FA9D14" w14:textId="77777777" w:rsidR="00427E3C" w:rsidRPr="00121123" w:rsidRDefault="00427E3C" w:rsidP="007A3A03">
      <w:pPr>
        <w:rPr>
          <w:noProof w:val="0"/>
        </w:rPr>
      </w:pPr>
    </w:p>
    <w:p w14:paraId="1968C988" w14:textId="77777777" w:rsidR="00870248" w:rsidRPr="00121123" w:rsidRDefault="00870248" w:rsidP="007A3A03">
      <w:pPr>
        <w:numPr>
          <w:ilvl w:val="12"/>
          <w:numId w:val="0"/>
        </w:numPr>
        <w:ind w:right="-2"/>
        <w:rPr>
          <w:noProof w:val="0"/>
        </w:rPr>
      </w:pPr>
      <w:r w:rsidRPr="00121123">
        <w:rPr>
          <w:noProof w:val="0"/>
        </w:rPr>
        <w:t xml:space="preserve">Informujte, prosím, </w:t>
      </w:r>
      <w:r w:rsidR="00E52A40" w:rsidRPr="00121123">
        <w:rPr>
          <w:noProof w:val="0"/>
        </w:rPr>
        <w:t xml:space="preserve">vášho </w:t>
      </w:r>
      <w:r w:rsidRPr="00121123">
        <w:rPr>
          <w:noProof w:val="0"/>
        </w:rPr>
        <w:t>lekára vždy, ak užívate alebo ste v poslednom čase užívali ešte iné lieky.</w:t>
      </w:r>
    </w:p>
    <w:p w14:paraId="640821E6" w14:textId="77777777" w:rsidR="00870248" w:rsidRPr="00121123" w:rsidRDefault="00870248" w:rsidP="007A3A03">
      <w:pPr>
        <w:rPr>
          <w:noProof w:val="0"/>
        </w:rPr>
      </w:pPr>
    </w:p>
    <w:p w14:paraId="270956F0" w14:textId="77777777" w:rsidR="00870248" w:rsidRPr="00121123" w:rsidRDefault="00964F97" w:rsidP="007A3A03">
      <w:pPr>
        <w:rPr>
          <w:noProof w:val="0"/>
        </w:rPr>
      </w:pPr>
      <w:r>
        <w:rPr>
          <w:noProof w:val="0"/>
        </w:rPr>
        <w:t>Tigecycline Accord</w:t>
      </w:r>
      <w:r w:rsidR="00870248" w:rsidRPr="00121123">
        <w:rPr>
          <w:noProof w:val="0"/>
        </w:rPr>
        <w:t xml:space="preserve"> môže predlžovať určité testy, ktoré hodnotia </w:t>
      </w:r>
      <w:r w:rsidR="006F74E5" w:rsidRPr="00121123">
        <w:rPr>
          <w:noProof w:val="0"/>
        </w:rPr>
        <w:t xml:space="preserve">zrážavosť </w:t>
      </w:r>
      <w:r w:rsidR="00E52A40" w:rsidRPr="00121123">
        <w:rPr>
          <w:noProof w:val="0"/>
        </w:rPr>
        <w:t xml:space="preserve">vašej </w:t>
      </w:r>
      <w:r w:rsidR="00870248" w:rsidRPr="00121123">
        <w:rPr>
          <w:noProof w:val="0"/>
        </w:rPr>
        <w:t xml:space="preserve">krvi. Je dôležité, aby ste </w:t>
      </w:r>
      <w:r w:rsidR="00E52A40" w:rsidRPr="00121123">
        <w:rPr>
          <w:noProof w:val="0"/>
        </w:rPr>
        <w:t xml:space="preserve">vášmu </w:t>
      </w:r>
      <w:r w:rsidR="00870248" w:rsidRPr="00121123">
        <w:rPr>
          <w:noProof w:val="0"/>
        </w:rPr>
        <w:t xml:space="preserve">lekárovi oznámili, </w:t>
      </w:r>
      <w:r w:rsidR="00457087" w:rsidRPr="00121123">
        <w:rPr>
          <w:noProof w:val="0"/>
        </w:rPr>
        <w:t>že</w:t>
      </w:r>
      <w:r w:rsidR="00870248" w:rsidRPr="00121123">
        <w:rPr>
          <w:noProof w:val="0"/>
        </w:rPr>
        <w:t xml:space="preserve"> užívate lieky zabraňujúce nadmernému zrážaniu krvi</w:t>
      </w:r>
      <w:r w:rsidR="00790747" w:rsidRPr="00121123">
        <w:rPr>
          <w:noProof w:val="0"/>
        </w:rPr>
        <w:t xml:space="preserve"> (nazývané antikoagulanciá)</w:t>
      </w:r>
      <w:r w:rsidR="00870248" w:rsidRPr="00121123">
        <w:rPr>
          <w:noProof w:val="0"/>
        </w:rPr>
        <w:t xml:space="preserve">. Ak je to tak, </w:t>
      </w:r>
      <w:r w:rsidR="00E52A40" w:rsidRPr="00121123">
        <w:rPr>
          <w:noProof w:val="0"/>
        </w:rPr>
        <w:t xml:space="preserve">váš </w:t>
      </w:r>
      <w:r w:rsidR="00870248" w:rsidRPr="00121123">
        <w:rPr>
          <w:noProof w:val="0"/>
        </w:rPr>
        <w:t xml:space="preserve">lekár </w:t>
      </w:r>
      <w:r w:rsidR="00E52A40" w:rsidRPr="00121123">
        <w:rPr>
          <w:noProof w:val="0"/>
        </w:rPr>
        <w:t xml:space="preserve">vás </w:t>
      </w:r>
      <w:r w:rsidR="00870248" w:rsidRPr="00121123">
        <w:rPr>
          <w:noProof w:val="0"/>
        </w:rPr>
        <w:t>bude starostlivo sledovať.</w:t>
      </w:r>
    </w:p>
    <w:p w14:paraId="2C58FB9F" w14:textId="77777777" w:rsidR="00870248" w:rsidRPr="00121123" w:rsidRDefault="00870248" w:rsidP="007A3A03">
      <w:pPr>
        <w:rPr>
          <w:noProof w:val="0"/>
        </w:rPr>
      </w:pPr>
    </w:p>
    <w:p w14:paraId="6CB9D2B5" w14:textId="77777777" w:rsidR="00870248" w:rsidRDefault="00964F97" w:rsidP="007A3A03">
      <w:pPr>
        <w:keepLines w:val="0"/>
        <w:numPr>
          <w:ilvl w:val="12"/>
          <w:numId w:val="0"/>
        </w:numPr>
        <w:tabs>
          <w:tab w:val="clear" w:pos="567"/>
        </w:tabs>
        <w:rPr>
          <w:noProof w:val="0"/>
        </w:rPr>
      </w:pPr>
      <w:r>
        <w:rPr>
          <w:noProof w:val="0"/>
        </w:rPr>
        <w:t>Tigecycline Accord</w:t>
      </w:r>
      <w:r w:rsidR="00870248" w:rsidRPr="00121123">
        <w:rPr>
          <w:noProof w:val="0"/>
        </w:rPr>
        <w:t xml:space="preserve"> môže </w:t>
      </w:r>
      <w:r w:rsidR="00581782" w:rsidRPr="00121123">
        <w:rPr>
          <w:noProof w:val="0"/>
        </w:rPr>
        <w:t xml:space="preserve">ovplyvňovať účinok </w:t>
      </w:r>
      <w:r w:rsidR="00870248" w:rsidRPr="00121123">
        <w:rPr>
          <w:noProof w:val="0"/>
        </w:rPr>
        <w:t>antikoncepčn</w:t>
      </w:r>
      <w:r w:rsidR="00581782" w:rsidRPr="00121123">
        <w:rPr>
          <w:noProof w:val="0"/>
        </w:rPr>
        <w:t>ých</w:t>
      </w:r>
      <w:r w:rsidR="00870248" w:rsidRPr="00121123">
        <w:rPr>
          <w:noProof w:val="0"/>
        </w:rPr>
        <w:t xml:space="preserve"> tabl</w:t>
      </w:r>
      <w:r w:rsidR="00581782" w:rsidRPr="00121123">
        <w:rPr>
          <w:noProof w:val="0"/>
        </w:rPr>
        <w:t>iet</w:t>
      </w:r>
      <w:r w:rsidR="00870248" w:rsidRPr="00121123">
        <w:rPr>
          <w:noProof w:val="0"/>
        </w:rPr>
        <w:t xml:space="preserve"> (tablety na zabránenie tehotenstva). Porozprávajte sa s </w:t>
      </w:r>
      <w:r w:rsidR="00916125" w:rsidRPr="00121123">
        <w:rPr>
          <w:noProof w:val="0"/>
        </w:rPr>
        <w:t xml:space="preserve">vaším </w:t>
      </w:r>
      <w:r w:rsidR="00870248" w:rsidRPr="00121123">
        <w:rPr>
          <w:noProof w:val="0"/>
        </w:rPr>
        <w:t xml:space="preserve">lekárom o potrebe dodatočnej metódy antikoncepcie počas používania </w:t>
      </w:r>
      <w:r>
        <w:rPr>
          <w:noProof w:val="0"/>
        </w:rPr>
        <w:t>lieku Tigecycline Accord</w:t>
      </w:r>
      <w:r w:rsidR="00870248" w:rsidRPr="00121123">
        <w:rPr>
          <w:noProof w:val="0"/>
        </w:rPr>
        <w:t>.</w:t>
      </w:r>
    </w:p>
    <w:p w14:paraId="2FD562B1" w14:textId="77777777" w:rsidR="008F5DE9" w:rsidRDefault="008F5DE9" w:rsidP="007A3A03">
      <w:pPr>
        <w:keepLines w:val="0"/>
        <w:numPr>
          <w:ilvl w:val="12"/>
          <w:numId w:val="0"/>
        </w:numPr>
        <w:tabs>
          <w:tab w:val="clear" w:pos="567"/>
        </w:tabs>
        <w:rPr>
          <w:color w:val="000000"/>
        </w:rPr>
      </w:pPr>
    </w:p>
    <w:p w14:paraId="2837DA5F" w14:textId="77777777" w:rsidR="008F5DE9" w:rsidRPr="00121123" w:rsidRDefault="008F5DE9" w:rsidP="007A3A03">
      <w:pPr>
        <w:keepLines w:val="0"/>
        <w:numPr>
          <w:ilvl w:val="12"/>
          <w:numId w:val="0"/>
        </w:numPr>
        <w:tabs>
          <w:tab w:val="clear" w:pos="567"/>
        </w:tabs>
        <w:rPr>
          <w:noProof w:val="0"/>
        </w:rPr>
      </w:pPr>
      <w:r>
        <w:rPr>
          <w:noProof w:val="0"/>
        </w:rPr>
        <w:t>Tigecycline Accord</w:t>
      </w:r>
      <w:r w:rsidRPr="00DF6976">
        <w:rPr>
          <w:color w:val="000000"/>
        </w:rPr>
        <w:t xml:space="preserve"> môže zvýšiť účinok liekov, ktoré sa používajú na potlačenie imunitného systému (ako napr. takrolimus alebo cyklosporín). </w:t>
      </w:r>
      <w:r w:rsidRPr="00DF6976">
        <w:rPr>
          <w:noProof w:val="0"/>
          <w:color w:val="000000"/>
        </w:rPr>
        <w:t>Je dôležité, aby ste vášmu lekárovi oznámili, že užívate tieto lieky, aby ste boli starostlivo sledovaný.</w:t>
      </w:r>
    </w:p>
    <w:p w14:paraId="01C13F97" w14:textId="77777777" w:rsidR="00870248" w:rsidRPr="00121123" w:rsidRDefault="00870248" w:rsidP="007A3A03">
      <w:pPr>
        <w:rPr>
          <w:noProof w:val="0"/>
        </w:rPr>
      </w:pPr>
    </w:p>
    <w:p w14:paraId="6DB1257F" w14:textId="77777777" w:rsidR="00870248" w:rsidRPr="00121123" w:rsidRDefault="00870248" w:rsidP="007A3A03">
      <w:pPr>
        <w:keepNext/>
        <w:rPr>
          <w:b/>
          <w:noProof w:val="0"/>
        </w:rPr>
      </w:pPr>
      <w:r w:rsidRPr="00121123">
        <w:rPr>
          <w:b/>
          <w:noProof w:val="0"/>
        </w:rPr>
        <w:t>Tehotenstvo a</w:t>
      </w:r>
      <w:r w:rsidR="00C556F0" w:rsidRPr="00121123">
        <w:rPr>
          <w:b/>
          <w:noProof w:val="0"/>
        </w:rPr>
        <w:t> </w:t>
      </w:r>
      <w:r w:rsidRPr="00121123">
        <w:rPr>
          <w:b/>
          <w:noProof w:val="0"/>
        </w:rPr>
        <w:t>dojčenie</w:t>
      </w:r>
    </w:p>
    <w:p w14:paraId="3FF86855" w14:textId="77777777" w:rsidR="00C556F0" w:rsidRPr="00121123" w:rsidRDefault="00C556F0" w:rsidP="007A3A03">
      <w:pPr>
        <w:keepNext/>
        <w:rPr>
          <w:b/>
          <w:bCs/>
          <w:i/>
          <w:iCs/>
          <w:noProof w:val="0"/>
        </w:rPr>
      </w:pPr>
    </w:p>
    <w:p w14:paraId="37C764B7" w14:textId="77777777" w:rsidR="00870248" w:rsidRPr="00121123" w:rsidRDefault="00964F97" w:rsidP="007A3A03">
      <w:pPr>
        <w:keepNext/>
        <w:keepLines w:val="0"/>
        <w:numPr>
          <w:ilvl w:val="12"/>
          <w:numId w:val="0"/>
        </w:numPr>
        <w:tabs>
          <w:tab w:val="clear" w:pos="567"/>
        </w:tabs>
        <w:rPr>
          <w:noProof w:val="0"/>
        </w:rPr>
      </w:pPr>
      <w:r>
        <w:rPr>
          <w:noProof w:val="0"/>
        </w:rPr>
        <w:t>Tigecycline Accord</w:t>
      </w:r>
      <w:r w:rsidR="00870248" w:rsidRPr="00121123">
        <w:rPr>
          <w:noProof w:val="0"/>
        </w:rPr>
        <w:t xml:space="preserve"> môže spôsobiť poškodenie plodu. </w:t>
      </w:r>
      <w:r w:rsidR="00DF3EFE" w:rsidRPr="00121123">
        <w:t xml:space="preserve">Ak ste tehotná alebo dojčíte, ak si myslíte, že ste tehotná alebo ak plánujete otehotnieť, poraďte sa so svojím lekárom predtým, ako začnete užívať </w:t>
      </w:r>
      <w:r w:rsidR="005515AE">
        <w:t>tento liek</w:t>
      </w:r>
      <w:r w:rsidR="00DF3EFE" w:rsidRPr="00121123">
        <w:t>.</w:t>
      </w:r>
      <w:r w:rsidR="00870248" w:rsidRPr="00121123">
        <w:rPr>
          <w:noProof w:val="0"/>
        </w:rPr>
        <w:t xml:space="preserve"> </w:t>
      </w:r>
    </w:p>
    <w:p w14:paraId="776F802B" w14:textId="77777777" w:rsidR="00870248" w:rsidRPr="00121123" w:rsidRDefault="00870248" w:rsidP="007A3A03">
      <w:pPr>
        <w:rPr>
          <w:noProof w:val="0"/>
        </w:rPr>
      </w:pPr>
    </w:p>
    <w:p w14:paraId="0B94DA99" w14:textId="77777777" w:rsidR="00870248" w:rsidRPr="00121123" w:rsidRDefault="00870248" w:rsidP="007A3A03">
      <w:pPr>
        <w:keepLines w:val="0"/>
        <w:numPr>
          <w:ilvl w:val="12"/>
          <w:numId w:val="0"/>
        </w:numPr>
        <w:tabs>
          <w:tab w:val="clear" w:pos="567"/>
        </w:tabs>
        <w:rPr>
          <w:noProof w:val="0"/>
        </w:rPr>
      </w:pPr>
      <w:r w:rsidRPr="00121123">
        <w:rPr>
          <w:noProof w:val="0"/>
        </w:rPr>
        <w:t xml:space="preserve">Nie je známe, či </w:t>
      </w:r>
      <w:r w:rsidR="00BD5AD2" w:rsidRPr="00121123">
        <w:rPr>
          <w:noProof w:val="0"/>
        </w:rPr>
        <w:t xml:space="preserve">sa u ľudí </w:t>
      </w:r>
      <w:r w:rsidR="00023DA5">
        <w:rPr>
          <w:noProof w:val="0"/>
        </w:rPr>
        <w:t>t</w:t>
      </w:r>
      <w:r w:rsidR="00964F97">
        <w:rPr>
          <w:noProof w:val="0"/>
        </w:rPr>
        <w:t>igecy</w:t>
      </w:r>
      <w:r w:rsidR="00023DA5">
        <w:rPr>
          <w:noProof w:val="0"/>
        </w:rPr>
        <w:t>k</w:t>
      </w:r>
      <w:r w:rsidR="00964F97">
        <w:rPr>
          <w:noProof w:val="0"/>
        </w:rPr>
        <w:t>l</w:t>
      </w:r>
      <w:r w:rsidR="00023DA5">
        <w:rPr>
          <w:noProof w:val="0"/>
        </w:rPr>
        <w:t>ín</w:t>
      </w:r>
      <w:r w:rsidRPr="00121123">
        <w:rPr>
          <w:noProof w:val="0"/>
        </w:rPr>
        <w:t xml:space="preserve"> </w:t>
      </w:r>
      <w:r w:rsidR="00BD5AD2" w:rsidRPr="00121123">
        <w:rPr>
          <w:noProof w:val="0"/>
        </w:rPr>
        <w:t xml:space="preserve">vylučuje </w:t>
      </w:r>
      <w:r w:rsidRPr="00121123">
        <w:rPr>
          <w:noProof w:val="0"/>
        </w:rPr>
        <w:t>do materského mlieka. Pred dojčením sa poraďte so svojím lekárom.</w:t>
      </w:r>
    </w:p>
    <w:p w14:paraId="6892E57D" w14:textId="77777777" w:rsidR="00870248" w:rsidRPr="00121123" w:rsidRDefault="00870248" w:rsidP="007A3A03">
      <w:pPr>
        <w:keepLines w:val="0"/>
        <w:tabs>
          <w:tab w:val="clear" w:pos="567"/>
        </w:tabs>
        <w:ind w:right="-29"/>
        <w:rPr>
          <w:noProof w:val="0"/>
        </w:rPr>
      </w:pPr>
    </w:p>
    <w:p w14:paraId="667AD84E" w14:textId="77777777" w:rsidR="00870248" w:rsidRPr="00121123" w:rsidRDefault="00870248" w:rsidP="007A3A03">
      <w:pPr>
        <w:keepNext/>
        <w:rPr>
          <w:b/>
          <w:noProof w:val="0"/>
        </w:rPr>
      </w:pPr>
      <w:r w:rsidRPr="00121123">
        <w:rPr>
          <w:b/>
          <w:noProof w:val="0"/>
        </w:rPr>
        <w:lastRenderedPageBreak/>
        <w:t xml:space="preserve">Vedenie </w:t>
      </w:r>
      <w:r w:rsidR="00A907BA" w:rsidRPr="00121123">
        <w:rPr>
          <w:b/>
          <w:noProof w:val="0"/>
        </w:rPr>
        <w:t xml:space="preserve">vozidiel </w:t>
      </w:r>
      <w:r w:rsidRPr="00121123">
        <w:rPr>
          <w:b/>
          <w:noProof w:val="0"/>
        </w:rPr>
        <w:t>a obsluha strojov</w:t>
      </w:r>
    </w:p>
    <w:p w14:paraId="11C917C2" w14:textId="77777777" w:rsidR="00427E3C" w:rsidRPr="00121123" w:rsidRDefault="00427E3C" w:rsidP="007A3A03">
      <w:pPr>
        <w:keepNext/>
        <w:rPr>
          <w:b/>
          <w:noProof w:val="0"/>
        </w:rPr>
      </w:pPr>
    </w:p>
    <w:p w14:paraId="6AA124C5" w14:textId="77777777" w:rsidR="00870248" w:rsidRDefault="00964F97" w:rsidP="007A3A03">
      <w:pPr>
        <w:keepNext/>
        <w:keepLines w:val="0"/>
        <w:tabs>
          <w:tab w:val="clear" w:pos="567"/>
        </w:tabs>
        <w:ind w:right="-29"/>
        <w:rPr>
          <w:noProof w:val="0"/>
        </w:rPr>
      </w:pPr>
      <w:r>
        <w:rPr>
          <w:noProof w:val="0"/>
        </w:rPr>
        <w:t>Tigecycline Accord</w:t>
      </w:r>
      <w:r w:rsidR="00870248" w:rsidRPr="00121123">
        <w:rPr>
          <w:noProof w:val="0"/>
        </w:rPr>
        <w:t xml:space="preserve"> môže spôsobovať vedľajšie účinky ako sú závraty. To môže ovplyvniť </w:t>
      </w:r>
      <w:r w:rsidR="00A907BA" w:rsidRPr="00121123">
        <w:rPr>
          <w:noProof w:val="0"/>
        </w:rPr>
        <w:t xml:space="preserve">vašu </w:t>
      </w:r>
      <w:r w:rsidR="00870248" w:rsidRPr="00121123">
        <w:rPr>
          <w:noProof w:val="0"/>
        </w:rPr>
        <w:t xml:space="preserve">schopnosť viesť </w:t>
      </w:r>
      <w:r w:rsidR="00A907BA" w:rsidRPr="00121123">
        <w:rPr>
          <w:noProof w:val="0"/>
        </w:rPr>
        <w:t xml:space="preserve">vozidlá </w:t>
      </w:r>
      <w:r w:rsidR="00870248" w:rsidRPr="00121123">
        <w:rPr>
          <w:noProof w:val="0"/>
        </w:rPr>
        <w:t>alebo obsluhovať stroje.</w:t>
      </w:r>
    </w:p>
    <w:p w14:paraId="430C9BB8" w14:textId="77777777" w:rsidR="00DA1E80" w:rsidRDefault="00DA1E80" w:rsidP="007A3A03">
      <w:pPr>
        <w:keepNext/>
        <w:keepLines w:val="0"/>
        <w:tabs>
          <w:tab w:val="clear" w:pos="567"/>
        </w:tabs>
        <w:ind w:right="-29"/>
        <w:rPr>
          <w:noProof w:val="0"/>
        </w:rPr>
      </w:pPr>
    </w:p>
    <w:p w14:paraId="55BEA8E0" w14:textId="77777777" w:rsidR="00A76A1B" w:rsidRPr="00DF6976" w:rsidRDefault="00A76A1B" w:rsidP="00A76A1B">
      <w:pPr>
        <w:pStyle w:val="Default"/>
        <w:widowControl w:val="0"/>
        <w:rPr>
          <w:sz w:val="22"/>
          <w:szCs w:val="22"/>
          <w:lang w:val="sk-SK"/>
        </w:rPr>
      </w:pPr>
      <w:r w:rsidRPr="009A4555">
        <w:rPr>
          <w:b/>
          <w:bCs/>
          <w:sz w:val="22"/>
          <w:szCs w:val="22"/>
          <w:lang w:val="sk-SK"/>
        </w:rPr>
        <w:t>Tigecycline Accord</w:t>
      </w:r>
      <w:r w:rsidRPr="00DF6976">
        <w:rPr>
          <w:b/>
          <w:bCs/>
          <w:sz w:val="22"/>
          <w:szCs w:val="22"/>
          <w:lang w:val="sk-SK"/>
        </w:rPr>
        <w:t xml:space="preserve"> obsahuje sodík</w:t>
      </w:r>
    </w:p>
    <w:p w14:paraId="0E617AB6" w14:textId="77777777" w:rsidR="00DA1E80" w:rsidRPr="00121123" w:rsidRDefault="00DA1E80" w:rsidP="007A3A03">
      <w:pPr>
        <w:keepNext/>
        <w:keepLines w:val="0"/>
        <w:tabs>
          <w:tab w:val="clear" w:pos="567"/>
        </w:tabs>
        <w:ind w:right="-29"/>
        <w:rPr>
          <w:noProof w:val="0"/>
        </w:rPr>
      </w:pPr>
      <w:r>
        <w:t xml:space="preserve">Tento liek obsahuje menej ako 1 mmol sodíka (23 mg) </w:t>
      </w:r>
      <w:r w:rsidRPr="00DA1E80">
        <w:t>v jednej injekčnej liekovke</w:t>
      </w:r>
      <w:r>
        <w:t>, t.j. v podstate zanedbateľné množstvo sodíka.</w:t>
      </w:r>
    </w:p>
    <w:p w14:paraId="4CAD49B8" w14:textId="77777777" w:rsidR="00870248" w:rsidRPr="00121123" w:rsidRDefault="00870248" w:rsidP="007A3A03">
      <w:pPr>
        <w:keepLines w:val="0"/>
        <w:tabs>
          <w:tab w:val="clear" w:pos="567"/>
        </w:tabs>
        <w:ind w:right="-29"/>
        <w:rPr>
          <w:noProof w:val="0"/>
        </w:rPr>
      </w:pPr>
    </w:p>
    <w:p w14:paraId="2EF1FB20" w14:textId="77777777" w:rsidR="00870248" w:rsidRPr="00121123" w:rsidRDefault="00870248" w:rsidP="00B6612A">
      <w:pPr>
        <w:keepNext/>
        <w:keepLines w:val="0"/>
        <w:tabs>
          <w:tab w:val="clear" w:pos="567"/>
        </w:tabs>
        <w:ind w:right="-29"/>
        <w:rPr>
          <w:noProof w:val="0"/>
        </w:rPr>
      </w:pPr>
    </w:p>
    <w:p w14:paraId="143BC7F4" w14:textId="77777777" w:rsidR="00870248" w:rsidRPr="00121123" w:rsidRDefault="00870248" w:rsidP="00B6612A">
      <w:pPr>
        <w:keepNext/>
        <w:keepLines w:val="0"/>
        <w:rPr>
          <w:b/>
          <w:noProof w:val="0"/>
        </w:rPr>
      </w:pPr>
      <w:r w:rsidRPr="00121123">
        <w:rPr>
          <w:b/>
          <w:noProof w:val="0"/>
        </w:rPr>
        <w:t>3.</w:t>
      </w:r>
      <w:r w:rsidRPr="00121123">
        <w:rPr>
          <w:b/>
          <w:noProof w:val="0"/>
        </w:rPr>
        <w:tab/>
      </w:r>
      <w:r w:rsidR="00B14738" w:rsidRPr="00121123">
        <w:rPr>
          <w:b/>
          <w:noProof w:val="0"/>
        </w:rPr>
        <w:t xml:space="preserve">Ako používať </w:t>
      </w:r>
      <w:r w:rsidR="00964F97">
        <w:rPr>
          <w:b/>
          <w:noProof w:val="0"/>
        </w:rPr>
        <w:t>Tigecycline Accord</w:t>
      </w:r>
    </w:p>
    <w:p w14:paraId="5472A080" w14:textId="77777777" w:rsidR="00870248" w:rsidRPr="00121123" w:rsidRDefault="00870248" w:rsidP="00B6612A">
      <w:pPr>
        <w:keepNext/>
        <w:keepLines w:val="0"/>
        <w:tabs>
          <w:tab w:val="clear" w:pos="567"/>
        </w:tabs>
        <w:ind w:right="-29"/>
        <w:rPr>
          <w:noProof w:val="0"/>
        </w:rPr>
      </w:pPr>
    </w:p>
    <w:p w14:paraId="4C842591" w14:textId="77777777" w:rsidR="00870248" w:rsidRPr="00121123" w:rsidRDefault="00964F97" w:rsidP="00B6612A">
      <w:pPr>
        <w:keepNext/>
        <w:keepLines w:val="0"/>
        <w:rPr>
          <w:noProof w:val="0"/>
        </w:rPr>
      </w:pPr>
      <w:r>
        <w:rPr>
          <w:noProof w:val="0"/>
        </w:rPr>
        <w:t>Tigecycline Accord</w:t>
      </w:r>
      <w:r w:rsidR="00870248" w:rsidRPr="00121123">
        <w:rPr>
          <w:noProof w:val="0"/>
        </w:rPr>
        <w:t xml:space="preserve"> </w:t>
      </w:r>
      <w:r w:rsidR="00A907BA" w:rsidRPr="00121123">
        <w:rPr>
          <w:noProof w:val="0"/>
        </w:rPr>
        <w:t xml:space="preserve">vám </w:t>
      </w:r>
      <w:r w:rsidR="00870248" w:rsidRPr="00121123">
        <w:rPr>
          <w:noProof w:val="0"/>
        </w:rPr>
        <w:t xml:space="preserve">podá lekár alebo zdravotná sestra. </w:t>
      </w:r>
    </w:p>
    <w:p w14:paraId="04A20811" w14:textId="77777777" w:rsidR="00870248" w:rsidRPr="00121123" w:rsidRDefault="00870248" w:rsidP="00B6612A">
      <w:pPr>
        <w:keepNext/>
        <w:keepLines w:val="0"/>
        <w:tabs>
          <w:tab w:val="clear" w:pos="567"/>
        </w:tabs>
        <w:ind w:right="-29"/>
        <w:rPr>
          <w:noProof w:val="0"/>
        </w:rPr>
      </w:pPr>
    </w:p>
    <w:p w14:paraId="571C263A" w14:textId="77777777" w:rsidR="00870248" w:rsidRPr="00121123" w:rsidRDefault="00870248" w:rsidP="00121123">
      <w:pPr>
        <w:keepLines w:val="0"/>
        <w:tabs>
          <w:tab w:val="clear" w:pos="567"/>
        </w:tabs>
        <w:ind w:right="-29"/>
        <w:rPr>
          <w:noProof w:val="0"/>
        </w:rPr>
      </w:pPr>
      <w:r w:rsidRPr="00121123">
        <w:rPr>
          <w:noProof w:val="0"/>
        </w:rPr>
        <w:t xml:space="preserve">Odporúčaná začiatočná dávka </w:t>
      </w:r>
      <w:r w:rsidR="00731897" w:rsidRPr="00121123">
        <w:rPr>
          <w:noProof w:val="0"/>
        </w:rPr>
        <w:t xml:space="preserve">u dospelých </w:t>
      </w:r>
      <w:r w:rsidR="00E30D03" w:rsidRPr="00121123">
        <w:rPr>
          <w:noProof w:val="0"/>
        </w:rPr>
        <w:t xml:space="preserve">je </w:t>
      </w:r>
      <w:r w:rsidRPr="00121123">
        <w:rPr>
          <w:noProof w:val="0"/>
        </w:rPr>
        <w:t xml:space="preserve">100 mg, po ktorej nasleduje dávka 50 mg každých 12 hodín. Táto dávka sa podáva intravenózne (priamo do </w:t>
      </w:r>
      <w:r w:rsidR="00A907BA" w:rsidRPr="00121123">
        <w:rPr>
          <w:noProof w:val="0"/>
        </w:rPr>
        <w:t xml:space="preserve">vášho </w:t>
      </w:r>
      <w:r w:rsidRPr="00121123">
        <w:rPr>
          <w:noProof w:val="0"/>
        </w:rPr>
        <w:t>krvného obehu) počas 30 až 60 minút.</w:t>
      </w:r>
    </w:p>
    <w:p w14:paraId="6DF365CB" w14:textId="77777777" w:rsidR="00731897" w:rsidRPr="00121123" w:rsidRDefault="00731897" w:rsidP="007A3A03">
      <w:pPr>
        <w:keepNext/>
        <w:keepLines w:val="0"/>
        <w:tabs>
          <w:tab w:val="clear" w:pos="567"/>
        </w:tabs>
        <w:ind w:right="-29"/>
        <w:rPr>
          <w:noProof w:val="0"/>
        </w:rPr>
      </w:pPr>
    </w:p>
    <w:p w14:paraId="2D951E13" w14:textId="77777777" w:rsidR="00731897" w:rsidRPr="00121123" w:rsidRDefault="00731897" w:rsidP="007A3A03">
      <w:pPr>
        <w:keepNext/>
        <w:keepLines w:val="0"/>
        <w:tabs>
          <w:tab w:val="clear" w:pos="567"/>
        </w:tabs>
        <w:ind w:right="-29"/>
        <w:rPr>
          <w:noProof w:val="0"/>
        </w:rPr>
      </w:pPr>
      <w:r w:rsidRPr="00121123">
        <w:rPr>
          <w:noProof w:val="0"/>
        </w:rPr>
        <w:t>Odporúčaná dávka u detí vo veku 8 až &lt;12</w:t>
      </w:r>
      <w:r w:rsidR="0061291D" w:rsidRPr="00121123">
        <w:rPr>
          <w:noProof w:val="0"/>
        </w:rPr>
        <w:t> rokov je 1,2 </w:t>
      </w:r>
      <w:r w:rsidRPr="00121123">
        <w:rPr>
          <w:noProof w:val="0"/>
        </w:rPr>
        <w:t>mg/kg podávaných</w:t>
      </w:r>
      <w:r w:rsidR="0061291D" w:rsidRPr="00121123">
        <w:rPr>
          <w:noProof w:val="0"/>
        </w:rPr>
        <w:t xml:space="preserve"> každých 12 </w:t>
      </w:r>
      <w:r w:rsidRPr="00121123">
        <w:rPr>
          <w:noProof w:val="0"/>
        </w:rPr>
        <w:t>hodín intr</w:t>
      </w:r>
      <w:r w:rsidR="0061291D" w:rsidRPr="00121123">
        <w:rPr>
          <w:noProof w:val="0"/>
        </w:rPr>
        <w:t>avenózne do maximálnej dávky 50 </w:t>
      </w:r>
      <w:r w:rsidRPr="00121123">
        <w:rPr>
          <w:noProof w:val="0"/>
        </w:rPr>
        <w:t xml:space="preserve">mg </w:t>
      </w:r>
      <w:r w:rsidR="0061291D" w:rsidRPr="00121123">
        <w:rPr>
          <w:noProof w:val="0"/>
        </w:rPr>
        <w:t>každých 12 </w:t>
      </w:r>
      <w:r w:rsidRPr="00121123">
        <w:rPr>
          <w:noProof w:val="0"/>
        </w:rPr>
        <w:t>hodín.</w:t>
      </w:r>
    </w:p>
    <w:p w14:paraId="4CAF8629" w14:textId="77777777" w:rsidR="00731897" w:rsidRPr="00121123" w:rsidRDefault="00731897" w:rsidP="007A3A03">
      <w:pPr>
        <w:keepNext/>
        <w:keepLines w:val="0"/>
        <w:tabs>
          <w:tab w:val="clear" w:pos="567"/>
        </w:tabs>
        <w:ind w:right="-29"/>
        <w:rPr>
          <w:noProof w:val="0"/>
        </w:rPr>
      </w:pPr>
    </w:p>
    <w:p w14:paraId="04BAA2C6" w14:textId="77777777" w:rsidR="00731897" w:rsidRPr="00121123" w:rsidRDefault="00731897" w:rsidP="007A3A03">
      <w:pPr>
        <w:keepNext/>
        <w:keepLines w:val="0"/>
        <w:tabs>
          <w:tab w:val="clear" w:pos="567"/>
        </w:tabs>
        <w:ind w:right="-29"/>
        <w:rPr>
          <w:noProof w:val="0"/>
        </w:rPr>
      </w:pPr>
      <w:r w:rsidRPr="00121123">
        <w:rPr>
          <w:noProof w:val="0"/>
        </w:rPr>
        <w:t>Odporúčaná dávka u dospievajúcich vo veku 12 až &lt;18</w:t>
      </w:r>
      <w:r w:rsidR="0061291D" w:rsidRPr="00121123">
        <w:rPr>
          <w:noProof w:val="0"/>
        </w:rPr>
        <w:t> </w:t>
      </w:r>
      <w:r w:rsidRPr="00121123">
        <w:rPr>
          <w:noProof w:val="0"/>
        </w:rPr>
        <w:t>rokov je 50</w:t>
      </w:r>
      <w:r w:rsidR="0061291D" w:rsidRPr="00121123">
        <w:rPr>
          <w:noProof w:val="0"/>
        </w:rPr>
        <w:t> </w:t>
      </w:r>
      <w:r w:rsidRPr="00121123">
        <w:rPr>
          <w:noProof w:val="0"/>
        </w:rPr>
        <w:t>mg podávaných každých 12 hodín.</w:t>
      </w:r>
    </w:p>
    <w:p w14:paraId="07032B2C" w14:textId="77777777" w:rsidR="00870248" w:rsidRPr="00121123" w:rsidRDefault="00870248" w:rsidP="007A3A03">
      <w:pPr>
        <w:keepNext/>
        <w:keepLines w:val="0"/>
        <w:tabs>
          <w:tab w:val="clear" w:pos="567"/>
        </w:tabs>
        <w:ind w:right="-29"/>
        <w:rPr>
          <w:noProof w:val="0"/>
        </w:rPr>
      </w:pPr>
    </w:p>
    <w:p w14:paraId="1F9BF507" w14:textId="77777777" w:rsidR="00870248" w:rsidRPr="00121123" w:rsidRDefault="00870248" w:rsidP="007A3A03">
      <w:pPr>
        <w:rPr>
          <w:noProof w:val="0"/>
        </w:rPr>
      </w:pPr>
      <w:r w:rsidRPr="00121123">
        <w:rPr>
          <w:noProof w:val="0"/>
        </w:rPr>
        <w:t>Liečba trvá zvyčajne 5</w:t>
      </w:r>
      <w:r w:rsidR="00731D4D" w:rsidRPr="00121123">
        <w:rPr>
          <w:noProof w:val="0"/>
        </w:rPr>
        <w:t> </w:t>
      </w:r>
      <w:r w:rsidR="00ED1757" w:rsidRPr="00121123">
        <w:rPr>
          <w:noProof w:val="0"/>
        </w:rPr>
        <w:t>–</w:t>
      </w:r>
      <w:r w:rsidR="00731D4D" w:rsidRPr="00121123">
        <w:rPr>
          <w:noProof w:val="0"/>
        </w:rPr>
        <w:t> 1</w:t>
      </w:r>
      <w:r w:rsidRPr="00121123">
        <w:rPr>
          <w:noProof w:val="0"/>
        </w:rPr>
        <w:t xml:space="preserve">4 dní. Váš lekár rozhodne o dĺžke </w:t>
      </w:r>
      <w:r w:rsidR="005A6E5A" w:rsidRPr="00121123">
        <w:rPr>
          <w:noProof w:val="0"/>
        </w:rPr>
        <w:t xml:space="preserve">vašej </w:t>
      </w:r>
      <w:r w:rsidRPr="00121123">
        <w:rPr>
          <w:noProof w:val="0"/>
        </w:rPr>
        <w:t>liečby.</w:t>
      </w:r>
    </w:p>
    <w:p w14:paraId="3D13D04E" w14:textId="77777777" w:rsidR="00870248" w:rsidRPr="00121123" w:rsidRDefault="00870248" w:rsidP="007A3A03">
      <w:pPr>
        <w:keepLines w:val="0"/>
        <w:tabs>
          <w:tab w:val="clear" w:pos="567"/>
        </w:tabs>
        <w:ind w:right="-29"/>
        <w:rPr>
          <w:noProof w:val="0"/>
        </w:rPr>
      </w:pPr>
    </w:p>
    <w:p w14:paraId="3C2B141B" w14:textId="77777777" w:rsidR="00870248" w:rsidRPr="00121123" w:rsidRDefault="00870248" w:rsidP="007A3A03">
      <w:pPr>
        <w:rPr>
          <w:b/>
          <w:noProof w:val="0"/>
        </w:rPr>
      </w:pPr>
      <w:r w:rsidRPr="00121123">
        <w:rPr>
          <w:b/>
          <w:noProof w:val="0"/>
        </w:rPr>
        <w:t xml:space="preserve">Ak </w:t>
      </w:r>
      <w:r w:rsidR="00CC2000">
        <w:rPr>
          <w:b/>
          <w:noProof w:val="0"/>
        </w:rPr>
        <w:t>dostanete</w:t>
      </w:r>
      <w:r w:rsidR="000A0D69" w:rsidRPr="00121123">
        <w:rPr>
          <w:b/>
          <w:noProof w:val="0"/>
        </w:rPr>
        <w:t xml:space="preserve"> </w:t>
      </w:r>
      <w:r w:rsidRPr="00121123">
        <w:rPr>
          <w:b/>
          <w:noProof w:val="0"/>
        </w:rPr>
        <w:t xml:space="preserve">viac </w:t>
      </w:r>
      <w:r w:rsidR="00964F97">
        <w:rPr>
          <w:b/>
          <w:noProof w:val="0"/>
        </w:rPr>
        <w:t>lieku Tigecycline Accord</w:t>
      </w:r>
      <w:r w:rsidR="00BD5AD2" w:rsidRPr="00121123">
        <w:rPr>
          <w:b/>
          <w:noProof w:val="0"/>
        </w:rPr>
        <w:t>,</w:t>
      </w:r>
      <w:r w:rsidRPr="00121123">
        <w:rPr>
          <w:b/>
          <w:noProof w:val="0"/>
        </w:rPr>
        <w:t xml:space="preserve"> ako </w:t>
      </w:r>
      <w:r w:rsidR="000A0D69" w:rsidRPr="00121123">
        <w:rPr>
          <w:b/>
          <w:noProof w:val="0"/>
        </w:rPr>
        <w:t>máte</w:t>
      </w:r>
    </w:p>
    <w:p w14:paraId="5BAF2C7E" w14:textId="77777777" w:rsidR="00427E3C" w:rsidRPr="00121123" w:rsidRDefault="00427E3C" w:rsidP="007A3A03">
      <w:pPr>
        <w:rPr>
          <w:b/>
          <w:noProof w:val="0"/>
        </w:rPr>
      </w:pPr>
    </w:p>
    <w:p w14:paraId="6A4AD20F" w14:textId="77777777" w:rsidR="00870248" w:rsidRPr="00121123" w:rsidRDefault="00870248" w:rsidP="007A3A03">
      <w:pPr>
        <w:keepLines w:val="0"/>
        <w:tabs>
          <w:tab w:val="clear" w:pos="567"/>
        </w:tabs>
        <w:ind w:right="-29"/>
        <w:rPr>
          <w:noProof w:val="0"/>
        </w:rPr>
      </w:pPr>
      <w:r w:rsidRPr="00121123">
        <w:rPr>
          <w:noProof w:val="0"/>
        </w:rPr>
        <w:t xml:space="preserve">Ak si myslíte, že </w:t>
      </w:r>
      <w:r w:rsidR="005A6E5A" w:rsidRPr="00121123">
        <w:rPr>
          <w:noProof w:val="0"/>
        </w:rPr>
        <w:t xml:space="preserve">vám </w:t>
      </w:r>
      <w:r w:rsidR="00BD5AD2" w:rsidRPr="00121123">
        <w:rPr>
          <w:noProof w:val="0"/>
        </w:rPr>
        <w:t>podal</w:t>
      </w:r>
      <w:r w:rsidR="00731D4D" w:rsidRPr="00121123">
        <w:rPr>
          <w:noProof w:val="0"/>
        </w:rPr>
        <w:t>i</w:t>
      </w:r>
      <w:r w:rsidR="00BD5AD2" w:rsidRPr="00121123">
        <w:rPr>
          <w:noProof w:val="0"/>
        </w:rPr>
        <w:t xml:space="preserve"> </w:t>
      </w:r>
      <w:r w:rsidRPr="00121123">
        <w:rPr>
          <w:noProof w:val="0"/>
        </w:rPr>
        <w:t xml:space="preserve">príliš veľa </w:t>
      </w:r>
      <w:r w:rsidR="00964F97">
        <w:rPr>
          <w:noProof w:val="0"/>
        </w:rPr>
        <w:t>lieku Tigecycline Accord</w:t>
      </w:r>
      <w:r w:rsidRPr="00121123">
        <w:rPr>
          <w:noProof w:val="0"/>
        </w:rPr>
        <w:t xml:space="preserve">, ihneď to oznámte </w:t>
      </w:r>
      <w:r w:rsidR="005A6E5A" w:rsidRPr="00121123">
        <w:rPr>
          <w:noProof w:val="0"/>
        </w:rPr>
        <w:t xml:space="preserve">vášmu </w:t>
      </w:r>
      <w:r w:rsidRPr="00121123">
        <w:rPr>
          <w:noProof w:val="0"/>
        </w:rPr>
        <w:t>lekárovi alebo zdravotnej sestre.</w:t>
      </w:r>
    </w:p>
    <w:p w14:paraId="5369860E" w14:textId="77777777" w:rsidR="00870248" w:rsidRPr="00121123" w:rsidRDefault="00870248" w:rsidP="007A3A03">
      <w:pPr>
        <w:keepLines w:val="0"/>
        <w:rPr>
          <w:noProof w:val="0"/>
        </w:rPr>
      </w:pPr>
    </w:p>
    <w:p w14:paraId="1248A38D" w14:textId="77777777" w:rsidR="00870248" w:rsidRPr="00121123" w:rsidRDefault="00870248" w:rsidP="007A3A03">
      <w:pPr>
        <w:rPr>
          <w:b/>
          <w:noProof w:val="0"/>
        </w:rPr>
      </w:pPr>
      <w:r w:rsidRPr="00121123">
        <w:rPr>
          <w:b/>
          <w:noProof w:val="0"/>
        </w:rPr>
        <w:t xml:space="preserve">Ak </w:t>
      </w:r>
      <w:r w:rsidR="000A0D69" w:rsidRPr="00121123">
        <w:rPr>
          <w:b/>
          <w:noProof w:val="0"/>
        </w:rPr>
        <w:t xml:space="preserve">zabudnete použiť </w:t>
      </w:r>
      <w:r w:rsidR="00964F97">
        <w:rPr>
          <w:b/>
          <w:noProof w:val="0"/>
        </w:rPr>
        <w:t>Tigecycline Accord</w:t>
      </w:r>
    </w:p>
    <w:p w14:paraId="07B7113F" w14:textId="77777777" w:rsidR="00427E3C" w:rsidRPr="00121123" w:rsidRDefault="00427E3C" w:rsidP="007A3A03">
      <w:pPr>
        <w:rPr>
          <w:b/>
          <w:noProof w:val="0"/>
        </w:rPr>
      </w:pPr>
    </w:p>
    <w:p w14:paraId="151D5A22" w14:textId="77777777" w:rsidR="00870248" w:rsidRPr="00121123" w:rsidRDefault="00870248" w:rsidP="007A3A03">
      <w:pPr>
        <w:keepLines w:val="0"/>
        <w:tabs>
          <w:tab w:val="clear" w:pos="567"/>
        </w:tabs>
        <w:ind w:right="-29"/>
        <w:rPr>
          <w:noProof w:val="0"/>
        </w:rPr>
      </w:pPr>
      <w:r w:rsidRPr="00121123">
        <w:rPr>
          <w:noProof w:val="0"/>
        </w:rPr>
        <w:t xml:space="preserve">Ak si myslíte, že ste vynechali dávku, ihneď to oznámte </w:t>
      </w:r>
      <w:r w:rsidR="005A6E5A" w:rsidRPr="00121123">
        <w:rPr>
          <w:noProof w:val="0"/>
        </w:rPr>
        <w:t xml:space="preserve">vášmu </w:t>
      </w:r>
      <w:r w:rsidRPr="00121123">
        <w:rPr>
          <w:noProof w:val="0"/>
        </w:rPr>
        <w:t>lekárovi alebo zdravotnej sestre.</w:t>
      </w:r>
    </w:p>
    <w:p w14:paraId="22177F54" w14:textId="77777777" w:rsidR="000A0D69" w:rsidRPr="00121123" w:rsidRDefault="000A0D69" w:rsidP="007A3A03">
      <w:pPr>
        <w:keepLines w:val="0"/>
        <w:tabs>
          <w:tab w:val="clear" w:pos="567"/>
        </w:tabs>
        <w:ind w:right="-29"/>
        <w:rPr>
          <w:noProof w:val="0"/>
        </w:rPr>
      </w:pPr>
    </w:p>
    <w:p w14:paraId="7A7C7D19" w14:textId="77777777" w:rsidR="00870248" w:rsidRPr="00121123" w:rsidRDefault="00870248" w:rsidP="007A3A03">
      <w:pPr>
        <w:rPr>
          <w:noProof w:val="0"/>
        </w:rPr>
      </w:pPr>
      <w:bookmarkStart w:id="13" w:name="_4__SIDE_EFFECTS"/>
      <w:bookmarkEnd w:id="13"/>
    </w:p>
    <w:p w14:paraId="14D82225" w14:textId="77777777" w:rsidR="00870248" w:rsidRPr="00121123" w:rsidRDefault="00870248" w:rsidP="007A3A03">
      <w:pPr>
        <w:rPr>
          <w:b/>
          <w:noProof w:val="0"/>
        </w:rPr>
      </w:pPr>
      <w:r w:rsidRPr="00121123">
        <w:rPr>
          <w:b/>
          <w:noProof w:val="0"/>
        </w:rPr>
        <w:t>4.</w:t>
      </w:r>
      <w:r w:rsidRPr="00121123">
        <w:rPr>
          <w:b/>
          <w:noProof w:val="0"/>
        </w:rPr>
        <w:tab/>
      </w:r>
      <w:r w:rsidR="00B14738" w:rsidRPr="00121123">
        <w:rPr>
          <w:b/>
          <w:noProof w:val="0"/>
        </w:rPr>
        <w:t>Možné vedľajšie účinky</w:t>
      </w:r>
    </w:p>
    <w:p w14:paraId="42A294DF" w14:textId="77777777" w:rsidR="00870248" w:rsidRPr="00121123" w:rsidRDefault="00870248" w:rsidP="007A3A03">
      <w:pPr>
        <w:keepNext/>
        <w:keepLines w:val="0"/>
        <w:tabs>
          <w:tab w:val="clear" w:pos="567"/>
        </w:tabs>
        <w:ind w:right="-29"/>
        <w:rPr>
          <w:noProof w:val="0"/>
        </w:rPr>
      </w:pPr>
    </w:p>
    <w:p w14:paraId="72360806" w14:textId="77777777" w:rsidR="00870248" w:rsidRPr="00121123" w:rsidRDefault="00870248" w:rsidP="007A3A03">
      <w:pPr>
        <w:keepLines w:val="0"/>
        <w:tabs>
          <w:tab w:val="clear" w:pos="567"/>
        </w:tabs>
        <w:ind w:right="-29"/>
        <w:rPr>
          <w:noProof w:val="0"/>
        </w:rPr>
      </w:pPr>
      <w:r w:rsidRPr="00121123">
        <w:rPr>
          <w:noProof w:val="0"/>
        </w:rPr>
        <w:t xml:space="preserve">Tak ako všetky lieky, </w:t>
      </w:r>
      <w:r w:rsidR="005A0436" w:rsidRPr="00121123">
        <w:rPr>
          <w:noProof w:val="0"/>
        </w:rPr>
        <w:t xml:space="preserve">aj </w:t>
      </w:r>
      <w:r w:rsidR="005A6E5A" w:rsidRPr="00121123">
        <w:rPr>
          <w:noProof w:val="0"/>
        </w:rPr>
        <w:t xml:space="preserve">tento liek </w:t>
      </w:r>
      <w:r w:rsidRPr="00121123">
        <w:rPr>
          <w:noProof w:val="0"/>
        </w:rPr>
        <w:t>môže spôsobovať vedľajšie účinky, hoci sa neprejavia u každého.</w:t>
      </w:r>
    </w:p>
    <w:p w14:paraId="1DDEC64B" w14:textId="77777777" w:rsidR="00DF3EFE" w:rsidRPr="00121123" w:rsidRDefault="00DF3EFE" w:rsidP="007A3A03">
      <w:pPr>
        <w:keepLines w:val="0"/>
        <w:tabs>
          <w:tab w:val="clear" w:pos="567"/>
        </w:tabs>
        <w:ind w:right="-29"/>
        <w:rPr>
          <w:noProof w:val="0"/>
        </w:rPr>
      </w:pPr>
    </w:p>
    <w:p w14:paraId="0669E552" w14:textId="77777777" w:rsidR="00DF3EFE" w:rsidRPr="00121123" w:rsidRDefault="00DF3EFE" w:rsidP="007A3A03">
      <w:pPr>
        <w:keepLines w:val="0"/>
        <w:tabs>
          <w:tab w:val="clear" w:pos="567"/>
        </w:tabs>
        <w:ind w:right="-29"/>
        <w:rPr>
          <w:noProof w:val="0"/>
        </w:rPr>
      </w:pPr>
      <w:r w:rsidRPr="00121123">
        <w:rPr>
          <w:noProof w:val="0"/>
        </w:rPr>
        <w:t xml:space="preserve">Pseudomembranózna kolitída sa môže objaviť </w:t>
      </w:r>
      <w:r w:rsidR="00271D8F" w:rsidRPr="00121123">
        <w:rPr>
          <w:noProof w:val="0"/>
        </w:rPr>
        <w:t xml:space="preserve">pri podávaní </w:t>
      </w:r>
      <w:r w:rsidRPr="00121123">
        <w:rPr>
          <w:noProof w:val="0"/>
        </w:rPr>
        <w:t xml:space="preserve">väčšiny antibiotík vrátane </w:t>
      </w:r>
      <w:r w:rsidR="00964F97">
        <w:rPr>
          <w:noProof w:val="0"/>
        </w:rPr>
        <w:t>lieku Tigecycline Accord</w:t>
      </w:r>
      <w:r w:rsidRPr="00121123">
        <w:rPr>
          <w:noProof w:val="0"/>
        </w:rPr>
        <w:t xml:space="preserve">. Pozostáva z vážnej, pretrvávajúcej alebo krvavej hnačky spojenej s bolesťou brucha alebo horúčkou, ktorá môže byť </w:t>
      </w:r>
      <w:r w:rsidR="00EC4698" w:rsidRPr="00121123">
        <w:rPr>
          <w:noProof w:val="0"/>
        </w:rPr>
        <w:t>prejavom</w:t>
      </w:r>
      <w:r w:rsidRPr="00121123">
        <w:rPr>
          <w:noProof w:val="0"/>
        </w:rPr>
        <w:t xml:space="preserve"> závažného zápalu čriev</w:t>
      </w:r>
      <w:r w:rsidR="00800F2F" w:rsidRPr="00121123">
        <w:rPr>
          <w:noProof w:val="0"/>
        </w:rPr>
        <w:t>. Ten</w:t>
      </w:r>
      <w:r w:rsidRPr="00121123">
        <w:rPr>
          <w:noProof w:val="0"/>
        </w:rPr>
        <w:t xml:space="preserve"> sa môže objaviť počas alebo po </w:t>
      </w:r>
      <w:r w:rsidR="00B55076" w:rsidRPr="00121123">
        <w:rPr>
          <w:noProof w:val="0"/>
        </w:rPr>
        <w:t>v</w:t>
      </w:r>
      <w:r w:rsidRPr="00121123">
        <w:rPr>
          <w:noProof w:val="0"/>
        </w:rPr>
        <w:t>ašej liečbe.</w:t>
      </w:r>
    </w:p>
    <w:p w14:paraId="278F2580" w14:textId="77777777" w:rsidR="008D4791" w:rsidRPr="00121123" w:rsidRDefault="008D4791" w:rsidP="007A3A03">
      <w:pPr>
        <w:keepLines w:val="0"/>
        <w:tabs>
          <w:tab w:val="clear" w:pos="567"/>
        </w:tabs>
        <w:ind w:right="-29"/>
        <w:rPr>
          <w:noProof w:val="0"/>
        </w:rPr>
      </w:pPr>
    </w:p>
    <w:p w14:paraId="399E6782" w14:textId="77777777" w:rsidR="00870248" w:rsidRPr="00121123" w:rsidRDefault="00F762DC" w:rsidP="007A3A03">
      <w:pPr>
        <w:keepLines w:val="0"/>
        <w:tabs>
          <w:tab w:val="clear" w:pos="567"/>
        </w:tabs>
        <w:ind w:right="-29"/>
        <w:rPr>
          <w:noProof w:val="0"/>
        </w:rPr>
      </w:pPr>
      <w:r w:rsidRPr="00121123">
        <w:rPr>
          <w:noProof w:val="0"/>
        </w:rPr>
        <w:t xml:space="preserve">Veľmi časté </w:t>
      </w:r>
      <w:r w:rsidR="00870248" w:rsidRPr="00121123">
        <w:rPr>
          <w:noProof w:val="0"/>
        </w:rPr>
        <w:t>vedľajšie účinky</w:t>
      </w:r>
      <w:r w:rsidR="00F601C5" w:rsidRPr="00121123">
        <w:rPr>
          <w:noProof w:val="0"/>
        </w:rPr>
        <w:t xml:space="preserve"> sú</w:t>
      </w:r>
      <w:r w:rsidR="00870248" w:rsidRPr="00121123">
        <w:rPr>
          <w:noProof w:val="0"/>
        </w:rPr>
        <w:t xml:space="preserve"> </w:t>
      </w:r>
      <w:r w:rsidR="00DF3EFE" w:rsidRPr="00121123">
        <w:rPr>
          <w:noProof w:val="0"/>
        </w:rPr>
        <w:t>(môžu postihnúť viac ako 1 používateľa z 10)</w:t>
      </w:r>
      <w:r w:rsidR="00870248" w:rsidRPr="00121123">
        <w:rPr>
          <w:noProof w:val="0"/>
        </w:rPr>
        <w:t>:</w:t>
      </w:r>
    </w:p>
    <w:p w14:paraId="0CF5AF0F" w14:textId="77777777" w:rsidR="00870248" w:rsidRPr="00121123" w:rsidRDefault="00731D4D" w:rsidP="007A3A03">
      <w:pPr>
        <w:keepLines w:val="0"/>
        <w:numPr>
          <w:ilvl w:val="1"/>
          <w:numId w:val="27"/>
        </w:numPr>
        <w:ind w:right="-29"/>
        <w:rPr>
          <w:noProof w:val="0"/>
        </w:rPr>
      </w:pPr>
      <w:r w:rsidRPr="00121123">
        <w:rPr>
          <w:noProof w:val="0"/>
        </w:rPr>
        <w:t>n</w:t>
      </w:r>
      <w:r w:rsidR="00870248" w:rsidRPr="00121123">
        <w:rPr>
          <w:noProof w:val="0"/>
        </w:rPr>
        <w:t xml:space="preserve">utkanie na </w:t>
      </w:r>
      <w:r w:rsidR="005A0436" w:rsidRPr="00121123">
        <w:rPr>
          <w:noProof w:val="0"/>
        </w:rPr>
        <w:t>vracanie</w:t>
      </w:r>
      <w:r w:rsidR="00870248" w:rsidRPr="00121123">
        <w:rPr>
          <w:noProof w:val="0"/>
        </w:rPr>
        <w:t xml:space="preserve">, </w:t>
      </w:r>
      <w:r w:rsidR="005A0436" w:rsidRPr="00121123">
        <w:rPr>
          <w:noProof w:val="0"/>
        </w:rPr>
        <w:t>vracanie</w:t>
      </w:r>
      <w:r w:rsidR="00870248" w:rsidRPr="00121123">
        <w:rPr>
          <w:noProof w:val="0"/>
        </w:rPr>
        <w:t>, hnačka.</w:t>
      </w:r>
    </w:p>
    <w:p w14:paraId="48499B34" w14:textId="77777777" w:rsidR="00870248" w:rsidRPr="00121123" w:rsidRDefault="00870248" w:rsidP="007A3A03">
      <w:pPr>
        <w:keepLines w:val="0"/>
        <w:tabs>
          <w:tab w:val="clear" w:pos="567"/>
        </w:tabs>
        <w:ind w:right="-29"/>
        <w:rPr>
          <w:noProof w:val="0"/>
        </w:rPr>
      </w:pPr>
    </w:p>
    <w:p w14:paraId="4AD4020A" w14:textId="77777777" w:rsidR="00870248" w:rsidRPr="00121123" w:rsidRDefault="00870248" w:rsidP="007A3A03">
      <w:pPr>
        <w:keepLines w:val="0"/>
        <w:tabs>
          <w:tab w:val="clear" w:pos="567"/>
        </w:tabs>
        <w:ind w:right="-29"/>
        <w:rPr>
          <w:noProof w:val="0"/>
        </w:rPr>
      </w:pPr>
      <w:r w:rsidRPr="00121123">
        <w:rPr>
          <w:noProof w:val="0"/>
        </w:rPr>
        <w:t>Časté vedľajšie účinky</w:t>
      </w:r>
      <w:r w:rsidR="00F601C5" w:rsidRPr="00121123">
        <w:rPr>
          <w:noProof w:val="0"/>
        </w:rPr>
        <w:t xml:space="preserve"> sú</w:t>
      </w:r>
      <w:r w:rsidRPr="00121123">
        <w:rPr>
          <w:noProof w:val="0"/>
        </w:rPr>
        <w:t xml:space="preserve"> </w:t>
      </w:r>
      <w:r w:rsidR="00DF3EFE" w:rsidRPr="00121123">
        <w:rPr>
          <w:noProof w:val="0"/>
        </w:rPr>
        <w:t>(môžu postihnúť až do 1 z 10 používateľov)</w:t>
      </w:r>
      <w:r w:rsidRPr="00121123">
        <w:rPr>
          <w:noProof w:val="0"/>
        </w:rPr>
        <w:t>:</w:t>
      </w:r>
    </w:p>
    <w:p w14:paraId="425F25E8" w14:textId="77777777" w:rsidR="00870248" w:rsidRPr="00121123" w:rsidRDefault="00731D4D" w:rsidP="007A3A03">
      <w:pPr>
        <w:keepLines w:val="0"/>
        <w:numPr>
          <w:ilvl w:val="0"/>
          <w:numId w:val="27"/>
        </w:numPr>
        <w:ind w:right="-29"/>
        <w:rPr>
          <w:noProof w:val="0"/>
        </w:rPr>
      </w:pPr>
      <w:r w:rsidRPr="00121123">
        <w:rPr>
          <w:noProof w:val="0"/>
        </w:rPr>
        <w:t>a</w:t>
      </w:r>
      <w:r w:rsidR="00870248" w:rsidRPr="00121123">
        <w:rPr>
          <w:noProof w:val="0"/>
        </w:rPr>
        <w:t>bsces (nahromadenie hnisu), infekcie</w:t>
      </w:r>
    </w:p>
    <w:p w14:paraId="573DFAD0" w14:textId="77777777" w:rsidR="00870248" w:rsidRPr="00121123" w:rsidRDefault="00870248" w:rsidP="007A3A03">
      <w:pPr>
        <w:keepLines w:val="0"/>
        <w:numPr>
          <w:ilvl w:val="0"/>
          <w:numId w:val="27"/>
        </w:numPr>
        <w:ind w:right="-29"/>
        <w:rPr>
          <w:noProof w:val="0"/>
        </w:rPr>
      </w:pPr>
      <w:r w:rsidRPr="00121123">
        <w:rPr>
          <w:noProof w:val="0"/>
        </w:rPr>
        <w:t>znížen</w:t>
      </w:r>
      <w:r w:rsidR="00731D4D" w:rsidRPr="00121123">
        <w:rPr>
          <w:noProof w:val="0"/>
        </w:rPr>
        <w:t>á</w:t>
      </w:r>
      <w:r w:rsidRPr="00121123">
        <w:rPr>
          <w:noProof w:val="0"/>
        </w:rPr>
        <w:t xml:space="preserve"> schopnosti tvorby krvných zrazenín</w:t>
      </w:r>
      <w:r w:rsidR="00731D4D" w:rsidRPr="00121123">
        <w:rPr>
          <w:noProof w:val="0"/>
        </w:rPr>
        <w:t xml:space="preserve"> stanovená laboratórnymi testami</w:t>
      </w:r>
    </w:p>
    <w:p w14:paraId="7FCBECFA" w14:textId="77777777" w:rsidR="00870248" w:rsidRPr="00121123" w:rsidRDefault="00731D4D" w:rsidP="007A3A03">
      <w:pPr>
        <w:keepLines w:val="0"/>
        <w:numPr>
          <w:ilvl w:val="0"/>
          <w:numId w:val="27"/>
        </w:numPr>
        <w:ind w:right="-29"/>
        <w:rPr>
          <w:noProof w:val="0"/>
        </w:rPr>
      </w:pPr>
      <w:r w:rsidRPr="00121123">
        <w:rPr>
          <w:noProof w:val="0"/>
        </w:rPr>
        <w:t>z</w:t>
      </w:r>
      <w:r w:rsidR="00870248" w:rsidRPr="00121123">
        <w:rPr>
          <w:noProof w:val="0"/>
        </w:rPr>
        <w:t>ávraty</w:t>
      </w:r>
    </w:p>
    <w:p w14:paraId="4D4F36D8" w14:textId="77777777" w:rsidR="00870248" w:rsidRPr="00121123" w:rsidRDefault="00731D4D" w:rsidP="007A3A03">
      <w:pPr>
        <w:keepLines w:val="0"/>
        <w:numPr>
          <w:ilvl w:val="0"/>
          <w:numId w:val="27"/>
        </w:numPr>
        <w:ind w:right="-29"/>
        <w:rPr>
          <w:noProof w:val="0"/>
        </w:rPr>
      </w:pPr>
      <w:r w:rsidRPr="00121123">
        <w:rPr>
          <w:noProof w:val="0"/>
        </w:rPr>
        <w:t>p</w:t>
      </w:r>
      <w:r w:rsidR="00870248" w:rsidRPr="00121123">
        <w:rPr>
          <w:noProof w:val="0"/>
        </w:rPr>
        <w:t>odráždenie žily v mieste podania vrátane bolesti, zápalu, opuchu a tvorby krvných zrazenín</w:t>
      </w:r>
    </w:p>
    <w:p w14:paraId="72F7D867" w14:textId="77777777" w:rsidR="00870248" w:rsidRPr="00121123" w:rsidRDefault="00731D4D" w:rsidP="007A3A03">
      <w:pPr>
        <w:keepLines w:val="0"/>
        <w:numPr>
          <w:ilvl w:val="0"/>
          <w:numId w:val="27"/>
        </w:numPr>
        <w:ind w:right="-29"/>
        <w:rPr>
          <w:noProof w:val="0"/>
        </w:rPr>
      </w:pPr>
      <w:r w:rsidRPr="00121123">
        <w:rPr>
          <w:noProof w:val="0"/>
        </w:rPr>
        <w:t>b</w:t>
      </w:r>
      <w:r w:rsidR="00870248" w:rsidRPr="00121123">
        <w:rPr>
          <w:noProof w:val="0"/>
        </w:rPr>
        <w:t>olesť brucha, dyspepsia (bolesť žalúdka a porucha trávenia), anorexia (strata chuti do jedla)</w:t>
      </w:r>
    </w:p>
    <w:p w14:paraId="2935E2C0" w14:textId="77777777" w:rsidR="00870248" w:rsidRPr="00121123" w:rsidRDefault="00731D4D" w:rsidP="007A3A03">
      <w:pPr>
        <w:keepLines w:val="0"/>
        <w:numPr>
          <w:ilvl w:val="0"/>
          <w:numId w:val="27"/>
        </w:numPr>
        <w:ind w:right="-29"/>
        <w:rPr>
          <w:noProof w:val="0"/>
        </w:rPr>
      </w:pPr>
      <w:r w:rsidRPr="00121123">
        <w:rPr>
          <w:noProof w:val="0"/>
        </w:rPr>
        <w:t>z</w:t>
      </w:r>
      <w:r w:rsidR="00870248" w:rsidRPr="00121123">
        <w:rPr>
          <w:noProof w:val="0"/>
        </w:rPr>
        <w:t>výšené hladiny pečeňových enzýmov, hyperbilirubinémia (nadbytok žlčového farbiva v krvi)</w:t>
      </w:r>
    </w:p>
    <w:p w14:paraId="1348B8FE" w14:textId="77777777" w:rsidR="00870248" w:rsidRPr="00121123" w:rsidRDefault="00731D4D" w:rsidP="007A3A03">
      <w:pPr>
        <w:keepLines w:val="0"/>
        <w:numPr>
          <w:ilvl w:val="0"/>
          <w:numId w:val="27"/>
        </w:numPr>
        <w:ind w:right="-29"/>
        <w:rPr>
          <w:noProof w:val="0"/>
        </w:rPr>
      </w:pPr>
      <w:r w:rsidRPr="00121123">
        <w:rPr>
          <w:noProof w:val="0"/>
        </w:rPr>
        <w:t>s</w:t>
      </w:r>
      <w:r w:rsidR="00870248" w:rsidRPr="00121123">
        <w:rPr>
          <w:noProof w:val="0"/>
        </w:rPr>
        <w:t>vrbenie, vyrážky</w:t>
      </w:r>
    </w:p>
    <w:p w14:paraId="67EDA88F" w14:textId="77777777" w:rsidR="00B14738" w:rsidRPr="00121123" w:rsidRDefault="00B14738" w:rsidP="007A3A03">
      <w:pPr>
        <w:keepLines w:val="0"/>
        <w:numPr>
          <w:ilvl w:val="0"/>
          <w:numId w:val="27"/>
        </w:numPr>
        <w:ind w:right="-29"/>
        <w:rPr>
          <w:noProof w:val="0"/>
        </w:rPr>
      </w:pPr>
      <w:r w:rsidRPr="00121123">
        <w:rPr>
          <w:noProof w:val="0"/>
        </w:rPr>
        <w:t>zlé alebo pomalé hojenie rán</w:t>
      </w:r>
    </w:p>
    <w:p w14:paraId="2368704F" w14:textId="77777777" w:rsidR="00870248" w:rsidRPr="00121123" w:rsidRDefault="00731D4D" w:rsidP="007A3A03">
      <w:pPr>
        <w:keepLines w:val="0"/>
        <w:numPr>
          <w:ilvl w:val="0"/>
          <w:numId w:val="27"/>
        </w:numPr>
        <w:ind w:right="-29"/>
        <w:rPr>
          <w:noProof w:val="0"/>
        </w:rPr>
      </w:pPr>
      <w:r w:rsidRPr="00121123">
        <w:rPr>
          <w:noProof w:val="0"/>
        </w:rPr>
        <w:t>b</w:t>
      </w:r>
      <w:r w:rsidR="00870248" w:rsidRPr="00121123">
        <w:rPr>
          <w:noProof w:val="0"/>
        </w:rPr>
        <w:t>olesť hlavy</w:t>
      </w:r>
    </w:p>
    <w:p w14:paraId="78A951ED" w14:textId="77777777" w:rsidR="00870248" w:rsidRPr="00121123" w:rsidRDefault="00731D4D" w:rsidP="007A3A03">
      <w:pPr>
        <w:keepLines w:val="0"/>
        <w:numPr>
          <w:ilvl w:val="0"/>
          <w:numId w:val="27"/>
        </w:numPr>
        <w:rPr>
          <w:noProof w:val="0"/>
        </w:rPr>
      </w:pPr>
      <w:r w:rsidRPr="00121123">
        <w:rPr>
          <w:noProof w:val="0"/>
        </w:rPr>
        <w:lastRenderedPageBreak/>
        <w:t>z</w:t>
      </w:r>
      <w:r w:rsidR="00870248" w:rsidRPr="00121123">
        <w:rPr>
          <w:noProof w:val="0"/>
        </w:rPr>
        <w:t>výšené hladiny amylázy, enzým</w:t>
      </w:r>
      <w:r w:rsidR="00F762DC" w:rsidRPr="00121123">
        <w:rPr>
          <w:noProof w:val="0"/>
        </w:rPr>
        <w:t>u</w:t>
      </w:r>
      <w:r w:rsidR="00870248" w:rsidRPr="00121123">
        <w:rPr>
          <w:noProof w:val="0"/>
        </w:rPr>
        <w:t xml:space="preserve"> prítomn</w:t>
      </w:r>
      <w:r w:rsidR="00F762DC" w:rsidRPr="00121123">
        <w:rPr>
          <w:noProof w:val="0"/>
        </w:rPr>
        <w:t>ého</w:t>
      </w:r>
      <w:r w:rsidR="00870248" w:rsidRPr="00121123">
        <w:rPr>
          <w:noProof w:val="0"/>
        </w:rPr>
        <w:t xml:space="preserve"> v slinných žľazách a pankrease, zvýšená hladina dusíka</w:t>
      </w:r>
      <w:r w:rsidR="00F762DC" w:rsidRPr="00121123">
        <w:rPr>
          <w:noProof w:val="0"/>
        </w:rPr>
        <w:t xml:space="preserve"> močoviny</w:t>
      </w:r>
      <w:r w:rsidR="00870248" w:rsidRPr="00121123">
        <w:rPr>
          <w:noProof w:val="0"/>
        </w:rPr>
        <w:t xml:space="preserve"> v krvi (blood urea nitrogen, BUN)</w:t>
      </w:r>
    </w:p>
    <w:p w14:paraId="12B8D907" w14:textId="77777777" w:rsidR="00C0370B" w:rsidRPr="00121123" w:rsidRDefault="00D47FE1" w:rsidP="007A3A03">
      <w:pPr>
        <w:keepLines w:val="0"/>
        <w:numPr>
          <w:ilvl w:val="0"/>
          <w:numId w:val="27"/>
        </w:numPr>
        <w:rPr>
          <w:noProof w:val="0"/>
        </w:rPr>
      </w:pPr>
      <w:r w:rsidRPr="00121123">
        <w:rPr>
          <w:noProof w:val="0"/>
        </w:rPr>
        <w:t>p</w:t>
      </w:r>
      <w:r w:rsidR="00C0370B" w:rsidRPr="00121123">
        <w:rPr>
          <w:noProof w:val="0"/>
        </w:rPr>
        <w:t>neumónia</w:t>
      </w:r>
    </w:p>
    <w:p w14:paraId="586A929F" w14:textId="77777777" w:rsidR="00C0370B" w:rsidRPr="00121123" w:rsidRDefault="00D47FE1" w:rsidP="007A3A03">
      <w:pPr>
        <w:keepLines w:val="0"/>
        <w:numPr>
          <w:ilvl w:val="0"/>
          <w:numId w:val="27"/>
        </w:numPr>
        <w:rPr>
          <w:noProof w:val="0"/>
        </w:rPr>
      </w:pPr>
      <w:r w:rsidRPr="00121123">
        <w:rPr>
          <w:noProof w:val="0"/>
        </w:rPr>
        <w:t>nízky</w:t>
      </w:r>
      <w:r w:rsidR="00C0370B" w:rsidRPr="00121123">
        <w:rPr>
          <w:noProof w:val="0"/>
        </w:rPr>
        <w:t xml:space="preserve"> cuk</w:t>
      </w:r>
      <w:r w:rsidRPr="00121123">
        <w:rPr>
          <w:noProof w:val="0"/>
        </w:rPr>
        <w:t>or</w:t>
      </w:r>
      <w:r w:rsidR="00C0370B" w:rsidRPr="00121123">
        <w:rPr>
          <w:noProof w:val="0"/>
        </w:rPr>
        <w:t xml:space="preserve"> v</w:t>
      </w:r>
      <w:r w:rsidR="00B26516" w:rsidRPr="00121123">
        <w:rPr>
          <w:noProof w:val="0"/>
        </w:rPr>
        <w:t> </w:t>
      </w:r>
      <w:r w:rsidR="00C0370B" w:rsidRPr="00121123">
        <w:rPr>
          <w:noProof w:val="0"/>
        </w:rPr>
        <w:t>krvi</w:t>
      </w:r>
    </w:p>
    <w:p w14:paraId="0B87B6A1" w14:textId="77777777" w:rsidR="00B26516" w:rsidRPr="00121123" w:rsidRDefault="00B26516" w:rsidP="007A3A03">
      <w:pPr>
        <w:keepLines w:val="0"/>
        <w:numPr>
          <w:ilvl w:val="0"/>
          <w:numId w:val="27"/>
        </w:numPr>
        <w:ind w:right="-29"/>
        <w:rPr>
          <w:noProof w:val="0"/>
        </w:rPr>
      </w:pPr>
      <w:r w:rsidRPr="00121123">
        <w:rPr>
          <w:noProof w:val="0"/>
        </w:rPr>
        <w:t xml:space="preserve">sepsa (závažná infekcia organizmu a krvi)/septický šok (závažný stav, ktorý môže viesť k mnohopočetnému zlyhávaniu orgánov a úmrtiu v dôsledku sepsy) </w:t>
      </w:r>
    </w:p>
    <w:p w14:paraId="7076024C" w14:textId="77777777" w:rsidR="00B26516" w:rsidRPr="00121123" w:rsidRDefault="00B26516" w:rsidP="007A3A03">
      <w:pPr>
        <w:keepNext/>
        <w:numPr>
          <w:ilvl w:val="0"/>
          <w:numId w:val="27"/>
        </w:numPr>
        <w:ind w:right="-28"/>
        <w:rPr>
          <w:noProof w:val="0"/>
        </w:rPr>
      </w:pPr>
      <w:r w:rsidRPr="00121123">
        <w:rPr>
          <w:noProof w:val="0"/>
        </w:rPr>
        <w:t>reakcia v mieste vpichu (bolesť, sčervenanie, zápal)</w:t>
      </w:r>
    </w:p>
    <w:p w14:paraId="7A430635" w14:textId="77777777" w:rsidR="00B26516" w:rsidRPr="00121123" w:rsidRDefault="00B26516" w:rsidP="007A3A03">
      <w:pPr>
        <w:keepNext/>
        <w:numPr>
          <w:ilvl w:val="0"/>
          <w:numId w:val="27"/>
        </w:numPr>
        <w:ind w:right="-28"/>
        <w:rPr>
          <w:noProof w:val="0"/>
        </w:rPr>
      </w:pPr>
      <w:r w:rsidRPr="00121123">
        <w:rPr>
          <w:noProof w:val="0"/>
        </w:rPr>
        <w:t>nízke hladiny bielkovín v krvi</w:t>
      </w:r>
    </w:p>
    <w:p w14:paraId="78520EF8" w14:textId="77777777" w:rsidR="00870248" w:rsidRPr="00121123" w:rsidRDefault="00870248" w:rsidP="007A3A03">
      <w:pPr>
        <w:keepLines w:val="0"/>
        <w:tabs>
          <w:tab w:val="clear" w:pos="567"/>
        </w:tabs>
        <w:ind w:right="-29"/>
        <w:rPr>
          <w:noProof w:val="0"/>
        </w:rPr>
      </w:pPr>
    </w:p>
    <w:p w14:paraId="7F1539B3" w14:textId="77777777" w:rsidR="00870248" w:rsidRPr="00121123" w:rsidDel="00B26516" w:rsidRDefault="00870248" w:rsidP="00B6612A">
      <w:pPr>
        <w:keepNext/>
        <w:keepLines w:val="0"/>
        <w:widowControl w:val="0"/>
        <w:rPr>
          <w:noProof w:val="0"/>
        </w:rPr>
      </w:pPr>
      <w:r w:rsidRPr="00121123">
        <w:rPr>
          <w:noProof w:val="0"/>
        </w:rPr>
        <w:t>Menej časté vedľajšie účinky</w:t>
      </w:r>
      <w:r w:rsidR="00F601C5" w:rsidRPr="00121123">
        <w:rPr>
          <w:noProof w:val="0"/>
        </w:rPr>
        <w:t xml:space="preserve"> sú</w:t>
      </w:r>
      <w:r w:rsidRPr="00121123">
        <w:rPr>
          <w:noProof w:val="0"/>
        </w:rPr>
        <w:t xml:space="preserve"> </w:t>
      </w:r>
      <w:r w:rsidR="00DF3EFE" w:rsidRPr="00121123">
        <w:rPr>
          <w:noProof w:val="0"/>
        </w:rPr>
        <w:t>(môžu postihnúť až do 1 zo 100 používateľov)</w:t>
      </w:r>
      <w:r w:rsidRPr="00121123">
        <w:rPr>
          <w:noProof w:val="0"/>
        </w:rPr>
        <w:t>:</w:t>
      </w:r>
    </w:p>
    <w:p w14:paraId="6C5380BC" w14:textId="77777777" w:rsidR="00C722B9" w:rsidRPr="00121123" w:rsidRDefault="00C722B9" w:rsidP="00B6612A">
      <w:pPr>
        <w:keepNext/>
        <w:keepLines w:val="0"/>
        <w:widowControl w:val="0"/>
        <w:numPr>
          <w:ilvl w:val="0"/>
          <w:numId w:val="28"/>
        </w:numPr>
        <w:tabs>
          <w:tab w:val="left" w:pos="567"/>
        </w:tabs>
        <w:rPr>
          <w:noProof w:val="0"/>
        </w:rPr>
      </w:pPr>
      <w:r w:rsidRPr="00121123">
        <w:rPr>
          <w:noProof w:val="0"/>
        </w:rPr>
        <w:t>akútna pankreatitída (zápal pankreasu, čo môže viesť k vážnej bolesti brucha, nutkaniu na vracanie a vracaniu)</w:t>
      </w:r>
    </w:p>
    <w:p w14:paraId="5A7E9E1D" w14:textId="77777777" w:rsidR="00C722B9" w:rsidRPr="00121123" w:rsidRDefault="00C722B9" w:rsidP="00121123">
      <w:pPr>
        <w:keepLines w:val="0"/>
        <w:numPr>
          <w:ilvl w:val="0"/>
          <w:numId w:val="28"/>
        </w:numPr>
        <w:tabs>
          <w:tab w:val="left" w:pos="567"/>
        </w:tabs>
        <w:rPr>
          <w:noProof w:val="0"/>
        </w:rPr>
      </w:pPr>
      <w:r w:rsidRPr="00121123">
        <w:rPr>
          <w:noProof w:val="0"/>
        </w:rPr>
        <w:t>žltačka (žlté sfarbenie kože), zápal pečene</w:t>
      </w:r>
    </w:p>
    <w:p w14:paraId="46849514" w14:textId="77777777" w:rsidR="00870248" w:rsidRPr="00121123" w:rsidRDefault="00CB186C" w:rsidP="00121123">
      <w:pPr>
        <w:keepLines w:val="0"/>
        <w:numPr>
          <w:ilvl w:val="0"/>
          <w:numId w:val="28"/>
        </w:numPr>
        <w:ind w:right="-28"/>
        <w:rPr>
          <w:noProof w:val="0"/>
        </w:rPr>
      </w:pPr>
      <w:r w:rsidRPr="00121123">
        <w:rPr>
          <w:noProof w:val="0"/>
        </w:rPr>
        <w:t>nízka hladina krvných</w:t>
      </w:r>
      <w:r w:rsidR="00EF12FE" w:rsidRPr="00121123">
        <w:rPr>
          <w:noProof w:val="0"/>
          <w:lang w:eastAsia="sk-SK"/>
        </w:rPr>
        <w:t xml:space="preserve"> doštičiek v krvi (</w:t>
      </w:r>
      <w:r w:rsidR="00B14738" w:rsidRPr="00121123">
        <w:rPr>
          <w:noProof w:val="0"/>
        </w:rPr>
        <w:t>čo môže viesť ku zvýšenej tend</w:t>
      </w:r>
      <w:r w:rsidRPr="00121123">
        <w:rPr>
          <w:noProof w:val="0"/>
        </w:rPr>
        <w:t>encii krvácania a vzniku modrín/hematómov)</w:t>
      </w:r>
    </w:p>
    <w:p w14:paraId="6757F23C" w14:textId="77777777" w:rsidR="00870248" w:rsidRDefault="00870248" w:rsidP="007A3A03">
      <w:pPr>
        <w:keepLines w:val="0"/>
        <w:tabs>
          <w:tab w:val="clear" w:pos="567"/>
        </w:tabs>
        <w:ind w:right="-29"/>
        <w:rPr>
          <w:noProof w:val="0"/>
        </w:rPr>
      </w:pPr>
    </w:p>
    <w:p w14:paraId="33F4DD10" w14:textId="77777777" w:rsidR="00A76A1B" w:rsidRPr="00DF6976" w:rsidRDefault="00A76A1B" w:rsidP="00A76A1B">
      <w:pPr>
        <w:keepNext/>
        <w:keepLines w:val="0"/>
        <w:tabs>
          <w:tab w:val="clear" w:pos="567"/>
        </w:tabs>
        <w:rPr>
          <w:noProof w:val="0"/>
          <w:color w:val="000000"/>
        </w:rPr>
      </w:pPr>
      <w:r w:rsidRPr="00DF6976">
        <w:rPr>
          <w:noProof w:val="0"/>
          <w:color w:val="000000"/>
        </w:rPr>
        <w:t>Zriedkavé vedľajšie účinky sú (môžu postihovať menej ako 1 z 1 000 osôb):</w:t>
      </w:r>
    </w:p>
    <w:p w14:paraId="53D16C8D" w14:textId="77777777" w:rsidR="00A76A1B" w:rsidRPr="00DF6976" w:rsidRDefault="00A76A1B" w:rsidP="00A76A1B">
      <w:pPr>
        <w:keepLines w:val="0"/>
        <w:numPr>
          <w:ilvl w:val="0"/>
          <w:numId w:val="47"/>
        </w:numPr>
        <w:tabs>
          <w:tab w:val="clear" w:pos="567"/>
        </w:tabs>
        <w:autoSpaceDE w:val="0"/>
        <w:autoSpaceDN w:val="0"/>
        <w:adjustRightInd w:val="0"/>
        <w:ind w:hanging="720"/>
        <w:rPr>
          <w:noProof w:val="0"/>
          <w:color w:val="000000"/>
        </w:rPr>
      </w:pPr>
      <w:r w:rsidRPr="00DF6976">
        <w:rPr>
          <w:noProof w:val="0"/>
          <w:color w:val="000000"/>
        </w:rPr>
        <w:t>nízke hladiny fibrinogénu (proteínu, ktorý sa podieľa na zrážaní krvi) v krvi</w:t>
      </w:r>
    </w:p>
    <w:p w14:paraId="243E50D7" w14:textId="77777777" w:rsidR="00A76A1B" w:rsidRPr="00121123" w:rsidRDefault="00A76A1B" w:rsidP="007A3A03">
      <w:pPr>
        <w:keepLines w:val="0"/>
        <w:tabs>
          <w:tab w:val="clear" w:pos="567"/>
        </w:tabs>
        <w:ind w:right="-29"/>
        <w:rPr>
          <w:noProof w:val="0"/>
        </w:rPr>
      </w:pPr>
    </w:p>
    <w:p w14:paraId="05B00600" w14:textId="77777777" w:rsidR="00870248" w:rsidRPr="00121123" w:rsidRDefault="00F762DC" w:rsidP="007A3A03">
      <w:pPr>
        <w:keepLines w:val="0"/>
        <w:tabs>
          <w:tab w:val="clear" w:pos="567"/>
        </w:tabs>
        <w:ind w:right="-29"/>
        <w:rPr>
          <w:noProof w:val="0"/>
        </w:rPr>
      </w:pPr>
      <w:r w:rsidRPr="00121123">
        <w:rPr>
          <w:noProof w:val="0"/>
        </w:rPr>
        <w:t>Neznáme</w:t>
      </w:r>
      <w:r w:rsidR="00F601C5" w:rsidRPr="00121123">
        <w:rPr>
          <w:noProof w:val="0"/>
        </w:rPr>
        <w:t xml:space="preserve"> vedľajšie účinky sú</w:t>
      </w:r>
      <w:r w:rsidRPr="00121123">
        <w:rPr>
          <w:noProof w:val="0"/>
        </w:rPr>
        <w:t xml:space="preserve"> </w:t>
      </w:r>
      <w:r w:rsidR="0070438A" w:rsidRPr="00121123">
        <w:rPr>
          <w:noProof w:val="0"/>
        </w:rPr>
        <w:t>(</w:t>
      </w:r>
      <w:r w:rsidR="00F601C5" w:rsidRPr="00121123">
        <w:rPr>
          <w:noProof w:val="0"/>
        </w:rPr>
        <w:t xml:space="preserve">frekvencia sa nedá odhadnúť </w:t>
      </w:r>
      <w:r w:rsidR="0070438A" w:rsidRPr="00121123">
        <w:rPr>
          <w:noProof w:val="0"/>
        </w:rPr>
        <w:t>z dostupných údajov)</w:t>
      </w:r>
      <w:r w:rsidR="00870248" w:rsidRPr="00121123">
        <w:rPr>
          <w:noProof w:val="0"/>
        </w:rPr>
        <w:t xml:space="preserve">: </w:t>
      </w:r>
    </w:p>
    <w:p w14:paraId="4CE2E2D3" w14:textId="77777777" w:rsidR="00870248" w:rsidRPr="00121123" w:rsidRDefault="005F16ED" w:rsidP="007A3A03">
      <w:pPr>
        <w:keepLines w:val="0"/>
        <w:numPr>
          <w:ilvl w:val="0"/>
          <w:numId w:val="29"/>
        </w:numPr>
        <w:ind w:right="-29"/>
        <w:rPr>
          <w:noProof w:val="0"/>
        </w:rPr>
      </w:pPr>
      <w:r w:rsidRPr="00121123">
        <w:rPr>
          <w:noProof w:val="0"/>
        </w:rPr>
        <w:t>a</w:t>
      </w:r>
      <w:r w:rsidR="00870248" w:rsidRPr="00121123">
        <w:rPr>
          <w:noProof w:val="0"/>
        </w:rPr>
        <w:t>nafylaxia/anafylakt</w:t>
      </w:r>
      <w:r w:rsidR="006C582A" w:rsidRPr="00121123">
        <w:rPr>
          <w:noProof w:val="0"/>
        </w:rPr>
        <w:t>oidné</w:t>
      </w:r>
      <w:r w:rsidR="00870248" w:rsidRPr="00121123">
        <w:rPr>
          <w:noProof w:val="0"/>
        </w:rPr>
        <w:t xml:space="preserve"> reakcie (ktoré môžu byť v rozsahu od miernych po </w:t>
      </w:r>
      <w:r w:rsidR="006C582A" w:rsidRPr="00121123">
        <w:rPr>
          <w:noProof w:val="0"/>
        </w:rPr>
        <w:t>zá</w:t>
      </w:r>
      <w:r w:rsidR="00870248" w:rsidRPr="00121123">
        <w:rPr>
          <w:noProof w:val="0"/>
        </w:rPr>
        <w:t>v</w:t>
      </w:r>
      <w:r w:rsidR="006C582A" w:rsidRPr="00121123">
        <w:rPr>
          <w:noProof w:val="0"/>
        </w:rPr>
        <w:t>a</w:t>
      </w:r>
      <w:r w:rsidR="00870248" w:rsidRPr="00121123">
        <w:rPr>
          <w:noProof w:val="0"/>
        </w:rPr>
        <w:t>žn</w:t>
      </w:r>
      <w:r w:rsidR="006C582A" w:rsidRPr="00121123">
        <w:rPr>
          <w:noProof w:val="0"/>
        </w:rPr>
        <w:t>é</w:t>
      </w:r>
      <w:r w:rsidR="00870248" w:rsidRPr="00121123">
        <w:rPr>
          <w:noProof w:val="0"/>
        </w:rPr>
        <w:t xml:space="preserve"> vrátane náhlej, </w:t>
      </w:r>
      <w:r w:rsidRPr="00121123">
        <w:rPr>
          <w:noProof w:val="0"/>
        </w:rPr>
        <w:t>celkovej</w:t>
      </w:r>
      <w:r w:rsidR="00870248" w:rsidRPr="00121123">
        <w:rPr>
          <w:noProof w:val="0"/>
        </w:rPr>
        <w:t xml:space="preserve"> alergickej reakcie, ktorá môže viesť k život</w:t>
      </w:r>
      <w:r w:rsidR="00F762DC" w:rsidRPr="00121123">
        <w:rPr>
          <w:noProof w:val="0"/>
        </w:rPr>
        <w:t xml:space="preserve"> </w:t>
      </w:r>
      <w:r w:rsidR="00870248" w:rsidRPr="00121123">
        <w:rPr>
          <w:noProof w:val="0"/>
        </w:rPr>
        <w:t>ohrozujúcemu šoku</w:t>
      </w:r>
      <w:r w:rsidR="00ED1757" w:rsidRPr="00121123">
        <w:rPr>
          <w:noProof w:val="0"/>
        </w:rPr>
        <w:t> – </w:t>
      </w:r>
      <w:r w:rsidR="00870248" w:rsidRPr="00121123">
        <w:rPr>
          <w:noProof w:val="0"/>
        </w:rPr>
        <w:t>napríklad ťažkosti</w:t>
      </w:r>
      <w:r w:rsidRPr="00121123">
        <w:rPr>
          <w:noProof w:val="0"/>
        </w:rPr>
        <w:t>am</w:t>
      </w:r>
      <w:r w:rsidR="00870248" w:rsidRPr="00121123">
        <w:rPr>
          <w:noProof w:val="0"/>
        </w:rPr>
        <w:t xml:space="preserve"> s dýchaním, pokles</w:t>
      </w:r>
      <w:r w:rsidRPr="00121123">
        <w:rPr>
          <w:noProof w:val="0"/>
        </w:rPr>
        <w:t>u</w:t>
      </w:r>
      <w:r w:rsidR="00870248" w:rsidRPr="00121123">
        <w:rPr>
          <w:noProof w:val="0"/>
        </w:rPr>
        <w:t xml:space="preserve"> krv</w:t>
      </w:r>
      <w:r w:rsidRPr="00121123">
        <w:rPr>
          <w:noProof w:val="0"/>
        </w:rPr>
        <w:t>n</w:t>
      </w:r>
      <w:r w:rsidR="00870248" w:rsidRPr="00121123">
        <w:rPr>
          <w:noProof w:val="0"/>
        </w:rPr>
        <w:t>ého tlaku, rýchl</w:t>
      </w:r>
      <w:r w:rsidRPr="00121123">
        <w:rPr>
          <w:noProof w:val="0"/>
        </w:rPr>
        <w:t xml:space="preserve">emu </w:t>
      </w:r>
      <w:r w:rsidR="00870248" w:rsidRPr="00121123">
        <w:rPr>
          <w:noProof w:val="0"/>
        </w:rPr>
        <w:t>tep</w:t>
      </w:r>
      <w:r w:rsidRPr="00121123">
        <w:rPr>
          <w:noProof w:val="0"/>
        </w:rPr>
        <w:t>u</w:t>
      </w:r>
      <w:r w:rsidR="00870248" w:rsidRPr="00121123">
        <w:rPr>
          <w:noProof w:val="0"/>
        </w:rPr>
        <w:t>)</w:t>
      </w:r>
    </w:p>
    <w:p w14:paraId="372494AA" w14:textId="77777777" w:rsidR="00E91992" w:rsidRPr="00121123" w:rsidRDefault="005F16ED" w:rsidP="007A3A03">
      <w:pPr>
        <w:keepLines w:val="0"/>
        <w:numPr>
          <w:ilvl w:val="0"/>
          <w:numId w:val="29"/>
        </w:numPr>
        <w:ind w:right="-29"/>
        <w:rPr>
          <w:noProof w:val="0"/>
        </w:rPr>
      </w:pPr>
      <w:r w:rsidRPr="00121123">
        <w:rPr>
          <w:noProof w:val="0"/>
        </w:rPr>
        <w:t>z</w:t>
      </w:r>
      <w:r w:rsidR="00E91992" w:rsidRPr="00121123">
        <w:rPr>
          <w:noProof w:val="0"/>
        </w:rPr>
        <w:t>lyh</w:t>
      </w:r>
      <w:r w:rsidRPr="00121123">
        <w:rPr>
          <w:noProof w:val="0"/>
        </w:rPr>
        <w:t>áv</w:t>
      </w:r>
      <w:r w:rsidR="00E91992" w:rsidRPr="00121123">
        <w:rPr>
          <w:noProof w:val="0"/>
        </w:rPr>
        <w:t>anie pečene</w:t>
      </w:r>
    </w:p>
    <w:p w14:paraId="116819B3" w14:textId="77777777" w:rsidR="00C518B7" w:rsidRPr="00121123" w:rsidRDefault="00D47FE1" w:rsidP="0081661F">
      <w:pPr>
        <w:keepLines w:val="0"/>
        <w:numPr>
          <w:ilvl w:val="0"/>
          <w:numId w:val="29"/>
        </w:numPr>
        <w:ind w:right="-29"/>
        <w:rPr>
          <w:noProof w:val="0"/>
        </w:rPr>
      </w:pPr>
      <w:r w:rsidRPr="00121123">
        <w:rPr>
          <w:noProof w:val="0"/>
        </w:rPr>
        <w:t>kožné vyrážky, ktoré môžu viesť k závažnej tvorbe pľuzgierov a olupovani</w:t>
      </w:r>
      <w:r w:rsidR="006E250A" w:rsidRPr="00121123">
        <w:rPr>
          <w:noProof w:val="0"/>
        </w:rPr>
        <w:t>u</w:t>
      </w:r>
      <w:r w:rsidRPr="00121123">
        <w:rPr>
          <w:noProof w:val="0"/>
        </w:rPr>
        <w:t xml:space="preserve"> kože (Stevensov</w:t>
      </w:r>
      <w:r w:rsidRPr="00121123">
        <w:rPr>
          <w:noProof w:val="0"/>
        </w:rPr>
        <w:noBreakHyphen/>
        <w:t>Johnsonov syndróm)</w:t>
      </w:r>
    </w:p>
    <w:p w14:paraId="61AE96A2" w14:textId="77777777" w:rsidR="00870248" w:rsidRPr="00121123" w:rsidRDefault="00870248" w:rsidP="007A3A03">
      <w:pPr>
        <w:keepLines w:val="0"/>
        <w:tabs>
          <w:tab w:val="clear" w:pos="567"/>
        </w:tabs>
        <w:ind w:right="-29"/>
        <w:rPr>
          <w:noProof w:val="0"/>
        </w:rPr>
      </w:pPr>
    </w:p>
    <w:p w14:paraId="01D59DF2" w14:textId="77777777" w:rsidR="00965D1D" w:rsidRPr="00121123" w:rsidRDefault="00965D1D" w:rsidP="007A3A03">
      <w:pPr>
        <w:numPr>
          <w:ilvl w:val="12"/>
          <w:numId w:val="0"/>
        </w:numPr>
        <w:tabs>
          <w:tab w:val="clear" w:pos="567"/>
          <w:tab w:val="left" w:pos="720"/>
        </w:tabs>
        <w:rPr>
          <w:b/>
          <w:noProof w:val="0"/>
        </w:rPr>
      </w:pPr>
      <w:r w:rsidRPr="00121123">
        <w:rPr>
          <w:b/>
          <w:noProof w:val="0"/>
        </w:rPr>
        <w:t>Hlásenie vedľajších účinkov</w:t>
      </w:r>
    </w:p>
    <w:p w14:paraId="7B18FF43" w14:textId="77777777" w:rsidR="00CF101B" w:rsidRPr="00121123" w:rsidRDefault="00CF101B" w:rsidP="007A3A03">
      <w:pPr>
        <w:numPr>
          <w:ilvl w:val="12"/>
          <w:numId w:val="0"/>
        </w:numPr>
        <w:tabs>
          <w:tab w:val="clear" w:pos="567"/>
          <w:tab w:val="left" w:pos="720"/>
        </w:tabs>
        <w:rPr>
          <w:b/>
          <w:noProof w:val="0"/>
        </w:rPr>
      </w:pPr>
    </w:p>
    <w:p w14:paraId="0905AFF2" w14:textId="77777777" w:rsidR="00965D1D" w:rsidRPr="00121123" w:rsidRDefault="00965D1D" w:rsidP="007A3A03">
      <w:pPr>
        <w:numPr>
          <w:ilvl w:val="12"/>
          <w:numId w:val="0"/>
        </w:numPr>
        <w:tabs>
          <w:tab w:val="clear" w:pos="567"/>
          <w:tab w:val="left" w:pos="720"/>
        </w:tabs>
        <w:ind w:right="-2"/>
        <w:rPr>
          <w:noProof w:val="0"/>
        </w:rPr>
      </w:pPr>
      <w:r w:rsidRPr="00121123">
        <w:rPr>
          <w:noProof w:val="0"/>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CC2000">
        <w:rPr>
          <w:noProof w:val="0"/>
        </w:rPr>
        <w:t>na</w:t>
      </w:r>
      <w:r w:rsidRPr="00121123">
        <w:rPr>
          <w:noProof w:val="0"/>
        </w:rPr>
        <w:t xml:space="preserve"> </w:t>
      </w:r>
      <w:r w:rsidRPr="00121123">
        <w:rPr>
          <w:noProof w:val="0"/>
          <w:highlight w:val="lightGray"/>
        </w:rPr>
        <w:t>národné</w:t>
      </w:r>
      <w:r w:rsidR="00CC2000">
        <w:rPr>
          <w:noProof w:val="0"/>
          <w:highlight w:val="lightGray"/>
        </w:rPr>
        <w:t xml:space="preserve"> centrum</w:t>
      </w:r>
      <w:r w:rsidRPr="00121123">
        <w:rPr>
          <w:noProof w:val="0"/>
          <w:highlight w:val="lightGray"/>
        </w:rPr>
        <w:t xml:space="preserve"> hlásenia uvedené v </w:t>
      </w:r>
      <w:hyperlink r:id="rId14" w:history="1">
        <w:r w:rsidRPr="00B6612A">
          <w:rPr>
            <w:rStyle w:val="Hyperlink"/>
            <w:noProof w:val="0"/>
            <w:highlight w:val="lightGray"/>
          </w:rPr>
          <w:t>P</w:t>
        </w:r>
        <w:r w:rsidR="006B1261" w:rsidRPr="00B6612A">
          <w:rPr>
            <w:rStyle w:val="Hyperlink"/>
            <w:noProof w:val="0"/>
            <w:szCs w:val="20"/>
            <w:highlight w:val="lightGray"/>
          </w:rPr>
          <w:t>rílohe</w:t>
        </w:r>
        <w:r w:rsidR="00CC2000">
          <w:rPr>
            <w:rStyle w:val="Hyperlink"/>
            <w:noProof w:val="0"/>
            <w:szCs w:val="20"/>
            <w:highlight w:val="lightGray"/>
          </w:rPr>
          <w:t> </w:t>
        </w:r>
        <w:r w:rsidR="006B1261" w:rsidRPr="00B6612A">
          <w:rPr>
            <w:rStyle w:val="Hyperlink"/>
            <w:noProof w:val="0"/>
            <w:szCs w:val="20"/>
            <w:highlight w:val="lightGray"/>
          </w:rPr>
          <w:t>V</w:t>
        </w:r>
      </w:hyperlink>
      <w:r w:rsidRPr="00121123">
        <w:rPr>
          <w:noProof w:val="0"/>
        </w:rPr>
        <w:t>. Hlásením vedľajších účinkov môžete prispieť k získaniu ďalších informácií o bezpečnosti tohto lieku.</w:t>
      </w:r>
    </w:p>
    <w:p w14:paraId="3A3B9208" w14:textId="77777777" w:rsidR="00870248" w:rsidRPr="00121123" w:rsidRDefault="00870248" w:rsidP="007A3A03">
      <w:pPr>
        <w:keepLines w:val="0"/>
        <w:tabs>
          <w:tab w:val="clear" w:pos="567"/>
        </w:tabs>
        <w:ind w:right="-29"/>
        <w:rPr>
          <w:noProof w:val="0"/>
        </w:rPr>
      </w:pPr>
    </w:p>
    <w:p w14:paraId="1A5E22D0" w14:textId="77777777" w:rsidR="00870248" w:rsidRPr="00121123" w:rsidRDefault="00870248" w:rsidP="007A3A03">
      <w:pPr>
        <w:keepLines w:val="0"/>
        <w:tabs>
          <w:tab w:val="clear" w:pos="567"/>
        </w:tabs>
        <w:ind w:right="-29"/>
        <w:rPr>
          <w:noProof w:val="0"/>
        </w:rPr>
      </w:pPr>
    </w:p>
    <w:p w14:paraId="286A3A3D" w14:textId="77777777" w:rsidR="00870248" w:rsidRPr="00121123" w:rsidRDefault="00870248" w:rsidP="007A3A03">
      <w:pPr>
        <w:rPr>
          <w:b/>
          <w:noProof w:val="0"/>
        </w:rPr>
      </w:pPr>
      <w:r w:rsidRPr="00121123">
        <w:rPr>
          <w:b/>
          <w:noProof w:val="0"/>
        </w:rPr>
        <w:t>5.</w:t>
      </w:r>
      <w:r w:rsidRPr="00121123">
        <w:rPr>
          <w:b/>
          <w:noProof w:val="0"/>
        </w:rPr>
        <w:tab/>
      </w:r>
      <w:r w:rsidR="002C2C3F" w:rsidRPr="00121123">
        <w:rPr>
          <w:b/>
          <w:noProof w:val="0"/>
        </w:rPr>
        <w:t xml:space="preserve">Ako uchovávať </w:t>
      </w:r>
      <w:r w:rsidR="00964F97">
        <w:rPr>
          <w:b/>
          <w:noProof w:val="0"/>
        </w:rPr>
        <w:t>Tigecycline Accord</w:t>
      </w:r>
    </w:p>
    <w:p w14:paraId="0E49043D" w14:textId="77777777" w:rsidR="00870248" w:rsidRPr="00121123" w:rsidRDefault="00870248" w:rsidP="007A3A03">
      <w:pPr>
        <w:keepLines w:val="0"/>
        <w:tabs>
          <w:tab w:val="clear" w:pos="567"/>
        </w:tabs>
        <w:ind w:right="-29"/>
        <w:rPr>
          <w:noProof w:val="0"/>
        </w:rPr>
      </w:pPr>
    </w:p>
    <w:p w14:paraId="223455FA" w14:textId="77777777" w:rsidR="00870248" w:rsidRPr="00121123" w:rsidRDefault="00DF3EFE" w:rsidP="007A3A03">
      <w:pPr>
        <w:tabs>
          <w:tab w:val="clear" w:pos="567"/>
        </w:tabs>
        <w:rPr>
          <w:noProof w:val="0"/>
        </w:rPr>
      </w:pPr>
      <w:r w:rsidRPr="00121123">
        <w:rPr>
          <w:noProof w:val="0"/>
        </w:rPr>
        <w:t xml:space="preserve">Tento liek uchovávajte </w:t>
      </w:r>
      <w:r w:rsidR="00870248" w:rsidRPr="00121123">
        <w:rPr>
          <w:noProof w:val="0"/>
        </w:rPr>
        <w:t>mimo dohľadu</w:t>
      </w:r>
      <w:r w:rsidR="002C2C3F" w:rsidRPr="00121123">
        <w:rPr>
          <w:noProof w:val="0"/>
        </w:rPr>
        <w:t xml:space="preserve"> a dosahu</w:t>
      </w:r>
      <w:r w:rsidR="00870248" w:rsidRPr="00121123">
        <w:rPr>
          <w:noProof w:val="0"/>
        </w:rPr>
        <w:t xml:space="preserve"> detí.</w:t>
      </w:r>
    </w:p>
    <w:p w14:paraId="4CD32C0A" w14:textId="77777777" w:rsidR="00870248" w:rsidRPr="00121123" w:rsidRDefault="00870248" w:rsidP="007A3A03">
      <w:pPr>
        <w:keepLines w:val="0"/>
        <w:tabs>
          <w:tab w:val="clear" w:pos="567"/>
        </w:tabs>
        <w:ind w:right="-29"/>
        <w:rPr>
          <w:noProof w:val="0"/>
        </w:rPr>
      </w:pPr>
    </w:p>
    <w:p w14:paraId="5C4D5BC4" w14:textId="77777777" w:rsidR="00870248" w:rsidRPr="00121123" w:rsidRDefault="00535F82" w:rsidP="007A3A03">
      <w:pPr>
        <w:keepLines w:val="0"/>
        <w:tabs>
          <w:tab w:val="clear" w:pos="567"/>
        </w:tabs>
        <w:ind w:right="-29"/>
        <w:rPr>
          <w:noProof w:val="0"/>
        </w:rPr>
      </w:pPr>
      <w:r w:rsidRPr="00535F82">
        <w:rPr>
          <w:noProof w:val="0"/>
        </w:rPr>
        <w:t>Tento liek nevyžaduje žiadne zvláštne podmienky na uchovávanie</w:t>
      </w:r>
      <w:r>
        <w:rPr>
          <w:noProof w:val="0"/>
        </w:rPr>
        <w:t>.</w:t>
      </w:r>
      <w:r w:rsidR="00870248" w:rsidRPr="00121123">
        <w:rPr>
          <w:noProof w:val="0"/>
        </w:rPr>
        <w:t xml:space="preserve"> </w:t>
      </w:r>
    </w:p>
    <w:p w14:paraId="1EC649C5" w14:textId="77777777" w:rsidR="00F762DC" w:rsidRPr="00121123" w:rsidRDefault="00870248" w:rsidP="007A3A03">
      <w:pPr>
        <w:keepLines w:val="0"/>
        <w:tabs>
          <w:tab w:val="clear" w:pos="567"/>
        </w:tabs>
        <w:ind w:right="-29"/>
        <w:rPr>
          <w:b/>
          <w:bCs/>
          <w:noProof w:val="0"/>
        </w:rPr>
      </w:pPr>
      <w:r w:rsidRPr="00121123">
        <w:rPr>
          <w:noProof w:val="0"/>
        </w:rPr>
        <w:t xml:space="preserve">Nepoužívajte </w:t>
      </w:r>
      <w:r w:rsidR="002C2C3F" w:rsidRPr="00121123">
        <w:rPr>
          <w:noProof w:val="0"/>
        </w:rPr>
        <w:t xml:space="preserve">tento liek </w:t>
      </w:r>
      <w:r w:rsidRPr="00121123">
        <w:rPr>
          <w:noProof w:val="0"/>
        </w:rPr>
        <w:t xml:space="preserve">po dátume exspirácie, ktorý je uvedený na injekčnej liekovke. </w:t>
      </w:r>
      <w:r w:rsidR="002C2C3F" w:rsidRPr="00121123">
        <w:rPr>
          <w:noProof w:val="0"/>
        </w:rPr>
        <w:t>Doba použiteľnosti sa vzťahuje na posledný deň tohto mesiaca.</w:t>
      </w:r>
    </w:p>
    <w:p w14:paraId="3808BCB2" w14:textId="77777777" w:rsidR="00F762DC" w:rsidRPr="00121123" w:rsidRDefault="00F762DC" w:rsidP="007A3A03">
      <w:pPr>
        <w:keepLines w:val="0"/>
        <w:tabs>
          <w:tab w:val="clear" w:pos="567"/>
        </w:tabs>
        <w:ind w:right="-29"/>
        <w:rPr>
          <w:b/>
          <w:bCs/>
          <w:noProof w:val="0"/>
        </w:rPr>
      </w:pPr>
    </w:p>
    <w:p w14:paraId="423BBFFF" w14:textId="77777777" w:rsidR="00870248" w:rsidRPr="00121123" w:rsidRDefault="00870248" w:rsidP="007A3A03">
      <w:pPr>
        <w:keepLines w:val="0"/>
        <w:tabs>
          <w:tab w:val="clear" w:pos="567"/>
        </w:tabs>
        <w:ind w:right="-29"/>
        <w:rPr>
          <w:b/>
          <w:bCs/>
          <w:noProof w:val="0"/>
        </w:rPr>
      </w:pPr>
      <w:r w:rsidRPr="00121123">
        <w:rPr>
          <w:b/>
          <w:bCs/>
          <w:noProof w:val="0"/>
        </w:rPr>
        <w:t>Uchovávanie po príprave</w:t>
      </w:r>
    </w:p>
    <w:p w14:paraId="0941707B" w14:textId="77777777" w:rsidR="00427E3C" w:rsidRPr="00121123" w:rsidRDefault="00427E3C" w:rsidP="007A3A03">
      <w:pPr>
        <w:keepLines w:val="0"/>
        <w:tabs>
          <w:tab w:val="clear" w:pos="567"/>
        </w:tabs>
        <w:ind w:right="-29"/>
        <w:rPr>
          <w:b/>
          <w:bCs/>
          <w:noProof w:val="0"/>
        </w:rPr>
      </w:pPr>
    </w:p>
    <w:p w14:paraId="2E84E62B" w14:textId="77777777" w:rsidR="00B34FA0" w:rsidRDefault="00B34FA0" w:rsidP="00B34FA0">
      <w:pPr>
        <w:keepLines w:val="0"/>
        <w:tabs>
          <w:tab w:val="clear" w:pos="567"/>
        </w:tabs>
        <w:ind w:right="-29"/>
        <w:rPr>
          <w:noProof w:val="0"/>
        </w:rPr>
      </w:pPr>
      <w:r>
        <w:rPr>
          <w:noProof w:val="0"/>
        </w:rPr>
        <w:t xml:space="preserve">Rekonštituovaný roztok: Chemická a fyzikálna stabilita </w:t>
      </w:r>
      <w:r w:rsidR="00A45A61" w:rsidRPr="00A45A61">
        <w:rPr>
          <w:noProof w:val="0"/>
        </w:rPr>
        <w:t>po otvorení</w:t>
      </w:r>
      <w:r>
        <w:rPr>
          <w:noProof w:val="0"/>
        </w:rPr>
        <w:t xml:space="preserve"> bola preukázaná počas 6 hodín pri teplote 20–25 °C. Z mikrobiologického hľadiska </w:t>
      </w:r>
      <w:r w:rsidR="00CC2000">
        <w:rPr>
          <w:noProof w:val="0"/>
        </w:rPr>
        <w:t xml:space="preserve">sa má </w:t>
      </w:r>
      <w:r>
        <w:rPr>
          <w:noProof w:val="0"/>
        </w:rPr>
        <w:t>liek použiť okamžite. Ak sa nepoužije okamžite, za čas a podmienky uchovávania</w:t>
      </w:r>
      <w:r w:rsidR="00A45A61" w:rsidRPr="00A45A61">
        <w:t xml:space="preserve"> </w:t>
      </w:r>
      <w:r>
        <w:rPr>
          <w:noProof w:val="0"/>
        </w:rPr>
        <w:t xml:space="preserve">pred použitím zodpovedá používateľ. Spravidla sa nesmie uchovávať dlhšie ako vyššie uvedená doba chemickej a fyzikálnej stability po otvorení. </w:t>
      </w:r>
    </w:p>
    <w:p w14:paraId="3B7EBE09" w14:textId="77777777" w:rsidR="00B34FA0" w:rsidRDefault="00B34FA0" w:rsidP="00B34FA0">
      <w:pPr>
        <w:keepLines w:val="0"/>
        <w:tabs>
          <w:tab w:val="clear" w:pos="567"/>
        </w:tabs>
        <w:ind w:right="-29"/>
        <w:rPr>
          <w:noProof w:val="0"/>
        </w:rPr>
      </w:pPr>
    </w:p>
    <w:p w14:paraId="084D44E0" w14:textId="77777777" w:rsidR="00870248" w:rsidRPr="00121123" w:rsidRDefault="00B34FA0" w:rsidP="00B34FA0">
      <w:pPr>
        <w:keepLines w:val="0"/>
        <w:tabs>
          <w:tab w:val="clear" w:pos="567"/>
        </w:tabs>
        <w:ind w:right="-29"/>
        <w:rPr>
          <w:noProof w:val="0"/>
        </w:rPr>
      </w:pPr>
      <w:r>
        <w:rPr>
          <w:noProof w:val="0"/>
        </w:rPr>
        <w:t xml:space="preserve">Zriedený roztok: Chemická a fyzikálna stabilita </w:t>
      </w:r>
      <w:r w:rsidR="00A45A61" w:rsidRPr="00A45A61">
        <w:rPr>
          <w:noProof w:val="0"/>
        </w:rPr>
        <w:t xml:space="preserve">po otvorení </w:t>
      </w:r>
      <w:r>
        <w:rPr>
          <w:noProof w:val="0"/>
        </w:rPr>
        <w:t xml:space="preserve">bola preukázaná počas 24 hodín pri teplote 20–25 °C a 48 hodín pri teplote 2–8 °C. Z mikrobiologického hľadiska </w:t>
      </w:r>
      <w:r w:rsidR="00CC2000">
        <w:rPr>
          <w:noProof w:val="0"/>
        </w:rPr>
        <w:t>sa má</w:t>
      </w:r>
      <w:r>
        <w:rPr>
          <w:noProof w:val="0"/>
        </w:rPr>
        <w:t>liek použiť okamžite. Ak sa nepoužije okamžite, za čas a podmienky uchovávania pred použitím zodpovedá používateľ. Spravidla sa nesmie uchovávať dlhšie ako vyššie uvedená doba chemickej a fyzikálnej stability po otvorení.</w:t>
      </w:r>
    </w:p>
    <w:p w14:paraId="1758048B" w14:textId="77777777" w:rsidR="00870248" w:rsidRPr="00121123" w:rsidRDefault="00870248" w:rsidP="007A3A03">
      <w:pPr>
        <w:rPr>
          <w:noProof w:val="0"/>
        </w:rPr>
      </w:pPr>
    </w:p>
    <w:p w14:paraId="26B300B2" w14:textId="77777777" w:rsidR="002C2C3F" w:rsidRPr="00121123" w:rsidRDefault="002C2C3F" w:rsidP="007A3A03">
      <w:pPr>
        <w:keepLines w:val="0"/>
        <w:rPr>
          <w:noProof w:val="0"/>
        </w:rPr>
      </w:pPr>
      <w:r w:rsidRPr="00121123">
        <w:rPr>
          <w:noProof w:val="0"/>
        </w:rPr>
        <w:lastRenderedPageBreak/>
        <w:t xml:space="preserve">Roztok </w:t>
      </w:r>
      <w:r w:rsidR="00964F97">
        <w:rPr>
          <w:noProof w:val="0"/>
        </w:rPr>
        <w:t>lieku Tigecycline Accord</w:t>
      </w:r>
      <w:r w:rsidRPr="00121123">
        <w:rPr>
          <w:noProof w:val="0"/>
        </w:rPr>
        <w:t xml:space="preserve"> má byť po zriedení žltej až oranžovej farby. Ak nie je, roztok sa má zlikvidovať.</w:t>
      </w:r>
    </w:p>
    <w:p w14:paraId="3C2E68FB" w14:textId="77777777" w:rsidR="002C2C3F" w:rsidRPr="00121123" w:rsidRDefault="002C2C3F" w:rsidP="007A3A03">
      <w:pPr>
        <w:rPr>
          <w:noProof w:val="0"/>
        </w:rPr>
      </w:pPr>
    </w:p>
    <w:p w14:paraId="5B7E477D" w14:textId="77777777" w:rsidR="00731897" w:rsidRPr="00121123" w:rsidRDefault="00731897" w:rsidP="007A3A03">
      <w:pPr>
        <w:numPr>
          <w:ilvl w:val="12"/>
          <w:numId w:val="0"/>
        </w:numPr>
        <w:ind w:right="-2"/>
        <w:rPr>
          <w:noProof w:val="0"/>
        </w:rPr>
      </w:pPr>
      <w:r w:rsidRPr="00121123">
        <w:rPr>
          <w:noProof w:val="0"/>
        </w:rPr>
        <w:t>Nelikvidujte lieky odpadovou vodou alebo domovým odpadom. Nepoužitý liek vráťte do lekárne. Tieto opatrenia pomôžu chrániť životné prostredie.</w:t>
      </w:r>
    </w:p>
    <w:p w14:paraId="16896C3E" w14:textId="77777777" w:rsidR="00870248" w:rsidRPr="00121123" w:rsidRDefault="00870248" w:rsidP="007A3A03">
      <w:pPr>
        <w:rPr>
          <w:noProof w:val="0"/>
        </w:rPr>
      </w:pPr>
    </w:p>
    <w:p w14:paraId="310A343B" w14:textId="77777777" w:rsidR="00731897" w:rsidRPr="00121123" w:rsidRDefault="00731897" w:rsidP="007A3A03">
      <w:pPr>
        <w:rPr>
          <w:noProof w:val="0"/>
        </w:rPr>
      </w:pPr>
    </w:p>
    <w:p w14:paraId="6F828DA1" w14:textId="77777777" w:rsidR="00870248" w:rsidRPr="00121123" w:rsidRDefault="00870248" w:rsidP="007A3A03">
      <w:pPr>
        <w:keepNext/>
        <w:rPr>
          <w:b/>
          <w:noProof w:val="0"/>
        </w:rPr>
      </w:pPr>
      <w:r w:rsidRPr="00121123">
        <w:rPr>
          <w:b/>
          <w:noProof w:val="0"/>
        </w:rPr>
        <w:t>6.</w:t>
      </w:r>
      <w:r w:rsidRPr="00121123">
        <w:rPr>
          <w:b/>
          <w:noProof w:val="0"/>
        </w:rPr>
        <w:tab/>
      </w:r>
      <w:r w:rsidR="002C2C3F" w:rsidRPr="00121123">
        <w:rPr>
          <w:b/>
          <w:bCs/>
          <w:noProof w:val="0"/>
        </w:rPr>
        <w:t>Obsah balenia a </w:t>
      </w:r>
      <w:r w:rsidR="002C2C3F" w:rsidRPr="00121123">
        <w:rPr>
          <w:b/>
          <w:noProof w:val="0"/>
        </w:rPr>
        <w:t>ďalšie informácie</w:t>
      </w:r>
    </w:p>
    <w:p w14:paraId="7E803D4A" w14:textId="77777777" w:rsidR="00870248" w:rsidRPr="00121123" w:rsidRDefault="00870248" w:rsidP="007A3A03">
      <w:pPr>
        <w:keepNext/>
        <w:keepLines w:val="0"/>
        <w:rPr>
          <w:noProof w:val="0"/>
          <w:u w:val="words"/>
        </w:rPr>
      </w:pPr>
    </w:p>
    <w:p w14:paraId="18BC3DFD" w14:textId="77777777" w:rsidR="00870248" w:rsidRPr="00121123" w:rsidRDefault="00870248" w:rsidP="007A3A03">
      <w:pPr>
        <w:keepNext/>
        <w:rPr>
          <w:b/>
          <w:noProof w:val="0"/>
        </w:rPr>
      </w:pPr>
      <w:r w:rsidRPr="00121123">
        <w:rPr>
          <w:b/>
          <w:noProof w:val="0"/>
        </w:rPr>
        <w:t xml:space="preserve">Čo </w:t>
      </w:r>
      <w:r w:rsidR="00964F97">
        <w:rPr>
          <w:b/>
          <w:noProof w:val="0"/>
        </w:rPr>
        <w:t>Tigecycline Accord</w:t>
      </w:r>
      <w:r w:rsidRPr="00121123">
        <w:rPr>
          <w:b/>
          <w:noProof w:val="0"/>
        </w:rPr>
        <w:t xml:space="preserve"> obsahuje</w:t>
      </w:r>
    </w:p>
    <w:p w14:paraId="08A2E15D" w14:textId="77777777" w:rsidR="00427E3C" w:rsidRPr="00121123" w:rsidRDefault="00427E3C" w:rsidP="007A3A03">
      <w:pPr>
        <w:keepNext/>
        <w:rPr>
          <w:b/>
          <w:noProof w:val="0"/>
        </w:rPr>
      </w:pPr>
    </w:p>
    <w:p w14:paraId="6BAC6714" w14:textId="77777777" w:rsidR="00870248" w:rsidRPr="00121123" w:rsidRDefault="00870248" w:rsidP="007A3A03">
      <w:pPr>
        <w:keepNext/>
        <w:keepLines w:val="0"/>
        <w:rPr>
          <w:noProof w:val="0"/>
        </w:rPr>
      </w:pPr>
      <w:r w:rsidRPr="00121123">
        <w:rPr>
          <w:noProof w:val="0"/>
        </w:rPr>
        <w:t>Liečivo je tigecyklín. Každá injekčná liekovka obsahuje 50 mg tigecyklínu.</w:t>
      </w:r>
    </w:p>
    <w:p w14:paraId="4FFB503E" w14:textId="77777777" w:rsidR="00870248" w:rsidRPr="00121123" w:rsidRDefault="00870248" w:rsidP="007A3A03">
      <w:pPr>
        <w:keepNext/>
        <w:keepLines w:val="0"/>
        <w:rPr>
          <w:noProof w:val="0"/>
        </w:rPr>
      </w:pPr>
    </w:p>
    <w:p w14:paraId="77423C9A" w14:textId="77777777" w:rsidR="00870248" w:rsidRPr="00121123" w:rsidRDefault="00870248" w:rsidP="007A3A03">
      <w:pPr>
        <w:keepLines w:val="0"/>
        <w:rPr>
          <w:noProof w:val="0"/>
        </w:rPr>
      </w:pPr>
      <w:r w:rsidRPr="00121123">
        <w:rPr>
          <w:noProof w:val="0"/>
        </w:rPr>
        <w:t xml:space="preserve">Ďalšie zložky sú monohydrát </w:t>
      </w:r>
      <w:r w:rsidR="00B34FA0">
        <w:rPr>
          <w:noProof w:val="0"/>
        </w:rPr>
        <w:t>maltózy</w:t>
      </w:r>
      <w:r w:rsidRPr="00121123">
        <w:rPr>
          <w:noProof w:val="0"/>
        </w:rPr>
        <w:t>, kyselina chlorovodíková a hydroxid sodný.</w:t>
      </w:r>
    </w:p>
    <w:p w14:paraId="431BD73B" w14:textId="77777777" w:rsidR="00870248" w:rsidRPr="00121123" w:rsidRDefault="00870248" w:rsidP="007A3A03">
      <w:pPr>
        <w:keepLines w:val="0"/>
        <w:rPr>
          <w:noProof w:val="0"/>
        </w:rPr>
      </w:pPr>
    </w:p>
    <w:p w14:paraId="1E1CD2DE" w14:textId="77777777" w:rsidR="00870248" w:rsidRPr="00121123" w:rsidRDefault="00870248" w:rsidP="007A3A03">
      <w:pPr>
        <w:rPr>
          <w:b/>
          <w:noProof w:val="0"/>
        </w:rPr>
      </w:pPr>
      <w:r w:rsidRPr="00121123">
        <w:rPr>
          <w:b/>
          <w:noProof w:val="0"/>
        </w:rPr>
        <w:t xml:space="preserve">Ako vyzerá </w:t>
      </w:r>
      <w:r w:rsidR="00964F97">
        <w:rPr>
          <w:b/>
          <w:noProof w:val="0"/>
        </w:rPr>
        <w:t>Tigecycline Accord</w:t>
      </w:r>
      <w:r w:rsidRPr="00121123">
        <w:rPr>
          <w:b/>
          <w:noProof w:val="0"/>
        </w:rPr>
        <w:t xml:space="preserve"> a obsah balenia</w:t>
      </w:r>
    </w:p>
    <w:p w14:paraId="52D25FB8" w14:textId="77777777" w:rsidR="007C1937" w:rsidRDefault="00964F97" w:rsidP="007A3A03">
      <w:pPr>
        <w:keepLines w:val="0"/>
        <w:tabs>
          <w:tab w:val="left" w:pos="7560"/>
        </w:tabs>
        <w:rPr>
          <w:noProof w:val="0"/>
        </w:rPr>
      </w:pPr>
      <w:r>
        <w:rPr>
          <w:noProof w:val="0"/>
        </w:rPr>
        <w:t>Tigecycline Accord</w:t>
      </w:r>
      <w:r w:rsidR="00870248" w:rsidRPr="00121123">
        <w:rPr>
          <w:noProof w:val="0"/>
        </w:rPr>
        <w:t xml:space="preserve"> sa dodáva </w:t>
      </w:r>
      <w:r w:rsidR="00BA60BD" w:rsidRPr="00121123">
        <w:rPr>
          <w:noProof w:val="0"/>
        </w:rPr>
        <w:t xml:space="preserve">ako prášok na infúzny roztok </w:t>
      </w:r>
      <w:r w:rsidR="00870248" w:rsidRPr="00121123">
        <w:rPr>
          <w:noProof w:val="0"/>
        </w:rPr>
        <w:t xml:space="preserve">v injekčnej liekovke a pred rozpustením vyzerá ako oranžový prášok alebo koláč. Tieto injekčné liekovky sa dodávajú do nemocnice v baleniach </w:t>
      </w:r>
      <w:r w:rsidR="00BA60BD" w:rsidRPr="00121123">
        <w:rPr>
          <w:noProof w:val="0"/>
        </w:rPr>
        <w:t xml:space="preserve">obsahujúcich </w:t>
      </w:r>
      <w:r w:rsidR="00B34FA0">
        <w:rPr>
          <w:noProof w:val="0"/>
        </w:rPr>
        <w:t>jednu injekčnú liekovku a </w:t>
      </w:r>
      <w:r w:rsidR="00941DA7" w:rsidRPr="00941DA7">
        <w:rPr>
          <w:noProof w:val="0"/>
        </w:rPr>
        <w:t xml:space="preserve">baleniach obsahujúcich </w:t>
      </w:r>
      <w:r w:rsidR="00B34FA0">
        <w:rPr>
          <w:noProof w:val="0"/>
        </w:rPr>
        <w:t>desať injekčných liekoviek</w:t>
      </w:r>
      <w:r w:rsidR="00870248" w:rsidRPr="00121123">
        <w:rPr>
          <w:noProof w:val="0"/>
        </w:rPr>
        <w:t xml:space="preserve">. </w:t>
      </w:r>
      <w:r w:rsidR="007C1937" w:rsidRPr="007C1937">
        <w:rPr>
          <w:noProof w:val="0"/>
        </w:rPr>
        <w:t>Na trh nemusia byť všetky veľkosti balenia.</w:t>
      </w:r>
    </w:p>
    <w:p w14:paraId="6BAF0436" w14:textId="77777777" w:rsidR="007C1937" w:rsidRDefault="007C1937" w:rsidP="007A3A03">
      <w:pPr>
        <w:keepLines w:val="0"/>
        <w:tabs>
          <w:tab w:val="left" w:pos="7560"/>
        </w:tabs>
        <w:rPr>
          <w:noProof w:val="0"/>
        </w:rPr>
      </w:pPr>
    </w:p>
    <w:p w14:paraId="34417AD0" w14:textId="77777777" w:rsidR="00870248" w:rsidRPr="00121123" w:rsidRDefault="00870248" w:rsidP="007A3A03">
      <w:pPr>
        <w:keepLines w:val="0"/>
        <w:tabs>
          <w:tab w:val="left" w:pos="7560"/>
        </w:tabs>
        <w:rPr>
          <w:noProof w:val="0"/>
        </w:rPr>
      </w:pPr>
      <w:r w:rsidRPr="00121123">
        <w:rPr>
          <w:noProof w:val="0"/>
        </w:rPr>
        <w:t>Prášok sa má v injekčnej liekovke</w:t>
      </w:r>
      <w:r w:rsidR="005F16ED" w:rsidRPr="00121123">
        <w:rPr>
          <w:noProof w:val="0"/>
        </w:rPr>
        <w:t xml:space="preserve"> zmiešať s </w:t>
      </w:r>
      <w:r w:rsidRPr="00121123">
        <w:rPr>
          <w:noProof w:val="0"/>
        </w:rPr>
        <w:t>mal</w:t>
      </w:r>
      <w:r w:rsidR="005F16ED" w:rsidRPr="00121123">
        <w:rPr>
          <w:noProof w:val="0"/>
        </w:rPr>
        <w:t>ým</w:t>
      </w:r>
      <w:r w:rsidRPr="00121123">
        <w:rPr>
          <w:noProof w:val="0"/>
        </w:rPr>
        <w:t xml:space="preserve"> množstv</w:t>
      </w:r>
      <w:r w:rsidR="005F16ED" w:rsidRPr="00121123">
        <w:rPr>
          <w:noProof w:val="0"/>
        </w:rPr>
        <w:t>om</w:t>
      </w:r>
      <w:r w:rsidRPr="00121123">
        <w:rPr>
          <w:noProof w:val="0"/>
        </w:rPr>
        <w:t xml:space="preserve"> rozpúšťadla. Injekčn</w:t>
      </w:r>
      <w:r w:rsidR="005F16ED" w:rsidRPr="00121123">
        <w:rPr>
          <w:noProof w:val="0"/>
        </w:rPr>
        <w:t>ú</w:t>
      </w:r>
      <w:r w:rsidRPr="00121123">
        <w:rPr>
          <w:noProof w:val="0"/>
        </w:rPr>
        <w:t xml:space="preserve"> liekovk</w:t>
      </w:r>
      <w:r w:rsidR="00F914A6" w:rsidRPr="00121123">
        <w:rPr>
          <w:noProof w:val="0"/>
        </w:rPr>
        <w:t>u</w:t>
      </w:r>
      <w:r w:rsidR="005F16ED" w:rsidRPr="00121123">
        <w:rPr>
          <w:noProof w:val="0"/>
        </w:rPr>
        <w:t xml:space="preserve"> treba </w:t>
      </w:r>
      <w:r w:rsidRPr="00121123">
        <w:rPr>
          <w:noProof w:val="0"/>
        </w:rPr>
        <w:t xml:space="preserve">jemne </w:t>
      </w:r>
      <w:r w:rsidR="00F914A6" w:rsidRPr="00121123">
        <w:rPr>
          <w:noProof w:val="0"/>
        </w:rPr>
        <w:t>otáčať</w:t>
      </w:r>
      <w:r w:rsidRPr="00121123">
        <w:rPr>
          <w:noProof w:val="0"/>
        </w:rPr>
        <w:t>, kým sa liek nerozpustí. Následne sa má roztok ihneď odobrať z injekčnej liekovky a pridať do 100 ml v</w:t>
      </w:r>
      <w:r w:rsidR="00570A55" w:rsidRPr="00121123">
        <w:rPr>
          <w:noProof w:val="0"/>
        </w:rPr>
        <w:t>aku</w:t>
      </w:r>
      <w:r w:rsidRPr="00121123">
        <w:rPr>
          <w:noProof w:val="0"/>
        </w:rPr>
        <w:t xml:space="preserve"> na </w:t>
      </w:r>
      <w:r w:rsidR="005F16ED" w:rsidRPr="00121123">
        <w:rPr>
          <w:noProof w:val="0"/>
        </w:rPr>
        <w:t xml:space="preserve">intravenóznu </w:t>
      </w:r>
      <w:r w:rsidRPr="00121123">
        <w:rPr>
          <w:noProof w:val="0"/>
        </w:rPr>
        <w:t>infúziu alebo do inej vhodnej infúznej nádoby v nemocnici.</w:t>
      </w:r>
    </w:p>
    <w:p w14:paraId="4F114651" w14:textId="77777777" w:rsidR="007C1937" w:rsidRDefault="007C1937" w:rsidP="00F601C5">
      <w:pPr>
        <w:numPr>
          <w:ilvl w:val="12"/>
          <w:numId w:val="0"/>
        </w:numPr>
        <w:tabs>
          <w:tab w:val="clear" w:pos="567"/>
        </w:tabs>
      </w:pPr>
    </w:p>
    <w:p w14:paraId="64C37993" w14:textId="77777777" w:rsidR="007C1937" w:rsidRDefault="007C1937" w:rsidP="00F601C5">
      <w:pPr>
        <w:numPr>
          <w:ilvl w:val="12"/>
          <w:numId w:val="0"/>
        </w:numPr>
        <w:tabs>
          <w:tab w:val="clear" w:pos="567"/>
        </w:tabs>
        <w:rPr>
          <w:rFonts w:eastAsia="Calibri"/>
          <w:b/>
          <w:bCs/>
          <w:noProof w:val="0"/>
        </w:rPr>
      </w:pPr>
      <w:r w:rsidRPr="00B6612A">
        <w:rPr>
          <w:rFonts w:eastAsia="Calibri"/>
          <w:b/>
          <w:bCs/>
          <w:noProof w:val="0"/>
        </w:rPr>
        <w:t>Držiteľ rozhodnutia o</w:t>
      </w:r>
      <w:r>
        <w:rPr>
          <w:rFonts w:eastAsia="Calibri"/>
          <w:b/>
          <w:bCs/>
          <w:noProof w:val="0"/>
        </w:rPr>
        <w:t> </w:t>
      </w:r>
      <w:r w:rsidRPr="00B6612A">
        <w:rPr>
          <w:rFonts w:eastAsia="Calibri"/>
          <w:b/>
          <w:bCs/>
          <w:noProof w:val="0"/>
        </w:rPr>
        <w:t>registrácii</w:t>
      </w:r>
      <w:r>
        <w:rPr>
          <w:rFonts w:eastAsia="Calibri"/>
          <w:b/>
          <w:bCs/>
          <w:noProof w:val="0"/>
        </w:rPr>
        <w:t xml:space="preserve"> a výrobca</w:t>
      </w:r>
    </w:p>
    <w:p w14:paraId="3A1BE8AD" w14:textId="77777777" w:rsidR="007C1937" w:rsidRDefault="007C1937" w:rsidP="00F601C5">
      <w:pPr>
        <w:numPr>
          <w:ilvl w:val="12"/>
          <w:numId w:val="0"/>
        </w:numPr>
        <w:tabs>
          <w:tab w:val="clear" w:pos="567"/>
        </w:tabs>
        <w:rPr>
          <w:rFonts w:eastAsia="Calibri"/>
          <w:b/>
          <w:bCs/>
          <w:noProof w:val="0"/>
        </w:rPr>
      </w:pPr>
    </w:p>
    <w:p w14:paraId="5BB9FA61" w14:textId="77777777" w:rsidR="007C1937" w:rsidRPr="00204637" w:rsidRDefault="007C1937" w:rsidP="007C1937">
      <w:pPr>
        <w:keepNext/>
        <w:numPr>
          <w:ilvl w:val="12"/>
          <w:numId w:val="0"/>
        </w:numPr>
        <w:tabs>
          <w:tab w:val="clear" w:pos="567"/>
        </w:tabs>
        <w:ind w:right="-2"/>
        <w:jc w:val="both"/>
        <w:rPr>
          <w:bCs/>
          <w:u w:val="single"/>
        </w:rPr>
      </w:pPr>
      <w:r w:rsidRPr="007C1937">
        <w:rPr>
          <w:bCs/>
          <w:u w:val="single"/>
        </w:rPr>
        <w:t>Držiteľ rozhodnutia o registrácii</w:t>
      </w:r>
      <w:r w:rsidRPr="00204637">
        <w:rPr>
          <w:bCs/>
          <w:u w:val="single"/>
        </w:rPr>
        <w:t>:</w:t>
      </w:r>
    </w:p>
    <w:p w14:paraId="08C74AA9" w14:textId="77777777" w:rsidR="007C1937" w:rsidRPr="00204637" w:rsidRDefault="007C1937" w:rsidP="007C1937">
      <w:pPr>
        <w:keepNext/>
        <w:rPr>
          <w:sz w:val="24"/>
        </w:rPr>
      </w:pPr>
      <w:r w:rsidRPr="00204637">
        <w:rPr>
          <w:bCs/>
        </w:rPr>
        <w:t xml:space="preserve">Accord Healthcare S.L.U. </w:t>
      </w:r>
    </w:p>
    <w:p w14:paraId="6087ECB1" w14:textId="77777777" w:rsidR="007C1937" w:rsidRPr="00204637" w:rsidRDefault="007C1937" w:rsidP="007C1937">
      <w:r w:rsidRPr="00204637">
        <w:t xml:space="preserve">World Trade Center, </w:t>
      </w:r>
    </w:p>
    <w:p w14:paraId="59901E16" w14:textId="77777777" w:rsidR="007C1937" w:rsidRPr="00204637" w:rsidRDefault="007C1937" w:rsidP="007C1937">
      <w:r w:rsidRPr="00204637">
        <w:t xml:space="preserve">Moll de Barcelona, s/n, </w:t>
      </w:r>
    </w:p>
    <w:p w14:paraId="08DF1F64" w14:textId="77777777" w:rsidR="007C1937" w:rsidRPr="00204637" w:rsidRDefault="007C1937" w:rsidP="007C1937">
      <w:r w:rsidRPr="00204637">
        <w:t xml:space="preserve">Edifici Est 6ª planta, </w:t>
      </w:r>
    </w:p>
    <w:p w14:paraId="72C3FA4B" w14:textId="77777777" w:rsidR="007C1937" w:rsidRPr="00204637" w:rsidRDefault="007C1937" w:rsidP="007C1937">
      <w:pPr>
        <w:numPr>
          <w:ilvl w:val="12"/>
          <w:numId w:val="0"/>
        </w:numPr>
        <w:tabs>
          <w:tab w:val="clear" w:pos="567"/>
        </w:tabs>
        <w:ind w:right="-2"/>
        <w:jc w:val="both"/>
      </w:pPr>
      <w:r w:rsidRPr="00204637">
        <w:t xml:space="preserve">08039 Barcelona, </w:t>
      </w:r>
      <w:r>
        <w:t>Španielsko</w:t>
      </w:r>
    </w:p>
    <w:p w14:paraId="63660D93" w14:textId="77777777" w:rsidR="007C1937" w:rsidRPr="00204637" w:rsidRDefault="007C1937" w:rsidP="007C1937">
      <w:pPr>
        <w:numPr>
          <w:ilvl w:val="12"/>
          <w:numId w:val="0"/>
        </w:numPr>
        <w:tabs>
          <w:tab w:val="clear" w:pos="567"/>
        </w:tabs>
        <w:ind w:right="-2"/>
        <w:jc w:val="both"/>
        <w:rPr>
          <w:b/>
          <w:bCs/>
        </w:rPr>
      </w:pPr>
    </w:p>
    <w:p w14:paraId="5D23A3D5" w14:textId="77777777" w:rsidR="007C1937" w:rsidRPr="00204637" w:rsidRDefault="007C1937" w:rsidP="007C1937">
      <w:pPr>
        <w:numPr>
          <w:ilvl w:val="12"/>
          <w:numId w:val="0"/>
        </w:numPr>
        <w:tabs>
          <w:tab w:val="clear" w:pos="567"/>
        </w:tabs>
        <w:ind w:right="-2"/>
        <w:jc w:val="both"/>
        <w:rPr>
          <w:u w:val="single"/>
        </w:rPr>
      </w:pPr>
      <w:r>
        <w:rPr>
          <w:bCs/>
          <w:u w:val="single"/>
        </w:rPr>
        <w:t>V</w:t>
      </w:r>
      <w:r w:rsidRPr="007C1937">
        <w:rPr>
          <w:bCs/>
          <w:u w:val="single"/>
        </w:rPr>
        <w:t>ýrobcovia</w:t>
      </w:r>
      <w:r w:rsidRPr="00204637">
        <w:rPr>
          <w:bCs/>
          <w:u w:val="single"/>
        </w:rPr>
        <w:t>:</w:t>
      </w:r>
    </w:p>
    <w:p w14:paraId="3B50FDA4" w14:textId="77777777" w:rsidR="007C1937" w:rsidRPr="004F0D0A" w:rsidRDefault="007C1937" w:rsidP="007C1937">
      <w:r w:rsidRPr="004F0D0A">
        <w:t>Accord Healthcare Polska Sp.z o.o.</w:t>
      </w:r>
    </w:p>
    <w:p w14:paraId="2D1F5F8F" w14:textId="77777777" w:rsidR="007C1937" w:rsidRPr="004F0D0A" w:rsidRDefault="007C1937" w:rsidP="007C1937">
      <w:r w:rsidRPr="004F0D0A">
        <w:t xml:space="preserve">ul. Lutomierska 50, </w:t>
      </w:r>
    </w:p>
    <w:p w14:paraId="27A1C8C4" w14:textId="77777777" w:rsidR="007C1937" w:rsidRPr="004F0D0A" w:rsidRDefault="007C1937" w:rsidP="007C1937">
      <w:r w:rsidRPr="004F0D0A">
        <w:t>95-200 Pabianice</w:t>
      </w:r>
    </w:p>
    <w:p w14:paraId="049FDC8D" w14:textId="77777777" w:rsidR="007C1937" w:rsidRPr="004F0D0A" w:rsidRDefault="007C1937" w:rsidP="007C1937">
      <w:r w:rsidRPr="004F0D0A">
        <w:t>Poľsko</w:t>
      </w:r>
    </w:p>
    <w:p w14:paraId="03DCBC6E" w14:textId="77777777" w:rsidR="007C1937" w:rsidRPr="00204637" w:rsidRDefault="007C1937" w:rsidP="007C1937">
      <w:pPr>
        <w:rPr>
          <w:highlight w:val="lightGray"/>
        </w:rPr>
      </w:pPr>
    </w:p>
    <w:p w14:paraId="46358C12" w14:textId="77777777" w:rsidR="007C1937" w:rsidRPr="00204637" w:rsidRDefault="00F22FA7" w:rsidP="007C1937">
      <w:pPr>
        <w:rPr>
          <w:highlight w:val="lightGray"/>
        </w:rPr>
      </w:pPr>
      <w:r>
        <w:rPr>
          <w:highlight w:val="lightGray"/>
        </w:rPr>
        <w:t>alebo</w:t>
      </w:r>
    </w:p>
    <w:p w14:paraId="0F4B6CA7" w14:textId="77777777" w:rsidR="007C1937" w:rsidRPr="00204637" w:rsidRDefault="007C1937" w:rsidP="007C1937">
      <w:pPr>
        <w:keepNext/>
        <w:outlineLvl w:val="2"/>
        <w:rPr>
          <w:bCs/>
          <w:highlight w:val="lightGray"/>
        </w:rPr>
      </w:pPr>
      <w:r w:rsidRPr="00204637">
        <w:rPr>
          <w:bCs/>
          <w:highlight w:val="lightGray"/>
        </w:rPr>
        <w:t>Laboratori Fundació Dau</w:t>
      </w:r>
    </w:p>
    <w:p w14:paraId="5B93FB8A" w14:textId="77777777" w:rsidR="007C1937" w:rsidRPr="00204637" w:rsidRDefault="007C1937" w:rsidP="007C1937">
      <w:pPr>
        <w:keepNext/>
        <w:outlineLvl w:val="2"/>
        <w:rPr>
          <w:bCs/>
          <w:highlight w:val="lightGray"/>
        </w:rPr>
      </w:pPr>
      <w:r w:rsidRPr="00204637">
        <w:rPr>
          <w:bCs/>
          <w:highlight w:val="lightGray"/>
        </w:rPr>
        <w:t>C/ C, 12-14 Pol. Ind.</w:t>
      </w:r>
    </w:p>
    <w:p w14:paraId="5725B1CD" w14:textId="77777777" w:rsidR="007C1937" w:rsidRPr="00204637" w:rsidRDefault="007C1937" w:rsidP="007C1937">
      <w:pPr>
        <w:rPr>
          <w:bCs/>
          <w:highlight w:val="lightGray"/>
        </w:rPr>
      </w:pPr>
      <w:r w:rsidRPr="00204637">
        <w:rPr>
          <w:bCs/>
          <w:highlight w:val="lightGray"/>
        </w:rPr>
        <w:t xml:space="preserve">Zona Franca, Barcelona, 08040, </w:t>
      </w:r>
    </w:p>
    <w:p w14:paraId="5C22E90D" w14:textId="3A5E7952" w:rsidR="007C1937" w:rsidRDefault="007C1937" w:rsidP="007C1937">
      <w:pPr>
        <w:numPr>
          <w:ilvl w:val="12"/>
          <w:numId w:val="0"/>
        </w:numPr>
        <w:tabs>
          <w:tab w:val="clear" w:pos="567"/>
        </w:tabs>
        <w:rPr>
          <w:bCs/>
        </w:rPr>
      </w:pPr>
      <w:r w:rsidRPr="007C1937">
        <w:rPr>
          <w:bCs/>
          <w:highlight w:val="lightGray"/>
        </w:rPr>
        <w:t>Španielsko</w:t>
      </w:r>
      <w:r>
        <w:rPr>
          <w:bCs/>
        </w:rPr>
        <w:t xml:space="preserve"> </w:t>
      </w:r>
    </w:p>
    <w:p w14:paraId="55610273" w14:textId="7761000A" w:rsidR="00C23C08" w:rsidRDefault="00C23C08" w:rsidP="007C1937">
      <w:pPr>
        <w:numPr>
          <w:ilvl w:val="12"/>
          <w:numId w:val="0"/>
        </w:numPr>
        <w:tabs>
          <w:tab w:val="clear" w:pos="567"/>
        </w:tabs>
        <w:rPr>
          <w:rFonts w:eastAsia="Calibri"/>
          <w:b/>
          <w:bCs/>
          <w:noProof w:val="0"/>
        </w:rPr>
      </w:pPr>
    </w:p>
    <w:p w14:paraId="343D833E" w14:textId="7B091C0A" w:rsidR="00C23C08" w:rsidRPr="00883FD1" w:rsidRDefault="00C23C08" w:rsidP="00C23C08">
      <w:pPr>
        <w:widowControl w:val="0"/>
        <w:tabs>
          <w:tab w:val="clear" w:pos="567"/>
          <w:tab w:val="left" w:pos="720"/>
        </w:tabs>
        <w:ind w:right="-2"/>
        <w:rPr>
          <w:color w:val="000000"/>
          <w:highlight w:val="lightGray"/>
        </w:rPr>
      </w:pPr>
      <w:r w:rsidRPr="00C23C08">
        <w:rPr>
          <w:highlight w:val="lightGray"/>
        </w:rPr>
        <w:t>alebo</w:t>
      </w:r>
    </w:p>
    <w:p w14:paraId="4B417D37" w14:textId="51473809" w:rsidR="00C23C08" w:rsidRPr="00883FD1" w:rsidRDefault="00C23C08" w:rsidP="00C23C08">
      <w:pPr>
        <w:widowControl w:val="0"/>
        <w:tabs>
          <w:tab w:val="clear" w:pos="567"/>
          <w:tab w:val="left" w:pos="720"/>
        </w:tabs>
        <w:ind w:right="-2"/>
        <w:rPr>
          <w:noProof w:val="0"/>
          <w:color w:val="000000"/>
          <w:highlight w:val="lightGray"/>
        </w:rPr>
      </w:pPr>
      <w:r w:rsidRPr="00883FD1">
        <w:rPr>
          <w:color w:val="000000"/>
          <w:highlight w:val="lightGray"/>
        </w:rPr>
        <w:t xml:space="preserve">Accord Healthcare Single Member S.A. </w:t>
      </w:r>
    </w:p>
    <w:p w14:paraId="2A6D804C" w14:textId="77777777" w:rsidR="00C23C08" w:rsidRPr="00883FD1" w:rsidRDefault="00C23C08" w:rsidP="00C23C08">
      <w:pPr>
        <w:widowControl w:val="0"/>
        <w:tabs>
          <w:tab w:val="clear" w:pos="567"/>
          <w:tab w:val="left" w:pos="720"/>
        </w:tabs>
        <w:ind w:right="-2"/>
        <w:rPr>
          <w:color w:val="000000"/>
          <w:highlight w:val="lightGray"/>
        </w:rPr>
      </w:pPr>
      <w:r w:rsidRPr="00883FD1">
        <w:rPr>
          <w:color w:val="000000"/>
          <w:highlight w:val="lightGray"/>
        </w:rPr>
        <w:t xml:space="preserve">64th Km National Road Athens, </w:t>
      </w:r>
    </w:p>
    <w:p w14:paraId="5F4B8501" w14:textId="54590F85" w:rsidR="00C23C08" w:rsidRPr="00883FD1" w:rsidRDefault="00C23C08" w:rsidP="00883FD1">
      <w:pPr>
        <w:widowControl w:val="0"/>
        <w:tabs>
          <w:tab w:val="clear" w:pos="567"/>
          <w:tab w:val="left" w:pos="720"/>
        </w:tabs>
        <w:ind w:right="-2"/>
        <w:rPr>
          <w:color w:val="000000"/>
        </w:rPr>
      </w:pPr>
      <w:r w:rsidRPr="00883FD1">
        <w:rPr>
          <w:color w:val="000000"/>
          <w:highlight w:val="lightGray"/>
        </w:rPr>
        <w:t>Lamia, Schimatari, 32009, Grécko</w:t>
      </w:r>
    </w:p>
    <w:p w14:paraId="425380EC" w14:textId="77777777" w:rsidR="007C1937" w:rsidRDefault="007C1937" w:rsidP="00F601C5">
      <w:pPr>
        <w:numPr>
          <w:ilvl w:val="12"/>
          <w:numId w:val="0"/>
        </w:numPr>
        <w:tabs>
          <w:tab w:val="clear" w:pos="567"/>
        </w:tabs>
        <w:rPr>
          <w:noProof w:val="0"/>
        </w:rPr>
      </w:pPr>
    </w:p>
    <w:p w14:paraId="3363A3BE" w14:textId="77777777" w:rsidR="004630CB" w:rsidRDefault="004630CB" w:rsidP="004630CB">
      <w:pPr>
        <w:tabs>
          <w:tab w:val="clear" w:pos="567"/>
        </w:tabs>
      </w:pPr>
      <w:r w:rsidRPr="00D00A3B">
        <w:t xml:space="preserve">Ak potrebujete akúkoľvek informáciu o tomto lieku, kontaktujte </w:t>
      </w:r>
      <w:r w:rsidRPr="00931FA9">
        <w:t xml:space="preserve">miestneho zástupcu </w:t>
      </w:r>
      <w:r w:rsidRPr="00D00A3B">
        <w:t>držiteľa rozhodnutia o registrácii</w:t>
      </w:r>
      <w:r>
        <w:t>:</w:t>
      </w:r>
    </w:p>
    <w:p w14:paraId="6101B466" w14:textId="77777777" w:rsidR="004630CB" w:rsidRDefault="004630CB" w:rsidP="00F601C5">
      <w:pPr>
        <w:numPr>
          <w:ilvl w:val="12"/>
          <w:numId w:val="0"/>
        </w:numPr>
        <w:tabs>
          <w:tab w:val="clear" w:pos="567"/>
        </w:tabs>
        <w:rPr>
          <w:b/>
          <w:bCs/>
          <w:noProof w:val="0"/>
        </w:rPr>
      </w:pPr>
    </w:p>
    <w:p w14:paraId="68F915C8" w14:textId="77777777" w:rsidR="004630CB" w:rsidRDefault="004630CB" w:rsidP="004630CB">
      <w:pPr>
        <w:pStyle w:val="Default"/>
        <w:rPr>
          <w:sz w:val="22"/>
          <w:szCs w:val="22"/>
        </w:rPr>
      </w:pPr>
      <w:r>
        <w:rPr>
          <w:sz w:val="22"/>
          <w:szCs w:val="22"/>
        </w:rPr>
        <w:t xml:space="preserve">AT / BE / BG / CY / CZ / DE / DK / EE / FI / FR / HR / HU / IE / IS / IT / LT / LV / LU / MT / NL / NO / PT / PL / RO / SE / SI / SK / ES </w:t>
      </w:r>
    </w:p>
    <w:p w14:paraId="36C587A7" w14:textId="77777777" w:rsidR="004630CB" w:rsidRDefault="004630CB" w:rsidP="004630CB">
      <w:pPr>
        <w:pStyle w:val="Default"/>
        <w:rPr>
          <w:sz w:val="22"/>
          <w:szCs w:val="22"/>
        </w:rPr>
      </w:pPr>
    </w:p>
    <w:p w14:paraId="52F1DE05" w14:textId="77777777" w:rsidR="004630CB" w:rsidRDefault="004630CB" w:rsidP="004630CB">
      <w:pPr>
        <w:pStyle w:val="Default"/>
        <w:rPr>
          <w:sz w:val="22"/>
          <w:szCs w:val="22"/>
        </w:rPr>
      </w:pPr>
      <w:proofErr w:type="gramStart"/>
      <w:r>
        <w:rPr>
          <w:sz w:val="22"/>
          <w:szCs w:val="22"/>
        </w:rPr>
        <w:lastRenderedPageBreak/>
        <w:t>Accord</w:t>
      </w:r>
      <w:proofErr w:type="gramEnd"/>
      <w:r>
        <w:rPr>
          <w:sz w:val="22"/>
          <w:szCs w:val="22"/>
        </w:rPr>
        <w:t xml:space="preserve"> Healthcare S.L.U. </w:t>
      </w:r>
    </w:p>
    <w:p w14:paraId="23DF432E" w14:textId="77777777" w:rsidR="004630CB" w:rsidRDefault="004630CB" w:rsidP="004630CB">
      <w:r>
        <w:t xml:space="preserve">Tel: +34 93 301 00 64 </w:t>
      </w:r>
    </w:p>
    <w:p w14:paraId="4720FBA0" w14:textId="77777777" w:rsidR="004630CB" w:rsidRDefault="004630CB" w:rsidP="004630CB"/>
    <w:p w14:paraId="576200A4" w14:textId="77777777" w:rsidR="004630CB" w:rsidRDefault="004630CB" w:rsidP="004630CB">
      <w:pPr>
        <w:pStyle w:val="Default"/>
        <w:rPr>
          <w:sz w:val="22"/>
          <w:szCs w:val="22"/>
        </w:rPr>
      </w:pPr>
      <w:r>
        <w:rPr>
          <w:sz w:val="22"/>
          <w:szCs w:val="22"/>
        </w:rPr>
        <w:t xml:space="preserve">EL </w:t>
      </w:r>
    </w:p>
    <w:p w14:paraId="65BF7369" w14:textId="77777777" w:rsidR="004630CB" w:rsidRDefault="004630CB" w:rsidP="004630CB">
      <w:pPr>
        <w:pStyle w:val="Default"/>
        <w:rPr>
          <w:sz w:val="22"/>
          <w:szCs w:val="22"/>
        </w:rPr>
      </w:pPr>
      <w:r>
        <w:rPr>
          <w:sz w:val="22"/>
          <w:szCs w:val="22"/>
        </w:rPr>
        <w:t>Win Medica A.E.</w:t>
      </w:r>
    </w:p>
    <w:p w14:paraId="08F43409" w14:textId="79EEDBD8" w:rsidR="004630CB" w:rsidRPr="00C23C08" w:rsidRDefault="004630CB" w:rsidP="00C23C08">
      <w:pPr>
        <w:rPr>
          <w:highlight w:val="lightGray"/>
        </w:rPr>
      </w:pPr>
      <w:r>
        <w:t xml:space="preserve">Tel: +30 210 7488 821 </w:t>
      </w:r>
    </w:p>
    <w:p w14:paraId="15B89470" w14:textId="77777777" w:rsidR="004630CB" w:rsidRDefault="004630CB" w:rsidP="00F601C5">
      <w:pPr>
        <w:numPr>
          <w:ilvl w:val="12"/>
          <w:numId w:val="0"/>
        </w:numPr>
        <w:tabs>
          <w:tab w:val="clear" w:pos="567"/>
        </w:tabs>
        <w:rPr>
          <w:b/>
          <w:bCs/>
          <w:noProof w:val="0"/>
        </w:rPr>
      </w:pPr>
    </w:p>
    <w:p w14:paraId="1885B87A" w14:textId="06F8E6BD" w:rsidR="00D33C78" w:rsidRDefault="00D33C78" w:rsidP="00F601C5">
      <w:pPr>
        <w:numPr>
          <w:ilvl w:val="12"/>
          <w:numId w:val="0"/>
        </w:numPr>
        <w:tabs>
          <w:tab w:val="clear" w:pos="567"/>
        </w:tabs>
        <w:rPr>
          <w:noProof w:val="0"/>
        </w:rPr>
      </w:pPr>
      <w:r w:rsidRPr="00301D5C">
        <w:rPr>
          <w:b/>
          <w:bCs/>
          <w:noProof w:val="0"/>
        </w:rPr>
        <w:t>Táto písomná informácia bola naposledy aktualizovaná v</w:t>
      </w:r>
      <w:r w:rsidRPr="00D33C78">
        <w:rPr>
          <w:noProof w:val="0"/>
        </w:rPr>
        <w:t xml:space="preserve"> {MM/RRRR}</w:t>
      </w:r>
      <w:r>
        <w:rPr>
          <w:noProof w:val="0"/>
        </w:rPr>
        <w:t>.</w:t>
      </w:r>
    </w:p>
    <w:p w14:paraId="5D02D285" w14:textId="77777777" w:rsidR="00FD6B01" w:rsidRDefault="00FD6B01" w:rsidP="00F601C5">
      <w:pPr>
        <w:numPr>
          <w:ilvl w:val="12"/>
          <w:numId w:val="0"/>
        </w:numPr>
        <w:tabs>
          <w:tab w:val="clear" w:pos="567"/>
        </w:tabs>
        <w:rPr>
          <w:noProof w:val="0"/>
        </w:rPr>
      </w:pPr>
    </w:p>
    <w:p w14:paraId="50532CFB" w14:textId="77777777" w:rsidR="00FD6B01" w:rsidRDefault="00FD6B01" w:rsidP="00F601C5">
      <w:pPr>
        <w:numPr>
          <w:ilvl w:val="12"/>
          <w:numId w:val="0"/>
        </w:numPr>
        <w:tabs>
          <w:tab w:val="clear" w:pos="567"/>
        </w:tabs>
        <w:rPr>
          <w:b/>
        </w:rPr>
      </w:pPr>
      <w:r w:rsidRPr="00A72672">
        <w:rPr>
          <w:b/>
        </w:rPr>
        <w:t>Ďalšie zdroje informácií</w:t>
      </w:r>
    </w:p>
    <w:p w14:paraId="21F16BE8" w14:textId="77777777" w:rsidR="00301D5C" w:rsidRDefault="00301D5C" w:rsidP="00F601C5">
      <w:pPr>
        <w:numPr>
          <w:ilvl w:val="12"/>
          <w:numId w:val="0"/>
        </w:numPr>
        <w:tabs>
          <w:tab w:val="clear" w:pos="567"/>
        </w:tabs>
        <w:rPr>
          <w:b/>
        </w:rPr>
      </w:pPr>
    </w:p>
    <w:p w14:paraId="45C56B23" w14:textId="65CA93B2" w:rsidR="00FD6B01" w:rsidRDefault="00FD6B01" w:rsidP="00F601C5">
      <w:pPr>
        <w:numPr>
          <w:ilvl w:val="12"/>
          <w:numId w:val="0"/>
        </w:numPr>
        <w:tabs>
          <w:tab w:val="clear" w:pos="567"/>
        </w:tabs>
        <w:rPr>
          <w:b/>
        </w:rPr>
      </w:pPr>
      <w:r w:rsidRPr="00A72672">
        <w:t>Podrobné informácie o</w:t>
      </w:r>
      <w:r>
        <w:t> </w:t>
      </w:r>
      <w:r w:rsidRPr="00BF5AB0">
        <w:t>tomto lieku sú dostupné na internetovej stránke Európskej agentúry pre lieky</w:t>
      </w:r>
      <w:r w:rsidRPr="00085939">
        <w:t xml:space="preserve"> </w:t>
      </w:r>
      <w:r w:rsidRPr="00BF5AB0">
        <w:rPr>
          <w:rStyle w:val="Hypertextovprepojenie1"/>
        </w:rPr>
        <w:t>http</w:t>
      </w:r>
      <w:r w:rsidR="004630CB">
        <w:rPr>
          <w:rStyle w:val="Hypertextovprepojenie1"/>
        </w:rPr>
        <w:t>s</w:t>
      </w:r>
      <w:r w:rsidRPr="00BF5AB0">
        <w:rPr>
          <w:rStyle w:val="Hypertextovprepojenie1"/>
        </w:rPr>
        <w:t>://www.ema.europa.eu</w:t>
      </w:r>
      <w:r>
        <w:rPr>
          <w:rStyle w:val="Hypertextovprepojenie1"/>
        </w:rPr>
        <w:t>/.</w:t>
      </w:r>
    </w:p>
    <w:p w14:paraId="41ABFEF9" w14:textId="77777777" w:rsidR="00FD6B01" w:rsidRDefault="00FD6B01" w:rsidP="00F601C5">
      <w:pPr>
        <w:numPr>
          <w:ilvl w:val="12"/>
          <w:numId w:val="0"/>
        </w:numPr>
        <w:tabs>
          <w:tab w:val="clear" w:pos="567"/>
        </w:tabs>
        <w:rPr>
          <w:noProof w:val="0"/>
        </w:rPr>
      </w:pPr>
    </w:p>
    <w:p w14:paraId="7E616773" w14:textId="77777777" w:rsidR="00870248" w:rsidRPr="00121123" w:rsidRDefault="00756A5E" w:rsidP="00F601C5">
      <w:pPr>
        <w:numPr>
          <w:ilvl w:val="12"/>
          <w:numId w:val="0"/>
        </w:numPr>
        <w:tabs>
          <w:tab w:val="clear" w:pos="567"/>
        </w:tabs>
        <w:rPr>
          <w:b/>
          <w:noProof w:val="0"/>
        </w:rPr>
      </w:pPr>
      <w:r w:rsidRPr="00121123">
        <w:rPr>
          <w:noProof w:val="0"/>
        </w:rPr>
        <w:br w:type="page"/>
      </w:r>
      <w:r w:rsidR="00870248" w:rsidRPr="00121123">
        <w:rPr>
          <w:b/>
          <w:noProof w:val="0"/>
        </w:rPr>
        <w:lastRenderedPageBreak/>
        <w:t>Nasledujúca informácia je určená len pre zdravotníckych pracovníkov:</w:t>
      </w:r>
    </w:p>
    <w:p w14:paraId="79CAB48A" w14:textId="77777777" w:rsidR="00870248" w:rsidRPr="00121123" w:rsidRDefault="00870248" w:rsidP="007A3A03">
      <w:pPr>
        <w:keepNext/>
        <w:numPr>
          <w:ilvl w:val="12"/>
          <w:numId w:val="0"/>
        </w:numPr>
        <w:tabs>
          <w:tab w:val="clear" w:pos="567"/>
        </w:tabs>
        <w:ind w:right="-2"/>
        <w:rPr>
          <w:noProof w:val="0"/>
        </w:rPr>
      </w:pPr>
    </w:p>
    <w:p w14:paraId="707D0572" w14:textId="77777777" w:rsidR="00870248" w:rsidRPr="00121123" w:rsidRDefault="00870248" w:rsidP="007A3A03">
      <w:pPr>
        <w:rPr>
          <w:b/>
          <w:bCs/>
          <w:noProof w:val="0"/>
        </w:rPr>
      </w:pPr>
      <w:r w:rsidRPr="00121123">
        <w:rPr>
          <w:b/>
          <w:noProof w:val="0"/>
        </w:rPr>
        <w:t>Pokyny na použitie a zaobchádzanie s liekom (</w:t>
      </w:r>
      <w:r w:rsidRPr="00121123">
        <w:rPr>
          <w:b/>
          <w:bCs/>
          <w:noProof w:val="0"/>
        </w:rPr>
        <w:t xml:space="preserve">pozri tiež časť </w:t>
      </w:r>
      <w:r w:rsidRPr="00121123">
        <w:rPr>
          <w:b/>
          <w:noProof w:val="0"/>
        </w:rPr>
        <w:t xml:space="preserve">3. </w:t>
      </w:r>
      <w:r w:rsidR="002B7563" w:rsidRPr="00121123">
        <w:rPr>
          <w:b/>
          <w:noProof w:val="0"/>
        </w:rPr>
        <w:t xml:space="preserve">Ako používať </w:t>
      </w:r>
      <w:r w:rsidR="00964F97">
        <w:rPr>
          <w:b/>
          <w:noProof w:val="0"/>
        </w:rPr>
        <w:t>Tigecycline Accord</w:t>
      </w:r>
      <w:r w:rsidR="002B7563" w:rsidRPr="00121123">
        <w:rPr>
          <w:b/>
          <w:noProof w:val="0"/>
        </w:rPr>
        <w:t xml:space="preserve"> </w:t>
      </w:r>
      <w:r w:rsidRPr="00121123">
        <w:rPr>
          <w:b/>
          <w:bCs/>
          <w:noProof w:val="0"/>
        </w:rPr>
        <w:t>v tejto písomnej informácii</w:t>
      </w:r>
      <w:r w:rsidRPr="00121123">
        <w:rPr>
          <w:b/>
          <w:noProof w:val="0"/>
        </w:rPr>
        <w:t>)</w:t>
      </w:r>
    </w:p>
    <w:p w14:paraId="0746D53D" w14:textId="77777777" w:rsidR="00870248" w:rsidRPr="00121123" w:rsidRDefault="00870248" w:rsidP="007A3A03">
      <w:pPr>
        <w:keepNext/>
        <w:tabs>
          <w:tab w:val="clear" w:pos="567"/>
        </w:tabs>
        <w:rPr>
          <w:noProof w:val="0"/>
        </w:rPr>
      </w:pPr>
    </w:p>
    <w:p w14:paraId="436F2B26" w14:textId="77777777" w:rsidR="00870248" w:rsidRPr="00121123" w:rsidRDefault="00FE22A4" w:rsidP="007A3A03">
      <w:pPr>
        <w:tabs>
          <w:tab w:val="clear" w:pos="567"/>
        </w:tabs>
        <w:rPr>
          <w:noProof w:val="0"/>
        </w:rPr>
      </w:pPr>
      <w:r w:rsidRPr="00121123">
        <w:rPr>
          <w:noProof w:val="0"/>
        </w:rPr>
        <w:t>P</w:t>
      </w:r>
      <w:r w:rsidR="00870248" w:rsidRPr="00121123">
        <w:rPr>
          <w:noProof w:val="0"/>
        </w:rPr>
        <w:t xml:space="preserve">rášok sa má </w:t>
      </w:r>
      <w:r w:rsidR="00844967" w:rsidRPr="00121123">
        <w:rPr>
          <w:noProof w:val="0"/>
        </w:rPr>
        <w:t>rekonštituovať</w:t>
      </w:r>
      <w:r w:rsidR="00870248" w:rsidRPr="00121123">
        <w:rPr>
          <w:noProof w:val="0"/>
        </w:rPr>
        <w:t xml:space="preserve"> pomocou 5,3 ml injekčného roztoku </w:t>
      </w:r>
      <w:r w:rsidR="005F16ED" w:rsidRPr="00121123">
        <w:rPr>
          <w:noProof w:val="0"/>
        </w:rPr>
        <w:t xml:space="preserve">chloridu sodného </w:t>
      </w:r>
      <w:r w:rsidR="00870248" w:rsidRPr="00121123">
        <w:rPr>
          <w:noProof w:val="0"/>
        </w:rPr>
        <w:t xml:space="preserve">9 mg/ml </w:t>
      </w:r>
      <w:r w:rsidR="00570A55" w:rsidRPr="00121123">
        <w:rPr>
          <w:noProof w:val="0"/>
        </w:rPr>
        <w:t>(0,9 %)</w:t>
      </w:r>
      <w:r w:rsidR="00683E17" w:rsidRPr="00121123">
        <w:rPr>
          <w:noProof w:val="0"/>
        </w:rPr>
        <w:t>,</w:t>
      </w:r>
      <w:r w:rsidR="00870248" w:rsidRPr="00121123">
        <w:rPr>
          <w:noProof w:val="0"/>
        </w:rPr>
        <w:t xml:space="preserve"> injekčného roztoku </w:t>
      </w:r>
      <w:r w:rsidR="005F16ED" w:rsidRPr="00121123">
        <w:rPr>
          <w:noProof w:val="0"/>
        </w:rPr>
        <w:t xml:space="preserve">glukózy </w:t>
      </w:r>
      <w:r w:rsidR="00870248" w:rsidRPr="00121123">
        <w:rPr>
          <w:noProof w:val="0"/>
        </w:rPr>
        <w:t xml:space="preserve">50 mg/ml </w:t>
      </w:r>
      <w:r w:rsidR="00570A55" w:rsidRPr="00121123">
        <w:rPr>
          <w:noProof w:val="0"/>
        </w:rPr>
        <w:t>(5 %)</w:t>
      </w:r>
      <w:r w:rsidR="00870248" w:rsidRPr="00121123">
        <w:rPr>
          <w:noProof w:val="0"/>
        </w:rPr>
        <w:t xml:space="preserve"> </w:t>
      </w:r>
      <w:r w:rsidR="00570A55" w:rsidRPr="00121123">
        <w:rPr>
          <w:noProof w:val="0"/>
        </w:rPr>
        <w:t>a</w:t>
      </w:r>
      <w:r w:rsidR="00683E17" w:rsidRPr="00121123">
        <w:rPr>
          <w:noProof w:val="0"/>
        </w:rPr>
        <w:t xml:space="preserve">lebo </w:t>
      </w:r>
      <w:r w:rsidR="005F16ED" w:rsidRPr="00121123">
        <w:rPr>
          <w:noProof w:val="0"/>
        </w:rPr>
        <w:t xml:space="preserve">injekčného </w:t>
      </w:r>
      <w:r w:rsidR="00683E17" w:rsidRPr="00121123">
        <w:rPr>
          <w:noProof w:val="0"/>
        </w:rPr>
        <w:t>Ringerov</w:t>
      </w:r>
      <w:r w:rsidR="005F16ED" w:rsidRPr="00121123">
        <w:rPr>
          <w:noProof w:val="0"/>
        </w:rPr>
        <w:t>ho</w:t>
      </w:r>
      <w:r w:rsidR="00683E17" w:rsidRPr="00121123">
        <w:rPr>
          <w:noProof w:val="0"/>
        </w:rPr>
        <w:t xml:space="preserve"> roztok</w:t>
      </w:r>
      <w:r w:rsidR="005F16ED" w:rsidRPr="00121123">
        <w:rPr>
          <w:noProof w:val="0"/>
        </w:rPr>
        <w:t>u</w:t>
      </w:r>
      <w:r w:rsidR="00683E17" w:rsidRPr="00121123">
        <w:rPr>
          <w:noProof w:val="0"/>
        </w:rPr>
        <w:t xml:space="preserve"> s laktátom</w:t>
      </w:r>
      <w:r w:rsidR="00870248" w:rsidRPr="00121123">
        <w:rPr>
          <w:noProof w:val="0"/>
        </w:rPr>
        <w:t xml:space="preserve">, </w:t>
      </w:r>
      <w:r w:rsidR="0099325B" w:rsidRPr="00121123">
        <w:rPr>
          <w:noProof w:val="0"/>
        </w:rPr>
        <w:t xml:space="preserve">aby sa dosiahla </w:t>
      </w:r>
      <w:r w:rsidR="00870248" w:rsidRPr="00121123">
        <w:rPr>
          <w:noProof w:val="0"/>
        </w:rPr>
        <w:t xml:space="preserve">koncentrácia </w:t>
      </w:r>
      <w:r w:rsidR="0099325B" w:rsidRPr="00121123">
        <w:rPr>
          <w:noProof w:val="0"/>
        </w:rPr>
        <w:t xml:space="preserve">tygeciklínu </w:t>
      </w:r>
      <w:r w:rsidR="00870248" w:rsidRPr="00121123">
        <w:rPr>
          <w:noProof w:val="0"/>
        </w:rPr>
        <w:t>10 mg/ml. Injekčn</w:t>
      </w:r>
      <w:r w:rsidR="0099325B" w:rsidRPr="00121123">
        <w:rPr>
          <w:noProof w:val="0"/>
        </w:rPr>
        <w:t>ú</w:t>
      </w:r>
      <w:r w:rsidR="00870248" w:rsidRPr="00121123">
        <w:rPr>
          <w:noProof w:val="0"/>
        </w:rPr>
        <w:t xml:space="preserve"> liekovk</w:t>
      </w:r>
      <w:r w:rsidR="006D34B2" w:rsidRPr="00121123">
        <w:rPr>
          <w:noProof w:val="0"/>
        </w:rPr>
        <w:t>u</w:t>
      </w:r>
      <w:r w:rsidR="00870248" w:rsidRPr="00121123">
        <w:rPr>
          <w:noProof w:val="0"/>
        </w:rPr>
        <w:t xml:space="preserve"> </w:t>
      </w:r>
      <w:r w:rsidR="0099325B" w:rsidRPr="00121123">
        <w:rPr>
          <w:noProof w:val="0"/>
        </w:rPr>
        <w:t>treba</w:t>
      </w:r>
      <w:r w:rsidR="00870248" w:rsidRPr="00121123">
        <w:rPr>
          <w:noProof w:val="0"/>
        </w:rPr>
        <w:t xml:space="preserve"> jemne </w:t>
      </w:r>
      <w:r w:rsidR="006D34B2" w:rsidRPr="00121123">
        <w:rPr>
          <w:noProof w:val="0"/>
        </w:rPr>
        <w:t>otáčať</w:t>
      </w:r>
      <w:r w:rsidR="00870248" w:rsidRPr="00121123">
        <w:rPr>
          <w:noProof w:val="0"/>
        </w:rPr>
        <w:t xml:space="preserve">, kým sa liečivo nerozpustí. Následne sa má 5 ml </w:t>
      </w:r>
      <w:r w:rsidR="00770789" w:rsidRPr="00121123">
        <w:rPr>
          <w:noProof w:val="0"/>
        </w:rPr>
        <w:t>rekonštituovaného</w:t>
      </w:r>
      <w:r w:rsidR="00870248" w:rsidRPr="00121123">
        <w:rPr>
          <w:noProof w:val="0"/>
        </w:rPr>
        <w:t xml:space="preserve"> roztoku ihneď odobrať z injekčnej liekovky a pridať do 100 ml v</w:t>
      </w:r>
      <w:r w:rsidR="00570A55" w:rsidRPr="00121123">
        <w:rPr>
          <w:noProof w:val="0"/>
        </w:rPr>
        <w:t>aku</w:t>
      </w:r>
      <w:r w:rsidR="00870248" w:rsidRPr="00121123">
        <w:rPr>
          <w:noProof w:val="0"/>
        </w:rPr>
        <w:t xml:space="preserve"> na </w:t>
      </w:r>
      <w:r w:rsidR="0099325B" w:rsidRPr="00121123">
        <w:rPr>
          <w:noProof w:val="0"/>
        </w:rPr>
        <w:t xml:space="preserve">intravenóznu </w:t>
      </w:r>
      <w:r w:rsidR="00870248" w:rsidRPr="00121123">
        <w:rPr>
          <w:noProof w:val="0"/>
        </w:rPr>
        <w:t>infúziu alebo do inej vhodnej infúznej nádoby (napr. sklenej fľaše).</w:t>
      </w:r>
    </w:p>
    <w:p w14:paraId="1AD72E2B" w14:textId="77777777" w:rsidR="00870248" w:rsidRPr="00121123" w:rsidRDefault="00870248" w:rsidP="007A3A03">
      <w:pPr>
        <w:tabs>
          <w:tab w:val="clear" w:pos="567"/>
        </w:tabs>
        <w:rPr>
          <w:noProof w:val="0"/>
        </w:rPr>
      </w:pPr>
    </w:p>
    <w:p w14:paraId="4C12E789" w14:textId="77777777" w:rsidR="00870248" w:rsidRPr="00121123" w:rsidRDefault="00870248" w:rsidP="007A3A03">
      <w:pPr>
        <w:tabs>
          <w:tab w:val="clear" w:pos="567"/>
        </w:tabs>
        <w:rPr>
          <w:noProof w:val="0"/>
        </w:rPr>
      </w:pPr>
      <w:r w:rsidRPr="00121123">
        <w:rPr>
          <w:noProof w:val="0"/>
        </w:rPr>
        <w:t xml:space="preserve">Na </w:t>
      </w:r>
      <w:r w:rsidR="00770789" w:rsidRPr="00121123">
        <w:rPr>
          <w:noProof w:val="0"/>
        </w:rPr>
        <w:t>rekonštitúciu</w:t>
      </w:r>
      <w:r w:rsidRPr="00121123">
        <w:rPr>
          <w:noProof w:val="0"/>
        </w:rPr>
        <w:t xml:space="preserve"> dávky 100 mg rozpustite dve injekčné liekovky do 100 ml v</w:t>
      </w:r>
      <w:r w:rsidR="00D506F5" w:rsidRPr="00121123">
        <w:rPr>
          <w:noProof w:val="0"/>
        </w:rPr>
        <w:t>aku</w:t>
      </w:r>
      <w:r w:rsidR="0099325B" w:rsidRPr="00121123">
        <w:rPr>
          <w:noProof w:val="0"/>
        </w:rPr>
        <w:t xml:space="preserve"> na intravenóznu infúziu</w:t>
      </w:r>
      <w:r w:rsidRPr="00121123">
        <w:rPr>
          <w:noProof w:val="0"/>
        </w:rPr>
        <w:t xml:space="preserve"> alebo do inej vhodnej infúznej nádoby (napr. sklenej fľaše).</w:t>
      </w:r>
    </w:p>
    <w:p w14:paraId="0C494A4A" w14:textId="77777777" w:rsidR="00870248" w:rsidRPr="00121123" w:rsidRDefault="00870248" w:rsidP="007A3A03">
      <w:pPr>
        <w:tabs>
          <w:tab w:val="clear" w:pos="567"/>
        </w:tabs>
        <w:rPr>
          <w:noProof w:val="0"/>
        </w:rPr>
      </w:pPr>
    </w:p>
    <w:p w14:paraId="72B3B25A" w14:textId="77777777" w:rsidR="00870248" w:rsidRPr="00121123" w:rsidRDefault="00870248" w:rsidP="007A3A03">
      <w:pPr>
        <w:keepNext/>
        <w:tabs>
          <w:tab w:val="clear" w:pos="567"/>
        </w:tabs>
        <w:rPr>
          <w:noProof w:val="0"/>
        </w:rPr>
      </w:pPr>
      <w:r w:rsidRPr="00121123">
        <w:rPr>
          <w:noProof w:val="0"/>
        </w:rPr>
        <w:t xml:space="preserve">Upozornenie: Injekčná liekovka obsahuje 6 % prebytok. Preto 5 ml </w:t>
      </w:r>
      <w:r w:rsidR="00844967" w:rsidRPr="00121123">
        <w:rPr>
          <w:noProof w:val="0"/>
        </w:rPr>
        <w:t>rekonštituovaného</w:t>
      </w:r>
      <w:r w:rsidR="0099325B" w:rsidRPr="00121123">
        <w:rPr>
          <w:noProof w:val="0"/>
        </w:rPr>
        <w:t xml:space="preserve"> </w:t>
      </w:r>
      <w:r w:rsidRPr="00121123">
        <w:rPr>
          <w:noProof w:val="0"/>
        </w:rPr>
        <w:t>roztoku</w:t>
      </w:r>
      <w:r w:rsidR="0099325B" w:rsidRPr="00121123">
        <w:rPr>
          <w:noProof w:val="0"/>
        </w:rPr>
        <w:t xml:space="preserve"> zodpovedá</w:t>
      </w:r>
      <w:r w:rsidRPr="00121123">
        <w:rPr>
          <w:noProof w:val="0"/>
        </w:rPr>
        <w:t xml:space="preserve"> 50 mg liečiva. </w:t>
      </w:r>
      <w:r w:rsidR="00770789" w:rsidRPr="00121123">
        <w:rPr>
          <w:noProof w:val="0"/>
        </w:rPr>
        <w:t>Rekonšituovaný</w:t>
      </w:r>
      <w:r w:rsidR="0099325B" w:rsidRPr="00121123">
        <w:rPr>
          <w:noProof w:val="0"/>
        </w:rPr>
        <w:t xml:space="preserve"> </w:t>
      </w:r>
      <w:r w:rsidRPr="00121123">
        <w:rPr>
          <w:noProof w:val="0"/>
        </w:rPr>
        <w:t>roztok má byť žltej až oranžovej farby</w:t>
      </w:r>
      <w:r w:rsidR="002A43C7" w:rsidRPr="00121123">
        <w:rPr>
          <w:noProof w:val="0"/>
        </w:rPr>
        <w:t xml:space="preserve">. </w:t>
      </w:r>
      <w:r w:rsidR="0099325B" w:rsidRPr="00121123">
        <w:rPr>
          <w:noProof w:val="0"/>
        </w:rPr>
        <w:t>Ak</w:t>
      </w:r>
      <w:r w:rsidRPr="00121123">
        <w:rPr>
          <w:noProof w:val="0"/>
        </w:rPr>
        <w:t xml:space="preserve"> nie je, m</w:t>
      </w:r>
      <w:r w:rsidR="00EA51ED" w:rsidRPr="00121123">
        <w:rPr>
          <w:noProof w:val="0"/>
        </w:rPr>
        <w:t>á</w:t>
      </w:r>
      <w:r w:rsidRPr="00121123">
        <w:rPr>
          <w:noProof w:val="0"/>
        </w:rPr>
        <w:t xml:space="preserve"> sa zlikvidovať. Parenterálne </w:t>
      </w:r>
      <w:r w:rsidR="00D506F5" w:rsidRPr="00121123">
        <w:rPr>
          <w:noProof w:val="0"/>
        </w:rPr>
        <w:t>lieky</w:t>
      </w:r>
      <w:r w:rsidRPr="00121123">
        <w:rPr>
          <w:noProof w:val="0"/>
        </w:rPr>
        <w:t xml:space="preserve"> </w:t>
      </w:r>
      <w:r w:rsidR="0099325B" w:rsidRPr="00121123">
        <w:rPr>
          <w:noProof w:val="0"/>
        </w:rPr>
        <w:t xml:space="preserve">sa </w:t>
      </w:r>
      <w:r w:rsidRPr="00121123">
        <w:rPr>
          <w:noProof w:val="0"/>
        </w:rPr>
        <w:t>m</w:t>
      </w:r>
      <w:r w:rsidR="00E16EAE" w:rsidRPr="00121123">
        <w:rPr>
          <w:noProof w:val="0"/>
        </w:rPr>
        <w:t>a</w:t>
      </w:r>
      <w:r w:rsidR="00EA51ED" w:rsidRPr="00121123">
        <w:rPr>
          <w:noProof w:val="0"/>
        </w:rPr>
        <w:t>jú</w:t>
      </w:r>
      <w:r w:rsidRPr="00121123">
        <w:rPr>
          <w:noProof w:val="0"/>
        </w:rPr>
        <w:t xml:space="preserve"> pred podaním vizuálne skontrolova</w:t>
      </w:r>
      <w:r w:rsidR="0099325B" w:rsidRPr="00121123">
        <w:rPr>
          <w:noProof w:val="0"/>
        </w:rPr>
        <w:t>ť</w:t>
      </w:r>
      <w:r w:rsidRPr="00121123">
        <w:rPr>
          <w:noProof w:val="0"/>
        </w:rPr>
        <w:t xml:space="preserve"> </w:t>
      </w:r>
      <w:r w:rsidR="00BD3D8A" w:rsidRPr="00121123">
        <w:rPr>
          <w:noProof w:val="0"/>
        </w:rPr>
        <w:t>na</w:t>
      </w:r>
      <w:r w:rsidRPr="00121123">
        <w:rPr>
          <w:noProof w:val="0"/>
        </w:rPr>
        <w:t xml:space="preserve"> prítomnosť častíc a</w:t>
      </w:r>
      <w:r w:rsidR="00D506F5" w:rsidRPr="00121123">
        <w:rPr>
          <w:noProof w:val="0"/>
        </w:rPr>
        <w:t> </w:t>
      </w:r>
      <w:r w:rsidRPr="00121123">
        <w:rPr>
          <w:noProof w:val="0"/>
        </w:rPr>
        <w:t>zmenu farby (napr. zelená alebo čierna).</w:t>
      </w:r>
    </w:p>
    <w:p w14:paraId="72CE0CBF" w14:textId="77777777" w:rsidR="00870248" w:rsidRPr="00121123" w:rsidRDefault="00870248" w:rsidP="007A3A03">
      <w:pPr>
        <w:tabs>
          <w:tab w:val="clear" w:pos="567"/>
        </w:tabs>
        <w:rPr>
          <w:noProof w:val="0"/>
        </w:rPr>
      </w:pPr>
    </w:p>
    <w:p w14:paraId="65CBE482" w14:textId="77777777" w:rsidR="00870248" w:rsidRPr="00121123" w:rsidRDefault="00FE22A4" w:rsidP="007A3A03">
      <w:pPr>
        <w:keepNext/>
        <w:tabs>
          <w:tab w:val="clear" w:pos="567"/>
        </w:tabs>
        <w:rPr>
          <w:noProof w:val="0"/>
        </w:rPr>
      </w:pPr>
      <w:r w:rsidRPr="00121123">
        <w:rPr>
          <w:noProof w:val="0"/>
        </w:rPr>
        <w:t>Tigecyklín</w:t>
      </w:r>
      <w:r w:rsidR="00870248" w:rsidRPr="00121123">
        <w:rPr>
          <w:noProof w:val="0"/>
        </w:rPr>
        <w:t xml:space="preserve"> </w:t>
      </w:r>
      <w:r w:rsidRPr="00121123">
        <w:rPr>
          <w:noProof w:val="0"/>
        </w:rPr>
        <w:t xml:space="preserve">sa má </w:t>
      </w:r>
      <w:r w:rsidR="00870248" w:rsidRPr="00121123">
        <w:rPr>
          <w:noProof w:val="0"/>
        </w:rPr>
        <w:t xml:space="preserve">podať intravenózne cez samostatnú </w:t>
      </w:r>
      <w:r w:rsidR="004C5A6E" w:rsidRPr="00121123">
        <w:rPr>
          <w:noProof w:val="0"/>
        </w:rPr>
        <w:t>linku</w:t>
      </w:r>
      <w:r w:rsidR="00870248" w:rsidRPr="00121123">
        <w:rPr>
          <w:noProof w:val="0"/>
        </w:rPr>
        <w:t xml:space="preserve"> alebo cez rameno</w:t>
      </w:r>
      <w:r w:rsidR="001068B8" w:rsidRPr="00121123">
        <w:rPr>
          <w:noProof w:val="0"/>
        </w:rPr>
        <w:t xml:space="preserve"> trojcestného kohútika</w:t>
      </w:r>
      <w:r w:rsidR="00870248" w:rsidRPr="00121123">
        <w:rPr>
          <w:noProof w:val="0"/>
        </w:rPr>
        <w:t xml:space="preserve">. Ak sa použije rovnaká intravenózna </w:t>
      </w:r>
      <w:r w:rsidR="0099325B" w:rsidRPr="00121123">
        <w:rPr>
          <w:noProof w:val="0"/>
        </w:rPr>
        <w:t>linka</w:t>
      </w:r>
      <w:r w:rsidR="00870248" w:rsidRPr="00121123">
        <w:rPr>
          <w:noProof w:val="0"/>
        </w:rPr>
        <w:t xml:space="preserve"> pre sekvenčnú infúziu niekoľkých liečiv, m</w:t>
      </w:r>
      <w:r w:rsidR="00EA51ED" w:rsidRPr="00121123">
        <w:rPr>
          <w:noProof w:val="0"/>
        </w:rPr>
        <w:t>á</w:t>
      </w:r>
      <w:r w:rsidR="00870248" w:rsidRPr="00121123">
        <w:rPr>
          <w:noProof w:val="0"/>
        </w:rPr>
        <w:t xml:space="preserve"> sa pred </w:t>
      </w:r>
      <w:r w:rsidR="0099325B" w:rsidRPr="00121123">
        <w:rPr>
          <w:noProof w:val="0"/>
        </w:rPr>
        <w:t xml:space="preserve">infúziou </w:t>
      </w:r>
      <w:r w:rsidRPr="00121123">
        <w:rPr>
          <w:noProof w:val="0"/>
        </w:rPr>
        <w:t>tigecyklínu</w:t>
      </w:r>
      <w:r w:rsidR="0099325B" w:rsidRPr="00121123">
        <w:rPr>
          <w:noProof w:val="0"/>
        </w:rPr>
        <w:t xml:space="preserve"> </w:t>
      </w:r>
      <w:r w:rsidR="00870248" w:rsidRPr="00121123">
        <w:rPr>
          <w:noProof w:val="0"/>
        </w:rPr>
        <w:t xml:space="preserve">a po </w:t>
      </w:r>
      <w:r w:rsidR="0099325B" w:rsidRPr="00121123">
        <w:rPr>
          <w:noProof w:val="0"/>
        </w:rPr>
        <w:t>nej</w:t>
      </w:r>
      <w:r w:rsidR="00870248" w:rsidRPr="00121123">
        <w:rPr>
          <w:noProof w:val="0"/>
        </w:rPr>
        <w:t xml:space="preserve"> prepláchnuť buď injekčným roztokom </w:t>
      </w:r>
      <w:r w:rsidR="0099325B" w:rsidRPr="00121123">
        <w:rPr>
          <w:noProof w:val="0"/>
        </w:rPr>
        <w:t xml:space="preserve">chloridu sodného </w:t>
      </w:r>
      <w:r w:rsidR="00870248" w:rsidRPr="00121123">
        <w:rPr>
          <w:noProof w:val="0"/>
        </w:rPr>
        <w:t xml:space="preserve">9 mg/ml </w:t>
      </w:r>
      <w:r w:rsidR="00D506F5" w:rsidRPr="00121123">
        <w:rPr>
          <w:noProof w:val="0"/>
        </w:rPr>
        <w:t xml:space="preserve">(0,9 %) </w:t>
      </w:r>
      <w:r w:rsidR="00870248" w:rsidRPr="00121123">
        <w:rPr>
          <w:noProof w:val="0"/>
        </w:rPr>
        <w:t xml:space="preserve">alebo injekčným roztokom </w:t>
      </w:r>
      <w:r w:rsidR="0099325B" w:rsidRPr="00121123">
        <w:rPr>
          <w:noProof w:val="0"/>
        </w:rPr>
        <w:t>glukózy</w:t>
      </w:r>
      <w:r w:rsidR="00870248" w:rsidRPr="00121123">
        <w:rPr>
          <w:noProof w:val="0"/>
        </w:rPr>
        <w:t xml:space="preserve"> 50 mg/ml (5 %). Injekcia sa m</w:t>
      </w:r>
      <w:r w:rsidR="00EA51ED" w:rsidRPr="00121123">
        <w:rPr>
          <w:noProof w:val="0"/>
        </w:rPr>
        <w:t>á</w:t>
      </w:r>
      <w:r w:rsidR="00870248" w:rsidRPr="00121123">
        <w:rPr>
          <w:noProof w:val="0"/>
        </w:rPr>
        <w:t xml:space="preserve"> podať s infúznym roztokom kompatibilným s tigecyklínom a ktorýmkoľvek iným liekom podávaným cez spoločnú </w:t>
      </w:r>
      <w:r w:rsidR="0099325B" w:rsidRPr="00121123">
        <w:rPr>
          <w:noProof w:val="0"/>
        </w:rPr>
        <w:t>linku</w:t>
      </w:r>
      <w:r w:rsidR="00870248" w:rsidRPr="00121123">
        <w:rPr>
          <w:noProof w:val="0"/>
        </w:rPr>
        <w:t>.</w:t>
      </w:r>
    </w:p>
    <w:p w14:paraId="5A0A496F" w14:textId="77777777" w:rsidR="00870248" w:rsidRPr="00121123" w:rsidRDefault="00870248" w:rsidP="007A3A03">
      <w:pPr>
        <w:keepNext/>
        <w:tabs>
          <w:tab w:val="clear" w:pos="567"/>
        </w:tabs>
        <w:rPr>
          <w:noProof w:val="0"/>
        </w:rPr>
      </w:pPr>
    </w:p>
    <w:p w14:paraId="57B00AFA" w14:textId="77777777" w:rsidR="00870248" w:rsidRPr="00121123" w:rsidRDefault="00870248" w:rsidP="007A3A03">
      <w:pPr>
        <w:keepLines w:val="0"/>
        <w:tabs>
          <w:tab w:val="clear" w:pos="567"/>
        </w:tabs>
        <w:rPr>
          <w:noProof w:val="0"/>
        </w:rPr>
      </w:pPr>
      <w:r w:rsidRPr="00121123">
        <w:rPr>
          <w:noProof w:val="0"/>
        </w:rPr>
        <w:t xml:space="preserve">Kompatibilné intravenózne roztoky zahŕňajú: injekčný roztok </w:t>
      </w:r>
      <w:r w:rsidR="0099325B" w:rsidRPr="00121123">
        <w:rPr>
          <w:noProof w:val="0"/>
        </w:rPr>
        <w:t xml:space="preserve">chloridu sodného </w:t>
      </w:r>
      <w:r w:rsidRPr="00121123">
        <w:rPr>
          <w:noProof w:val="0"/>
        </w:rPr>
        <w:t xml:space="preserve">9 mg/ml </w:t>
      </w:r>
      <w:r w:rsidR="00D506F5" w:rsidRPr="00121123">
        <w:rPr>
          <w:noProof w:val="0"/>
        </w:rPr>
        <w:t>(0,9 %)</w:t>
      </w:r>
      <w:r w:rsidR="00683E17" w:rsidRPr="00121123">
        <w:rPr>
          <w:noProof w:val="0"/>
        </w:rPr>
        <w:t xml:space="preserve">, </w:t>
      </w:r>
      <w:r w:rsidRPr="00121123">
        <w:rPr>
          <w:noProof w:val="0"/>
        </w:rPr>
        <w:t xml:space="preserve">injekčný roztok </w:t>
      </w:r>
      <w:r w:rsidR="0099325B" w:rsidRPr="00121123">
        <w:rPr>
          <w:noProof w:val="0"/>
        </w:rPr>
        <w:t xml:space="preserve">glukózy </w:t>
      </w:r>
      <w:r w:rsidRPr="00121123">
        <w:rPr>
          <w:noProof w:val="0"/>
        </w:rPr>
        <w:t xml:space="preserve">50 mg/ml </w:t>
      </w:r>
      <w:r w:rsidR="00D506F5" w:rsidRPr="00121123">
        <w:rPr>
          <w:noProof w:val="0"/>
        </w:rPr>
        <w:t xml:space="preserve">(5 %) </w:t>
      </w:r>
      <w:r w:rsidR="004654CB" w:rsidRPr="00121123">
        <w:rPr>
          <w:noProof w:val="0"/>
        </w:rPr>
        <w:t>a Ringerov roztok s laktátom na injekciu</w:t>
      </w:r>
      <w:r w:rsidRPr="00121123">
        <w:rPr>
          <w:noProof w:val="0"/>
        </w:rPr>
        <w:t>.</w:t>
      </w:r>
    </w:p>
    <w:p w14:paraId="17A208FE" w14:textId="77777777" w:rsidR="00870248" w:rsidRPr="00121123" w:rsidRDefault="00870248" w:rsidP="007A3A03">
      <w:pPr>
        <w:keepLines w:val="0"/>
        <w:rPr>
          <w:noProof w:val="0"/>
        </w:rPr>
      </w:pPr>
    </w:p>
    <w:p w14:paraId="3E3FA887" w14:textId="1FD1CE88" w:rsidR="00870248" w:rsidRPr="00121123" w:rsidRDefault="00870248" w:rsidP="007A3A03">
      <w:pPr>
        <w:keepLines w:val="0"/>
        <w:tabs>
          <w:tab w:val="clear" w:pos="567"/>
        </w:tabs>
        <w:rPr>
          <w:noProof w:val="0"/>
        </w:rPr>
      </w:pPr>
      <w:r w:rsidRPr="00121123">
        <w:rPr>
          <w:noProof w:val="0"/>
        </w:rPr>
        <w:t>Ak sa podáva cez</w:t>
      </w:r>
      <w:r w:rsidR="001068B8" w:rsidRPr="00121123">
        <w:rPr>
          <w:noProof w:val="0"/>
        </w:rPr>
        <w:t xml:space="preserve"> </w:t>
      </w:r>
      <w:r w:rsidRPr="00121123">
        <w:rPr>
          <w:noProof w:val="0"/>
        </w:rPr>
        <w:t>rameno</w:t>
      </w:r>
      <w:r w:rsidR="001068B8" w:rsidRPr="00121123">
        <w:rPr>
          <w:noProof w:val="0"/>
        </w:rPr>
        <w:t xml:space="preserve"> trojcestného kohútika</w:t>
      </w:r>
      <w:r w:rsidRPr="00121123">
        <w:rPr>
          <w:noProof w:val="0"/>
        </w:rPr>
        <w:t xml:space="preserve">, kompatibilita tigecyklínu </w:t>
      </w:r>
      <w:r w:rsidR="0099325B" w:rsidRPr="00121123">
        <w:rPr>
          <w:noProof w:val="0"/>
        </w:rPr>
        <w:t xml:space="preserve">zriedeného </w:t>
      </w:r>
      <w:r w:rsidRPr="00121123">
        <w:rPr>
          <w:noProof w:val="0"/>
        </w:rPr>
        <w:t xml:space="preserve">0,9 % </w:t>
      </w:r>
      <w:r w:rsidR="0099325B" w:rsidRPr="00121123">
        <w:rPr>
          <w:noProof w:val="0"/>
        </w:rPr>
        <w:t xml:space="preserve">injekčným </w:t>
      </w:r>
      <w:r w:rsidRPr="00121123">
        <w:rPr>
          <w:noProof w:val="0"/>
        </w:rPr>
        <w:t>roztok</w:t>
      </w:r>
      <w:r w:rsidR="0099325B" w:rsidRPr="00121123">
        <w:rPr>
          <w:noProof w:val="0"/>
        </w:rPr>
        <w:t>om</w:t>
      </w:r>
      <w:r w:rsidRPr="00121123">
        <w:rPr>
          <w:noProof w:val="0"/>
        </w:rPr>
        <w:t xml:space="preserve"> chloridu sodného sa </w:t>
      </w:r>
      <w:r w:rsidR="00EA51ED" w:rsidRPr="00121123">
        <w:rPr>
          <w:noProof w:val="0"/>
        </w:rPr>
        <w:t xml:space="preserve">preukázala </w:t>
      </w:r>
      <w:r w:rsidRPr="00121123">
        <w:rPr>
          <w:noProof w:val="0"/>
        </w:rPr>
        <w:t xml:space="preserve">s nasledujúcimi liekmi alebo </w:t>
      </w:r>
      <w:r w:rsidR="0099325B" w:rsidRPr="00121123">
        <w:rPr>
          <w:noProof w:val="0"/>
        </w:rPr>
        <w:t>roztokmi na riedenie</w:t>
      </w:r>
      <w:r w:rsidRPr="00121123">
        <w:rPr>
          <w:noProof w:val="0"/>
        </w:rPr>
        <w:t>: amikacín, dobutamín, dopamín</w:t>
      </w:r>
      <w:r w:rsidR="0099325B" w:rsidRPr="00121123">
        <w:rPr>
          <w:noProof w:val="0"/>
        </w:rPr>
        <w:t>ium</w:t>
      </w:r>
      <w:r w:rsidR="00801FC1">
        <w:rPr>
          <w:noProof w:val="0"/>
        </w:rPr>
        <w:t>-</w:t>
      </w:r>
      <w:r w:rsidR="0099325B" w:rsidRPr="00121123">
        <w:rPr>
          <w:noProof w:val="0"/>
        </w:rPr>
        <w:t>chlorid</w:t>
      </w:r>
      <w:r w:rsidRPr="00121123">
        <w:rPr>
          <w:noProof w:val="0"/>
        </w:rPr>
        <w:t>, gentamicín, haloperidol, Ringerov roztok</w:t>
      </w:r>
      <w:r w:rsidR="00D506F5" w:rsidRPr="00121123">
        <w:rPr>
          <w:noProof w:val="0"/>
        </w:rPr>
        <w:t xml:space="preserve"> s</w:t>
      </w:r>
      <w:r w:rsidR="0099325B" w:rsidRPr="00121123">
        <w:rPr>
          <w:noProof w:val="0"/>
        </w:rPr>
        <w:t> </w:t>
      </w:r>
      <w:r w:rsidR="00D506F5" w:rsidRPr="00121123">
        <w:rPr>
          <w:noProof w:val="0"/>
        </w:rPr>
        <w:t>laktátom</w:t>
      </w:r>
      <w:r w:rsidRPr="00121123">
        <w:rPr>
          <w:noProof w:val="0"/>
        </w:rPr>
        <w:t>, lidokaín</w:t>
      </w:r>
      <w:r w:rsidR="0099325B" w:rsidRPr="00121123">
        <w:rPr>
          <w:noProof w:val="0"/>
        </w:rPr>
        <w:t>ium</w:t>
      </w:r>
      <w:r w:rsidR="00801FC1">
        <w:rPr>
          <w:noProof w:val="0"/>
        </w:rPr>
        <w:t>-</w:t>
      </w:r>
      <w:r w:rsidR="0099325B" w:rsidRPr="00121123">
        <w:rPr>
          <w:noProof w:val="0"/>
        </w:rPr>
        <w:t>chlorid</w:t>
      </w:r>
      <w:r w:rsidRPr="00121123">
        <w:rPr>
          <w:noProof w:val="0"/>
        </w:rPr>
        <w:t xml:space="preserve">, </w:t>
      </w:r>
      <w:r w:rsidR="00381969" w:rsidRPr="00121123">
        <w:rPr>
          <w:noProof w:val="0"/>
        </w:rPr>
        <w:t xml:space="preserve">motoklopramid, </w:t>
      </w:r>
      <w:r w:rsidRPr="00121123">
        <w:rPr>
          <w:noProof w:val="0"/>
        </w:rPr>
        <w:t>morfín, noradrenalín, piperacilín/tazobaktám (</w:t>
      </w:r>
      <w:r w:rsidR="0099325B" w:rsidRPr="00121123">
        <w:rPr>
          <w:noProof w:val="0"/>
        </w:rPr>
        <w:t>s</w:t>
      </w:r>
      <w:r w:rsidR="00ED1757" w:rsidRPr="00121123">
        <w:rPr>
          <w:noProof w:val="0"/>
        </w:rPr>
        <w:t> </w:t>
      </w:r>
      <w:r w:rsidR="0099325B" w:rsidRPr="00121123">
        <w:rPr>
          <w:noProof w:val="0"/>
        </w:rPr>
        <w:t xml:space="preserve">obsahom </w:t>
      </w:r>
      <w:r w:rsidRPr="00121123">
        <w:rPr>
          <w:noProof w:val="0"/>
        </w:rPr>
        <w:t>EDTA), chlorid draselný, propofol, ranitidín</w:t>
      </w:r>
      <w:r w:rsidR="0099325B" w:rsidRPr="00121123">
        <w:rPr>
          <w:noProof w:val="0"/>
        </w:rPr>
        <w:t>ium</w:t>
      </w:r>
      <w:r w:rsidR="00801FC1">
        <w:rPr>
          <w:noProof w:val="0"/>
        </w:rPr>
        <w:t>-</w:t>
      </w:r>
      <w:r w:rsidR="0099325B" w:rsidRPr="00121123">
        <w:rPr>
          <w:noProof w:val="0"/>
        </w:rPr>
        <w:t>chlorid</w:t>
      </w:r>
      <w:r w:rsidRPr="00121123">
        <w:rPr>
          <w:noProof w:val="0"/>
        </w:rPr>
        <w:t>, teofylín a tobramycín.</w:t>
      </w:r>
    </w:p>
    <w:p w14:paraId="2B311BFC" w14:textId="77777777" w:rsidR="00870248" w:rsidRPr="00121123" w:rsidRDefault="00870248" w:rsidP="007A3A03">
      <w:pPr>
        <w:keepLines w:val="0"/>
        <w:tabs>
          <w:tab w:val="clear" w:pos="567"/>
        </w:tabs>
        <w:rPr>
          <w:noProof w:val="0"/>
        </w:rPr>
      </w:pPr>
    </w:p>
    <w:p w14:paraId="160B5D54" w14:textId="77777777" w:rsidR="00381969" w:rsidRPr="00121123" w:rsidRDefault="00964F97" w:rsidP="007A3A03">
      <w:pPr>
        <w:keepLines w:val="0"/>
        <w:tabs>
          <w:tab w:val="clear" w:pos="567"/>
        </w:tabs>
        <w:rPr>
          <w:noProof w:val="0"/>
        </w:rPr>
      </w:pPr>
      <w:r>
        <w:rPr>
          <w:noProof w:val="0"/>
        </w:rPr>
        <w:t>Tigecycline Accord</w:t>
      </w:r>
      <w:r w:rsidR="00381969" w:rsidRPr="00121123">
        <w:rPr>
          <w:noProof w:val="0"/>
        </w:rPr>
        <w:t xml:space="preserve"> sa nesmie miešať s inými liekmi, pre ktoré nie sú dostupné údaje o kompatibilite. </w:t>
      </w:r>
    </w:p>
    <w:p w14:paraId="4D081DA1" w14:textId="77777777" w:rsidR="00381969" w:rsidRPr="00121123" w:rsidRDefault="00381969" w:rsidP="007A3A03">
      <w:pPr>
        <w:keepLines w:val="0"/>
        <w:tabs>
          <w:tab w:val="clear" w:pos="567"/>
        </w:tabs>
        <w:rPr>
          <w:noProof w:val="0"/>
        </w:rPr>
      </w:pPr>
    </w:p>
    <w:p w14:paraId="4B659995" w14:textId="77777777" w:rsidR="00B3796B" w:rsidRDefault="00B3796B" w:rsidP="00B3796B">
      <w:pPr>
        <w:keepLines w:val="0"/>
        <w:tabs>
          <w:tab w:val="clear" w:pos="567"/>
        </w:tabs>
        <w:rPr>
          <w:noProof w:val="0"/>
        </w:rPr>
      </w:pPr>
      <w:r>
        <w:rPr>
          <w:noProof w:val="0"/>
        </w:rPr>
        <w:t xml:space="preserve">Rekonštituovaný roztok: Chemická a fyzikálna stabilita </w:t>
      </w:r>
      <w:r w:rsidR="00A45A61" w:rsidRPr="00A45A61">
        <w:rPr>
          <w:noProof w:val="0"/>
        </w:rPr>
        <w:t xml:space="preserve">po otvorení </w:t>
      </w:r>
      <w:r>
        <w:rPr>
          <w:noProof w:val="0"/>
        </w:rPr>
        <w:t xml:space="preserve">bola preukázaná počas 6 hodín pri teplote 20–25 °C. Z mikrobiologického hľadiska </w:t>
      </w:r>
      <w:r w:rsidR="00CC2000">
        <w:rPr>
          <w:noProof w:val="0"/>
        </w:rPr>
        <w:t xml:space="preserve">sa má </w:t>
      </w:r>
      <w:r>
        <w:rPr>
          <w:noProof w:val="0"/>
        </w:rPr>
        <w:t xml:space="preserve">liek použiť okamžite. Ak sa nepoužije okamžite, za čas a podmienky uchovávania pred použitím zodpovedá používateľ. Spravidla sa nesmie uchovávať dlhšie ako vyššie uvedená doba chemickej a fyzikálnej stability po otvorení. </w:t>
      </w:r>
    </w:p>
    <w:p w14:paraId="13C1B8C8" w14:textId="77777777" w:rsidR="00B3796B" w:rsidRDefault="00B3796B" w:rsidP="00B3796B">
      <w:pPr>
        <w:keepLines w:val="0"/>
        <w:tabs>
          <w:tab w:val="clear" w:pos="567"/>
        </w:tabs>
        <w:rPr>
          <w:noProof w:val="0"/>
        </w:rPr>
      </w:pPr>
    </w:p>
    <w:p w14:paraId="09DA875C" w14:textId="77777777" w:rsidR="00870248" w:rsidRPr="00121123" w:rsidRDefault="00B3796B" w:rsidP="00B3796B">
      <w:pPr>
        <w:keepLines w:val="0"/>
        <w:tabs>
          <w:tab w:val="clear" w:pos="567"/>
        </w:tabs>
        <w:rPr>
          <w:noProof w:val="0"/>
        </w:rPr>
      </w:pPr>
      <w:r>
        <w:rPr>
          <w:noProof w:val="0"/>
        </w:rPr>
        <w:t xml:space="preserve">Zriedený roztok: Chemická a fyzikálna stabilita </w:t>
      </w:r>
      <w:r w:rsidR="00A45A61" w:rsidRPr="00A45A61">
        <w:rPr>
          <w:noProof w:val="0"/>
        </w:rPr>
        <w:t xml:space="preserve">po otvorení </w:t>
      </w:r>
      <w:r>
        <w:rPr>
          <w:noProof w:val="0"/>
        </w:rPr>
        <w:t xml:space="preserve">bola preukázaná počas 24 hodín pri teplote 20–25 °C a 48 hodín pri teplote 2–8 °C. Z mikrobiologického hľadiska </w:t>
      </w:r>
      <w:r w:rsidR="00FE35CA">
        <w:rPr>
          <w:noProof w:val="0"/>
        </w:rPr>
        <w:t xml:space="preserve">sa má </w:t>
      </w:r>
      <w:r>
        <w:rPr>
          <w:noProof w:val="0"/>
        </w:rPr>
        <w:t>liek použiť okamžite. Ak sa nepoužije okamžite, za čas a podmienky uchovávania pred použitím zodpovedá používateľ. Spravidla sa nesmie uchovávať dlhšie ako vyššie uvedená doba chemickej a fyzikálnej stability po otvorení.</w:t>
      </w:r>
      <w:r w:rsidR="00870248" w:rsidRPr="00121123">
        <w:rPr>
          <w:noProof w:val="0"/>
        </w:rPr>
        <w:t xml:space="preserve"> </w:t>
      </w:r>
    </w:p>
    <w:p w14:paraId="1F877877" w14:textId="77777777" w:rsidR="00870248" w:rsidRPr="00121123" w:rsidRDefault="00870248" w:rsidP="007A3A03">
      <w:pPr>
        <w:keepNext/>
        <w:tabs>
          <w:tab w:val="clear" w:pos="567"/>
        </w:tabs>
        <w:rPr>
          <w:noProof w:val="0"/>
        </w:rPr>
      </w:pPr>
    </w:p>
    <w:p w14:paraId="2B252EDF" w14:textId="77777777" w:rsidR="00A72C48" w:rsidRPr="00121123" w:rsidRDefault="00870248" w:rsidP="007A3A03">
      <w:pPr>
        <w:keepLines w:val="0"/>
        <w:rPr>
          <w:noProof w:val="0"/>
        </w:rPr>
      </w:pPr>
      <w:r w:rsidRPr="00121123">
        <w:rPr>
          <w:noProof w:val="0"/>
        </w:rPr>
        <w:t>Len na jedno</w:t>
      </w:r>
      <w:r w:rsidR="00FE35CA">
        <w:rPr>
          <w:noProof w:val="0"/>
        </w:rPr>
        <w:t>razové</w:t>
      </w:r>
      <w:r w:rsidRPr="00121123">
        <w:rPr>
          <w:noProof w:val="0"/>
        </w:rPr>
        <w:t xml:space="preserve"> použitie</w:t>
      </w:r>
      <w:r w:rsidR="0099325B" w:rsidRPr="00121123">
        <w:rPr>
          <w:noProof w:val="0"/>
        </w:rPr>
        <w:t>. V</w:t>
      </w:r>
      <w:r w:rsidRPr="00121123">
        <w:rPr>
          <w:noProof w:val="0"/>
        </w:rPr>
        <w:t xml:space="preserve">šetok nepoužitý roztok </w:t>
      </w:r>
      <w:r w:rsidR="00D506F5" w:rsidRPr="00121123">
        <w:rPr>
          <w:noProof w:val="0"/>
        </w:rPr>
        <w:t xml:space="preserve">sa má </w:t>
      </w:r>
      <w:r w:rsidR="0099325B" w:rsidRPr="00121123">
        <w:rPr>
          <w:noProof w:val="0"/>
        </w:rPr>
        <w:t>zlikvidovať</w:t>
      </w:r>
      <w:r w:rsidRPr="00121123">
        <w:rPr>
          <w:noProof w:val="0"/>
        </w:rPr>
        <w:t>.</w:t>
      </w:r>
    </w:p>
    <w:p w14:paraId="4C83D8FC" w14:textId="77777777" w:rsidR="006E293E" w:rsidRPr="00121123" w:rsidRDefault="006E293E" w:rsidP="00F601C5">
      <w:pPr>
        <w:keepNext/>
        <w:outlineLvl w:val="0"/>
        <w:rPr>
          <w:noProof w:val="0"/>
        </w:rPr>
      </w:pPr>
    </w:p>
    <w:p w14:paraId="79280952" w14:textId="77777777" w:rsidR="007A3A03" w:rsidRPr="00121123" w:rsidRDefault="007A3A03" w:rsidP="00F601C5">
      <w:pPr>
        <w:keepNext/>
        <w:outlineLvl w:val="0"/>
        <w:rPr>
          <w:noProof w:val="0"/>
        </w:rPr>
      </w:pPr>
    </w:p>
    <w:sectPr w:rsidR="007A3A03" w:rsidRPr="00121123" w:rsidSect="00121123">
      <w:headerReference w:type="default" r:id="rId15"/>
      <w:footerReference w:type="even" r:id="rId16"/>
      <w:footerReference w:type="default" r:id="rId17"/>
      <w:pgSz w:w="11907" w:h="16840" w:code="9"/>
      <w:pgMar w:top="1134" w:right="1418" w:bottom="1134" w:left="1418"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CDB3" w14:textId="77777777" w:rsidR="006F54F6" w:rsidRDefault="006F54F6">
      <w:r>
        <w:separator/>
      </w:r>
    </w:p>
  </w:endnote>
  <w:endnote w:type="continuationSeparator" w:id="0">
    <w:p w14:paraId="3125C24B" w14:textId="77777777" w:rsidR="006F54F6" w:rsidRDefault="006F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D80B" w14:textId="77777777" w:rsidR="00D00214" w:rsidRDefault="00D00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80625" w14:textId="77777777" w:rsidR="00D00214" w:rsidRDefault="00D00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E2D4" w14:textId="30850D16" w:rsidR="00D00214" w:rsidRPr="005A598B" w:rsidRDefault="00D00214">
    <w:pPr>
      <w:pStyle w:val="Footer"/>
      <w:framePr w:wrap="around" w:vAnchor="text" w:hAnchor="margin" w:xAlign="center" w:y="1"/>
      <w:rPr>
        <w:rStyle w:val="PageNumber"/>
        <w:rFonts w:ascii="Arial" w:hAnsi="Arial" w:cs="Arial"/>
      </w:rPr>
    </w:pPr>
    <w:r w:rsidRPr="005A598B">
      <w:rPr>
        <w:rStyle w:val="PageNumber"/>
        <w:rFonts w:ascii="Arial" w:hAnsi="Arial" w:cs="Arial"/>
      </w:rPr>
      <w:fldChar w:fldCharType="begin"/>
    </w:r>
    <w:r w:rsidRPr="005A598B">
      <w:rPr>
        <w:rStyle w:val="PageNumber"/>
        <w:rFonts w:ascii="Arial" w:hAnsi="Arial" w:cs="Arial"/>
      </w:rPr>
      <w:instrText xml:space="preserve">PAGE  </w:instrText>
    </w:r>
    <w:r w:rsidRPr="005A598B">
      <w:rPr>
        <w:rStyle w:val="PageNumber"/>
        <w:rFonts w:ascii="Arial" w:hAnsi="Arial" w:cs="Arial"/>
      </w:rPr>
      <w:fldChar w:fldCharType="separate"/>
    </w:r>
    <w:r w:rsidR="00C23C08">
      <w:rPr>
        <w:rStyle w:val="PageNumber"/>
        <w:rFonts w:ascii="Arial" w:hAnsi="Arial" w:cs="Arial"/>
      </w:rPr>
      <w:t>31</w:t>
    </w:r>
    <w:r w:rsidRPr="005A598B">
      <w:rPr>
        <w:rStyle w:val="PageNumber"/>
        <w:rFonts w:ascii="Arial" w:hAnsi="Arial" w:cs="Arial"/>
      </w:rPr>
      <w:fldChar w:fldCharType="end"/>
    </w:r>
  </w:p>
  <w:p w14:paraId="4E05CD29" w14:textId="77777777" w:rsidR="00D00214" w:rsidRDefault="00D00214">
    <w:pPr>
      <w:tabs>
        <w:tab w:val="center" w:pos="4535"/>
        <w:tab w:val="right" w:pos="8064"/>
        <w:tab w:val="right" w:pos="9360"/>
      </w:tabs>
      <w:rPr>
        <w:rStyle w:val="PageNumber"/>
        <w:sz w:val="16"/>
        <w:szCs w:val="16"/>
      </w:rPr>
    </w:pPr>
    <w:r>
      <w:rPr>
        <w:rStyle w:val="PageNumber"/>
        <w:sz w:val="16"/>
        <w:szCs w:val="16"/>
      </w:rPr>
      <w:tab/>
    </w:r>
    <w:r>
      <w:rPr>
        <w:rStyle w:val="PageNumber"/>
        <w:sz w:val="16"/>
        <w:szCs w:val="16"/>
      </w:rPr>
      <w:tab/>
    </w:r>
  </w:p>
  <w:p w14:paraId="4F9C7855" w14:textId="77777777" w:rsidR="00D00214" w:rsidRDefault="00D00214">
    <w:pPr>
      <w:tabs>
        <w:tab w:val="center" w:pos="4535"/>
        <w:tab w:val="right" w:pos="8064"/>
        <w:tab w:val="right" w:pos="9360"/>
      </w:tabs>
      <w:rPr>
        <w:rFonts w:eastAsia="MS Mincho"/>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0D87" w14:textId="77777777" w:rsidR="006F54F6" w:rsidRDefault="006F54F6">
      <w:r>
        <w:separator/>
      </w:r>
    </w:p>
  </w:footnote>
  <w:footnote w:type="continuationSeparator" w:id="0">
    <w:p w14:paraId="6A48D3B5" w14:textId="77777777" w:rsidR="006F54F6" w:rsidRDefault="006F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5D20" w14:textId="77777777" w:rsidR="00D00214" w:rsidRDefault="00D00214">
    <w:pPr>
      <w:pStyle w:val="Header"/>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C80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FE9F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0A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8AA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920D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A0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7ACE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1A6D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48F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90FB7C"/>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032E2687"/>
    <w:multiLevelType w:val="hybridMultilevel"/>
    <w:tmpl w:val="9C56404C"/>
    <w:lvl w:ilvl="0" w:tplc="18B65F46">
      <w:start w:val="1"/>
      <w:numFmt w:val="bullet"/>
      <w:lvlText w:val=""/>
      <w:lvlJc w:val="left"/>
      <w:pPr>
        <w:tabs>
          <w:tab w:val="num" w:pos="0"/>
        </w:tabs>
        <w:ind w:left="113" w:hanging="11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70FB7"/>
    <w:multiLevelType w:val="hybridMultilevel"/>
    <w:tmpl w:val="FF72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5A2847"/>
    <w:multiLevelType w:val="hybridMultilevel"/>
    <w:tmpl w:val="910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DF78B2"/>
    <w:multiLevelType w:val="hybridMultilevel"/>
    <w:tmpl w:val="324CFC3E"/>
    <w:lvl w:ilvl="0" w:tplc="D6F4D44C">
      <w:start w:val="1"/>
      <w:numFmt w:val="bullet"/>
      <w:lvlText w:val=""/>
      <w:lvlJc w:val="left"/>
      <w:pPr>
        <w:tabs>
          <w:tab w:val="num" w:pos="227"/>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B31676"/>
    <w:multiLevelType w:val="hybridMultilevel"/>
    <w:tmpl w:val="C23AD9A2"/>
    <w:lvl w:ilvl="0" w:tplc="969094D4">
      <w:start w:val="1"/>
      <w:numFmt w:val="bullet"/>
      <w:lvlText w:val=""/>
      <w:lvlJc w:val="left"/>
      <w:pPr>
        <w:tabs>
          <w:tab w:val="num" w:pos="113"/>
        </w:tabs>
        <w:ind w:left="113" w:hanging="11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975631"/>
    <w:multiLevelType w:val="hybridMultilevel"/>
    <w:tmpl w:val="DDBE5032"/>
    <w:lvl w:ilvl="0" w:tplc="549A2734">
      <w:start w:val="1"/>
      <w:numFmt w:val="bullet"/>
      <w:lvlText w:val=""/>
      <w:lvlJc w:val="left"/>
      <w:pPr>
        <w:tabs>
          <w:tab w:val="num" w:pos="36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2D6BFA"/>
    <w:multiLevelType w:val="hybridMultilevel"/>
    <w:tmpl w:val="63AAE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27219"/>
    <w:multiLevelType w:val="hybridMultilevel"/>
    <w:tmpl w:val="0F4C313A"/>
    <w:lvl w:ilvl="0" w:tplc="8D42C4CC">
      <w:start w:val="1"/>
      <w:numFmt w:val="bullet"/>
      <w:lvlText w:val=""/>
      <w:lvlJc w:val="left"/>
      <w:pPr>
        <w:tabs>
          <w:tab w:val="num" w:pos="644"/>
        </w:tabs>
        <w:ind w:left="644"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D3CAB"/>
    <w:multiLevelType w:val="hybridMultilevel"/>
    <w:tmpl w:val="3C7CAD2C"/>
    <w:lvl w:ilvl="0" w:tplc="D6F4D44C">
      <w:start w:val="1"/>
      <w:numFmt w:val="bullet"/>
      <w:lvlText w:val=""/>
      <w:lvlJc w:val="left"/>
      <w:pPr>
        <w:tabs>
          <w:tab w:val="num" w:pos="227"/>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0A34E9"/>
    <w:multiLevelType w:val="hybridMultilevel"/>
    <w:tmpl w:val="1908CEB6"/>
    <w:lvl w:ilvl="0" w:tplc="2A80BB48">
      <w:start w:val="1"/>
      <w:numFmt w:val="bullet"/>
      <w:lvlText w:val=""/>
      <w:lvlJc w:val="left"/>
      <w:pPr>
        <w:tabs>
          <w:tab w:val="num" w:pos="644"/>
        </w:tabs>
        <w:ind w:left="644" w:hanging="644"/>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2C7D7B"/>
    <w:multiLevelType w:val="hybridMultilevel"/>
    <w:tmpl w:val="7A2EC5A4"/>
    <w:lvl w:ilvl="0" w:tplc="4E3016A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1D76A9"/>
    <w:multiLevelType w:val="hybridMultilevel"/>
    <w:tmpl w:val="0BD8DFA6"/>
    <w:lvl w:ilvl="0" w:tplc="CA3E419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309B5E64"/>
    <w:multiLevelType w:val="hybridMultilevel"/>
    <w:tmpl w:val="EB7E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E421A"/>
    <w:multiLevelType w:val="hybridMultilevel"/>
    <w:tmpl w:val="631ED5EC"/>
    <w:lvl w:ilvl="0" w:tplc="3F12E37A">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A853BD"/>
    <w:multiLevelType w:val="hybridMultilevel"/>
    <w:tmpl w:val="70562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B8D59F4"/>
    <w:multiLevelType w:val="hybridMultilevel"/>
    <w:tmpl w:val="0AB07D66"/>
    <w:lvl w:ilvl="0" w:tplc="2B8CF2FE">
      <w:start w:val="1"/>
      <w:numFmt w:val="bullet"/>
      <w:lvlText w:val=""/>
      <w:lvlJc w:val="left"/>
      <w:pPr>
        <w:tabs>
          <w:tab w:val="num" w:pos="567"/>
        </w:tabs>
        <w:ind w:left="567" w:hanging="567"/>
      </w:pPr>
      <w:rPr>
        <w:rFonts w:ascii="Symbol" w:hAnsi="Symbol" w:hint="default"/>
      </w:rPr>
    </w:lvl>
    <w:lvl w:ilvl="1" w:tplc="CCF0B5A4">
      <w:start w:val="1"/>
      <w:numFmt w:val="bullet"/>
      <w:lvlText w:val=""/>
      <w:lvlJc w:val="left"/>
      <w:pPr>
        <w:tabs>
          <w:tab w:val="num" w:pos="567"/>
        </w:tabs>
        <w:ind w:left="567" w:hanging="567"/>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4614CB"/>
    <w:multiLevelType w:val="hybridMultilevel"/>
    <w:tmpl w:val="F822BD1C"/>
    <w:lvl w:ilvl="0" w:tplc="FFFFFFFF">
      <w:start w:val="1"/>
      <w:numFmt w:val="bullet"/>
      <w:lvlText w:val=""/>
      <w:lvlJc w:val="left"/>
      <w:pPr>
        <w:tabs>
          <w:tab w:val="num" w:pos="1287"/>
        </w:tabs>
        <w:ind w:left="1287" w:hanging="360"/>
      </w:pPr>
      <w:rPr>
        <w:rFonts w:ascii="Symbol" w:hAnsi="Symbol"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42730622"/>
    <w:multiLevelType w:val="multilevel"/>
    <w:tmpl w:val="3C7CAD2C"/>
    <w:lvl w:ilvl="0">
      <w:start w:val="1"/>
      <w:numFmt w:val="bullet"/>
      <w:lvlText w:val=""/>
      <w:lvlJc w:val="left"/>
      <w:pPr>
        <w:tabs>
          <w:tab w:val="num" w:pos="227"/>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824AF8"/>
    <w:multiLevelType w:val="hybridMultilevel"/>
    <w:tmpl w:val="FAF65A7E"/>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24D1111"/>
    <w:multiLevelType w:val="hybridMultilevel"/>
    <w:tmpl w:val="DBBC7912"/>
    <w:lvl w:ilvl="0" w:tplc="AED6DACE">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5F1150"/>
    <w:multiLevelType w:val="hybridMultilevel"/>
    <w:tmpl w:val="A18632A8"/>
    <w:lvl w:ilvl="0" w:tplc="02780FFC">
      <w:start w:val="1"/>
      <w:numFmt w:val="bullet"/>
      <w:lvlText w:val=""/>
      <w:lvlJc w:val="left"/>
      <w:pPr>
        <w:tabs>
          <w:tab w:val="num" w:pos="144"/>
        </w:tabs>
        <w:ind w:left="1224" w:hanging="122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78326F"/>
    <w:multiLevelType w:val="hybridMultilevel"/>
    <w:tmpl w:val="15B87914"/>
    <w:lvl w:ilvl="0" w:tplc="7B96CDE0">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C0718"/>
    <w:multiLevelType w:val="hybridMultilevel"/>
    <w:tmpl w:val="ADC26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D95B81"/>
    <w:multiLevelType w:val="hybridMultilevel"/>
    <w:tmpl w:val="863C497E"/>
    <w:lvl w:ilvl="0" w:tplc="2E1A0E9A">
      <w:start w:val="3"/>
      <w:numFmt w:val="upperLetter"/>
      <w:lvlText w:val="%1."/>
      <w:lvlJc w:val="left"/>
      <w:pPr>
        <w:ind w:left="765" w:hanging="360"/>
      </w:pPr>
      <w:rPr>
        <w:rFonts w:hint="default"/>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6" w15:restartNumberingAfterBreak="0">
    <w:nsid w:val="61E67139"/>
    <w:multiLevelType w:val="hybridMultilevel"/>
    <w:tmpl w:val="4F8031A4"/>
    <w:lvl w:ilvl="0" w:tplc="1CDEE6AE">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67465C"/>
    <w:multiLevelType w:val="singleLevel"/>
    <w:tmpl w:val="F140C25C"/>
    <w:lvl w:ilvl="0">
      <w:start w:val="1"/>
      <w:numFmt w:val="bullet"/>
      <w:lvlText w:val="•"/>
      <w:lvlJc w:val="left"/>
      <w:pPr>
        <w:tabs>
          <w:tab w:val="num" w:pos="360"/>
        </w:tabs>
        <w:ind w:left="360" w:hanging="360"/>
      </w:pPr>
      <w:rPr>
        <w:rFonts w:ascii="Times New Roman" w:hAnsi="Times New Roman" w:cs="Times New Roman" w:hint="default"/>
        <w:color w:val="auto"/>
        <w:sz w:val="28"/>
        <w:szCs w:val="28"/>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454B8"/>
    <w:multiLevelType w:val="hybridMultilevel"/>
    <w:tmpl w:val="07685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EE2D44"/>
    <w:multiLevelType w:val="hybridMultilevel"/>
    <w:tmpl w:val="724C4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9D3E19"/>
    <w:multiLevelType w:val="hybridMultilevel"/>
    <w:tmpl w:val="D2603A4A"/>
    <w:lvl w:ilvl="0" w:tplc="22C8D6EC">
      <w:start w:val="3"/>
      <w:numFmt w:val="upperLetter"/>
      <w:lvlText w:val="%1."/>
      <w:lvlJc w:val="left"/>
      <w:pPr>
        <w:ind w:left="930" w:hanging="360"/>
      </w:pPr>
      <w:rPr>
        <w:rFonts w:hint="default"/>
        <w:b/>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2" w15:restartNumberingAfterBreak="0">
    <w:nsid w:val="783848FE"/>
    <w:multiLevelType w:val="multilevel"/>
    <w:tmpl w:val="9C56404C"/>
    <w:lvl w:ilvl="0">
      <w:start w:val="1"/>
      <w:numFmt w:val="bullet"/>
      <w:lvlText w:val=""/>
      <w:lvlJc w:val="left"/>
      <w:pPr>
        <w:tabs>
          <w:tab w:val="num" w:pos="0"/>
        </w:tabs>
        <w:ind w:left="113" w:hanging="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4" w15:restartNumberingAfterBreak="0">
    <w:nsid w:val="7AB01804"/>
    <w:multiLevelType w:val="multilevel"/>
    <w:tmpl w:val="DDBE5032"/>
    <w:lvl w:ilvl="0">
      <w:start w:val="1"/>
      <w:numFmt w:val="bullet"/>
      <w:lvlText w:val=""/>
      <w:lvlJc w:val="left"/>
      <w:pPr>
        <w:tabs>
          <w:tab w:val="num" w:pos="360"/>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042037"/>
    <w:multiLevelType w:val="multilevel"/>
    <w:tmpl w:val="324CFC3E"/>
    <w:lvl w:ilvl="0">
      <w:start w:val="1"/>
      <w:numFmt w:val="bullet"/>
      <w:lvlText w:val=""/>
      <w:lvlJc w:val="left"/>
      <w:pPr>
        <w:tabs>
          <w:tab w:val="num" w:pos="227"/>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3C4699"/>
    <w:multiLevelType w:val="hybridMultilevel"/>
    <w:tmpl w:val="4B5EC326"/>
    <w:lvl w:ilvl="0" w:tplc="AED6DAC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304710">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 w16cid:durableId="14507082">
    <w:abstractNumId w:val="9"/>
  </w:num>
  <w:num w:numId="3" w16cid:durableId="1746494519">
    <w:abstractNumId w:val="37"/>
  </w:num>
  <w:num w:numId="4" w16cid:durableId="1483740113">
    <w:abstractNumId w:val="28"/>
  </w:num>
  <w:num w:numId="5" w16cid:durableId="1167091405">
    <w:abstractNumId w:val="30"/>
  </w:num>
  <w:num w:numId="6" w16cid:durableId="653949083">
    <w:abstractNumId w:val="7"/>
  </w:num>
  <w:num w:numId="7" w16cid:durableId="624969870">
    <w:abstractNumId w:val="6"/>
  </w:num>
  <w:num w:numId="8" w16cid:durableId="1331717798">
    <w:abstractNumId w:val="5"/>
  </w:num>
  <w:num w:numId="9" w16cid:durableId="1648437304">
    <w:abstractNumId w:val="4"/>
  </w:num>
  <w:num w:numId="10" w16cid:durableId="1037046982">
    <w:abstractNumId w:val="8"/>
  </w:num>
  <w:num w:numId="11" w16cid:durableId="2011638430">
    <w:abstractNumId w:val="3"/>
  </w:num>
  <w:num w:numId="12" w16cid:durableId="1195076736">
    <w:abstractNumId w:val="2"/>
  </w:num>
  <w:num w:numId="13" w16cid:durableId="1166438187">
    <w:abstractNumId w:val="1"/>
  </w:num>
  <w:num w:numId="14" w16cid:durableId="864098969">
    <w:abstractNumId w:val="0"/>
  </w:num>
  <w:num w:numId="15" w16cid:durableId="356008660">
    <w:abstractNumId w:val="32"/>
  </w:num>
  <w:num w:numId="16" w16cid:durableId="667560312">
    <w:abstractNumId w:val="36"/>
  </w:num>
  <w:num w:numId="17" w16cid:durableId="159546934">
    <w:abstractNumId w:val="17"/>
  </w:num>
  <w:num w:numId="18" w16cid:durableId="1771192567">
    <w:abstractNumId w:val="44"/>
  </w:num>
  <w:num w:numId="19" w16cid:durableId="1750037460">
    <w:abstractNumId w:val="15"/>
  </w:num>
  <w:num w:numId="20" w16cid:durableId="1591114480">
    <w:abstractNumId w:val="45"/>
  </w:num>
  <w:num w:numId="21" w16cid:durableId="1362628918">
    <w:abstractNumId w:val="20"/>
  </w:num>
  <w:num w:numId="22" w16cid:durableId="2006202640">
    <w:abstractNumId w:val="29"/>
  </w:num>
  <w:num w:numId="23" w16cid:durableId="198276267">
    <w:abstractNumId w:val="11"/>
  </w:num>
  <w:num w:numId="24" w16cid:durableId="271790236">
    <w:abstractNumId w:val="42"/>
  </w:num>
  <w:num w:numId="25" w16cid:durableId="561260928">
    <w:abstractNumId w:val="16"/>
  </w:num>
  <w:num w:numId="26" w16cid:durableId="2053728235">
    <w:abstractNumId w:val="31"/>
  </w:num>
  <w:num w:numId="27" w16cid:durableId="1081215382">
    <w:abstractNumId w:val="27"/>
  </w:num>
  <w:num w:numId="28" w16cid:durableId="1950811746">
    <w:abstractNumId w:val="25"/>
  </w:num>
  <w:num w:numId="29" w16cid:durableId="295070485">
    <w:abstractNumId w:val="22"/>
  </w:num>
  <w:num w:numId="30" w16cid:durableId="1379357777">
    <w:abstractNumId w:val="33"/>
  </w:num>
  <w:num w:numId="31" w16cid:durableId="622545123">
    <w:abstractNumId w:val="21"/>
  </w:num>
  <w:num w:numId="32" w16cid:durableId="1815366613">
    <w:abstractNumId w:val="23"/>
  </w:num>
  <w:num w:numId="33" w16cid:durableId="433864218">
    <w:abstractNumId w:val="19"/>
  </w:num>
  <w:num w:numId="34" w16cid:durableId="946425356">
    <w:abstractNumId w:val="41"/>
  </w:num>
  <w:num w:numId="35" w16cid:durableId="670959244">
    <w:abstractNumId w:val="18"/>
  </w:num>
  <w:num w:numId="36" w16cid:durableId="923223328">
    <w:abstractNumId w:val="12"/>
  </w:num>
  <w:num w:numId="37" w16cid:durableId="34816771">
    <w:abstractNumId w:val="34"/>
  </w:num>
  <w:num w:numId="38" w16cid:durableId="1255213592">
    <w:abstractNumId w:val="35"/>
  </w:num>
  <w:num w:numId="39" w16cid:durableId="604727588">
    <w:abstractNumId w:val="26"/>
  </w:num>
  <w:num w:numId="40" w16cid:durableId="811486990">
    <w:abstractNumId w:val="13"/>
  </w:num>
  <w:num w:numId="41" w16cid:durableId="875503066">
    <w:abstractNumId w:val="40"/>
  </w:num>
  <w:num w:numId="42" w16cid:durableId="1382636025">
    <w:abstractNumId w:val="39"/>
  </w:num>
  <w:num w:numId="43" w16cid:durableId="336884963">
    <w:abstractNumId w:val="38"/>
  </w:num>
  <w:num w:numId="44" w16cid:durableId="314922210">
    <w:abstractNumId w:val="24"/>
  </w:num>
  <w:num w:numId="45" w16cid:durableId="581069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1874809">
    <w:abstractNumId w:val="46"/>
  </w:num>
  <w:num w:numId="47" w16cid:durableId="588855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s-ES" w:vendorID="64" w:dllVersion="6"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SU" w:val="110"/>
    <w:docVar w:name="Version" w:val="0"/>
    <w:docVar w:name="WfJumps" w:val="no"/>
    <w:docVar w:name="WfLastSegment" w:val=" 31019"/>
    <w:docVar w:name="WfRevTM" w:val="c:\documents and settings\andrea\my documents\andrea\copied from old comp\andrea\wf_en\WfMemory.Txt"/>
    <w:docVar w:name="WfStyleNames" w:val=",1 / 1.1 / 1.1.1,1 / a / i,A Horizontal Justification Box,A Vertical Text Box,Article / Section,Balloon Text,Block Text,Body Text,Body Text 2,Body Text 3,Body Text First Indent,Body Text First Indent 2,Body Text Indent,Body Text Indent 2,Body Text Indent 3,Caption,Closing,Comment Reference,Comment Subject,Comment Text,Date,Default Paragraph Font,Document Map,E-mail Signature,Emphasis,Endnote Reference,Endnote Text,Envelope Address,Envelope Return,FollowedHyperlink,Footer,Footnote Reference,Footnote Text,Header,Heading 1,Heading 2,Heading 3,Heading 4,II/III,Heading 4-SmPC,Heading 5,Heading 6,Heading 7,Heading 8,Heading 9,Heading-2 SmPC,HTML Acronym,HTML Address,HTML Cite,HTML Code,HTML Definition,HTML Keyboard,HTML Preformatted,HTML Sample,HTML Typewriter,HTML Variable,Hyperlink,Index 1,Index 2,Index 3,Index 4,Index 5,Index 6,Index 7,Index 8,Index 9,Index Heading,Line Number,List,List 2,List 3,List 4,List 5,List Bullet,List Bullet 2,List Bullet 3,List Bullet 4,List Bullet 5,List Continue,List Continue 2,List Continue 3,List Continue 4,List Continue 5,List Number,List Number 2,List Number 3,List Number 4,List Number 5,Macro Text,Message Header,No List,Normal,Normal (Web),Normal Indent,Normálny (WWW),Note Heading,Page Number,Plain Text,Salutation,Signature,Strong,Subtitle,Table 3D effects 1,Table 3D effects 2,Table 3D effects 3,Table Classic 1,Table Classic 2,Table Classic 3,Table Classic 4,Table Colorful 1,Table Colorful 2,Table Colorful 3,Table Columns 1,Table Columns 2,Table Columns 3,Table Columns 4,Table Columns 5,Table Contemporary,Table Elegant,Table Grid,Table Grid 1,Table Grid 2,Table Grid 3,Table Grid 4,Table Grid 5,Table Grid 6,Table Grid 7,Table Grid 8,Table List 1,Table List 2,Table List 3,Table List 4,Table List 5,Table List 6,Table List 7,Table List 8,Table Normal,Table of Authorities,Table of Figures,Table Professional,Table Simple 1,Table Simple 2,Table Simple 3,Table Subtle 1,Table Subtle 2,Table Theme,Table Web 1,Table Web 2,Table Web 3,Title,TOA Heading,TOC 1,TOC 2,TOC 3,TOC 4,TOC 5,TOC 6,TOC 7,TOC 8,TOC 9,tw4winMark,"/>
    <w:docVar w:name="WfStyles" w:val="160"/>
    <w:docVar w:name="WfTags" w:val="no00"/>
    <w:docVar w:name="WfTM1" w:val="c:\documents and settings\andrea\my documents\andrea\copied from old comp\andrea\wf_en\"/>
    <w:docVar w:name="WfTM2" w:val="WfMemory.Txt"/>
  </w:docVars>
  <w:rsids>
    <w:rsidRoot w:val="00FE037D"/>
    <w:rsid w:val="000101AA"/>
    <w:rsid w:val="00010D53"/>
    <w:rsid w:val="0001688A"/>
    <w:rsid w:val="000206D4"/>
    <w:rsid w:val="00022605"/>
    <w:rsid w:val="00023DA5"/>
    <w:rsid w:val="000263C5"/>
    <w:rsid w:val="00026AE2"/>
    <w:rsid w:val="00027A4B"/>
    <w:rsid w:val="00031B3A"/>
    <w:rsid w:val="00035FC7"/>
    <w:rsid w:val="0003786D"/>
    <w:rsid w:val="0004650F"/>
    <w:rsid w:val="0004692F"/>
    <w:rsid w:val="0005470B"/>
    <w:rsid w:val="00056882"/>
    <w:rsid w:val="000615A0"/>
    <w:rsid w:val="00061A42"/>
    <w:rsid w:val="00063247"/>
    <w:rsid w:val="0006739D"/>
    <w:rsid w:val="00071C65"/>
    <w:rsid w:val="00072F52"/>
    <w:rsid w:val="00076ECF"/>
    <w:rsid w:val="00081D5F"/>
    <w:rsid w:val="00082FEB"/>
    <w:rsid w:val="00084651"/>
    <w:rsid w:val="000847F4"/>
    <w:rsid w:val="0009228D"/>
    <w:rsid w:val="000A0D69"/>
    <w:rsid w:val="000A4133"/>
    <w:rsid w:val="000A451F"/>
    <w:rsid w:val="000A6921"/>
    <w:rsid w:val="000B0FEA"/>
    <w:rsid w:val="000B1744"/>
    <w:rsid w:val="000B1B2B"/>
    <w:rsid w:val="000B2D29"/>
    <w:rsid w:val="000B3E38"/>
    <w:rsid w:val="000B5016"/>
    <w:rsid w:val="000B64F3"/>
    <w:rsid w:val="000B664D"/>
    <w:rsid w:val="000C7639"/>
    <w:rsid w:val="000D0372"/>
    <w:rsid w:val="000D74AC"/>
    <w:rsid w:val="000E047C"/>
    <w:rsid w:val="000E32B4"/>
    <w:rsid w:val="000E404B"/>
    <w:rsid w:val="000F348E"/>
    <w:rsid w:val="000F56D1"/>
    <w:rsid w:val="00104E25"/>
    <w:rsid w:val="001068B8"/>
    <w:rsid w:val="00106DC2"/>
    <w:rsid w:val="0011604F"/>
    <w:rsid w:val="0011732C"/>
    <w:rsid w:val="00120D98"/>
    <w:rsid w:val="00121123"/>
    <w:rsid w:val="00127455"/>
    <w:rsid w:val="0012780A"/>
    <w:rsid w:val="0013029B"/>
    <w:rsid w:val="00140262"/>
    <w:rsid w:val="00141917"/>
    <w:rsid w:val="00141B43"/>
    <w:rsid w:val="00142BF7"/>
    <w:rsid w:val="00146FAB"/>
    <w:rsid w:val="001530B3"/>
    <w:rsid w:val="00153386"/>
    <w:rsid w:val="00154F11"/>
    <w:rsid w:val="00156D38"/>
    <w:rsid w:val="00156FE1"/>
    <w:rsid w:val="0015708E"/>
    <w:rsid w:val="00157742"/>
    <w:rsid w:val="00160BBF"/>
    <w:rsid w:val="00167460"/>
    <w:rsid w:val="00167947"/>
    <w:rsid w:val="00172DA8"/>
    <w:rsid w:val="00174573"/>
    <w:rsid w:val="00181A84"/>
    <w:rsid w:val="00184ABD"/>
    <w:rsid w:val="0018747B"/>
    <w:rsid w:val="00187B08"/>
    <w:rsid w:val="00193D5E"/>
    <w:rsid w:val="00197553"/>
    <w:rsid w:val="001A131A"/>
    <w:rsid w:val="001B0C2C"/>
    <w:rsid w:val="001B2539"/>
    <w:rsid w:val="001C04C0"/>
    <w:rsid w:val="001C42B3"/>
    <w:rsid w:val="001C4A21"/>
    <w:rsid w:val="001C6B0D"/>
    <w:rsid w:val="001D1332"/>
    <w:rsid w:val="001D2027"/>
    <w:rsid w:val="001D4817"/>
    <w:rsid w:val="001D4C6F"/>
    <w:rsid w:val="001D53F1"/>
    <w:rsid w:val="001E0AE8"/>
    <w:rsid w:val="001E3978"/>
    <w:rsid w:val="001E3B50"/>
    <w:rsid w:val="001E3E97"/>
    <w:rsid w:val="001E5D9C"/>
    <w:rsid w:val="001F246C"/>
    <w:rsid w:val="001F2EF0"/>
    <w:rsid w:val="001F376E"/>
    <w:rsid w:val="001F7B4F"/>
    <w:rsid w:val="002012B4"/>
    <w:rsid w:val="0020360B"/>
    <w:rsid w:val="00203F62"/>
    <w:rsid w:val="002055F9"/>
    <w:rsid w:val="00206C04"/>
    <w:rsid w:val="00212887"/>
    <w:rsid w:val="002246FD"/>
    <w:rsid w:val="0022731E"/>
    <w:rsid w:val="00236237"/>
    <w:rsid w:val="00236332"/>
    <w:rsid w:val="00241C14"/>
    <w:rsid w:val="00242111"/>
    <w:rsid w:val="00245817"/>
    <w:rsid w:val="00245C7E"/>
    <w:rsid w:val="00250CB4"/>
    <w:rsid w:val="0025462D"/>
    <w:rsid w:val="00257E45"/>
    <w:rsid w:val="00260081"/>
    <w:rsid w:val="00260134"/>
    <w:rsid w:val="00261370"/>
    <w:rsid w:val="00263697"/>
    <w:rsid w:val="00264954"/>
    <w:rsid w:val="00267FD0"/>
    <w:rsid w:val="00271346"/>
    <w:rsid w:val="00271D8F"/>
    <w:rsid w:val="00274CB4"/>
    <w:rsid w:val="002751A9"/>
    <w:rsid w:val="00275219"/>
    <w:rsid w:val="00276A41"/>
    <w:rsid w:val="00282942"/>
    <w:rsid w:val="00286E75"/>
    <w:rsid w:val="00286E81"/>
    <w:rsid w:val="00290847"/>
    <w:rsid w:val="00294482"/>
    <w:rsid w:val="00295B4E"/>
    <w:rsid w:val="0029758D"/>
    <w:rsid w:val="002A0D93"/>
    <w:rsid w:val="002A43C7"/>
    <w:rsid w:val="002A6240"/>
    <w:rsid w:val="002B392E"/>
    <w:rsid w:val="002B44AC"/>
    <w:rsid w:val="002B7563"/>
    <w:rsid w:val="002C02F4"/>
    <w:rsid w:val="002C05CE"/>
    <w:rsid w:val="002C2C3F"/>
    <w:rsid w:val="002C4515"/>
    <w:rsid w:val="002D68A1"/>
    <w:rsid w:val="002E0DEC"/>
    <w:rsid w:val="002E16F0"/>
    <w:rsid w:val="002E2908"/>
    <w:rsid w:val="002E5E41"/>
    <w:rsid w:val="002E76C4"/>
    <w:rsid w:val="002E7AC9"/>
    <w:rsid w:val="002F0AA6"/>
    <w:rsid w:val="002F4513"/>
    <w:rsid w:val="002F7881"/>
    <w:rsid w:val="00300777"/>
    <w:rsid w:val="00301202"/>
    <w:rsid w:val="00301D5C"/>
    <w:rsid w:val="0030511B"/>
    <w:rsid w:val="0031104C"/>
    <w:rsid w:val="0031651B"/>
    <w:rsid w:val="00316D18"/>
    <w:rsid w:val="00317CD1"/>
    <w:rsid w:val="00330DBF"/>
    <w:rsid w:val="0033646F"/>
    <w:rsid w:val="00337550"/>
    <w:rsid w:val="00343324"/>
    <w:rsid w:val="00344E8A"/>
    <w:rsid w:val="003450E5"/>
    <w:rsid w:val="00345625"/>
    <w:rsid w:val="00345B11"/>
    <w:rsid w:val="00347E7D"/>
    <w:rsid w:val="00355177"/>
    <w:rsid w:val="00355BF6"/>
    <w:rsid w:val="00356A68"/>
    <w:rsid w:val="00362C42"/>
    <w:rsid w:val="00364ECC"/>
    <w:rsid w:val="00372156"/>
    <w:rsid w:val="00372ACF"/>
    <w:rsid w:val="003777EE"/>
    <w:rsid w:val="00380071"/>
    <w:rsid w:val="00381969"/>
    <w:rsid w:val="003823D3"/>
    <w:rsid w:val="003859D9"/>
    <w:rsid w:val="00391217"/>
    <w:rsid w:val="00392EA4"/>
    <w:rsid w:val="00393A6E"/>
    <w:rsid w:val="00394026"/>
    <w:rsid w:val="003A29FF"/>
    <w:rsid w:val="003A34F4"/>
    <w:rsid w:val="003A38FD"/>
    <w:rsid w:val="003A5AA3"/>
    <w:rsid w:val="003A6481"/>
    <w:rsid w:val="003B5496"/>
    <w:rsid w:val="003C0297"/>
    <w:rsid w:val="003C2DF9"/>
    <w:rsid w:val="003C3F41"/>
    <w:rsid w:val="003C662C"/>
    <w:rsid w:val="003D3FA2"/>
    <w:rsid w:val="003D3FBC"/>
    <w:rsid w:val="003D688C"/>
    <w:rsid w:val="003E13ED"/>
    <w:rsid w:val="003E37B9"/>
    <w:rsid w:val="003E4C45"/>
    <w:rsid w:val="003E7DE8"/>
    <w:rsid w:val="003F048F"/>
    <w:rsid w:val="003F770A"/>
    <w:rsid w:val="00402271"/>
    <w:rsid w:val="00407659"/>
    <w:rsid w:val="00411779"/>
    <w:rsid w:val="004119D2"/>
    <w:rsid w:val="004143F7"/>
    <w:rsid w:val="0041494A"/>
    <w:rsid w:val="004210FD"/>
    <w:rsid w:val="00425C4E"/>
    <w:rsid w:val="00427E3C"/>
    <w:rsid w:val="0043026D"/>
    <w:rsid w:val="00430937"/>
    <w:rsid w:val="00432C82"/>
    <w:rsid w:val="004417F5"/>
    <w:rsid w:val="00442188"/>
    <w:rsid w:val="00443DF3"/>
    <w:rsid w:val="00447637"/>
    <w:rsid w:val="00450E95"/>
    <w:rsid w:val="004511AD"/>
    <w:rsid w:val="00453173"/>
    <w:rsid w:val="00453C53"/>
    <w:rsid w:val="00454303"/>
    <w:rsid w:val="00457087"/>
    <w:rsid w:val="00462D8A"/>
    <w:rsid w:val="004630CB"/>
    <w:rsid w:val="004654CB"/>
    <w:rsid w:val="004665FA"/>
    <w:rsid w:val="0047003F"/>
    <w:rsid w:val="00470219"/>
    <w:rsid w:val="00473BB0"/>
    <w:rsid w:val="00473E2B"/>
    <w:rsid w:val="004747DA"/>
    <w:rsid w:val="00475DB7"/>
    <w:rsid w:val="0048029D"/>
    <w:rsid w:val="00480D25"/>
    <w:rsid w:val="00483CE6"/>
    <w:rsid w:val="00493DD2"/>
    <w:rsid w:val="00493FE5"/>
    <w:rsid w:val="0049528C"/>
    <w:rsid w:val="00495E69"/>
    <w:rsid w:val="004A1D3B"/>
    <w:rsid w:val="004C1D91"/>
    <w:rsid w:val="004C29D8"/>
    <w:rsid w:val="004C5A6E"/>
    <w:rsid w:val="004C6E75"/>
    <w:rsid w:val="004C7865"/>
    <w:rsid w:val="004D2AC4"/>
    <w:rsid w:val="004D2E20"/>
    <w:rsid w:val="004D605C"/>
    <w:rsid w:val="004D7091"/>
    <w:rsid w:val="004D796D"/>
    <w:rsid w:val="004E5224"/>
    <w:rsid w:val="004F0D0A"/>
    <w:rsid w:val="00500A5F"/>
    <w:rsid w:val="00504410"/>
    <w:rsid w:val="00507D7C"/>
    <w:rsid w:val="00510A5A"/>
    <w:rsid w:val="00511503"/>
    <w:rsid w:val="00520469"/>
    <w:rsid w:val="0052217A"/>
    <w:rsid w:val="00522953"/>
    <w:rsid w:val="00524AB4"/>
    <w:rsid w:val="00535F82"/>
    <w:rsid w:val="005378B5"/>
    <w:rsid w:val="00542BD6"/>
    <w:rsid w:val="0054578C"/>
    <w:rsid w:val="00545FE5"/>
    <w:rsid w:val="00550123"/>
    <w:rsid w:val="00550635"/>
    <w:rsid w:val="00551156"/>
    <w:rsid w:val="005515AE"/>
    <w:rsid w:val="00553AA6"/>
    <w:rsid w:val="005578DA"/>
    <w:rsid w:val="0056240B"/>
    <w:rsid w:val="00563BFC"/>
    <w:rsid w:val="00566A05"/>
    <w:rsid w:val="00570A55"/>
    <w:rsid w:val="0057372C"/>
    <w:rsid w:val="00574BA2"/>
    <w:rsid w:val="0057644A"/>
    <w:rsid w:val="00581782"/>
    <w:rsid w:val="0058448A"/>
    <w:rsid w:val="0058498B"/>
    <w:rsid w:val="00584C8C"/>
    <w:rsid w:val="0058723E"/>
    <w:rsid w:val="00592CD7"/>
    <w:rsid w:val="0059412A"/>
    <w:rsid w:val="005A0436"/>
    <w:rsid w:val="005A3319"/>
    <w:rsid w:val="005A598B"/>
    <w:rsid w:val="005A6E5A"/>
    <w:rsid w:val="005B4A34"/>
    <w:rsid w:val="005B4FFF"/>
    <w:rsid w:val="005B5064"/>
    <w:rsid w:val="005B58FD"/>
    <w:rsid w:val="005B7025"/>
    <w:rsid w:val="005C0FE7"/>
    <w:rsid w:val="005D12BB"/>
    <w:rsid w:val="005D1C3C"/>
    <w:rsid w:val="005D3303"/>
    <w:rsid w:val="005D4151"/>
    <w:rsid w:val="005E095B"/>
    <w:rsid w:val="005F16ED"/>
    <w:rsid w:val="00610D16"/>
    <w:rsid w:val="006114EA"/>
    <w:rsid w:val="0061291D"/>
    <w:rsid w:val="006134E6"/>
    <w:rsid w:val="00613D62"/>
    <w:rsid w:val="00617E63"/>
    <w:rsid w:val="0062471E"/>
    <w:rsid w:val="00625CAD"/>
    <w:rsid w:val="006260CA"/>
    <w:rsid w:val="006266EF"/>
    <w:rsid w:val="006350F9"/>
    <w:rsid w:val="0063724A"/>
    <w:rsid w:val="0063750B"/>
    <w:rsid w:val="0064126A"/>
    <w:rsid w:val="006417A6"/>
    <w:rsid w:val="00645673"/>
    <w:rsid w:val="006529AE"/>
    <w:rsid w:val="006533F9"/>
    <w:rsid w:val="00654FA3"/>
    <w:rsid w:val="00656010"/>
    <w:rsid w:val="0066618F"/>
    <w:rsid w:val="006711EF"/>
    <w:rsid w:val="00671E4A"/>
    <w:rsid w:val="00675736"/>
    <w:rsid w:val="0068091C"/>
    <w:rsid w:val="006833BC"/>
    <w:rsid w:val="00683E17"/>
    <w:rsid w:val="00684876"/>
    <w:rsid w:val="006907A2"/>
    <w:rsid w:val="006925AF"/>
    <w:rsid w:val="00692919"/>
    <w:rsid w:val="00693CAB"/>
    <w:rsid w:val="006A0ABD"/>
    <w:rsid w:val="006A5F91"/>
    <w:rsid w:val="006B1261"/>
    <w:rsid w:val="006B2510"/>
    <w:rsid w:val="006B2CF1"/>
    <w:rsid w:val="006B49E5"/>
    <w:rsid w:val="006C284E"/>
    <w:rsid w:val="006C582A"/>
    <w:rsid w:val="006C6DF9"/>
    <w:rsid w:val="006D1121"/>
    <w:rsid w:val="006D34B2"/>
    <w:rsid w:val="006E250A"/>
    <w:rsid w:val="006E293E"/>
    <w:rsid w:val="006E3475"/>
    <w:rsid w:val="006E44C9"/>
    <w:rsid w:val="006E7506"/>
    <w:rsid w:val="006F046D"/>
    <w:rsid w:val="006F4374"/>
    <w:rsid w:val="006F54F6"/>
    <w:rsid w:val="006F74E5"/>
    <w:rsid w:val="00701492"/>
    <w:rsid w:val="0070438A"/>
    <w:rsid w:val="0071100F"/>
    <w:rsid w:val="007122EA"/>
    <w:rsid w:val="00715BD9"/>
    <w:rsid w:val="00716D0B"/>
    <w:rsid w:val="00720890"/>
    <w:rsid w:val="00724DD5"/>
    <w:rsid w:val="007250D6"/>
    <w:rsid w:val="00727CA4"/>
    <w:rsid w:val="00730B28"/>
    <w:rsid w:val="00731897"/>
    <w:rsid w:val="007319FC"/>
    <w:rsid w:val="00731D4D"/>
    <w:rsid w:val="007342EB"/>
    <w:rsid w:val="0073648F"/>
    <w:rsid w:val="0074081B"/>
    <w:rsid w:val="00751294"/>
    <w:rsid w:val="0075355C"/>
    <w:rsid w:val="00753CED"/>
    <w:rsid w:val="00756A5E"/>
    <w:rsid w:val="00770789"/>
    <w:rsid w:val="00781606"/>
    <w:rsid w:val="007905C0"/>
    <w:rsid w:val="00790747"/>
    <w:rsid w:val="00790864"/>
    <w:rsid w:val="007958F1"/>
    <w:rsid w:val="007A33B9"/>
    <w:rsid w:val="007A3A03"/>
    <w:rsid w:val="007A7568"/>
    <w:rsid w:val="007B277D"/>
    <w:rsid w:val="007B2938"/>
    <w:rsid w:val="007B3201"/>
    <w:rsid w:val="007B5F02"/>
    <w:rsid w:val="007C1937"/>
    <w:rsid w:val="007C198A"/>
    <w:rsid w:val="007C3449"/>
    <w:rsid w:val="007C3921"/>
    <w:rsid w:val="007C451C"/>
    <w:rsid w:val="007D024F"/>
    <w:rsid w:val="007D099E"/>
    <w:rsid w:val="007E306A"/>
    <w:rsid w:val="007E3E17"/>
    <w:rsid w:val="007E5BE1"/>
    <w:rsid w:val="007E7619"/>
    <w:rsid w:val="007E7CF7"/>
    <w:rsid w:val="007F1246"/>
    <w:rsid w:val="007F1772"/>
    <w:rsid w:val="007F23BC"/>
    <w:rsid w:val="007F2C63"/>
    <w:rsid w:val="00800F2F"/>
    <w:rsid w:val="00801FC1"/>
    <w:rsid w:val="00803905"/>
    <w:rsid w:val="00805003"/>
    <w:rsid w:val="0080523F"/>
    <w:rsid w:val="0080673C"/>
    <w:rsid w:val="008142C3"/>
    <w:rsid w:val="0081661F"/>
    <w:rsid w:val="0082073C"/>
    <w:rsid w:val="00822F8C"/>
    <w:rsid w:val="00831C83"/>
    <w:rsid w:val="00832A2B"/>
    <w:rsid w:val="00836D54"/>
    <w:rsid w:val="00843513"/>
    <w:rsid w:val="00844967"/>
    <w:rsid w:val="00856281"/>
    <w:rsid w:val="0085733C"/>
    <w:rsid w:val="00861C7D"/>
    <w:rsid w:val="00870248"/>
    <w:rsid w:val="0087146E"/>
    <w:rsid w:val="008714F2"/>
    <w:rsid w:val="008716F7"/>
    <w:rsid w:val="00874257"/>
    <w:rsid w:val="00874E12"/>
    <w:rsid w:val="008777DD"/>
    <w:rsid w:val="00883FD1"/>
    <w:rsid w:val="0088594E"/>
    <w:rsid w:val="00887897"/>
    <w:rsid w:val="008906E2"/>
    <w:rsid w:val="00890A75"/>
    <w:rsid w:val="008968D1"/>
    <w:rsid w:val="008A0A50"/>
    <w:rsid w:val="008B0005"/>
    <w:rsid w:val="008B13F5"/>
    <w:rsid w:val="008C08FC"/>
    <w:rsid w:val="008C4E97"/>
    <w:rsid w:val="008D4791"/>
    <w:rsid w:val="008D52AC"/>
    <w:rsid w:val="008D6830"/>
    <w:rsid w:val="008E3301"/>
    <w:rsid w:val="008E6AE3"/>
    <w:rsid w:val="008E6C0B"/>
    <w:rsid w:val="008E7C82"/>
    <w:rsid w:val="008F0B07"/>
    <w:rsid w:val="008F4001"/>
    <w:rsid w:val="008F5136"/>
    <w:rsid w:val="008F5DE9"/>
    <w:rsid w:val="008F5F64"/>
    <w:rsid w:val="008F612B"/>
    <w:rsid w:val="009009B2"/>
    <w:rsid w:val="00906597"/>
    <w:rsid w:val="00907002"/>
    <w:rsid w:val="00911CEF"/>
    <w:rsid w:val="009121BD"/>
    <w:rsid w:val="00914339"/>
    <w:rsid w:val="00914417"/>
    <w:rsid w:val="00916125"/>
    <w:rsid w:val="0092098A"/>
    <w:rsid w:val="00920E07"/>
    <w:rsid w:val="009234C1"/>
    <w:rsid w:val="00923FE5"/>
    <w:rsid w:val="00924B5E"/>
    <w:rsid w:val="0092782A"/>
    <w:rsid w:val="00933B9E"/>
    <w:rsid w:val="00934D40"/>
    <w:rsid w:val="00935338"/>
    <w:rsid w:val="00936955"/>
    <w:rsid w:val="00940EB4"/>
    <w:rsid w:val="00941936"/>
    <w:rsid w:val="00941DA7"/>
    <w:rsid w:val="0094287A"/>
    <w:rsid w:val="00944365"/>
    <w:rsid w:val="009475B1"/>
    <w:rsid w:val="00947B83"/>
    <w:rsid w:val="00951773"/>
    <w:rsid w:val="00954EEF"/>
    <w:rsid w:val="00964F97"/>
    <w:rsid w:val="00965D1D"/>
    <w:rsid w:val="0096744E"/>
    <w:rsid w:val="00971BF6"/>
    <w:rsid w:val="00971DEB"/>
    <w:rsid w:val="00971F29"/>
    <w:rsid w:val="0097343E"/>
    <w:rsid w:val="00983092"/>
    <w:rsid w:val="00985750"/>
    <w:rsid w:val="00985DFB"/>
    <w:rsid w:val="009868F1"/>
    <w:rsid w:val="00990351"/>
    <w:rsid w:val="00992B61"/>
    <w:rsid w:val="0099325B"/>
    <w:rsid w:val="009952FF"/>
    <w:rsid w:val="009A32C9"/>
    <w:rsid w:val="009A4555"/>
    <w:rsid w:val="009A69FD"/>
    <w:rsid w:val="009A6BD9"/>
    <w:rsid w:val="009A7A6C"/>
    <w:rsid w:val="009B148C"/>
    <w:rsid w:val="009B6DDB"/>
    <w:rsid w:val="009C07B7"/>
    <w:rsid w:val="009C33C8"/>
    <w:rsid w:val="009C428F"/>
    <w:rsid w:val="009C6146"/>
    <w:rsid w:val="009C6EB7"/>
    <w:rsid w:val="009D4699"/>
    <w:rsid w:val="009E6B1F"/>
    <w:rsid w:val="009E6CF8"/>
    <w:rsid w:val="009E7134"/>
    <w:rsid w:val="009F09A8"/>
    <w:rsid w:val="009F1D87"/>
    <w:rsid w:val="009F2359"/>
    <w:rsid w:val="009F59B7"/>
    <w:rsid w:val="009F5EB9"/>
    <w:rsid w:val="009F620D"/>
    <w:rsid w:val="009F69D8"/>
    <w:rsid w:val="00A020B1"/>
    <w:rsid w:val="00A04079"/>
    <w:rsid w:val="00A0431A"/>
    <w:rsid w:val="00A0533E"/>
    <w:rsid w:val="00A06C95"/>
    <w:rsid w:val="00A07610"/>
    <w:rsid w:val="00A140C4"/>
    <w:rsid w:val="00A14E9F"/>
    <w:rsid w:val="00A150E2"/>
    <w:rsid w:val="00A33753"/>
    <w:rsid w:val="00A350D2"/>
    <w:rsid w:val="00A36924"/>
    <w:rsid w:val="00A37D3D"/>
    <w:rsid w:val="00A44675"/>
    <w:rsid w:val="00A45A61"/>
    <w:rsid w:val="00A470A7"/>
    <w:rsid w:val="00A50174"/>
    <w:rsid w:val="00A53258"/>
    <w:rsid w:val="00A537D8"/>
    <w:rsid w:val="00A5679B"/>
    <w:rsid w:val="00A6002C"/>
    <w:rsid w:val="00A60668"/>
    <w:rsid w:val="00A673DB"/>
    <w:rsid w:val="00A71BCA"/>
    <w:rsid w:val="00A72680"/>
    <w:rsid w:val="00A72C48"/>
    <w:rsid w:val="00A72E79"/>
    <w:rsid w:val="00A75368"/>
    <w:rsid w:val="00A75B7B"/>
    <w:rsid w:val="00A7663C"/>
    <w:rsid w:val="00A76A04"/>
    <w:rsid w:val="00A76A1B"/>
    <w:rsid w:val="00A818CF"/>
    <w:rsid w:val="00A83979"/>
    <w:rsid w:val="00A90262"/>
    <w:rsid w:val="00A907BA"/>
    <w:rsid w:val="00A91D7D"/>
    <w:rsid w:val="00A93DBA"/>
    <w:rsid w:val="00A96D8B"/>
    <w:rsid w:val="00AA459D"/>
    <w:rsid w:val="00AA4E77"/>
    <w:rsid w:val="00AB0EC2"/>
    <w:rsid w:val="00AB1576"/>
    <w:rsid w:val="00AB2F46"/>
    <w:rsid w:val="00AB3E7B"/>
    <w:rsid w:val="00AB43DB"/>
    <w:rsid w:val="00AB63CC"/>
    <w:rsid w:val="00AC1C27"/>
    <w:rsid w:val="00AC6898"/>
    <w:rsid w:val="00AC6988"/>
    <w:rsid w:val="00AD245D"/>
    <w:rsid w:val="00AD3D92"/>
    <w:rsid w:val="00AD5A31"/>
    <w:rsid w:val="00AD73D6"/>
    <w:rsid w:val="00AF13A0"/>
    <w:rsid w:val="00AF5DF0"/>
    <w:rsid w:val="00B01EDC"/>
    <w:rsid w:val="00B05918"/>
    <w:rsid w:val="00B07DD7"/>
    <w:rsid w:val="00B14738"/>
    <w:rsid w:val="00B17DAB"/>
    <w:rsid w:val="00B2094A"/>
    <w:rsid w:val="00B26516"/>
    <w:rsid w:val="00B318E5"/>
    <w:rsid w:val="00B3469C"/>
    <w:rsid w:val="00B34FA0"/>
    <w:rsid w:val="00B37124"/>
    <w:rsid w:val="00B3796B"/>
    <w:rsid w:val="00B41681"/>
    <w:rsid w:val="00B51269"/>
    <w:rsid w:val="00B55076"/>
    <w:rsid w:val="00B57FBF"/>
    <w:rsid w:val="00B60C95"/>
    <w:rsid w:val="00B62013"/>
    <w:rsid w:val="00B62F38"/>
    <w:rsid w:val="00B6612A"/>
    <w:rsid w:val="00B73BC7"/>
    <w:rsid w:val="00B73D94"/>
    <w:rsid w:val="00B7480C"/>
    <w:rsid w:val="00B751D7"/>
    <w:rsid w:val="00B7628D"/>
    <w:rsid w:val="00B84B3B"/>
    <w:rsid w:val="00B86E31"/>
    <w:rsid w:val="00B90B76"/>
    <w:rsid w:val="00B9192B"/>
    <w:rsid w:val="00B942FD"/>
    <w:rsid w:val="00B94615"/>
    <w:rsid w:val="00B95B27"/>
    <w:rsid w:val="00B9673B"/>
    <w:rsid w:val="00BA05D1"/>
    <w:rsid w:val="00BA05E6"/>
    <w:rsid w:val="00BA1347"/>
    <w:rsid w:val="00BA5201"/>
    <w:rsid w:val="00BA60BD"/>
    <w:rsid w:val="00BB13CC"/>
    <w:rsid w:val="00BB5F0F"/>
    <w:rsid w:val="00BC0617"/>
    <w:rsid w:val="00BC56E7"/>
    <w:rsid w:val="00BD1A72"/>
    <w:rsid w:val="00BD33EB"/>
    <w:rsid w:val="00BD3D8A"/>
    <w:rsid w:val="00BD4E2A"/>
    <w:rsid w:val="00BD5AD2"/>
    <w:rsid w:val="00BE2916"/>
    <w:rsid w:val="00BE2ED8"/>
    <w:rsid w:val="00BF1189"/>
    <w:rsid w:val="00BF457A"/>
    <w:rsid w:val="00BF5816"/>
    <w:rsid w:val="00C0098D"/>
    <w:rsid w:val="00C0370B"/>
    <w:rsid w:val="00C03C54"/>
    <w:rsid w:val="00C04441"/>
    <w:rsid w:val="00C1420C"/>
    <w:rsid w:val="00C143FD"/>
    <w:rsid w:val="00C15CC7"/>
    <w:rsid w:val="00C17A48"/>
    <w:rsid w:val="00C202B0"/>
    <w:rsid w:val="00C223E6"/>
    <w:rsid w:val="00C23C08"/>
    <w:rsid w:val="00C25DE2"/>
    <w:rsid w:val="00C26AE6"/>
    <w:rsid w:val="00C3121C"/>
    <w:rsid w:val="00C31A9C"/>
    <w:rsid w:val="00C32F38"/>
    <w:rsid w:val="00C440E9"/>
    <w:rsid w:val="00C50767"/>
    <w:rsid w:val="00C5120E"/>
    <w:rsid w:val="00C518B7"/>
    <w:rsid w:val="00C51B7A"/>
    <w:rsid w:val="00C556F0"/>
    <w:rsid w:val="00C56B08"/>
    <w:rsid w:val="00C56E27"/>
    <w:rsid w:val="00C608C8"/>
    <w:rsid w:val="00C60BF5"/>
    <w:rsid w:val="00C622AD"/>
    <w:rsid w:val="00C64C16"/>
    <w:rsid w:val="00C70EDB"/>
    <w:rsid w:val="00C722B9"/>
    <w:rsid w:val="00C73A23"/>
    <w:rsid w:val="00C85E62"/>
    <w:rsid w:val="00C90398"/>
    <w:rsid w:val="00C90B66"/>
    <w:rsid w:val="00CA2001"/>
    <w:rsid w:val="00CB04FB"/>
    <w:rsid w:val="00CB186C"/>
    <w:rsid w:val="00CB3019"/>
    <w:rsid w:val="00CC19E5"/>
    <w:rsid w:val="00CC2000"/>
    <w:rsid w:val="00CC2133"/>
    <w:rsid w:val="00CC384B"/>
    <w:rsid w:val="00CC5C60"/>
    <w:rsid w:val="00CC6F00"/>
    <w:rsid w:val="00CD048C"/>
    <w:rsid w:val="00CD073C"/>
    <w:rsid w:val="00CD20AF"/>
    <w:rsid w:val="00CD303A"/>
    <w:rsid w:val="00CD35C5"/>
    <w:rsid w:val="00CD4C0D"/>
    <w:rsid w:val="00CD4DF7"/>
    <w:rsid w:val="00CE0307"/>
    <w:rsid w:val="00CE1383"/>
    <w:rsid w:val="00CE458C"/>
    <w:rsid w:val="00CE53B5"/>
    <w:rsid w:val="00CF0447"/>
    <w:rsid w:val="00CF101B"/>
    <w:rsid w:val="00CF4178"/>
    <w:rsid w:val="00CF46B4"/>
    <w:rsid w:val="00CF4AAA"/>
    <w:rsid w:val="00CF4B99"/>
    <w:rsid w:val="00D00214"/>
    <w:rsid w:val="00D00627"/>
    <w:rsid w:val="00D0275F"/>
    <w:rsid w:val="00D0389C"/>
    <w:rsid w:val="00D0426F"/>
    <w:rsid w:val="00D04B3F"/>
    <w:rsid w:val="00D0677B"/>
    <w:rsid w:val="00D16518"/>
    <w:rsid w:val="00D16602"/>
    <w:rsid w:val="00D2141F"/>
    <w:rsid w:val="00D22C09"/>
    <w:rsid w:val="00D26EE3"/>
    <w:rsid w:val="00D306A9"/>
    <w:rsid w:val="00D33C78"/>
    <w:rsid w:val="00D3455C"/>
    <w:rsid w:val="00D3639F"/>
    <w:rsid w:val="00D36EBC"/>
    <w:rsid w:val="00D41A08"/>
    <w:rsid w:val="00D4392C"/>
    <w:rsid w:val="00D46F62"/>
    <w:rsid w:val="00D47FE1"/>
    <w:rsid w:val="00D506F5"/>
    <w:rsid w:val="00D5196F"/>
    <w:rsid w:val="00D5499D"/>
    <w:rsid w:val="00D55000"/>
    <w:rsid w:val="00D64844"/>
    <w:rsid w:val="00D7104D"/>
    <w:rsid w:val="00D74269"/>
    <w:rsid w:val="00D77D0B"/>
    <w:rsid w:val="00D81A8D"/>
    <w:rsid w:val="00D81BC0"/>
    <w:rsid w:val="00D90B39"/>
    <w:rsid w:val="00D91890"/>
    <w:rsid w:val="00D95C4B"/>
    <w:rsid w:val="00D95DA1"/>
    <w:rsid w:val="00D96843"/>
    <w:rsid w:val="00DA1E80"/>
    <w:rsid w:val="00DA3876"/>
    <w:rsid w:val="00DA4033"/>
    <w:rsid w:val="00DB0B55"/>
    <w:rsid w:val="00DB2BBA"/>
    <w:rsid w:val="00DB6677"/>
    <w:rsid w:val="00DC15EE"/>
    <w:rsid w:val="00DC25E5"/>
    <w:rsid w:val="00DC4D33"/>
    <w:rsid w:val="00DC5985"/>
    <w:rsid w:val="00DC69EF"/>
    <w:rsid w:val="00DC7775"/>
    <w:rsid w:val="00DC7B11"/>
    <w:rsid w:val="00DD124F"/>
    <w:rsid w:val="00DD5055"/>
    <w:rsid w:val="00DD67AA"/>
    <w:rsid w:val="00DE02C2"/>
    <w:rsid w:val="00DF0267"/>
    <w:rsid w:val="00DF0D88"/>
    <w:rsid w:val="00DF3EFE"/>
    <w:rsid w:val="00E0005A"/>
    <w:rsid w:val="00E00EEB"/>
    <w:rsid w:val="00E021F2"/>
    <w:rsid w:val="00E03D80"/>
    <w:rsid w:val="00E06F66"/>
    <w:rsid w:val="00E07879"/>
    <w:rsid w:val="00E10B8A"/>
    <w:rsid w:val="00E115EE"/>
    <w:rsid w:val="00E16EAE"/>
    <w:rsid w:val="00E17530"/>
    <w:rsid w:val="00E17AB0"/>
    <w:rsid w:val="00E25A7E"/>
    <w:rsid w:val="00E30D03"/>
    <w:rsid w:val="00E3739E"/>
    <w:rsid w:val="00E4110F"/>
    <w:rsid w:val="00E413C2"/>
    <w:rsid w:val="00E420D1"/>
    <w:rsid w:val="00E4240E"/>
    <w:rsid w:val="00E52A40"/>
    <w:rsid w:val="00E52C63"/>
    <w:rsid w:val="00E531DC"/>
    <w:rsid w:val="00E558A6"/>
    <w:rsid w:val="00E56F2D"/>
    <w:rsid w:val="00E64357"/>
    <w:rsid w:val="00E708FC"/>
    <w:rsid w:val="00E741A8"/>
    <w:rsid w:val="00E77888"/>
    <w:rsid w:val="00E8251A"/>
    <w:rsid w:val="00E84155"/>
    <w:rsid w:val="00E8562D"/>
    <w:rsid w:val="00E86545"/>
    <w:rsid w:val="00E8797B"/>
    <w:rsid w:val="00E91992"/>
    <w:rsid w:val="00EA51ED"/>
    <w:rsid w:val="00EA752B"/>
    <w:rsid w:val="00EB00BF"/>
    <w:rsid w:val="00EB0156"/>
    <w:rsid w:val="00EB42BC"/>
    <w:rsid w:val="00EB512E"/>
    <w:rsid w:val="00EC4441"/>
    <w:rsid w:val="00EC4698"/>
    <w:rsid w:val="00EC49BE"/>
    <w:rsid w:val="00EC5B89"/>
    <w:rsid w:val="00EC6593"/>
    <w:rsid w:val="00ED0083"/>
    <w:rsid w:val="00ED07A7"/>
    <w:rsid w:val="00ED0A13"/>
    <w:rsid w:val="00ED1757"/>
    <w:rsid w:val="00ED1A1E"/>
    <w:rsid w:val="00ED2183"/>
    <w:rsid w:val="00ED396F"/>
    <w:rsid w:val="00ED5919"/>
    <w:rsid w:val="00ED6BCE"/>
    <w:rsid w:val="00EE26EE"/>
    <w:rsid w:val="00EE3938"/>
    <w:rsid w:val="00EE47CB"/>
    <w:rsid w:val="00EE4FB6"/>
    <w:rsid w:val="00EE6A12"/>
    <w:rsid w:val="00EE78E3"/>
    <w:rsid w:val="00EF12FE"/>
    <w:rsid w:val="00EF24AE"/>
    <w:rsid w:val="00EF384E"/>
    <w:rsid w:val="00EF3A23"/>
    <w:rsid w:val="00F002B3"/>
    <w:rsid w:val="00F10FB0"/>
    <w:rsid w:val="00F1360B"/>
    <w:rsid w:val="00F15852"/>
    <w:rsid w:val="00F168D3"/>
    <w:rsid w:val="00F2049B"/>
    <w:rsid w:val="00F2089A"/>
    <w:rsid w:val="00F22123"/>
    <w:rsid w:val="00F22FA7"/>
    <w:rsid w:val="00F24C18"/>
    <w:rsid w:val="00F301B5"/>
    <w:rsid w:val="00F3767F"/>
    <w:rsid w:val="00F507D3"/>
    <w:rsid w:val="00F51C4D"/>
    <w:rsid w:val="00F538F0"/>
    <w:rsid w:val="00F546B2"/>
    <w:rsid w:val="00F55245"/>
    <w:rsid w:val="00F568C7"/>
    <w:rsid w:val="00F57605"/>
    <w:rsid w:val="00F601C5"/>
    <w:rsid w:val="00F6424B"/>
    <w:rsid w:val="00F66FEE"/>
    <w:rsid w:val="00F714AA"/>
    <w:rsid w:val="00F72E11"/>
    <w:rsid w:val="00F762DC"/>
    <w:rsid w:val="00F7794C"/>
    <w:rsid w:val="00F805EC"/>
    <w:rsid w:val="00F80765"/>
    <w:rsid w:val="00F908F6"/>
    <w:rsid w:val="00F914A6"/>
    <w:rsid w:val="00F91F02"/>
    <w:rsid w:val="00F9393B"/>
    <w:rsid w:val="00F9440C"/>
    <w:rsid w:val="00FA0B5F"/>
    <w:rsid w:val="00FA1067"/>
    <w:rsid w:val="00FA1519"/>
    <w:rsid w:val="00FA299E"/>
    <w:rsid w:val="00FA75FC"/>
    <w:rsid w:val="00FB031B"/>
    <w:rsid w:val="00FB137A"/>
    <w:rsid w:val="00FB3485"/>
    <w:rsid w:val="00FC0F04"/>
    <w:rsid w:val="00FC23BF"/>
    <w:rsid w:val="00FC3740"/>
    <w:rsid w:val="00FC65CB"/>
    <w:rsid w:val="00FD012E"/>
    <w:rsid w:val="00FD4594"/>
    <w:rsid w:val="00FD68CC"/>
    <w:rsid w:val="00FD6B01"/>
    <w:rsid w:val="00FE037D"/>
    <w:rsid w:val="00FE1721"/>
    <w:rsid w:val="00FE22A4"/>
    <w:rsid w:val="00FE35CA"/>
    <w:rsid w:val="00FE693C"/>
    <w:rsid w:val="00FF0313"/>
    <w:rsid w:val="00FF1D12"/>
    <w:rsid w:val="00FF7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56E22"/>
  <w15:chartTrackingRefBased/>
  <w15:docId w15:val="{4DB6245C-20D6-4B03-A128-36A20B0F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261"/>
    <w:pPr>
      <w:keepLines/>
      <w:tabs>
        <w:tab w:val="left" w:pos="567"/>
      </w:tabs>
    </w:pPr>
    <w:rPr>
      <w:noProof/>
      <w:sz w:val="22"/>
      <w:szCs w:val="22"/>
      <w:lang w:val="sk-SK"/>
    </w:rPr>
  </w:style>
  <w:style w:type="paragraph" w:styleId="Heading1">
    <w:name w:val="heading 1"/>
    <w:basedOn w:val="Normal"/>
    <w:next w:val="Normal"/>
    <w:qFormat/>
    <w:rsid w:val="006B1261"/>
    <w:pPr>
      <w:keepNext/>
      <w:outlineLvl w:val="0"/>
    </w:pPr>
    <w:rPr>
      <w:b/>
      <w:bCs/>
      <w:caps/>
      <w:lang w:val="en-US"/>
    </w:rPr>
  </w:style>
  <w:style w:type="paragraph" w:styleId="Heading2">
    <w:name w:val="heading 2"/>
    <w:basedOn w:val="Normal"/>
    <w:next w:val="Normal"/>
    <w:qFormat/>
    <w:rsid w:val="006B1261"/>
    <w:pPr>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6B1261"/>
    <w:pPr>
      <w:keepNext/>
      <w:spacing w:before="120" w:after="80"/>
      <w:outlineLvl w:val="2"/>
    </w:pPr>
    <w:rPr>
      <w:b/>
      <w:bCs/>
      <w:kern w:val="28"/>
      <w:lang w:val="en-US"/>
    </w:rPr>
  </w:style>
  <w:style w:type="paragraph" w:styleId="Heading4">
    <w:name w:val="heading 4"/>
    <w:aliases w:val="II/III"/>
    <w:basedOn w:val="Normal"/>
    <w:next w:val="Normal"/>
    <w:qFormat/>
    <w:rsid w:val="006B1261"/>
    <w:pPr>
      <w:keepNext/>
      <w:jc w:val="both"/>
      <w:outlineLvl w:val="3"/>
    </w:pPr>
    <w:rPr>
      <w:b/>
      <w:bCs/>
    </w:rPr>
  </w:style>
  <w:style w:type="paragraph" w:styleId="Heading5">
    <w:name w:val="heading 5"/>
    <w:basedOn w:val="Normal"/>
    <w:next w:val="Normal"/>
    <w:qFormat/>
    <w:rsid w:val="006B1261"/>
    <w:pPr>
      <w:keepNext/>
      <w:jc w:val="both"/>
      <w:outlineLvl w:val="4"/>
    </w:pPr>
  </w:style>
  <w:style w:type="paragraph" w:styleId="Heading6">
    <w:name w:val="heading 6"/>
    <w:basedOn w:val="Normal"/>
    <w:next w:val="Normal"/>
    <w:qFormat/>
    <w:rsid w:val="006B1261"/>
    <w:pPr>
      <w:keepNext/>
      <w:tabs>
        <w:tab w:val="left" w:pos="-720"/>
        <w:tab w:val="left" w:pos="4536"/>
      </w:tabs>
      <w:suppressAutoHyphens/>
      <w:outlineLvl w:val="5"/>
    </w:pPr>
    <w:rPr>
      <w:i/>
      <w:iCs/>
    </w:rPr>
  </w:style>
  <w:style w:type="paragraph" w:styleId="Heading7">
    <w:name w:val="heading 7"/>
    <w:basedOn w:val="Normal"/>
    <w:next w:val="Normal"/>
    <w:qFormat/>
    <w:rsid w:val="006B1261"/>
    <w:pPr>
      <w:keepNext/>
      <w:tabs>
        <w:tab w:val="left" w:pos="-720"/>
        <w:tab w:val="left" w:pos="4536"/>
      </w:tabs>
      <w:suppressAutoHyphens/>
      <w:jc w:val="both"/>
      <w:outlineLvl w:val="6"/>
    </w:pPr>
    <w:rPr>
      <w:i/>
      <w:iCs/>
    </w:rPr>
  </w:style>
  <w:style w:type="paragraph" w:styleId="Heading8">
    <w:name w:val="heading 8"/>
    <w:basedOn w:val="Normal"/>
    <w:next w:val="Normal"/>
    <w:qFormat/>
    <w:rsid w:val="006B1261"/>
    <w:pPr>
      <w:keepNext/>
      <w:ind w:left="567" w:hanging="567"/>
      <w:jc w:val="both"/>
      <w:outlineLvl w:val="7"/>
    </w:pPr>
    <w:rPr>
      <w:b/>
      <w:bCs/>
      <w:i/>
      <w:iCs/>
    </w:rPr>
  </w:style>
  <w:style w:type="paragraph" w:styleId="Heading9">
    <w:name w:val="heading 9"/>
    <w:basedOn w:val="Normal"/>
    <w:next w:val="Normal"/>
    <w:qFormat/>
    <w:rsid w:val="006B1261"/>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261"/>
    <w:pPr>
      <w:tabs>
        <w:tab w:val="center" w:pos="4536"/>
        <w:tab w:val="center" w:pos="8930"/>
      </w:tabs>
    </w:pPr>
    <w:rPr>
      <w:rFonts w:ascii="Helvetica" w:hAnsi="Helvetica" w:cs="Helvetica"/>
      <w:sz w:val="16"/>
      <w:szCs w:val="16"/>
    </w:rPr>
  </w:style>
  <w:style w:type="character" w:styleId="PageNumber">
    <w:name w:val="page number"/>
    <w:rsid w:val="006B1261"/>
    <w:rPr>
      <w:rFonts w:ascii="Times New Roman" w:hAnsi="Times New Roman" w:cs="Times New Roman"/>
    </w:rPr>
  </w:style>
  <w:style w:type="character" w:styleId="Hyperlink">
    <w:name w:val="Hyperlink"/>
    <w:rsid w:val="00C556F0"/>
    <w:rPr>
      <w:rFonts w:ascii="Times New Roman" w:hAnsi="Times New Roman" w:cs="Times New Roman"/>
      <w:color w:val="0000FF"/>
      <w:sz w:val="22"/>
      <w:u w:val="single"/>
    </w:rPr>
  </w:style>
  <w:style w:type="character" w:styleId="FollowedHyperlink">
    <w:name w:val="FollowedHyperlink"/>
    <w:rsid w:val="006B1261"/>
    <w:rPr>
      <w:rFonts w:ascii="Times New Roman" w:hAnsi="Times New Roman" w:cs="Times New Roman"/>
      <w:color w:val="auto"/>
      <w:u w:val="none"/>
    </w:rPr>
  </w:style>
  <w:style w:type="paragraph" w:styleId="DocumentMap">
    <w:name w:val="Document Map"/>
    <w:basedOn w:val="Normal"/>
    <w:semiHidden/>
    <w:rsid w:val="006B1261"/>
    <w:pPr>
      <w:shd w:val="clear" w:color="auto" w:fill="000080"/>
    </w:pPr>
    <w:rPr>
      <w:rFonts w:ascii="Tahoma" w:hAnsi="Tahoma" w:cs="Tahoma"/>
    </w:rPr>
  </w:style>
  <w:style w:type="paragraph" w:customStyle="1" w:styleId="NormlnyWWW">
    <w:name w:val="Normálny (WWW)"/>
    <w:basedOn w:val="Normal"/>
    <w:rsid w:val="006B1261"/>
    <w:pPr>
      <w:tabs>
        <w:tab w:val="clear" w:pos="567"/>
      </w:tabs>
      <w:spacing w:before="100" w:beforeAutospacing="1" w:after="100" w:afterAutospacing="1"/>
    </w:pPr>
    <w:rPr>
      <w:rFonts w:ascii="Arial Unicode MS" w:eastAsia="Arial Unicode MS"/>
      <w:color w:val="000000"/>
      <w:sz w:val="24"/>
      <w:szCs w:val="24"/>
      <w:lang w:val="en-US"/>
    </w:rPr>
  </w:style>
  <w:style w:type="paragraph" w:customStyle="1" w:styleId="Heading4-SmPC">
    <w:name w:val="Heading 4-SmPC"/>
    <w:basedOn w:val="Normal"/>
    <w:next w:val="Normal"/>
    <w:rsid w:val="006B1261"/>
    <w:pPr>
      <w:keepNext/>
      <w:widowControl w:val="0"/>
      <w:tabs>
        <w:tab w:val="clear" w:pos="567"/>
      </w:tabs>
      <w:suppressAutoHyphens/>
      <w:outlineLvl w:val="3"/>
    </w:pPr>
    <w:rPr>
      <w:i/>
      <w:iCs/>
      <w:lang w:val="en-US"/>
    </w:rPr>
  </w:style>
  <w:style w:type="paragraph" w:customStyle="1" w:styleId="Heading-2SmPC">
    <w:name w:val="Heading-2 SmPC"/>
    <w:basedOn w:val="Normal"/>
    <w:next w:val="Normal"/>
    <w:rsid w:val="006B1261"/>
    <w:pPr>
      <w:keepNext/>
      <w:widowControl w:val="0"/>
      <w:tabs>
        <w:tab w:val="clear" w:pos="567"/>
      </w:tabs>
      <w:suppressAutoHyphens/>
      <w:outlineLvl w:val="1"/>
    </w:pPr>
    <w:rPr>
      <w:rFonts w:eastAsia="MS Mincho"/>
      <w:b/>
      <w:bCs/>
      <w:lang w:val="en-US"/>
    </w:rPr>
  </w:style>
  <w:style w:type="paragraph" w:customStyle="1" w:styleId="AHorizontalJustificationBox">
    <w:name w:val="A Horizontal Justification Box"/>
    <w:rsid w:val="006B1261"/>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szCs w:val="24"/>
    </w:rPr>
  </w:style>
  <w:style w:type="paragraph" w:customStyle="1" w:styleId="AVerticalTextBox">
    <w:name w:val="A Vertical Text Box"/>
    <w:rsid w:val="006B1261"/>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szCs w:val="24"/>
    </w:rPr>
  </w:style>
  <w:style w:type="paragraph" w:styleId="Header">
    <w:name w:val="header"/>
    <w:basedOn w:val="Normal"/>
    <w:rsid w:val="006B1261"/>
    <w:pPr>
      <w:tabs>
        <w:tab w:val="clear" w:pos="567"/>
        <w:tab w:val="center" w:pos="4320"/>
        <w:tab w:val="right" w:pos="8640"/>
      </w:tabs>
    </w:pPr>
  </w:style>
  <w:style w:type="character" w:styleId="CommentReference">
    <w:name w:val="annotation reference"/>
    <w:semiHidden/>
    <w:rsid w:val="006B1261"/>
    <w:rPr>
      <w:rFonts w:ascii="Times New Roman" w:hAnsi="Times New Roman" w:cs="Times New Roman"/>
      <w:sz w:val="16"/>
      <w:szCs w:val="16"/>
    </w:rPr>
  </w:style>
  <w:style w:type="paragraph" w:styleId="CommentText">
    <w:name w:val="annotation text"/>
    <w:basedOn w:val="Normal"/>
    <w:semiHidden/>
    <w:rsid w:val="006B1261"/>
    <w:rPr>
      <w:sz w:val="20"/>
      <w:szCs w:val="20"/>
    </w:rPr>
  </w:style>
  <w:style w:type="paragraph" w:styleId="BodyText">
    <w:name w:val="Body Text"/>
    <w:basedOn w:val="Normal"/>
    <w:rsid w:val="006B1261"/>
    <w:pPr>
      <w:keepLines w:val="0"/>
      <w:tabs>
        <w:tab w:val="clear" w:pos="567"/>
      </w:tabs>
      <w:ind w:right="-29"/>
    </w:pPr>
  </w:style>
  <w:style w:type="paragraph" w:styleId="BalloonText">
    <w:name w:val="Balloon Text"/>
    <w:basedOn w:val="Normal"/>
    <w:rsid w:val="006B1261"/>
    <w:rPr>
      <w:rFonts w:ascii="Tahoma" w:hAnsi="Tahoma" w:cs="Tahoma"/>
      <w:sz w:val="16"/>
      <w:szCs w:val="16"/>
    </w:rPr>
  </w:style>
  <w:style w:type="paragraph" w:styleId="CommentSubject">
    <w:name w:val="annotation subject"/>
    <w:basedOn w:val="CommentText"/>
    <w:next w:val="CommentText"/>
    <w:rsid w:val="006B1261"/>
    <w:rPr>
      <w:b/>
      <w:bCs/>
    </w:rPr>
  </w:style>
  <w:style w:type="character" w:customStyle="1" w:styleId="tw4winMark">
    <w:name w:val="tw4winMark"/>
    <w:rsid w:val="006B1261"/>
    <w:rPr>
      <w:rFonts w:ascii="Courier New" w:hAnsi="Courier New" w:cs="Courier New"/>
      <w:vanish/>
      <w:color w:val="800080"/>
      <w:sz w:val="22"/>
      <w:szCs w:val="22"/>
      <w:effect w:val="none"/>
      <w:vertAlign w:val="subscript"/>
    </w:rPr>
  </w:style>
  <w:style w:type="paragraph" w:styleId="BodyTextIndent">
    <w:name w:val="Body Text Indent"/>
    <w:basedOn w:val="Normal"/>
    <w:rsid w:val="006B1261"/>
    <w:pPr>
      <w:spacing w:after="120"/>
      <w:ind w:left="283"/>
    </w:pPr>
  </w:style>
  <w:style w:type="paragraph" w:styleId="NormalWeb">
    <w:name w:val="Normal (Web)"/>
    <w:basedOn w:val="Normal"/>
    <w:rsid w:val="006B1261"/>
    <w:pPr>
      <w:tabs>
        <w:tab w:val="clear" w:pos="567"/>
      </w:tabs>
      <w:spacing w:before="100" w:beforeAutospacing="1" w:after="100" w:afterAutospacing="1"/>
    </w:pPr>
    <w:rPr>
      <w:rFonts w:ascii="Arial Unicode MS" w:eastAsia="Arial Unicode MS"/>
      <w:noProof w:val="0"/>
      <w:color w:val="000000"/>
      <w:sz w:val="24"/>
      <w:szCs w:val="24"/>
      <w:lang w:val="en-US"/>
    </w:rPr>
  </w:style>
  <w:style w:type="character" w:styleId="Strong">
    <w:name w:val="Strong"/>
    <w:qFormat/>
    <w:rsid w:val="006B1261"/>
    <w:rPr>
      <w:rFonts w:ascii="Times New Roman" w:hAnsi="Times New Roman" w:cs="Times New Roman"/>
      <w:b/>
      <w:bCs/>
    </w:rPr>
  </w:style>
  <w:style w:type="paragraph" w:styleId="BodyTextIndent2">
    <w:name w:val="Body Text Indent 2"/>
    <w:basedOn w:val="Normal"/>
    <w:rsid w:val="006B1261"/>
    <w:pPr>
      <w:ind w:left="540"/>
    </w:pPr>
  </w:style>
  <w:style w:type="paragraph" w:customStyle="1" w:styleId="Textbubliny1">
    <w:name w:val="Text bubliny1"/>
    <w:basedOn w:val="Normal"/>
    <w:semiHidden/>
    <w:rsid w:val="006B1261"/>
    <w:rPr>
      <w:rFonts w:ascii="Tahoma" w:hAnsi="Tahoma" w:cs="Tahoma"/>
      <w:sz w:val="16"/>
      <w:szCs w:val="16"/>
    </w:rPr>
  </w:style>
  <w:style w:type="paragraph" w:styleId="BlockText">
    <w:name w:val="Block Text"/>
    <w:basedOn w:val="Normal"/>
    <w:rsid w:val="006B1261"/>
    <w:pPr>
      <w:spacing w:after="120"/>
      <w:ind w:left="1440" w:right="1440"/>
    </w:pPr>
  </w:style>
  <w:style w:type="paragraph" w:customStyle="1" w:styleId="TitleA">
    <w:name w:val="Title A"/>
    <w:basedOn w:val="Heading2"/>
    <w:rsid w:val="006B1261"/>
    <w:pPr>
      <w:spacing w:before="0" w:after="0"/>
      <w:jc w:val="center"/>
    </w:pPr>
    <w:rPr>
      <w:rFonts w:ascii="Times New Roman" w:hAnsi="Times New Roman"/>
      <w:i w:val="0"/>
      <w:iCs w:val="0"/>
      <w:sz w:val="22"/>
      <w:szCs w:val="22"/>
    </w:rPr>
  </w:style>
  <w:style w:type="paragraph" w:customStyle="1" w:styleId="TitleB">
    <w:name w:val="Title B"/>
    <w:basedOn w:val="Normal"/>
    <w:rsid w:val="006B1261"/>
    <w:pPr>
      <w:tabs>
        <w:tab w:val="clear" w:pos="567"/>
      </w:tabs>
    </w:pPr>
    <w:rPr>
      <w:b/>
      <w:bCs/>
      <w:noProof w:val="0"/>
    </w:rPr>
  </w:style>
  <w:style w:type="paragraph" w:styleId="BodyText2">
    <w:name w:val="Body Text 2"/>
    <w:basedOn w:val="Normal"/>
    <w:rsid w:val="006B1261"/>
    <w:pPr>
      <w:spacing w:after="120" w:line="480" w:lineRule="auto"/>
    </w:pPr>
  </w:style>
  <w:style w:type="paragraph" w:styleId="BodyText3">
    <w:name w:val="Body Text 3"/>
    <w:basedOn w:val="Normal"/>
    <w:rsid w:val="006B1261"/>
    <w:pPr>
      <w:spacing w:after="120"/>
    </w:pPr>
    <w:rPr>
      <w:sz w:val="16"/>
      <w:szCs w:val="16"/>
    </w:rPr>
  </w:style>
  <w:style w:type="paragraph" w:styleId="BodyTextFirstIndent">
    <w:name w:val="Body Text First Indent"/>
    <w:basedOn w:val="BodyText"/>
    <w:rsid w:val="006B1261"/>
    <w:pPr>
      <w:keepLines/>
      <w:tabs>
        <w:tab w:val="left" w:pos="567"/>
      </w:tabs>
      <w:spacing w:after="120"/>
      <w:ind w:right="0" w:firstLine="210"/>
    </w:pPr>
  </w:style>
  <w:style w:type="paragraph" w:styleId="BodyTextFirstIndent2">
    <w:name w:val="Body Text First Indent 2"/>
    <w:basedOn w:val="BodyTextIndent"/>
    <w:rsid w:val="006B1261"/>
    <w:pPr>
      <w:ind w:firstLine="210"/>
    </w:pPr>
  </w:style>
  <w:style w:type="paragraph" w:styleId="BodyTextIndent3">
    <w:name w:val="Body Text Indent 3"/>
    <w:basedOn w:val="Normal"/>
    <w:rsid w:val="006B1261"/>
    <w:pPr>
      <w:spacing w:after="120"/>
      <w:ind w:left="283"/>
    </w:pPr>
    <w:rPr>
      <w:sz w:val="16"/>
      <w:szCs w:val="16"/>
    </w:rPr>
  </w:style>
  <w:style w:type="paragraph" w:styleId="Caption">
    <w:name w:val="caption"/>
    <w:basedOn w:val="Normal"/>
    <w:next w:val="Normal"/>
    <w:qFormat/>
    <w:rsid w:val="006B1261"/>
    <w:pPr>
      <w:spacing w:before="120" w:after="120"/>
    </w:pPr>
    <w:rPr>
      <w:b/>
      <w:bCs/>
      <w:sz w:val="20"/>
      <w:szCs w:val="20"/>
    </w:rPr>
  </w:style>
  <w:style w:type="paragraph" w:styleId="Closing">
    <w:name w:val="Closing"/>
    <w:basedOn w:val="Normal"/>
    <w:rsid w:val="006B1261"/>
    <w:pPr>
      <w:ind w:left="4252"/>
    </w:pPr>
  </w:style>
  <w:style w:type="paragraph" w:styleId="Date">
    <w:name w:val="Date"/>
    <w:basedOn w:val="Normal"/>
    <w:next w:val="Normal"/>
    <w:rsid w:val="006B1261"/>
  </w:style>
  <w:style w:type="paragraph" w:styleId="E-mailSignature">
    <w:name w:val="E-mail Signature"/>
    <w:basedOn w:val="Normal"/>
    <w:rsid w:val="006B1261"/>
  </w:style>
  <w:style w:type="paragraph" w:styleId="EndnoteText">
    <w:name w:val="endnote text"/>
    <w:basedOn w:val="Normal"/>
    <w:semiHidden/>
    <w:rsid w:val="006B1261"/>
    <w:rPr>
      <w:sz w:val="20"/>
      <w:szCs w:val="20"/>
    </w:rPr>
  </w:style>
  <w:style w:type="paragraph" w:styleId="EnvelopeAddress">
    <w:name w:val="envelope address"/>
    <w:basedOn w:val="Normal"/>
    <w:rsid w:val="006B126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B1261"/>
    <w:rPr>
      <w:rFonts w:ascii="Arial" w:hAnsi="Arial" w:cs="Arial"/>
      <w:sz w:val="20"/>
      <w:szCs w:val="20"/>
    </w:rPr>
  </w:style>
  <w:style w:type="paragraph" w:styleId="FootnoteText">
    <w:name w:val="footnote text"/>
    <w:basedOn w:val="Normal"/>
    <w:semiHidden/>
    <w:rsid w:val="006B1261"/>
    <w:rPr>
      <w:sz w:val="20"/>
      <w:szCs w:val="20"/>
    </w:rPr>
  </w:style>
  <w:style w:type="paragraph" w:styleId="HTMLAddress">
    <w:name w:val="HTML Address"/>
    <w:basedOn w:val="Normal"/>
    <w:rsid w:val="006B1261"/>
    <w:rPr>
      <w:i/>
      <w:iCs/>
    </w:rPr>
  </w:style>
  <w:style w:type="paragraph" w:styleId="HTMLPreformatted">
    <w:name w:val="HTML Preformatted"/>
    <w:basedOn w:val="Normal"/>
    <w:rsid w:val="006B1261"/>
    <w:rPr>
      <w:rFonts w:ascii="Courier New" w:hAnsi="Courier New" w:cs="Courier New"/>
      <w:sz w:val="20"/>
      <w:szCs w:val="20"/>
    </w:rPr>
  </w:style>
  <w:style w:type="paragraph" w:styleId="Index1">
    <w:name w:val="index 1"/>
    <w:basedOn w:val="Normal"/>
    <w:next w:val="Normal"/>
    <w:autoRedefine/>
    <w:semiHidden/>
    <w:rsid w:val="006B1261"/>
    <w:pPr>
      <w:tabs>
        <w:tab w:val="clear" w:pos="567"/>
      </w:tabs>
      <w:ind w:left="220" w:hanging="220"/>
    </w:pPr>
  </w:style>
  <w:style w:type="paragraph" w:styleId="Index2">
    <w:name w:val="index 2"/>
    <w:basedOn w:val="Normal"/>
    <w:next w:val="Normal"/>
    <w:autoRedefine/>
    <w:semiHidden/>
    <w:rsid w:val="006B1261"/>
    <w:pPr>
      <w:tabs>
        <w:tab w:val="clear" w:pos="567"/>
      </w:tabs>
      <w:ind w:left="440" w:hanging="220"/>
    </w:pPr>
  </w:style>
  <w:style w:type="paragraph" w:styleId="Index3">
    <w:name w:val="index 3"/>
    <w:basedOn w:val="Normal"/>
    <w:next w:val="Normal"/>
    <w:autoRedefine/>
    <w:semiHidden/>
    <w:rsid w:val="006B1261"/>
    <w:pPr>
      <w:tabs>
        <w:tab w:val="clear" w:pos="567"/>
      </w:tabs>
      <w:ind w:left="660" w:hanging="220"/>
    </w:pPr>
  </w:style>
  <w:style w:type="paragraph" w:styleId="Index4">
    <w:name w:val="index 4"/>
    <w:basedOn w:val="Normal"/>
    <w:next w:val="Normal"/>
    <w:autoRedefine/>
    <w:semiHidden/>
    <w:rsid w:val="006B1261"/>
    <w:pPr>
      <w:tabs>
        <w:tab w:val="clear" w:pos="567"/>
      </w:tabs>
      <w:ind w:left="880" w:hanging="220"/>
    </w:pPr>
  </w:style>
  <w:style w:type="paragraph" w:styleId="Index5">
    <w:name w:val="index 5"/>
    <w:basedOn w:val="Normal"/>
    <w:next w:val="Normal"/>
    <w:autoRedefine/>
    <w:semiHidden/>
    <w:rsid w:val="006B1261"/>
    <w:pPr>
      <w:tabs>
        <w:tab w:val="clear" w:pos="567"/>
      </w:tabs>
      <w:ind w:left="1100" w:hanging="220"/>
    </w:pPr>
  </w:style>
  <w:style w:type="paragraph" w:styleId="Index6">
    <w:name w:val="index 6"/>
    <w:basedOn w:val="Normal"/>
    <w:next w:val="Normal"/>
    <w:autoRedefine/>
    <w:semiHidden/>
    <w:rsid w:val="006B1261"/>
    <w:pPr>
      <w:tabs>
        <w:tab w:val="clear" w:pos="567"/>
      </w:tabs>
      <w:ind w:left="1320" w:hanging="220"/>
    </w:pPr>
  </w:style>
  <w:style w:type="paragraph" w:styleId="Index7">
    <w:name w:val="index 7"/>
    <w:basedOn w:val="Normal"/>
    <w:next w:val="Normal"/>
    <w:autoRedefine/>
    <w:semiHidden/>
    <w:rsid w:val="006B1261"/>
    <w:pPr>
      <w:tabs>
        <w:tab w:val="clear" w:pos="567"/>
      </w:tabs>
      <w:ind w:left="1540" w:hanging="220"/>
    </w:pPr>
  </w:style>
  <w:style w:type="paragraph" w:styleId="Index8">
    <w:name w:val="index 8"/>
    <w:basedOn w:val="Normal"/>
    <w:next w:val="Normal"/>
    <w:autoRedefine/>
    <w:semiHidden/>
    <w:rsid w:val="006B1261"/>
    <w:pPr>
      <w:tabs>
        <w:tab w:val="clear" w:pos="567"/>
      </w:tabs>
      <w:ind w:left="1760" w:hanging="220"/>
    </w:pPr>
  </w:style>
  <w:style w:type="paragraph" w:styleId="Index9">
    <w:name w:val="index 9"/>
    <w:basedOn w:val="Normal"/>
    <w:next w:val="Normal"/>
    <w:autoRedefine/>
    <w:semiHidden/>
    <w:rsid w:val="006B1261"/>
    <w:pPr>
      <w:tabs>
        <w:tab w:val="clear" w:pos="567"/>
      </w:tabs>
      <w:ind w:left="1980" w:hanging="220"/>
    </w:pPr>
  </w:style>
  <w:style w:type="paragraph" w:styleId="IndexHeading">
    <w:name w:val="index heading"/>
    <w:basedOn w:val="Normal"/>
    <w:next w:val="Index1"/>
    <w:semiHidden/>
    <w:rsid w:val="006B1261"/>
    <w:rPr>
      <w:rFonts w:ascii="Arial" w:hAnsi="Arial" w:cs="Arial"/>
      <w:b/>
      <w:bCs/>
    </w:rPr>
  </w:style>
  <w:style w:type="paragraph" w:styleId="List">
    <w:name w:val="List"/>
    <w:basedOn w:val="Normal"/>
    <w:rsid w:val="006B1261"/>
    <w:pPr>
      <w:ind w:left="283" w:hanging="283"/>
    </w:pPr>
  </w:style>
  <w:style w:type="paragraph" w:styleId="List2">
    <w:name w:val="List 2"/>
    <w:basedOn w:val="Normal"/>
    <w:rsid w:val="006B1261"/>
    <w:pPr>
      <w:ind w:left="566" w:hanging="283"/>
    </w:pPr>
  </w:style>
  <w:style w:type="paragraph" w:styleId="List3">
    <w:name w:val="List 3"/>
    <w:basedOn w:val="Normal"/>
    <w:rsid w:val="006B1261"/>
    <w:pPr>
      <w:ind w:left="849" w:hanging="283"/>
    </w:pPr>
  </w:style>
  <w:style w:type="paragraph" w:styleId="List4">
    <w:name w:val="List 4"/>
    <w:basedOn w:val="Normal"/>
    <w:rsid w:val="006B1261"/>
    <w:pPr>
      <w:ind w:left="1132" w:hanging="283"/>
    </w:pPr>
  </w:style>
  <w:style w:type="paragraph" w:styleId="List5">
    <w:name w:val="List 5"/>
    <w:basedOn w:val="Normal"/>
    <w:rsid w:val="006B1261"/>
    <w:pPr>
      <w:ind w:left="1415" w:hanging="283"/>
    </w:pPr>
  </w:style>
  <w:style w:type="paragraph" w:styleId="ListBullet">
    <w:name w:val="List Bullet"/>
    <w:basedOn w:val="Normal"/>
    <w:autoRedefine/>
    <w:rsid w:val="006B1261"/>
    <w:pPr>
      <w:numPr>
        <w:numId w:val="2"/>
      </w:numPr>
    </w:pPr>
  </w:style>
  <w:style w:type="paragraph" w:styleId="ListBullet2">
    <w:name w:val="List Bullet 2"/>
    <w:basedOn w:val="Normal"/>
    <w:autoRedefine/>
    <w:rsid w:val="006B1261"/>
    <w:pPr>
      <w:numPr>
        <w:numId w:val="6"/>
      </w:numPr>
    </w:pPr>
  </w:style>
  <w:style w:type="paragraph" w:styleId="ListBullet3">
    <w:name w:val="List Bullet 3"/>
    <w:basedOn w:val="Normal"/>
    <w:autoRedefine/>
    <w:rsid w:val="006B1261"/>
    <w:pPr>
      <w:numPr>
        <w:numId w:val="7"/>
      </w:numPr>
    </w:pPr>
  </w:style>
  <w:style w:type="paragraph" w:styleId="ListBullet4">
    <w:name w:val="List Bullet 4"/>
    <w:basedOn w:val="Normal"/>
    <w:autoRedefine/>
    <w:rsid w:val="006B1261"/>
    <w:pPr>
      <w:numPr>
        <w:numId w:val="8"/>
      </w:numPr>
    </w:pPr>
  </w:style>
  <w:style w:type="paragraph" w:styleId="ListBullet5">
    <w:name w:val="List Bullet 5"/>
    <w:basedOn w:val="Normal"/>
    <w:autoRedefine/>
    <w:rsid w:val="006B1261"/>
    <w:pPr>
      <w:numPr>
        <w:numId w:val="9"/>
      </w:numPr>
    </w:pPr>
  </w:style>
  <w:style w:type="paragraph" w:styleId="ListContinue">
    <w:name w:val="List Continue"/>
    <w:basedOn w:val="Normal"/>
    <w:rsid w:val="006B1261"/>
    <w:pPr>
      <w:spacing w:after="120"/>
      <w:ind w:left="283"/>
    </w:pPr>
  </w:style>
  <w:style w:type="paragraph" w:styleId="ListContinue2">
    <w:name w:val="List Continue 2"/>
    <w:basedOn w:val="Normal"/>
    <w:rsid w:val="006B1261"/>
    <w:pPr>
      <w:spacing w:after="120"/>
      <w:ind w:left="566"/>
    </w:pPr>
  </w:style>
  <w:style w:type="paragraph" w:styleId="ListContinue3">
    <w:name w:val="List Continue 3"/>
    <w:basedOn w:val="Normal"/>
    <w:rsid w:val="006B1261"/>
    <w:pPr>
      <w:spacing w:after="120"/>
      <w:ind w:left="849"/>
    </w:pPr>
  </w:style>
  <w:style w:type="paragraph" w:styleId="ListContinue4">
    <w:name w:val="List Continue 4"/>
    <w:basedOn w:val="Normal"/>
    <w:rsid w:val="006B1261"/>
    <w:pPr>
      <w:spacing w:after="120"/>
      <w:ind w:left="1132"/>
    </w:pPr>
  </w:style>
  <w:style w:type="paragraph" w:styleId="ListContinue5">
    <w:name w:val="List Continue 5"/>
    <w:basedOn w:val="Normal"/>
    <w:rsid w:val="006B1261"/>
    <w:pPr>
      <w:spacing w:after="120"/>
      <w:ind w:left="1415"/>
    </w:pPr>
  </w:style>
  <w:style w:type="paragraph" w:styleId="ListNumber">
    <w:name w:val="List Number"/>
    <w:basedOn w:val="Normal"/>
    <w:rsid w:val="006B1261"/>
    <w:pPr>
      <w:numPr>
        <w:numId w:val="10"/>
      </w:numPr>
    </w:pPr>
  </w:style>
  <w:style w:type="paragraph" w:styleId="ListNumber2">
    <w:name w:val="List Number 2"/>
    <w:basedOn w:val="Normal"/>
    <w:rsid w:val="006B1261"/>
    <w:pPr>
      <w:numPr>
        <w:numId w:val="11"/>
      </w:numPr>
    </w:pPr>
  </w:style>
  <w:style w:type="paragraph" w:styleId="ListNumber3">
    <w:name w:val="List Number 3"/>
    <w:basedOn w:val="Normal"/>
    <w:rsid w:val="006B1261"/>
    <w:pPr>
      <w:numPr>
        <w:numId w:val="12"/>
      </w:numPr>
    </w:pPr>
  </w:style>
  <w:style w:type="paragraph" w:styleId="ListNumber4">
    <w:name w:val="List Number 4"/>
    <w:basedOn w:val="Normal"/>
    <w:rsid w:val="006B1261"/>
    <w:pPr>
      <w:numPr>
        <w:numId w:val="13"/>
      </w:numPr>
    </w:pPr>
  </w:style>
  <w:style w:type="paragraph" w:styleId="ListNumber5">
    <w:name w:val="List Number 5"/>
    <w:basedOn w:val="Normal"/>
    <w:rsid w:val="006B1261"/>
    <w:pPr>
      <w:numPr>
        <w:numId w:val="14"/>
      </w:numPr>
    </w:pPr>
  </w:style>
  <w:style w:type="paragraph" w:styleId="MacroText">
    <w:name w:val="macro"/>
    <w:semiHidden/>
    <w:rsid w:val="006B1261"/>
    <w:pPr>
      <w:keepLines/>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lang w:val="sk-SK"/>
    </w:rPr>
  </w:style>
  <w:style w:type="paragraph" w:styleId="MessageHeader">
    <w:name w:val="Message Header"/>
    <w:basedOn w:val="Normal"/>
    <w:rsid w:val="006B126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6B1261"/>
    <w:pPr>
      <w:ind w:left="720"/>
    </w:pPr>
  </w:style>
  <w:style w:type="paragraph" w:styleId="NoteHeading">
    <w:name w:val="Note Heading"/>
    <w:basedOn w:val="Normal"/>
    <w:next w:val="Normal"/>
    <w:rsid w:val="006B1261"/>
  </w:style>
  <w:style w:type="paragraph" w:styleId="PlainText">
    <w:name w:val="Plain Text"/>
    <w:basedOn w:val="Normal"/>
    <w:rsid w:val="006B1261"/>
    <w:rPr>
      <w:rFonts w:ascii="Courier New" w:hAnsi="Courier New" w:cs="Courier New"/>
      <w:sz w:val="20"/>
      <w:szCs w:val="20"/>
    </w:rPr>
  </w:style>
  <w:style w:type="paragraph" w:styleId="Salutation">
    <w:name w:val="Salutation"/>
    <w:basedOn w:val="Normal"/>
    <w:next w:val="Normal"/>
    <w:rsid w:val="006B1261"/>
  </w:style>
  <w:style w:type="paragraph" w:styleId="Signature">
    <w:name w:val="Signature"/>
    <w:basedOn w:val="Normal"/>
    <w:rsid w:val="006B1261"/>
    <w:pPr>
      <w:ind w:left="4252"/>
    </w:pPr>
  </w:style>
  <w:style w:type="paragraph" w:styleId="Subtitle">
    <w:name w:val="Subtitle"/>
    <w:basedOn w:val="Normal"/>
    <w:qFormat/>
    <w:rsid w:val="006B126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B1261"/>
    <w:pPr>
      <w:tabs>
        <w:tab w:val="clear" w:pos="567"/>
      </w:tabs>
      <w:ind w:left="220" w:hanging="220"/>
    </w:pPr>
  </w:style>
  <w:style w:type="paragraph" w:styleId="TableofFigures">
    <w:name w:val="table of figures"/>
    <w:basedOn w:val="Normal"/>
    <w:next w:val="Normal"/>
    <w:semiHidden/>
    <w:rsid w:val="006B1261"/>
    <w:pPr>
      <w:tabs>
        <w:tab w:val="clear" w:pos="567"/>
      </w:tabs>
      <w:ind w:left="440" w:hanging="440"/>
    </w:pPr>
  </w:style>
  <w:style w:type="paragraph" w:styleId="Title">
    <w:name w:val="Title"/>
    <w:basedOn w:val="Normal"/>
    <w:qFormat/>
    <w:rsid w:val="006B126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B1261"/>
    <w:pPr>
      <w:spacing w:before="120"/>
    </w:pPr>
    <w:rPr>
      <w:rFonts w:ascii="Arial" w:hAnsi="Arial" w:cs="Arial"/>
      <w:b/>
      <w:bCs/>
      <w:sz w:val="24"/>
      <w:szCs w:val="24"/>
    </w:rPr>
  </w:style>
  <w:style w:type="paragraph" w:styleId="TOC1">
    <w:name w:val="toc 1"/>
    <w:basedOn w:val="Normal"/>
    <w:next w:val="Normal"/>
    <w:autoRedefine/>
    <w:semiHidden/>
    <w:rsid w:val="006B1261"/>
    <w:pPr>
      <w:tabs>
        <w:tab w:val="clear" w:pos="567"/>
      </w:tabs>
    </w:pPr>
  </w:style>
  <w:style w:type="paragraph" w:styleId="TOC2">
    <w:name w:val="toc 2"/>
    <w:basedOn w:val="Normal"/>
    <w:next w:val="Normal"/>
    <w:autoRedefine/>
    <w:semiHidden/>
    <w:rsid w:val="006B1261"/>
    <w:pPr>
      <w:tabs>
        <w:tab w:val="clear" w:pos="567"/>
      </w:tabs>
      <w:ind w:left="220"/>
    </w:pPr>
  </w:style>
  <w:style w:type="paragraph" w:styleId="TOC3">
    <w:name w:val="toc 3"/>
    <w:basedOn w:val="Normal"/>
    <w:next w:val="Normal"/>
    <w:autoRedefine/>
    <w:semiHidden/>
    <w:rsid w:val="006B1261"/>
    <w:pPr>
      <w:tabs>
        <w:tab w:val="clear" w:pos="567"/>
      </w:tabs>
      <w:ind w:left="440"/>
    </w:pPr>
  </w:style>
  <w:style w:type="paragraph" w:styleId="TOC4">
    <w:name w:val="toc 4"/>
    <w:basedOn w:val="Normal"/>
    <w:next w:val="Normal"/>
    <w:autoRedefine/>
    <w:semiHidden/>
    <w:rsid w:val="006B1261"/>
    <w:pPr>
      <w:tabs>
        <w:tab w:val="clear" w:pos="567"/>
      </w:tabs>
      <w:ind w:left="660"/>
    </w:pPr>
  </w:style>
  <w:style w:type="paragraph" w:styleId="TOC5">
    <w:name w:val="toc 5"/>
    <w:basedOn w:val="Normal"/>
    <w:next w:val="Normal"/>
    <w:autoRedefine/>
    <w:semiHidden/>
    <w:rsid w:val="006B1261"/>
    <w:pPr>
      <w:tabs>
        <w:tab w:val="clear" w:pos="567"/>
      </w:tabs>
      <w:ind w:left="880"/>
    </w:pPr>
  </w:style>
  <w:style w:type="paragraph" w:styleId="TOC6">
    <w:name w:val="toc 6"/>
    <w:basedOn w:val="Normal"/>
    <w:next w:val="Normal"/>
    <w:autoRedefine/>
    <w:semiHidden/>
    <w:rsid w:val="006B1261"/>
    <w:pPr>
      <w:tabs>
        <w:tab w:val="clear" w:pos="567"/>
      </w:tabs>
      <w:ind w:left="1100"/>
    </w:pPr>
  </w:style>
  <w:style w:type="paragraph" w:styleId="TOC7">
    <w:name w:val="toc 7"/>
    <w:basedOn w:val="Normal"/>
    <w:next w:val="Normal"/>
    <w:autoRedefine/>
    <w:semiHidden/>
    <w:rsid w:val="006B1261"/>
    <w:pPr>
      <w:tabs>
        <w:tab w:val="clear" w:pos="567"/>
      </w:tabs>
      <w:ind w:left="1320"/>
    </w:pPr>
  </w:style>
  <w:style w:type="paragraph" w:styleId="TOC8">
    <w:name w:val="toc 8"/>
    <w:basedOn w:val="Normal"/>
    <w:next w:val="Normal"/>
    <w:autoRedefine/>
    <w:semiHidden/>
    <w:rsid w:val="006B1261"/>
    <w:pPr>
      <w:tabs>
        <w:tab w:val="clear" w:pos="567"/>
      </w:tabs>
      <w:ind w:left="1540"/>
    </w:pPr>
  </w:style>
  <w:style w:type="paragraph" w:styleId="TOC9">
    <w:name w:val="toc 9"/>
    <w:basedOn w:val="Normal"/>
    <w:next w:val="Normal"/>
    <w:autoRedefine/>
    <w:semiHidden/>
    <w:rsid w:val="006B1261"/>
    <w:pPr>
      <w:tabs>
        <w:tab w:val="clear" w:pos="567"/>
      </w:tabs>
      <w:ind w:left="1760"/>
    </w:pPr>
  </w:style>
  <w:style w:type="character" w:customStyle="1" w:styleId="hps">
    <w:name w:val="hps"/>
    <w:basedOn w:val="DefaultParagraphFont"/>
    <w:rsid w:val="00E25A7E"/>
  </w:style>
  <w:style w:type="character" w:customStyle="1" w:styleId="shorttext">
    <w:name w:val="short_text"/>
    <w:basedOn w:val="DefaultParagraphFont"/>
    <w:rsid w:val="00C70EDB"/>
  </w:style>
  <w:style w:type="paragraph" w:customStyle="1" w:styleId="Revision1">
    <w:name w:val="Revision1"/>
    <w:hidden/>
    <w:uiPriority w:val="99"/>
    <w:semiHidden/>
    <w:rsid w:val="00C90B66"/>
    <w:rPr>
      <w:noProof/>
      <w:sz w:val="22"/>
      <w:szCs w:val="22"/>
      <w:lang w:val="sk-SK"/>
    </w:rPr>
  </w:style>
  <w:style w:type="character" w:customStyle="1" w:styleId="atn">
    <w:name w:val="atn"/>
    <w:basedOn w:val="DefaultParagraphFont"/>
    <w:rsid w:val="003823D3"/>
  </w:style>
  <w:style w:type="paragraph" w:customStyle="1" w:styleId="ListParagraph1">
    <w:name w:val="List Paragraph1"/>
    <w:basedOn w:val="Normal"/>
    <w:uiPriority w:val="34"/>
    <w:qFormat/>
    <w:rsid w:val="00C556F0"/>
    <w:pPr>
      <w:ind w:left="720"/>
      <w:contextualSpacing/>
    </w:pPr>
  </w:style>
  <w:style w:type="table" w:styleId="TableGrid">
    <w:name w:val="Table Grid"/>
    <w:basedOn w:val="TableNormal"/>
    <w:uiPriority w:val="59"/>
    <w:rsid w:val="00AC1C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C0F04"/>
    <w:rPr>
      <w:b/>
      <w:bCs/>
      <w:i w:val="0"/>
      <w:iCs w:val="0"/>
    </w:rPr>
  </w:style>
  <w:style w:type="paragraph" w:styleId="Revision">
    <w:name w:val="Revision"/>
    <w:hidden/>
    <w:uiPriority w:val="99"/>
    <w:semiHidden/>
    <w:rsid w:val="00294482"/>
    <w:rPr>
      <w:noProof/>
      <w:sz w:val="22"/>
      <w:szCs w:val="22"/>
      <w:lang w:val="sk-SK"/>
    </w:rPr>
  </w:style>
  <w:style w:type="character" w:styleId="LineNumber">
    <w:name w:val="line number"/>
    <w:semiHidden/>
    <w:unhideWhenUsed/>
    <w:rsid w:val="00347E7D"/>
  </w:style>
  <w:style w:type="character" w:customStyle="1" w:styleId="Hypertextovprepojenie1">
    <w:name w:val="Hypertextové prepojenie1"/>
    <w:uiPriority w:val="99"/>
    <w:rsid w:val="00FD6B01"/>
    <w:rPr>
      <w:color w:val="0000FF"/>
      <w:u w:val="single"/>
    </w:rPr>
  </w:style>
  <w:style w:type="paragraph" w:customStyle="1" w:styleId="Default">
    <w:name w:val="Default"/>
    <w:rsid w:val="009A4555"/>
    <w:pPr>
      <w:autoSpaceDE w:val="0"/>
      <w:autoSpaceDN w:val="0"/>
      <w:adjustRightInd w:val="0"/>
    </w:pPr>
    <w:rPr>
      <w:rFonts w:eastAsia="Times New Roman"/>
      <w:color w:val="000000"/>
      <w:sz w:val="24"/>
      <w:szCs w:val="24"/>
    </w:rPr>
  </w:style>
  <w:style w:type="paragraph" w:customStyle="1" w:styleId="TableText">
    <w:name w:val="TableText"/>
    <w:link w:val="TableTextChar"/>
    <w:rsid w:val="00F24C18"/>
    <w:rPr>
      <w:rFonts w:eastAsia="Times New Roman" w:cs="Arial"/>
    </w:rPr>
  </w:style>
  <w:style w:type="character" w:customStyle="1" w:styleId="TableTextChar">
    <w:name w:val="TableText Char"/>
    <w:link w:val="TableText"/>
    <w:locked/>
    <w:rsid w:val="00F24C18"/>
    <w:rPr>
      <w:rFonts w:eastAsia="Times New Roman" w:cs="Arial"/>
      <w:lang w:val="en-US" w:eastAsia="en-US"/>
    </w:rPr>
  </w:style>
  <w:style w:type="character" w:customStyle="1" w:styleId="UnresolvedMention1">
    <w:name w:val="Unresolved Mention1"/>
    <w:basedOn w:val="DefaultParagraphFont"/>
    <w:uiPriority w:val="99"/>
    <w:semiHidden/>
    <w:unhideWhenUsed/>
    <w:rsid w:val="00463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211">
      <w:bodyDiv w:val="1"/>
      <w:marLeft w:val="0"/>
      <w:marRight w:val="0"/>
      <w:marTop w:val="0"/>
      <w:marBottom w:val="0"/>
      <w:divBdr>
        <w:top w:val="none" w:sz="0" w:space="0" w:color="auto"/>
        <w:left w:val="none" w:sz="0" w:space="0" w:color="auto"/>
        <w:bottom w:val="none" w:sz="0" w:space="0" w:color="auto"/>
        <w:right w:val="none" w:sz="0" w:space="0" w:color="auto"/>
      </w:divBdr>
      <w:divsChild>
        <w:div w:id="112602338">
          <w:marLeft w:val="0"/>
          <w:marRight w:val="0"/>
          <w:marTop w:val="0"/>
          <w:marBottom w:val="0"/>
          <w:divBdr>
            <w:top w:val="none" w:sz="0" w:space="0" w:color="auto"/>
            <w:left w:val="none" w:sz="0" w:space="0" w:color="auto"/>
            <w:bottom w:val="none" w:sz="0" w:space="0" w:color="auto"/>
            <w:right w:val="none" w:sz="0" w:space="0" w:color="auto"/>
          </w:divBdr>
          <w:divsChild>
            <w:div w:id="452788621">
              <w:marLeft w:val="0"/>
              <w:marRight w:val="0"/>
              <w:marTop w:val="0"/>
              <w:marBottom w:val="0"/>
              <w:divBdr>
                <w:top w:val="none" w:sz="0" w:space="0" w:color="auto"/>
                <w:left w:val="none" w:sz="0" w:space="0" w:color="auto"/>
                <w:bottom w:val="none" w:sz="0" w:space="0" w:color="auto"/>
                <w:right w:val="none" w:sz="0" w:space="0" w:color="auto"/>
              </w:divBdr>
              <w:divsChild>
                <w:div w:id="1164928001">
                  <w:marLeft w:val="0"/>
                  <w:marRight w:val="0"/>
                  <w:marTop w:val="0"/>
                  <w:marBottom w:val="0"/>
                  <w:divBdr>
                    <w:top w:val="none" w:sz="0" w:space="0" w:color="auto"/>
                    <w:left w:val="none" w:sz="0" w:space="0" w:color="auto"/>
                    <w:bottom w:val="none" w:sz="0" w:space="0" w:color="auto"/>
                    <w:right w:val="none" w:sz="0" w:space="0" w:color="auto"/>
                  </w:divBdr>
                  <w:divsChild>
                    <w:div w:id="344746774">
                      <w:marLeft w:val="0"/>
                      <w:marRight w:val="0"/>
                      <w:marTop w:val="0"/>
                      <w:marBottom w:val="0"/>
                      <w:divBdr>
                        <w:top w:val="none" w:sz="0" w:space="0" w:color="auto"/>
                        <w:left w:val="none" w:sz="0" w:space="0" w:color="auto"/>
                        <w:bottom w:val="none" w:sz="0" w:space="0" w:color="auto"/>
                        <w:right w:val="none" w:sz="0" w:space="0" w:color="auto"/>
                      </w:divBdr>
                      <w:divsChild>
                        <w:div w:id="1958369073">
                          <w:marLeft w:val="0"/>
                          <w:marRight w:val="0"/>
                          <w:marTop w:val="0"/>
                          <w:marBottom w:val="0"/>
                          <w:divBdr>
                            <w:top w:val="none" w:sz="0" w:space="0" w:color="auto"/>
                            <w:left w:val="none" w:sz="0" w:space="0" w:color="auto"/>
                            <w:bottom w:val="none" w:sz="0" w:space="0" w:color="auto"/>
                            <w:right w:val="none" w:sz="0" w:space="0" w:color="auto"/>
                          </w:divBdr>
                          <w:divsChild>
                            <w:div w:id="1603566307">
                              <w:marLeft w:val="0"/>
                              <w:marRight w:val="0"/>
                              <w:marTop w:val="0"/>
                              <w:marBottom w:val="0"/>
                              <w:divBdr>
                                <w:top w:val="none" w:sz="0" w:space="0" w:color="auto"/>
                                <w:left w:val="none" w:sz="0" w:space="0" w:color="auto"/>
                                <w:bottom w:val="none" w:sz="0" w:space="0" w:color="auto"/>
                                <w:right w:val="none" w:sz="0" w:space="0" w:color="auto"/>
                              </w:divBdr>
                              <w:divsChild>
                                <w:div w:id="1607343475">
                                  <w:marLeft w:val="0"/>
                                  <w:marRight w:val="0"/>
                                  <w:marTop w:val="0"/>
                                  <w:marBottom w:val="0"/>
                                  <w:divBdr>
                                    <w:top w:val="none" w:sz="0" w:space="0" w:color="auto"/>
                                    <w:left w:val="none" w:sz="0" w:space="0" w:color="auto"/>
                                    <w:bottom w:val="none" w:sz="0" w:space="0" w:color="auto"/>
                                    <w:right w:val="none" w:sz="0" w:space="0" w:color="auto"/>
                                  </w:divBdr>
                                  <w:divsChild>
                                    <w:div w:id="1757897978">
                                      <w:marLeft w:val="0"/>
                                      <w:marRight w:val="0"/>
                                      <w:marTop w:val="0"/>
                                      <w:marBottom w:val="0"/>
                                      <w:divBdr>
                                        <w:top w:val="single" w:sz="6" w:space="0" w:color="F5F5F5"/>
                                        <w:left w:val="single" w:sz="6" w:space="0" w:color="F5F5F5"/>
                                        <w:bottom w:val="single" w:sz="6" w:space="0" w:color="F5F5F5"/>
                                        <w:right w:val="single" w:sz="6" w:space="0" w:color="F5F5F5"/>
                                      </w:divBdr>
                                      <w:divsChild>
                                        <w:div w:id="1594587077">
                                          <w:marLeft w:val="0"/>
                                          <w:marRight w:val="0"/>
                                          <w:marTop w:val="0"/>
                                          <w:marBottom w:val="0"/>
                                          <w:divBdr>
                                            <w:top w:val="none" w:sz="0" w:space="0" w:color="auto"/>
                                            <w:left w:val="none" w:sz="0" w:space="0" w:color="auto"/>
                                            <w:bottom w:val="none" w:sz="0" w:space="0" w:color="auto"/>
                                            <w:right w:val="none" w:sz="0" w:space="0" w:color="auto"/>
                                          </w:divBdr>
                                          <w:divsChild>
                                            <w:div w:id="12712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885347">
      <w:bodyDiv w:val="1"/>
      <w:marLeft w:val="0"/>
      <w:marRight w:val="0"/>
      <w:marTop w:val="0"/>
      <w:marBottom w:val="0"/>
      <w:divBdr>
        <w:top w:val="none" w:sz="0" w:space="0" w:color="auto"/>
        <w:left w:val="none" w:sz="0" w:space="0" w:color="auto"/>
        <w:bottom w:val="none" w:sz="0" w:space="0" w:color="auto"/>
        <w:right w:val="none" w:sz="0" w:space="0" w:color="auto"/>
      </w:divBdr>
      <w:divsChild>
        <w:div w:id="1679623372">
          <w:marLeft w:val="0"/>
          <w:marRight w:val="0"/>
          <w:marTop w:val="0"/>
          <w:marBottom w:val="0"/>
          <w:divBdr>
            <w:top w:val="none" w:sz="0" w:space="0" w:color="auto"/>
            <w:left w:val="none" w:sz="0" w:space="0" w:color="auto"/>
            <w:bottom w:val="none" w:sz="0" w:space="0" w:color="auto"/>
            <w:right w:val="none" w:sz="0" w:space="0" w:color="auto"/>
          </w:divBdr>
          <w:divsChild>
            <w:div w:id="670642052">
              <w:marLeft w:val="0"/>
              <w:marRight w:val="0"/>
              <w:marTop w:val="0"/>
              <w:marBottom w:val="0"/>
              <w:divBdr>
                <w:top w:val="none" w:sz="0" w:space="0" w:color="auto"/>
                <w:left w:val="none" w:sz="0" w:space="0" w:color="auto"/>
                <w:bottom w:val="none" w:sz="0" w:space="0" w:color="auto"/>
                <w:right w:val="none" w:sz="0" w:space="0" w:color="auto"/>
              </w:divBdr>
              <w:divsChild>
                <w:div w:id="868835899">
                  <w:marLeft w:val="0"/>
                  <w:marRight w:val="0"/>
                  <w:marTop w:val="0"/>
                  <w:marBottom w:val="0"/>
                  <w:divBdr>
                    <w:top w:val="none" w:sz="0" w:space="0" w:color="auto"/>
                    <w:left w:val="none" w:sz="0" w:space="0" w:color="auto"/>
                    <w:bottom w:val="none" w:sz="0" w:space="0" w:color="auto"/>
                    <w:right w:val="none" w:sz="0" w:space="0" w:color="auto"/>
                  </w:divBdr>
                  <w:divsChild>
                    <w:div w:id="675576972">
                      <w:marLeft w:val="0"/>
                      <w:marRight w:val="0"/>
                      <w:marTop w:val="0"/>
                      <w:marBottom w:val="0"/>
                      <w:divBdr>
                        <w:top w:val="none" w:sz="0" w:space="0" w:color="auto"/>
                        <w:left w:val="none" w:sz="0" w:space="0" w:color="auto"/>
                        <w:bottom w:val="none" w:sz="0" w:space="0" w:color="auto"/>
                        <w:right w:val="none" w:sz="0" w:space="0" w:color="auto"/>
                      </w:divBdr>
                      <w:divsChild>
                        <w:div w:id="1561402294">
                          <w:marLeft w:val="0"/>
                          <w:marRight w:val="0"/>
                          <w:marTop w:val="0"/>
                          <w:marBottom w:val="0"/>
                          <w:divBdr>
                            <w:top w:val="none" w:sz="0" w:space="0" w:color="auto"/>
                            <w:left w:val="none" w:sz="0" w:space="0" w:color="auto"/>
                            <w:bottom w:val="none" w:sz="0" w:space="0" w:color="auto"/>
                            <w:right w:val="none" w:sz="0" w:space="0" w:color="auto"/>
                          </w:divBdr>
                          <w:divsChild>
                            <w:div w:id="151216874">
                              <w:marLeft w:val="0"/>
                              <w:marRight w:val="0"/>
                              <w:marTop w:val="0"/>
                              <w:marBottom w:val="0"/>
                              <w:divBdr>
                                <w:top w:val="none" w:sz="0" w:space="0" w:color="auto"/>
                                <w:left w:val="none" w:sz="0" w:space="0" w:color="auto"/>
                                <w:bottom w:val="none" w:sz="0" w:space="0" w:color="auto"/>
                                <w:right w:val="none" w:sz="0" w:space="0" w:color="auto"/>
                              </w:divBdr>
                              <w:divsChild>
                                <w:div w:id="25447987">
                                  <w:marLeft w:val="0"/>
                                  <w:marRight w:val="0"/>
                                  <w:marTop w:val="0"/>
                                  <w:marBottom w:val="0"/>
                                  <w:divBdr>
                                    <w:top w:val="none" w:sz="0" w:space="0" w:color="auto"/>
                                    <w:left w:val="none" w:sz="0" w:space="0" w:color="auto"/>
                                    <w:bottom w:val="none" w:sz="0" w:space="0" w:color="auto"/>
                                    <w:right w:val="none" w:sz="0" w:space="0" w:color="auto"/>
                                  </w:divBdr>
                                  <w:divsChild>
                                    <w:div w:id="469444457">
                                      <w:marLeft w:val="0"/>
                                      <w:marRight w:val="0"/>
                                      <w:marTop w:val="0"/>
                                      <w:marBottom w:val="0"/>
                                      <w:divBdr>
                                        <w:top w:val="none" w:sz="0" w:space="0" w:color="auto"/>
                                        <w:left w:val="none" w:sz="0" w:space="0" w:color="auto"/>
                                        <w:bottom w:val="none" w:sz="0" w:space="0" w:color="auto"/>
                                        <w:right w:val="none" w:sz="0" w:space="0" w:color="auto"/>
                                      </w:divBdr>
                                      <w:divsChild>
                                        <w:div w:id="131946860">
                                          <w:marLeft w:val="0"/>
                                          <w:marRight w:val="0"/>
                                          <w:marTop w:val="0"/>
                                          <w:marBottom w:val="0"/>
                                          <w:divBdr>
                                            <w:top w:val="none" w:sz="0" w:space="0" w:color="auto"/>
                                            <w:left w:val="none" w:sz="0" w:space="0" w:color="auto"/>
                                            <w:bottom w:val="none" w:sz="0" w:space="0" w:color="auto"/>
                                            <w:right w:val="none" w:sz="0" w:space="0" w:color="auto"/>
                                          </w:divBdr>
                                          <w:divsChild>
                                            <w:div w:id="784814766">
                                              <w:marLeft w:val="0"/>
                                              <w:marRight w:val="0"/>
                                              <w:marTop w:val="0"/>
                                              <w:marBottom w:val="0"/>
                                              <w:divBdr>
                                                <w:top w:val="single" w:sz="6" w:space="0" w:color="F5F5F5"/>
                                                <w:left w:val="single" w:sz="6" w:space="0" w:color="F5F5F5"/>
                                                <w:bottom w:val="single" w:sz="6" w:space="0" w:color="F5F5F5"/>
                                                <w:right w:val="single" w:sz="6" w:space="0" w:color="F5F5F5"/>
                                              </w:divBdr>
                                              <w:divsChild>
                                                <w:div w:id="726686727">
                                                  <w:marLeft w:val="0"/>
                                                  <w:marRight w:val="0"/>
                                                  <w:marTop w:val="0"/>
                                                  <w:marBottom w:val="0"/>
                                                  <w:divBdr>
                                                    <w:top w:val="none" w:sz="0" w:space="0" w:color="auto"/>
                                                    <w:left w:val="none" w:sz="0" w:space="0" w:color="auto"/>
                                                    <w:bottom w:val="none" w:sz="0" w:space="0" w:color="auto"/>
                                                    <w:right w:val="none" w:sz="0" w:space="0" w:color="auto"/>
                                                  </w:divBdr>
                                                  <w:divsChild>
                                                    <w:div w:id="241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599625">
      <w:bodyDiv w:val="1"/>
      <w:marLeft w:val="0"/>
      <w:marRight w:val="0"/>
      <w:marTop w:val="0"/>
      <w:marBottom w:val="0"/>
      <w:divBdr>
        <w:top w:val="none" w:sz="0" w:space="0" w:color="auto"/>
        <w:left w:val="none" w:sz="0" w:space="0" w:color="auto"/>
        <w:bottom w:val="none" w:sz="0" w:space="0" w:color="auto"/>
        <w:right w:val="none" w:sz="0" w:space="0" w:color="auto"/>
      </w:divBdr>
      <w:divsChild>
        <w:div w:id="1321620593">
          <w:marLeft w:val="0"/>
          <w:marRight w:val="0"/>
          <w:marTop w:val="0"/>
          <w:marBottom w:val="0"/>
          <w:divBdr>
            <w:top w:val="none" w:sz="0" w:space="0" w:color="auto"/>
            <w:left w:val="none" w:sz="0" w:space="0" w:color="auto"/>
            <w:bottom w:val="none" w:sz="0" w:space="0" w:color="auto"/>
            <w:right w:val="none" w:sz="0" w:space="0" w:color="auto"/>
          </w:divBdr>
          <w:divsChild>
            <w:div w:id="1855994612">
              <w:marLeft w:val="0"/>
              <w:marRight w:val="0"/>
              <w:marTop w:val="0"/>
              <w:marBottom w:val="0"/>
              <w:divBdr>
                <w:top w:val="none" w:sz="0" w:space="0" w:color="auto"/>
                <w:left w:val="none" w:sz="0" w:space="0" w:color="auto"/>
                <w:bottom w:val="none" w:sz="0" w:space="0" w:color="auto"/>
                <w:right w:val="none" w:sz="0" w:space="0" w:color="auto"/>
              </w:divBdr>
              <w:divsChild>
                <w:div w:id="275141931">
                  <w:marLeft w:val="0"/>
                  <w:marRight w:val="0"/>
                  <w:marTop w:val="0"/>
                  <w:marBottom w:val="0"/>
                  <w:divBdr>
                    <w:top w:val="none" w:sz="0" w:space="0" w:color="auto"/>
                    <w:left w:val="none" w:sz="0" w:space="0" w:color="auto"/>
                    <w:bottom w:val="none" w:sz="0" w:space="0" w:color="auto"/>
                    <w:right w:val="none" w:sz="0" w:space="0" w:color="auto"/>
                  </w:divBdr>
                  <w:divsChild>
                    <w:div w:id="1006516242">
                      <w:marLeft w:val="0"/>
                      <w:marRight w:val="0"/>
                      <w:marTop w:val="0"/>
                      <w:marBottom w:val="0"/>
                      <w:divBdr>
                        <w:top w:val="none" w:sz="0" w:space="0" w:color="auto"/>
                        <w:left w:val="none" w:sz="0" w:space="0" w:color="auto"/>
                        <w:bottom w:val="none" w:sz="0" w:space="0" w:color="auto"/>
                        <w:right w:val="none" w:sz="0" w:space="0" w:color="auto"/>
                      </w:divBdr>
                      <w:divsChild>
                        <w:div w:id="904145718">
                          <w:marLeft w:val="0"/>
                          <w:marRight w:val="0"/>
                          <w:marTop w:val="0"/>
                          <w:marBottom w:val="0"/>
                          <w:divBdr>
                            <w:top w:val="none" w:sz="0" w:space="0" w:color="auto"/>
                            <w:left w:val="none" w:sz="0" w:space="0" w:color="auto"/>
                            <w:bottom w:val="none" w:sz="0" w:space="0" w:color="auto"/>
                            <w:right w:val="none" w:sz="0" w:space="0" w:color="auto"/>
                          </w:divBdr>
                          <w:divsChild>
                            <w:div w:id="1337196966">
                              <w:marLeft w:val="0"/>
                              <w:marRight w:val="0"/>
                              <w:marTop w:val="0"/>
                              <w:marBottom w:val="0"/>
                              <w:divBdr>
                                <w:top w:val="none" w:sz="0" w:space="0" w:color="auto"/>
                                <w:left w:val="none" w:sz="0" w:space="0" w:color="auto"/>
                                <w:bottom w:val="none" w:sz="0" w:space="0" w:color="auto"/>
                                <w:right w:val="none" w:sz="0" w:space="0" w:color="auto"/>
                              </w:divBdr>
                              <w:divsChild>
                                <w:div w:id="297534229">
                                  <w:marLeft w:val="0"/>
                                  <w:marRight w:val="0"/>
                                  <w:marTop w:val="0"/>
                                  <w:marBottom w:val="0"/>
                                  <w:divBdr>
                                    <w:top w:val="none" w:sz="0" w:space="0" w:color="auto"/>
                                    <w:left w:val="none" w:sz="0" w:space="0" w:color="auto"/>
                                    <w:bottom w:val="none" w:sz="0" w:space="0" w:color="auto"/>
                                    <w:right w:val="none" w:sz="0" w:space="0" w:color="auto"/>
                                  </w:divBdr>
                                  <w:divsChild>
                                    <w:div w:id="1161852530">
                                      <w:marLeft w:val="0"/>
                                      <w:marRight w:val="0"/>
                                      <w:marTop w:val="0"/>
                                      <w:marBottom w:val="0"/>
                                      <w:divBdr>
                                        <w:top w:val="single" w:sz="6" w:space="0" w:color="F5F5F5"/>
                                        <w:left w:val="single" w:sz="6" w:space="0" w:color="F5F5F5"/>
                                        <w:bottom w:val="single" w:sz="6" w:space="0" w:color="F5F5F5"/>
                                        <w:right w:val="single" w:sz="6" w:space="0" w:color="F5F5F5"/>
                                      </w:divBdr>
                                      <w:divsChild>
                                        <w:div w:id="297029799">
                                          <w:marLeft w:val="0"/>
                                          <w:marRight w:val="0"/>
                                          <w:marTop w:val="0"/>
                                          <w:marBottom w:val="0"/>
                                          <w:divBdr>
                                            <w:top w:val="none" w:sz="0" w:space="0" w:color="auto"/>
                                            <w:left w:val="none" w:sz="0" w:space="0" w:color="auto"/>
                                            <w:bottom w:val="none" w:sz="0" w:space="0" w:color="auto"/>
                                            <w:right w:val="none" w:sz="0" w:space="0" w:color="auto"/>
                                          </w:divBdr>
                                          <w:divsChild>
                                            <w:div w:id="1751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845918">
      <w:bodyDiv w:val="1"/>
      <w:marLeft w:val="0"/>
      <w:marRight w:val="0"/>
      <w:marTop w:val="0"/>
      <w:marBottom w:val="0"/>
      <w:divBdr>
        <w:top w:val="none" w:sz="0" w:space="0" w:color="auto"/>
        <w:left w:val="none" w:sz="0" w:space="0" w:color="auto"/>
        <w:bottom w:val="none" w:sz="0" w:space="0" w:color="auto"/>
        <w:right w:val="none" w:sz="0" w:space="0" w:color="auto"/>
      </w:divBdr>
    </w:div>
    <w:div w:id="779182398">
      <w:bodyDiv w:val="1"/>
      <w:marLeft w:val="0"/>
      <w:marRight w:val="0"/>
      <w:marTop w:val="0"/>
      <w:marBottom w:val="0"/>
      <w:divBdr>
        <w:top w:val="none" w:sz="0" w:space="0" w:color="auto"/>
        <w:left w:val="none" w:sz="0" w:space="0" w:color="auto"/>
        <w:bottom w:val="none" w:sz="0" w:space="0" w:color="auto"/>
        <w:right w:val="none" w:sz="0" w:space="0" w:color="auto"/>
      </w:divBdr>
    </w:div>
    <w:div w:id="932132027">
      <w:bodyDiv w:val="1"/>
      <w:marLeft w:val="0"/>
      <w:marRight w:val="0"/>
      <w:marTop w:val="0"/>
      <w:marBottom w:val="0"/>
      <w:divBdr>
        <w:top w:val="none" w:sz="0" w:space="0" w:color="auto"/>
        <w:left w:val="none" w:sz="0" w:space="0" w:color="auto"/>
        <w:bottom w:val="none" w:sz="0" w:space="0" w:color="auto"/>
        <w:right w:val="none" w:sz="0" w:space="0" w:color="auto"/>
      </w:divBdr>
    </w:div>
    <w:div w:id="1105343046">
      <w:bodyDiv w:val="1"/>
      <w:marLeft w:val="0"/>
      <w:marRight w:val="0"/>
      <w:marTop w:val="0"/>
      <w:marBottom w:val="0"/>
      <w:divBdr>
        <w:top w:val="none" w:sz="0" w:space="0" w:color="auto"/>
        <w:left w:val="none" w:sz="0" w:space="0" w:color="auto"/>
        <w:bottom w:val="none" w:sz="0" w:space="0" w:color="auto"/>
        <w:right w:val="none" w:sz="0" w:space="0" w:color="auto"/>
      </w:divBdr>
      <w:divsChild>
        <w:div w:id="1169104206">
          <w:marLeft w:val="0"/>
          <w:marRight w:val="0"/>
          <w:marTop w:val="0"/>
          <w:marBottom w:val="0"/>
          <w:divBdr>
            <w:top w:val="none" w:sz="0" w:space="0" w:color="auto"/>
            <w:left w:val="none" w:sz="0" w:space="0" w:color="auto"/>
            <w:bottom w:val="none" w:sz="0" w:space="0" w:color="auto"/>
            <w:right w:val="none" w:sz="0" w:space="0" w:color="auto"/>
          </w:divBdr>
          <w:divsChild>
            <w:div w:id="220944532">
              <w:marLeft w:val="0"/>
              <w:marRight w:val="0"/>
              <w:marTop w:val="0"/>
              <w:marBottom w:val="0"/>
              <w:divBdr>
                <w:top w:val="none" w:sz="0" w:space="0" w:color="auto"/>
                <w:left w:val="none" w:sz="0" w:space="0" w:color="auto"/>
                <w:bottom w:val="none" w:sz="0" w:space="0" w:color="auto"/>
                <w:right w:val="none" w:sz="0" w:space="0" w:color="auto"/>
              </w:divBdr>
              <w:divsChild>
                <w:div w:id="127363533">
                  <w:marLeft w:val="0"/>
                  <w:marRight w:val="0"/>
                  <w:marTop w:val="0"/>
                  <w:marBottom w:val="0"/>
                  <w:divBdr>
                    <w:top w:val="none" w:sz="0" w:space="0" w:color="auto"/>
                    <w:left w:val="none" w:sz="0" w:space="0" w:color="auto"/>
                    <w:bottom w:val="none" w:sz="0" w:space="0" w:color="auto"/>
                    <w:right w:val="none" w:sz="0" w:space="0" w:color="auto"/>
                  </w:divBdr>
                  <w:divsChild>
                    <w:div w:id="190845500">
                      <w:marLeft w:val="0"/>
                      <w:marRight w:val="0"/>
                      <w:marTop w:val="0"/>
                      <w:marBottom w:val="0"/>
                      <w:divBdr>
                        <w:top w:val="none" w:sz="0" w:space="0" w:color="auto"/>
                        <w:left w:val="none" w:sz="0" w:space="0" w:color="auto"/>
                        <w:bottom w:val="none" w:sz="0" w:space="0" w:color="auto"/>
                        <w:right w:val="none" w:sz="0" w:space="0" w:color="auto"/>
                      </w:divBdr>
                      <w:divsChild>
                        <w:div w:id="713382231">
                          <w:marLeft w:val="0"/>
                          <w:marRight w:val="0"/>
                          <w:marTop w:val="0"/>
                          <w:marBottom w:val="0"/>
                          <w:divBdr>
                            <w:top w:val="none" w:sz="0" w:space="0" w:color="auto"/>
                            <w:left w:val="none" w:sz="0" w:space="0" w:color="auto"/>
                            <w:bottom w:val="none" w:sz="0" w:space="0" w:color="auto"/>
                            <w:right w:val="none" w:sz="0" w:space="0" w:color="auto"/>
                          </w:divBdr>
                          <w:divsChild>
                            <w:div w:id="1925916539">
                              <w:marLeft w:val="0"/>
                              <w:marRight w:val="0"/>
                              <w:marTop w:val="0"/>
                              <w:marBottom w:val="0"/>
                              <w:divBdr>
                                <w:top w:val="none" w:sz="0" w:space="0" w:color="auto"/>
                                <w:left w:val="none" w:sz="0" w:space="0" w:color="auto"/>
                                <w:bottom w:val="none" w:sz="0" w:space="0" w:color="auto"/>
                                <w:right w:val="none" w:sz="0" w:space="0" w:color="auto"/>
                              </w:divBdr>
                              <w:divsChild>
                                <w:div w:id="1531410623">
                                  <w:marLeft w:val="0"/>
                                  <w:marRight w:val="0"/>
                                  <w:marTop w:val="0"/>
                                  <w:marBottom w:val="0"/>
                                  <w:divBdr>
                                    <w:top w:val="none" w:sz="0" w:space="0" w:color="auto"/>
                                    <w:left w:val="none" w:sz="0" w:space="0" w:color="auto"/>
                                    <w:bottom w:val="none" w:sz="0" w:space="0" w:color="auto"/>
                                    <w:right w:val="none" w:sz="0" w:space="0" w:color="auto"/>
                                  </w:divBdr>
                                  <w:divsChild>
                                    <w:div w:id="2022775599">
                                      <w:marLeft w:val="0"/>
                                      <w:marRight w:val="0"/>
                                      <w:marTop w:val="0"/>
                                      <w:marBottom w:val="0"/>
                                      <w:divBdr>
                                        <w:top w:val="single" w:sz="6" w:space="0" w:color="F5F5F5"/>
                                        <w:left w:val="single" w:sz="6" w:space="0" w:color="F5F5F5"/>
                                        <w:bottom w:val="single" w:sz="6" w:space="0" w:color="F5F5F5"/>
                                        <w:right w:val="single" w:sz="6" w:space="0" w:color="F5F5F5"/>
                                      </w:divBdr>
                                      <w:divsChild>
                                        <w:div w:id="1700273050">
                                          <w:marLeft w:val="0"/>
                                          <w:marRight w:val="0"/>
                                          <w:marTop w:val="0"/>
                                          <w:marBottom w:val="0"/>
                                          <w:divBdr>
                                            <w:top w:val="none" w:sz="0" w:space="0" w:color="auto"/>
                                            <w:left w:val="none" w:sz="0" w:space="0" w:color="auto"/>
                                            <w:bottom w:val="none" w:sz="0" w:space="0" w:color="auto"/>
                                            <w:right w:val="none" w:sz="0" w:space="0" w:color="auto"/>
                                          </w:divBdr>
                                          <w:divsChild>
                                            <w:div w:id="1783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385268">
      <w:bodyDiv w:val="1"/>
      <w:marLeft w:val="0"/>
      <w:marRight w:val="0"/>
      <w:marTop w:val="0"/>
      <w:marBottom w:val="0"/>
      <w:divBdr>
        <w:top w:val="none" w:sz="0" w:space="0" w:color="auto"/>
        <w:left w:val="none" w:sz="0" w:space="0" w:color="auto"/>
        <w:bottom w:val="none" w:sz="0" w:space="0" w:color="auto"/>
        <w:right w:val="none" w:sz="0" w:space="0" w:color="auto"/>
      </w:divBdr>
    </w:div>
    <w:div w:id="1360593273">
      <w:bodyDiv w:val="1"/>
      <w:marLeft w:val="0"/>
      <w:marRight w:val="0"/>
      <w:marTop w:val="0"/>
      <w:marBottom w:val="0"/>
      <w:divBdr>
        <w:top w:val="none" w:sz="0" w:space="0" w:color="auto"/>
        <w:left w:val="none" w:sz="0" w:space="0" w:color="auto"/>
        <w:bottom w:val="none" w:sz="0" w:space="0" w:color="auto"/>
        <w:right w:val="none" w:sz="0" w:space="0" w:color="auto"/>
      </w:divBdr>
      <w:divsChild>
        <w:div w:id="999188603">
          <w:marLeft w:val="0"/>
          <w:marRight w:val="0"/>
          <w:marTop w:val="0"/>
          <w:marBottom w:val="0"/>
          <w:divBdr>
            <w:top w:val="none" w:sz="0" w:space="0" w:color="auto"/>
            <w:left w:val="none" w:sz="0" w:space="0" w:color="auto"/>
            <w:bottom w:val="none" w:sz="0" w:space="0" w:color="auto"/>
            <w:right w:val="none" w:sz="0" w:space="0" w:color="auto"/>
          </w:divBdr>
          <w:divsChild>
            <w:div w:id="1160196808">
              <w:marLeft w:val="0"/>
              <w:marRight w:val="0"/>
              <w:marTop w:val="0"/>
              <w:marBottom w:val="0"/>
              <w:divBdr>
                <w:top w:val="none" w:sz="0" w:space="0" w:color="auto"/>
                <w:left w:val="none" w:sz="0" w:space="0" w:color="auto"/>
                <w:bottom w:val="none" w:sz="0" w:space="0" w:color="auto"/>
                <w:right w:val="none" w:sz="0" w:space="0" w:color="auto"/>
              </w:divBdr>
              <w:divsChild>
                <w:div w:id="1091466520">
                  <w:marLeft w:val="0"/>
                  <w:marRight w:val="0"/>
                  <w:marTop w:val="0"/>
                  <w:marBottom w:val="0"/>
                  <w:divBdr>
                    <w:top w:val="none" w:sz="0" w:space="0" w:color="auto"/>
                    <w:left w:val="none" w:sz="0" w:space="0" w:color="auto"/>
                    <w:bottom w:val="none" w:sz="0" w:space="0" w:color="auto"/>
                    <w:right w:val="none" w:sz="0" w:space="0" w:color="auto"/>
                  </w:divBdr>
                  <w:divsChild>
                    <w:div w:id="2087141919">
                      <w:marLeft w:val="0"/>
                      <w:marRight w:val="0"/>
                      <w:marTop w:val="0"/>
                      <w:marBottom w:val="0"/>
                      <w:divBdr>
                        <w:top w:val="none" w:sz="0" w:space="0" w:color="auto"/>
                        <w:left w:val="none" w:sz="0" w:space="0" w:color="auto"/>
                        <w:bottom w:val="none" w:sz="0" w:space="0" w:color="auto"/>
                        <w:right w:val="none" w:sz="0" w:space="0" w:color="auto"/>
                      </w:divBdr>
                      <w:divsChild>
                        <w:div w:id="1894852394">
                          <w:marLeft w:val="0"/>
                          <w:marRight w:val="0"/>
                          <w:marTop w:val="0"/>
                          <w:marBottom w:val="0"/>
                          <w:divBdr>
                            <w:top w:val="none" w:sz="0" w:space="0" w:color="auto"/>
                            <w:left w:val="none" w:sz="0" w:space="0" w:color="auto"/>
                            <w:bottom w:val="none" w:sz="0" w:space="0" w:color="auto"/>
                            <w:right w:val="none" w:sz="0" w:space="0" w:color="auto"/>
                          </w:divBdr>
                          <w:divsChild>
                            <w:div w:id="1759130150">
                              <w:marLeft w:val="0"/>
                              <w:marRight w:val="0"/>
                              <w:marTop w:val="0"/>
                              <w:marBottom w:val="0"/>
                              <w:divBdr>
                                <w:top w:val="none" w:sz="0" w:space="0" w:color="auto"/>
                                <w:left w:val="none" w:sz="0" w:space="0" w:color="auto"/>
                                <w:bottom w:val="none" w:sz="0" w:space="0" w:color="auto"/>
                                <w:right w:val="none" w:sz="0" w:space="0" w:color="auto"/>
                              </w:divBdr>
                              <w:divsChild>
                                <w:div w:id="85001356">
                                  <w:marLeft w:val="0"/>
                                  <w:marRight w:val="0"/>
                                  <w:marTop w:val="0"/>
                                  <w:marBottom w:val="0"/>
                                  <w:divBdr>
                                    <w:top w:val="none" w:sz="0" w:space="0" w:color="auto"/>
                                    <w:left w:val="none" w:sz="0" w:space="0" w:color="auto"/>
                                    <w:bottom w:val="none" w:sz="0" w:space="0" w:color="auto"/>
                                    <w:right w:val="none" w:sz="0" w:space="0" w:color="auto"/>
                                  </w:divBdr>
                                  <w:divsChild>
                                    <w:div w:id="1867132961">
                                      <w:marLeft w:val="0"/>
                                      <w:marRight w:val="0"/>
                                      <w:marTop w:val="0"/>
                                      <w:marBottom w:val="0"/>
                                      <w:divBdr>
                                        <w:top w:val="single" w:sz="6" w:space="0" w:color="F5F5F5"/>
                                        <w:left w:val="single" w:sz="6" w:space="0" w:color="F5F5F5"/>
                                        <w:bottom w:val="single" w:sz="6" w:space="0" w:color="F5F5F5"/>
                                        <w:right w:val="single" w:sz="6" w:space="0" w:color="F5F5F5"/>
                                      </w:divBdr>
                                      <w:divsChild>
                                        <w:div w:id="1998990672">
                                          <w:marLeft w:val="0"/>
                                          <w:marRight w:val="0"/>
                                          <w:marTop w:val="0"/>
                                          <w:marBottom w:val="0"/>
                                          <w:divBdr>
                                            <w:top w:val="none" w:sz="0" w:space="0" w:color="auto"/>
                                            <w:left w:val="none" w:sz="0" w:space="0" w:color="auto"/>
                                            <w:bottom w:val="none" w:sz="0" w:space="0" w:color="auto"/>
                                            <w:right w:val="none" w:sz="0" w:space="0" w:color="auto"/>
                                          </w:divBdr>
                                          <w:divsChild>
                                            <w:div w:id="1777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600720219">
          <w:marLeft w:val="0"/>
          <w:marRight w:val="0"/>
          <w:marTop w:val="0"/>
          <w:marBottom w:val="0"/>
          <w:divBdr>
            <w:top w:val="none" w:sz="0" w:space="0" w:color="auto"/>
            <w:left w:val="none" w:sz="0" w:space="0" w:color="auto"/>
            <w:bottom w:val="none" w:sz="0" w:space="0" w:color="auto"/>
            <w:right w:val="none" w:sz="0" w:space="0" w:color="auto"/>
          </w:divBdr>
          <w:divsChild>
            <w:div w:id="2100984666">
              <w:marLeft w:val="0"/>
              <w:marRight w:val="0"/>
              <w:marTop w:val="0"/>
              <w:marBottom w:val="0"/>
              <w:divBdr>
                <w:top w:val="none" w:sz="0" w:space="0" w:color="auto"/>
                <w:left w:val="none" w:sz="0" w:space="0" w:color="auto"/>
                <w:bottom w:val="none" w:sz="0" w:space="0" w:color="auto"/>
                <w:right w:val="none" w:sz="0" w:space="0" w:color="auto"/>
              </w:divBdr>
              <w:divsChild>
                <w:div w:id="1110010894">
                  <w:marLeft w:val="0"/>
                  <w:marRight w:val="0"/>
                  <w:marTop w:val="0"/>
                  <w:marBottom w:val="0"/>
                  <w:divBdr>
                    <w:top w:val="none" w:sz="0" w:space="0" w:color="auto"/>
                    <w:left w:val="none" w:sz="0" w:space="0" w:color="auto"/>
                    <w:bottom w:val="none" w:sz="0" w:space="0" w:color="auto"/>
                    <w:right w:val="none" w:sz="0" w:space="0" w:color="auto"/>
                  </w:divBdr>
                  <w:divsChild>
                    <w:div w:id="1123958303">
                      <w:marLeft w:val="0"/>
                      <w:marRight w:val="0"/>
                      <w:marTop w:val="0"/>
                      <w:marBottom w:val="0"/>
                      <w:divBdr>
                        <w:top w:val="none" w:sz="0" w:space="0" w:color="auto"/>
                        <w:left w:val="none" w:sz="0" w:space="0" w:color="auto"/>
                        <w:bottom w:val="none" w:sz="0" w:space="0" w:color="auto"/>
                        <w:right w:val="none" w:sz="0" w:space="0" w:color="auto"/>
                      </w:divBdr>
                      <w:divsChild>
                        <w:div w:id="1450273261">
                          <w:marLeft w:val="0"/>
                          <w:marRight w:val="0"/>
                          <w:marTop w:val="0"/>
                          <w:marBottom w:val="0"/>
                          <w:divBdr>
                            <w:top w:val="none" w:sz="0" w:space="0" w:color="auto"/>
                            <w:left w:val="none" w:sz="0" w:space="0" w:color="auto"/>
                            <w:bottom w:val="none" w:sz="0" w:space="0" w:color="auto"/>
                            <w:right w:val="none" w:sz="0" w:space="0" w:color="auto"/>
                          </w:divBdr>
                          <w:divsChild>
                            <w:div w:id="1451582243">
                              <w:marLeft w:val="0"/>
                              <w:marRight w:val="0"/>
                              <w:marTop w:val="0"/>
                              <w:marBottom w:val="0"/>
                              <w:divBdr>
                                <w:top w:val="none" w:sz="0" w:space="0" w:color="auto"/>
                                <w:left w:val="none" w:sz="0" w:space="0" w:color="auto"/>
                                <w:bottom w:val="none" w:sz="0" w:space="0" w:color="auto"/>
                                <w:right w:val="none" w:sz="0" w:space="0" w:color="auto"/>
                              </w:divBdr>
                              <w:divsChild>
                                <w:div w:id="1814104744">
                                  <w:marLeft w:val="0"/>
                                  <w:marRight w:val="0"/>
                                  <w:marTop w:val="0"/>
                                  <w:marBottom w:val="0"/>
                                  <w:divBdr>
                                    <w:top w:val="none" w:sz="0" w:space="0" w:color="auto"/>
                                    <w:left w:val="none" w:sz="0" w:space="0" w:color="auto"/>
                                    <w:bottom w:val="none" w:sz="0" w:space="0" w:color="auto"/>
                                    <w:right w:val="none" w:sz="0" w:space="0" w:color="auto"/>
                                  </w:divBdr>
                                  <w:divsChild>
                                    <w:div w:id="1546022549">
                                      <w:marLeft w:val="0"/>
                                      <w:marRight w:val="0"/>
                                      <w:marTop w:val="0"/>
                                      <w:marBottom w:val="0"/>
                                      <w:divBdr>
                                        <w:top w:val="single" w:sz="6" w:space="0" w:color="F5F5F5"/>
                                        <w:left w:val="single" w:sz="6" w:space="0" w:color="F5F5F5"/>
                                        <w:bottom w:val="single" w:sz="6" w:space="0" w:color="F5F5F5"/>
                                        <w:right w:val="single" w:sz="6" w:space="0" w:color="F5F5F5"/>
                                      </w:divBdr>
                                      <w:divsChild>
                                        <w:div w:id="562720121">
                                          <w:marLeft w:val="0"/>
                                          <w:marRight w:val="0"/>
                                          <w:marTop w:val="0"/>
                                          <w:marBottom w:val="0"/>
                                          <w:divBdr>
                                            <w:top w:val="none" w:sz="0" w:space="0" w:color="auto"/>
                                            <w:left w:val="none" w:sz="0" w:space="0" w:color="auto"/>
                                            <w:bottom w:val="none" w:sz="0" w:space="0" w:color="auto"/>
                                            <w:right w:val="none" w:sz="0" w:space="0" w:color="auto"/>
                                          </w:divBdr>
                                          <w:divsChild>
                                            <w:div w:id="4545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766767">
      <w:bodyDiv w:val="1"/>
      <w:marLeft w:val="0"/>
      <w:marRight w:val="0"/>
      <w:marTop w:val="0"/>
      <w:marBottom w:val="0"/>
      <w:divBdr>
        <w:top w:val="none" w:sz="0" w:space="0" w:color="auto"/>
        <w:left w:val="none" w:sz="0" w:space="0" w:color="auto"/>
        <w:bottom w:val="none" w:sz="0" w:space="0" w:color="auto"/>
        <w:right w:val="none" w:sz="0" w:space="0" w:color="auto"/>
      </w:divBdr>
    </w:div>
    <w:div w:id="1890340033">
      <w:bodyDiv w:val="1"/>
      <w:marLeft w:val="0"/>
      <w:marRight w:val="0"/>
      <w:marTop w:val="0"/>
      <w:marBottom w:val="0"/>
      <w:divBdr>
        <w:top w:val="none" w:sz="0" w:space="0" w:color="auto"/>
        <w:left w:val="none" w:sz="0" w:space="0" w:color="auto"/>
        <w:bottom w:val="none" w:sz="0" w:space="0" w:color="auto"/>
        <w:right w:val="none" w:sz="0" w:space="0" w:color="auto"/>
      </w:divBdr>
    </w:div>
    <w:div w:id="1897012052">
      <w:bodyDiv w:val="1"/>
      <w:marLeft w:val="0"/>
      <w:marRight w:val="0"/>
      <w:marTop w:val="0"/>
      <w:marBottom w:val="0"/>
      <w:divBdr>
        <w:top w:val="none" w:sz="0" w:space="0" w:color="auto"/>
        <w:left w:val="none" w:sz="0" w:space="0" w:color="auto"/>
        <w:bottom w:val="none" w:sz="0" w:space="0" w:color="auto"/>
        <w:right w:val="none" w:sz="0" w:space="0" w:color="auto"/>
      </w:divBdr>
      <w:divsChild>
        <w:div w:id="2057851302">
          <w:marLeft w:val="0"/>
          <w:marRight w:val="0"/>
          <w:marTop w:val="0"/>
          <w:marBottom w:val="0"/>
          <w:divBdr>
            <w:top w:val="none" w:sz="0" w:space="0" w:color="auto"/>
            <w:left w:val="none" w:sz="0" w:space="0" w:color="auto"/>
            <w:bottom w:val="none" w:sz="0" w:space="0" w:color="auto"/>
            <w:right w:val="none" w:sz="0" w:space="0" w:color="auto"/>
          </w:divBdr>
          <w:divsChild>
            <w:div w:id="925192528">
              <w:marLeft w:val="0"/>
              <w:marRight w:val="0"/>
              <w:marTop w:val="0"/>
              <w:marBottom w:val="0"/>
              <w:divBdr>
                <w:top w:val="none" w:sz="0" w:space="0" w:color="auto"/>
                <w:left w:val="none" w:sz="0" w:space="0" w:color="auto"/>
                <w:bottom w:val="none" w:sz="0" w:space="0" w:color="auto"/>
                <w:right w:val="none" w:sz="0" w:space="0" w:color="auto"/>
              </w:divBdr>
              <w:divsChild>
                <w:div w:id="1082488548">
                  <w:marLeft w:val="0"/>
                  <w:marRight w:val="0"/>
                  <w:marTop w:val="0"/>
                  <w:marBottom w:val="0"/>
                  <w:divBdr>
                    <w:top w:val="none" w:sz="0" w:space="0" w:color="auto"/>
                    <w:left w:val="none" w:sz="0" w:space="0" w:color="auto"/>
                    <w:bottom w:val="none" w:sz="0" w:space="0" w:color="auto"/>
                    <w:right w:val="none" w:sz="0" w:space="0" w:color="auto"/>
                  </w:divBdr>
                  <w:divsChild>
                    <w:div w:id="217323039">
                      <w:marLeft w:val="0"/>
                      <w:marRight w:val="0"/>
                      <w:marTop w:val="0"/>
                      <w:marBottom w:val="0"/>
                      <w:divBdr>
                        <w:top w:val="none" w:sz="0" w:space="0" w:color="auto"/>
                        <w:left w:val="none" w:sz="0" w:space="0" w:color="auto"/>
                        <w:bottom w:val="none" w:sz="0" w:space="0" w:color="auto"/>
                        <w:right w:val="none" w:sz="0" w:space="0" w:color="auto"/>
                      </w:divBdr>
                      <w:divsChild>
                        <w:div w:id="1777863227">
                          <w:marLeft w:val="0"/>
                          <w:marRight w:val="0"/>
                          <w:marTop w:val="0"/>
                          <w:marBottom w:val="0"/>
                          <w:divBdr>
                            <w:top w:val="none" w:sz="0" w:space="0" w:color="auto"/>
                            <w:left w:val="none" w:sz="0" w:space="0" w:color="auto"/>
                            <w:bottom w:val="none" w:sz="0" w:space="0" w:color="auto"/>
                            <w:right w:val="none" w:sz="0" w:space="0" w:color="auto"/>
                          </w:divBdr>
                          <w:divsChild>
                            <w:div w:id="343551826">
                              <w:marLeft w:val="0"/>
                              <w:marRight w:val="0"/>
                              <w:marTop w:val="0"/>
                              <w:marBottom w:val="0"/>
                              <w:divBdr>
                                <w:top w:val="none" w:sz="0" w:space="0" w:color="auto"/>
                                <w:left w:val="none" w:sz="0" w:space="0" w:color="auto"/>
                                <w:bottom w:val="none" w:sz="0" w:space="0" w:color="auto"/>
                                <w:right w:val="none" w:sz="0" w:space="0" w:color="auto"/>
                              </w:divBdr>
                              <w:divsChild>
                                <w:div w:id="264272998">
                                  <w:marLeft w:val="0"/>
                                  <w:marRight w:val="0"/>
                                  <w:marTop w:val="0"/>
                                  <w:marBottom w:val="0"/>
                                  <w:divBdr>
                                    <w:top w:val="none" w:sz="0" w:space="0" w:color="auto"/>
                                    <w:left w:val="none" w:sz="0" w:space="0" w:color="auto"/>
                                    <w:bottom w:val="none" w:sz="0" w:space="0" w:color="auto"/>
                                    <w:right w:val="none" w:sz="0" w:space="0" w:color="auto"/>
                                  </w:divBdr>
                                  <w:divsChild>
                                    <w:div w:id="792751792">
                                      <w:marLeft w:val="0"/>
                                      <w:marRight w:val="0"/>
                                      <w:marTop w:val="0"/>
                                      <w:marBottom w:val="0"/>
                                      <w:divBdr>
                                        <w:top w:val="none" w:sz="0" w:space="0" w:color="auto"/>
                                        <w:left w:val="none" w:sz="0" w:space="0" w:color="auto"/>
                                        <w:bottom w:val="none" w:sz="0" w:space="0" w:color="auto"/>
                                        <w:right w:val="none" w:sz="0" w:space="0" w:color="auto"/>
                                      </w:divBdr>
                                      <w:divsChild>
                                        <w:div w:id="690187990">
                                          <w:marLeft w:val="0"/>
                                          <w:marRight w:val="0"/>
                                          <w:marTop w:val="0"/>
                                          <w:marBottom w:val="0"/>
                                          <w:divBdr>
                                            <w:top w:val="none" w:sz="0" w:space="0" w:color="auto"/>
                                            <w:left w:val="none" w:sz="0" w:space="0" w:color="auto"/>
                                            <w:bottom w:val="none" w:sz="0" w:space="0" w:color="auto"/>
                                            <w:right w:val="none" w:sz="0" w:space="0" w:color="auto"/>
                                          </w:divBdr>
                                          <w:divsChild>
                                            <w:div w:id="1945456723">
                                              <w:marLeft w:val="0"/>
                                              <w:marRight w:val="0"/>
                                              <w:marTop w:val="0"/>
                                              <w:marBottom w:val="0"/>
                                              <w:divBdr>
                                                <w:top w:val="single" w:sz="6" w:space="0" w:color="F5F5F5"/>
                                                <w:left w:val="single" w:sz="6" w:space="0" w:color="F5F5F5"/>
                                                <w:bottom w:val="single" w:sz="6" w:space="0" w:color="F5F5F5"/>
                                                <w:right w:val="single" w:sz="6" w:space="0" w:color="F5F5F5"/>
                                              </w:divBdr>
                                              <w:divsChild>
                                                <w:div w:id="1905027349">
                                                  <w:marLeft w:val="0"/>
                                                  <w:marRight w:val="0"/>
                                                  <w:marTop w:val="0"/>
                                                  <w:marBottom w:val="0"/>
                                                  <w:divBdr>
                                                    <w:top w:val="none" w:sz="0" w:space="0" w:color="auto"/>
                                                    <w:left w:val="none" w:sz="0" w:space="0" w:color="auto"/>
                                                    <w:bottom w:val="none" w:sz="0" w:space="0" w:color="auto"/>
                                                    <w:right w:val="none" w:sz="0" w:space="0" w:color="auto"/>
                                                  </w:divBdr>
                                                  <w:divsChild>
                                                    <w:div w:id="11347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EMADOC-1700519818-2474005</_dlc_DocId>
    <_dlc_DocIdUrl xmlns="a034c160-bfb7-45f5-8632-2eb7e0508071">
      <Url>https://euema.sharepoint.com/sites/CRM/_layouts/15/DocIdRedir.aspx?ID=EMADOC-1700519818-2474005</Url>
      <Description>EMADOC-1700519818-2474005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E0AB0C-CB8B-49DD-80F3-6D6F88A67312}">
  <ds:schemaRefs>
    <ds:schemaRef ds:uri="http://schemas.openxmlformats.org/officeDocument/2006/bibliography"/>
  </ds:schemaRefs>
</ds:datastoreItem>
</file>

<file path=customXml/itemProps2.xml><?xml version="1.0" encoding="utf-8"?>
<ds:datastoreItem xmlns:ds="http://schemas.openxmlformats.org/officeDocument/2006/customXml" ds:itemID="{A16674BF-9028-4C86-B8B7-424CFA766DFA}"/>
</file>

<file path=customXml/itemProps3.xml><?xml version="1.0" encoding="utf-8"?>
<ds:datastoreItem xmlns:ds="http://schemas.openxmlformats.org/officeDocument/2006/customXml" ds:itemID="{2BA7462E-E400-41F8-83F0-E3CE8414C3E7}">
  <ds:schemaRefs>
    <ds:schemaRef ds:uri="http://schemas.microsoft.com/sharepoint/v3/contenttype/forms"/>
  </ds:schemaRefs>
</ds:datastoreItem>
</file>

<file path=customXml/itemProps4.xml><?xml version="1.0" encoding="utf-8"?>
<ds:datastoreItem xmlns:ds="http://schemas.openxmlformats.org/officeDocument/2006/customXml" ds:itemID="{4C8004D1-BA2F-4508-B8B1-587CB845C960}">
  <ds:schemaRefs>
    <ds:schemaRef ds:uri="http://schemas.openxmlformats.org/package/2006/metadata/core-properties"/>
    <ds:schemaRef ds:uri="http://purl.org/dc/dcmitype/"/>
    <ds:schemaRef ds:uri="http://schemas.microsoft.com/office/2006/documentManagement/types"/>
    <ds:schemaRef ds:uri="15b730e8-ef52-47c0-882f-c114b1201c56"/>
    <ds:schemaRef ds:uri="http://schemas.microsoft.com/office/2006/metadata/properties"/>
    <ds:schemaRef ds:uri="http://purl.org/dc/elements/1.1/"/>
    <ds:schemaRef ds:uri="http://purl.org/dc/terms/"/>
    <ds:schemaRef ds:uri="http://schemas.microsoft.com/office/infopath/2007/PartnerControls"/>
    <ds:schemaRef ds:uri="3f43a7e4-0095-4210-ba90-3b106b2b745d"/>
    <ds:schemaRef ds:uri="http://www.w3.org/XML/1998/namespace"/>
  </ds:schemaRefs>
</ds:datastoreItem>
</file>

<file path=customXml/itemProps5.xml><?xml version="1.0" encoding="utf-8"?>
<ds:datastoreItem xmlns:ds="http://schemas.openxmlformats.org/officeDocument/2006/customXml" ds:itemID="{0ED64C38-C540-4579-9A52-D33F5E878B7C}"/>
</file>

<file path=docProps/app.xml><?xml version="1.0" encoding="utf-8"?>
<Properties xmlns="http://schemas.openxmlformats.org/officeDocument/2006/extended-properties" xmlns:vt="http://schemas.openxmlformats.org/officeDocument/2006/docPropsVTypes">
  <Template>Normal</Template>
  <TotalTime>78</TotalTime>
  <Pages>31</Pages>
  <Words>8332</Words>
  <Characters>51729</Characters>
  <Application>Microsoft Office Word</Application>
  <DocSecurity>0</DocSecurity>
  <Lines>431</Lines>
  <Paragraphs>119</Paragraphs>
  <ScaleCrop>false</ScaleCrop>
  <HeadingPairs>
    <vt:vector size="10" baseType="variant">
      <vt:variant>
        <vt:lpstr>Title</vt:lpstr>
      </vt:variant>
      <vt:variant>
        <vt:i4>1</vt:i4>
      </vt:variant>
      <vt:variant>
        <vt:lpstr>Cím</vt:lpstr>
      </vt:variant>
      <vt:variant>
        <vt:i4>1</vt:i4>
      </vt:variant>
      <vt:variant>
        <vt:lpstr>Název</vt:lpstr>
      </vt:variant>
      <vt:variant>
        <vt:i4>1</vt:i4>
      </vt:variant>
      <vt:variant>
        <vt:lpstr>Názov</vt:lpstr>
      </vt:variant>
      <vt:variant>
        <vt:i4>1</vt:i4>
      </vt:variant>
      <vt:variant>
        <vt:lpstr>Titel</vt:lpstr>
      </vt:variant>
      <vt:variant>
        <vt:i4>1</vt:i4>
      </vt:variant>
    </vt:vector>
  </HeadingPairs>
  <TitlesOfParts>
    <vt:vector size="5" baseType="lpstr">
      <vt:lpstr>Tygacil, INN-tigecycline</vt:lpstr>
      <vt:lpstr>Tygacil, INN-tigecycline</vt:lpstr>
      <vt:lpstr>Tygacil, INN-tigecycline</vt:lpstr>
      <vt:lpstr>Tygacil, INN-tigecycline</vt:lpstr>
      <vt:lpstr>Tygacil, INN-tygecyklín</vt:lpstr>
    </vt:vector>
  </TitlesOfParts>
  <Company>Pfizer Inc</Company>
  <LinksUpToDate>false</LinksUpToDate>
  <CharactersWithSpaces>59942</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cp:lastModifiedBy>Shalu Jha</cp:lastModifiedBy>
  <cp:revision>29</cp:revision>
  <cp:lastPrinted>2025-09-20T10:05:00Z</cp:lastPrinted>
  <dcterms:created xsi:type="dcterms:W3CDTF">2022-03-10T06:32:00Z</dcterms:created>
  <dcterms:modified xsi:type="dcterms:W3CDTF">2025-09-20T10:08:00Z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Information-EMEA/104623/2006</vt:lpwstr>
  </property>
  <property fmtid="{D5CDD505-2E9C-101B-9397-08002B2CF9AE}" pid="3" name="DM_Name">
    <vt:lpwstr>H-644-PI-SK</vt:lpwstr>
  </property>
  <property fmtid="{D5CDD505-2E9C-101B-9397-08002B2CF9AE}" pid="4" name="DM_Owner">
    <vt:lpwstr>Christiansen Lena</vt:lpwstr>
  </property>
  <property fmtid="{D5CDD505-2E9C-101B-9397-08002B2CF9AE}" pid="5" name="DM_Creation_Date">
    <vt:lpwstr>21/03/2006 14:06:40</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14:07:03</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EMEA/104623/2006</vt:lpwstr>
  </property>
  <property fmtid="{D5CDD505-2E9C-101B-9397-08002B2CF9AE}" pid="12" name="DM_emea_doc_number">
    <vt:lpwstr>104623</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ContentTypeId">
    <vt:lpwstr>0x0101000DA6AD19014FF648A49316945EE786F90200176DED4FF78CD74995F64A0F46B59E48</vt:lpwstr>
  </property>
  <property fmtid="{D5CDD505-2E9C-101B-9397-08002B2CF9AE}" pid="25" name="_dlc_DocIdItemGuid">
    <vt:lpwstr>08cbfefa-8f57-4f24-8d81-46b0b80ee0a2</vt:lpwstr>
  </property>
  <property fmtid="{D5CDD505-2E9C-101B-9397-08002B2CF9AE}" pid="26" name="MediaServiceImageTags">
    <vt:lpwstr/>
  </property>
</Properties>
</file>